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00499" w14:textId="77777777" w:rsidR="00480B61" w:rsidRDefault="004B6453">
      <w:pPr>
        <w:spacing w:after="0"/>
        <w:rPr>
          <w:rFonts w:ascii="Arial" w:eastAsia="Arial" w:hAnsi="Arial" w:cs="Arial"/>
        </w:rPr>
      </w:pPr>
      <w:r>
        <w:rPr>
          <w:noProof/>
        </w:rPr>
        <w:drawing>
          <wp:anchor distT="0" distB="0" distL="0" distR="0" simplePos="0" relativeHeight="251658240" behindDoc="1" locked="0" layoutInCell="1" hidden="0" allowOverlap="1" wp14:anchorId="5D6A7B97" wp14:editId="59143E4D">
            <wp:simplePos x="0" y="0"/>
            <wp:positionH relativeFrom="column">
              <wp:posOffset>-910587</wp:posOffset>
            </wp:positionH>
            <wp:positionV relativeFrom="paragraph">
              <wp:posOffset>-910587</wp:posOffset>
            </wp:positionV>
            <wp:extent cx="7616952" cy="10762488"/>
            <wp:effectExtent l="0" t="0" r="0" b="0"/>
            <wp:wrapNone/>
            <wp:docPr id="4" name="image1.png" descr="Center for Migrant Advocacy"/>
            <wp:cNvGraphicFramePr/>
            <a:graphic xmlns:a="http://schemas.openxmlformats.org/drawingml/2006/main">
              <a:graphicData uri="http://schemas.openxmlformats.org/drawingml/2006/picture">
                <pic:pic xmlns:pic="http://schemas.openxmlformats.org/drawingml/2006/picture">
                  <pic:nvPicPr>
                    <pic:cNvPr id="0" name="image1.png" descr="Center for Migrant Advocacy"/>
                    <pic:cNvPicPr preferRelativeResize="0"/>
                  </pic:nvPicPr>
                  <pic:blipFill>
                    <a:blip r:embed="rId9"/>
                    <a:srcRect/>
                    <a:stretch>
                      <a:fillRect/>
                    </a:stretch>
                  </pic:blipFill>
                  <pic:spPr>
                    <a:xfrm>
                      <a:off x="0" y="0"/>
                      <a:ext cx="7616952" cy="10762488"/>
                    </a:xfrm>
                    <a:prstGeom prst="rect">
                      <a:avLst/>
                    </a:prstGeom>
                    <a:ln/>
                  </pic:spPr>
                </pic:pic>
              </a:graphicData>
            </a:graphic>
          </wp:anchor>
        </w:drawing>
      </w:r>
    </w:p>
    <w:p w14:paraId="43ED5007" w14:textId="77777777" w:rsidR="00480B61" w:rsidRDefault="00480B61">
      <w:pPr>
        <w:spacing w:after="0"/>
        <w:rPr>
          <w:rFonts w:ascii="Arial" w:eastAsia="Arial" w:hAnsi="Arial" w:cs="Arial"/>
        </w:rPr>
      </w:pPr>
    </w:p>
    <w:p w14:paraId="0223F7CF" w14:textId="77777777" w:rsidR="00480B61" w:rsidRDefault="00480B61">
      <w:pPr>
        <w:spacing w:after="0"/>
        <w:rPr>
          <w:rFonts w:ascii="Arial" w:eastAsia="Arial" w:hAnsi="Arial" w:cs="Arial"/>
        </w:rPr>
      </w:pPr>
    </w:p>
    <w:p w14:paraId="38E67CD1" w14:textId="77777777" w:rsidR="00480B61" w:rsidRPr="009D1840" w:rsidRDefault="00480B61">
      <w:pPr>
        <w:spacing w:after="0"/>
        <w:rPr>
          <w:rFonts w:ascii="Arial" w:eastAsia="Arial" w:hAnsi="Arial" w:cs="Arial"/>
          <w:color w:val="000000" w:themeColor="text1"/>
        </w:rPr>
      </w:pPr>
    </w:p>
    <w:p w14:paraId="7D4F35BE" w14:textId="75CAC796" w:rsidR="00480B61" w:rsidRPr="00B649BA" w:rsidRDefault="004B6453">
      <w:pPr>
        <w:pStyle w:val="Title"/>
        <w:tabs>
          <w:tab w:val="right" w:pos="851"/>
        </w:tabs>
        <w:spacing w:before="240" w:after="0"/>
        <w:ind w:hanging="2"/>
        <w:jc w:val="center"/>
        <w:rPr>
          <w:rFonts w:ascii="Times New Roman" w:eastAsia="Times New Roman" w:hAnsi="Times New Roman" w:cs="Times New Roman"/>
          <w:color w:val="000000" w:themeColor="text1"/>
          <w:sz w:val="24"/>
          <w:szCs w:val="24"/>
        </w:rPr>
      </w:pPr>
      <w:bookmarkStart w:id="0" w:name="_heading=h.an6ztuuve4zp" w:colFirst="0" w:colLast="0"/>
      <w:bookmarkEnd w:id="0"/>
      <w:r w:rsidRPr="00B649BA">
        <w:rPr>
          <w:rFonts w:ascii="Times New Roman" w:eastAsia="Times New Roman" w:hAnsi="Times New Roman" w:cs="Times New Roman"/>
          <w:color w:val="000000" w:themeColor="text1"/>
          <w:sz w:val="24"/>
          <w:szCs w:val="24"/>
        </w:rPr>
        <w:t>SUBMISSION</w:t>
      </w:r>
      <w:r w:rsidRPr="00B649BA">
        <w:rPr>
          <w:rFonts w:ascii="Times New Roman" w:eastAsia="Times New Roman" w:hAnsi="Times New Roman" w:cs="Times New Roman"/>
          <w:color w:val="000000" w:themeColor="text1"/>
          <w:sz w:val="24"/>
          <w:szCs w:val="24"/>
          <w:vertAlign w:val="superscript"/>
        </w:rPr>
        <w:footnoteReference w:id="1"/>
      </w:r>
      <w:r w:rsidRPr="00B649BA">
        <w:rPr>
          <w:rFonts w:ascii="Times New Roman" w:eastAsia="Times New Roman" w:hAnsi="Times New Roman" w:cs="Times New Roman"/>
          <w:color w:val="000000" w:themeColor="text1"/>
          <w:sz w:val="24"/>
          <w:szCs w:val="24"/>
        </w:rPr>
        <w:t xml:space="preserve"> BY THE CENTER FOR MIGRANT ADVOCACY PHILIPPINES (CMA)  TO THE COMMITTEE ON THE ELIMINATION OF DISCRIMINATION AGAINST WOMEN (CEDAW) FOR THE NINTH PERIODIC REPORTING OF THE PHILIPPINES</w:t>
      </w:r>
    </w:p>
    <w:p w14:paraId="62CDA65E" w14:textId="77777777" w:rsidR="00480B61" w:rsidRPr="009D1840" w:rsidRDefault="00480B61">
      <w:pPr>
        <w:tabs>
          <w:tab w:val="right" w:pos="851"/>
        </w:tabs>
        <w:spacing w:after="0"/>
        <w:jc w:val="both"/>
        <w:rPr>
          <w:rFonts w:ascii="Times New Roman" w:eastAsia="Times New Roman" w:hAnsi="Times New Roman" w:cs="Times New Roman"/>
          <w:color w:val="000000" w:themeColor="text1"/>
          <w:sz w:val="24"/>
          <w:szCs w:val="24"/>
        </w:rPr>
      </w:pPr>
    </w:p>
    <w:p w14:paraId="0674572B" w14:textId="77777777" w:rsidR="00480B61" w:rsidRPr="009D1840" w:rsidRDefault="004B6453">
      <w:pPr>
        <w:tabs>
          <w:tab w:val="right" w:pos="851"/>
        </w:tabs>
        <w:spacing w:after="0"/>
        <w:jc w:val="center"/>
        <w:rPr>
          <w:rFonts w:ascii="Times New Roman" w:eastAsia="Times New Roman" w:hAnsi="Times New Roman" w:cs="Times New Roman"/>
          <w:b/>
          <w:color w:val="000000" w:themeColor="text1"/>
          <w:sz w:val="24"/>
          <w:szCs w:val="24"/>
        </w:rPr>
      </w:pPr>
      <w:r w:rsidRPr="009D1840">
        <w:rPr>
          <w:rFonts w:ascii="Times New Roman" w:eastAsia="Times New Roman" w:hAnsi="Times New Roman" w:cs="Times New Roman"/>
          <w:b/>
          <w:color w:val="000000" w:themeColor="text1"/>
          <w:sz w:val="24"/>
          <w:szCs w:val="24"/>
        </w:rPr>
        <w:t>11 September 2023</w:t>
      </w:r>
    </w:p>
    <w:p w14:paraId="3840B921" w14:textId="77777777" w:rsidR="00480B61" w:rsidRPr="009D1840" w:rsidRDefault="00480B61">
      <w:pPr>
        <w:tabs>
          <w:tab w:val="right" w:pos="851"/>
        </w:tabs>
        <w:spacing w:after="0"/>
        <w:jc w:val="both"/>
        <w:rPr>
          <w:rFonts w:ascii="Times New Roman" w:eastAsia="Times New Roman" w:hAnsi="Times New Roman" w:cs="Times New Roman"/>
          <w:color w:val="000000" w:themeColor="text1"/>
          <w:sz w:val="24"/>
          <w:szCs w:val="24"/>
        </w:rPr>
      </w:pPr>
    </w:p>
    <w:p w14:paraId="260AFCC8" w14:textId="77777777" w:rsidR="00480B61" w:rsidRPr="009D1840" w:rsidRDefault="004B6453">
      <w:pPr>
        <w:pStyle w:val="Heading1"/>
        <w:numPr>
          <w:ilvl w:val="0"/>
          <w:numId w:val="1"/>
        </w:numPr>
        <w:spacing w:before="0" w:after="0" w:line="240" w:lineRule="auto"/>
        <w:jc w:val="both"/>
        <w:rPr>
          <w:rFonts w:ascii="Times New Roman" w:eastAsia="Times New Roman" w:hAnsi="Times New Roman" w:cs="Times New Roman"/>
          <w:color w:val="000000" w:themeColor="text1"/>
          <w:sz w:val="24"/>
          <w:szCs w:val="24"/>
        </w:rPr>
      </w:pPr>
      <w:bookmarkStart w:id="1" w:name="_heading=h.ohu9xiob94f1" w:colFirst="0" w:colLast="0"/>
      <w:bookmarkEnd w:id="1"/>
      <w:r w:rsidRPr="00B649BA">
        <w:rPr>
          <w:rFonts w:ascii="Times New Roman" w:eastAsia="Times New Roman" w:hAnsi="Times New Roman" w:cs="Times New Roman"/>
          <w:color w:val="000000" w:themeColor="text1"/>
          <w:sz w:val="24"/>
          <w:szCs w:val="24"/>
        </w:rPr>
        <w:t>Introduction</w:t>
      </w:r>
    </w:p>
    <w:p w14:paraId="0E905DAD" w14:textId="77777777" w:rsidR="00480B61" w:rsidRPr="009D1840" w:rsidRDefault="00480B61">
      <w:pPr>
        <w:spacing w:after="0" w:line="240" w:lineRule="auto"/>
        <w:ind w:left="720"/>
        <w:jc w:val="both"/>
        <w:rPr>
          <w:rFonts w:ascii="Times New Roman" w:eastAsia="Times New Roman" w:hAnsi="Times New Roman" w:cs="Times New Roman"/>
          <w:b/>
          <w:color w:val="000000" w:themeColor="text1"/>
          <w:sz w:val="24"/>
          <w:szCs w:val="24"/>
        </w:rPr>
      </w:pPr>
    </w:p>
    <w:p w14:paraId="5366613B" w14:textId="77777777" w:rsidR="00480B61" w:rsidRPr="00B649BA" w:rsidRDefault="004B6453">
      <w:pPr>
        <w:numPr>
          <w:ilvl w:val="0"/>
          <w:numId w:val="2"/>
        </w:numPr>
        <w:spacing w:after="0"/>
        <w:jc w:val="both"/>
        <w:rPr>
          <w:rFonts w:ascii="Times New Roman" w:eastAsia="Times New Roman" w:hAnsi="Times New Roman" w:cs="Times New Roman"/>
          <w:color w:val="000000" w:themeColor="text1"/>
          <w:sz w:val="24"/>
          <w:szCs w:val="24"/>
        </w:rPr>
      </w:pPr>
      <w:r w:rsidRPr="00B649BA">
        <w:rPr>
          <w:rFonts w:ascii="Times New Roman" w:eastAsia="Times New Roman" w:hAnsi="Times New Roman" w:cs="Times New Roman"/>
          <w:color w:val="000000" w:themeColor="text1"/>
          <w:sz w:val="24"/>
          <w:szCs w:val="24"/>
        </w:rPr>
        <w:t>The Center for Migrant Advocacy Philipp</w:t>
      </w:r>
      <w:r w:rsidRPr="00B649BA">
        <w:rPr>
          <w:rFonts w:ascii="Times New Roman" w:eastAsia="Times New Roman" w:hAnsi="Times New Roman" w:cs="Times New Roman"/>
          <w:color w:val="000000" w:themeColor="text1"/>
          <w:sz w:val="24"/>
          <w:szCs w:val="24"/>
        </w:rPr>
        <w:t>ines (CMA) is an independent Civil Society Organization (CSO) in the Philippines that works for the rights and welfare of Overseas Filipino Workers (OFWs) and their families through policy advocacy, facilitation of assistance to distressed OFWs, informatio</w:t>
      </w:r>
      <w:r w:rsidRPr="00B649BA">
        <w:rPr>
          <w:rFonts w:ascii="Times New Roman" w:eastAsia="Times New Roman" w:hAnsi="Times New Roman" w:cs="Times New Roman"/>
          <w:color w:val="000000" w:themeColor="text1"/>
          <w:sz w:val="24"/>
          <w:szCs w:val="24"/>
        </w:rPr>
        <w:t xml:space="preserve">n, research and education work, networking in the country and abroad, and capacity building for migrant organizations and local government units. </w:t>
      </w:r>
    </w:p>
    <w:p w14:paraId="19ACF4CB" w14:textId="77777777" w:rsidR="00480B61" w:rsidRPr="009D1840" w:rsidRDefault="00480B61">
      <w:pPr>
        <w:spacing w:after="0"/>
        <w:jc w:val="both"/>
        <w:rPr>
          <w:rFonts w:ascii="Times New Roman" w:eastAsia="Times New Roman" w:hAnsi="Times New Roman" w:cs="Times New Roman"/>
          <w:color w:val="000000" w:themeColor="text1"/>
          <w:sz w:val="24"/>
          <w:szCs w:val="24"/>
        </w:rPr>
      </w:pPr>
    </w:p>
    <w:p w14:paraId="1B37D9DA" w14:textId="17FC5A29" w:rsidR="00480B61" w:rsidRPr="00B649BA" w:rsidRDefault="004B6453">
      <w:pPr>
        <w:numPr>
          <w:ilvl w:val="0"/>
          <w:numId w:val="2"/>
        </w:numPr>
        <w:spacing w:after="0"/>
        <w:jc w:val="both"/>
        <w:rPr>
          <w:rFonts w:ascii="Times New Roman" w:eastAsia="Times New Roman" w:hAnsi="Times New Roman" w:cs="Times New Roman"/>
          <w:color w:val="000000" w:themeColor="text1"/>
          <w:sz w:val="24"/>
          <w:szCs w:val="24"/>
        </w:rPr>
      </w:pPr>
      <w:r w:rsidRPr="00B649BA">
        <w:rPr>
          <w:rFonts w:ascii="Times New Roman" w:eastAsia="Times New Roman" w:hAnsi="Times New Roman" w:cs="Times New Roman"/>
          <w:color w:val="000000" w:themeColor="text1"/>
          <w:sz w:val="24"/>
          <w:szCs w:val="24"/>
        </w:rPr>
        <w:t xml:space="preserve">An online consultation with relevant stakeholders in the country and overseas </w:t>
      </w:r>
      <w:r w:rsidR="002F0D7E" w:rsidRPr="009D1840">
        <w:rPr>
          <w:rFonts w:ascii="Times New Roman" w:eastAsia="Times New Roman" w:hAnsi="Times New Roman" w:cs="Times New Roman"/>
          <w:color w:val="000000" w:themeColor="text1"/>
          <w:sz w:val="24"/>
          <w:szCs w:val="24"/>
        </w:rPr>
        <w:t>was</w:t>
      </w:r>
      <w:r w:rsidRPr="00B649BA">
        <w:rPr>
          <w:rFonts w:ascii="Times New Roman" w:eastAsia="Times New Roman" w:hAnsi="Times New Roman" w:cs="Times New Roman"/>
          <w:color w:val="000000" w:themeColor="text1"/>
          <w:sz w:val="24"/>
          <w:szCs w:val="24"/>
        </w:rPr>
        <w:t xml:space="preserve"> convened to prepare for th</w:t>
      </w:r>
      <w:r w:rsidRPr="00B649BA">
        <w:rPr>
          <w:rFonts w:ascii="Times New Roman" w:eastAsia="Times New Roman" w:hAnsi="Times New Roman" w:cs="Times New Roman"/>
          <w:color w:val="000000" w:themeColor="text1"/>
          <w:sz w:val="24"/>
          <w:szCs w:val="24"/>
        </w:rPr>
        <w:t>is report.</w:t>
      </w:r>
      <w:r w:rsidRPr="00B649BA">
        <w:rPr>
          <w:rFonts w:ascii="Times New Roman" w:eastAsia="Times New Roman" w:hAnsi="Times New Roman" w:cs="Times New Roman"/>
          <w:color w:val="000000" w:themeColor="text1"/>
          <w:sz w:val="24"/>
          <w:szCs w:val="24"/>
          <w:vertAlign w:val="superscript"/>
        </w:rPr>
        <w:footnoteReference w:id="2"/>
      </w:r>
      <w:r w:rsidRPr="00B649BA">
        <w:rPr>
          <w:rFonts w:ascii="Times New Roman" w:eastAsia="Times New Roman" w:hAnsi="Times New Roman" w:cs="Times New Roman"/>
          <w:color w:val="000000" w:themeColor="text1"/>
          <w:sz w:val="24"/>
          <w:szCs w:val="24"/>
        </w:rPr>
        <w:t xml:space="preserve"> CMA also cited several sources and past research to add more context to the report.</w:t>
      </w:r>
    </w:p>
    <w:p w14:paraId="48AD4C52" w14:textId="77777777" w:rsidR="00480B61" w:rsidRPr="009D1840" w:rsidRDefault="00480B61">
      <w:pPr>
        <w:spacing w:after="0"/>
        <w:jc w:val="both"/>
        <w:rPr>
          <w:rFonts w:ascii="Times New Roman" w:eastAsia="Times New Roman" w:hAnsi="Times New Roman" w:cs="Times New Roman"/>
          <w:color w:val="000000" w:themeColor="text1"/>
          <w:sz w:val="24"/>
          <w:szCs w:val="24"/>
        </w:rPr>
      </w:pPr>
    </w:p>
    <w:p w14:paraId="3B55D49C" w14:textId="77777777" w:rsidR="00480B61" w:rsidRPr="009D1840" w:rsidRDefault="004B6453">
      <w:pPr>
        <w:pStyle w:val="Heading1"/>
        <w:numPr>
          <w:ilvl w:val="0"/>
          <w:numId w:val="1"/>
        </w:numPr>
        <w:spacing w:before="0" w:after="0" w:line="240" w:lineRule="auto"/>
        <w:jc w:val="both"/>
        <w:rPr>
          <w:rFonts w:ascii="Times New Roman" w:eastAsia="Times New Roman" w:hAnsi="Times New Roman" w:cs="Times New Roman"/>
          <w:color w:val="000000" w:themeColor="text1"/>
          <w:sz w:val="24"/>
          <w:szCs w:val="24"/>
        </w:rPr>
      </w:pPr>
      <w:bookmarkStart w:id="2" w:name="_heading=h.lx764ylmtje0" w:colFirst="0" w:colLast="0"/>
      <w:bookmarkEnd w:id="2"/>
      <w:proofErr w:type="spellStart"/>
      <w:r w:rsidRPr="00B649BA">
        <w:rPr>
          <w:rFonts w:ascii="Times New Roman" w:eastAsia="Times New Roman" w:hAnsi="Times New Roman" w:cs="Times New Roman"/>
          <w:color w:val="000000" w:themeColor="text1"/>
          <w:sz w:val="24"/>
          <w:szCs w:val="24"/>
        </w:rPr>
        <w:t>Situationer</w:t>
      </w:r>
      <w:proofErr w:type="spellEnd"/>
    </w:p>
    <w:p w14:paraId="66CA30F2" w14:textId="77777777" w:rsidR="00480B61" w:rsidRPr="009D1840" w:rsidRDefault="00480B61">
      <w:pPr>
        <w:spacing w:after="0"/>
        <w:jc w:val="both"/>
        <w:rPr>
          <w:rFonts w:ascii="Times New Roman" w:eastAsia="Times New Roman" w:hAnsi="Times New Roman" w:cs="Times New Roman"/>
          <w:color w:val="000000" w:themeColor="text1"/>
          <w:sz w:val="24"/>
          <w:szCs w:val="24"/>
        </w:rPr>
      </w:pPr>
    </w:p>
    <w:p w14:paraId="75C4B0AB" w14:textId="06F14C2E" w:rsidR="00480B61" w:rsidRPr="00B649BA" w:rsidRDefault="004B6453">
      <w:pPr>
        <w:numPr>
          <w:ilvl w:val="0"/>
          <w:numId w:val="2"/>
        </w:numPr>
        <w:spacing w:after="0"/>
        <w:jc w:val="both"/>
        <w:rPr>
          <w:rFonts w:ascii="Times New Roman" w:eastAsia="Times New Roman" w:hAnsi="Times New Roman" w:cs="Times New Roman"/>
          <w:color w:val="000000" w:themeColor="text1"/>
          <w:sz w:val="24"/>
          <w:szCs w:val="24"/>
        </w:rPr>
      </w:pPr>
      <w:r w:rsidRPr="00B649BA">
        <w:rPr>
          <w:rFonts w:ascii="Times New Roman" w:eastAsia="Times New Roman" w:hAnsi="Times New Roman" w:cs="Times New Roman"/>
          <w:color w:val="000000" w:themeColor="text1"/>
          <w:sz w:val="24"/>
          <w:szCs w:val="24"/>
        </w:rPr>
        <w:t xml:space="preserve">In 2024, the Philippines’ overseas employment program will mark its 50th year. With this in mind, the State Party assures that the State is </w:t>
      </w:r>
      <w:r w:rsidRPr="00B649BA">
        <w:rPr>
          <w:rFonts w:ascii="Times New Roman" w:eastAsia="Times New Roman" w:hAnsi="Times New Roman" w:cs="Times New Roman"/>
          <w:color w:val="000000" w:themeColor="text1"/>
          <w:sz w:val="24"/>
          <w:szCs w:val="24"/>
        </w:rPr>
        <w:t>not promoting migration as part of the country’s economic development. However, past and present administrations have admitted that Filipinos tend to choose labor migration out of necessity and not necessarily out of choice.</w:t>
      </w:r>
      <w:r w:rsidRPr="00B649BA">
        <w:rPr>
          <w:rFonts w:ascii="Times New Roman" w:eastAsia="Times New Roman" w:hAnsi="Times New Roman" w:cs="Times New Roman"/>
          <w:color w:val="000000" w:themeColor="text1"/>
          <w:vertAlign w:val="superscript"/>
        </w:rPr>
        <w:footnoteReference w:id="3"/>
      </w:r>
      <w:r w:rsidRPr="00B649BA">
        <w:rPr>
          <w:rFonts w:ascii="Times New Roman" w:eastAsia="Times New Roman" w:hAnsi="Times New Roman" w:cs="Times New Roman"/>
          <w:color w:val="000000" w:themeColor="text1"/>
          <w:sz w:val="24"/>
          <w:szCs w:val="24"/>
        </w:rPr>
        <w:t xml:space="preserve"> This desperate circumstance </w:t>
      </w:r>
      <w:proofErr w:type="gramStart"/>
      <w:r w:rsidRPr="00B649BA">
        <w:rPr>
          <w:rFonts w:ascii="Times New Roman" w:eastAsia="Times New Roman" w:hAnsi="Times New Roman" w:cs="Times New Roman"/>
          <w:color w:val="000000" w:themeColor="text1"/>
          <w:sz w:val="24"/>
          <w:szCs w:val="24"/>
        </w:rPr>
        <w:t>puts  OFWs</w:t>
      </w:r>
      <w:proofErr w:type="gramEnd"/>
      <w:r w:rsidRPr="00B649BA">
        <w:rPr>
          <w:rFonts w:ascii="Times New Roman" w:eastAsia="Times New Roman" w:hAnsi="Times New Roman" w:cs="Times New Roman"/>
          <w:color w:val="000000" w:themeColor="text1"/>
          <w:sz w:val="24"/>
          <w:szCs w:val="24"/>
        </w:rPr>
        <w:t xml:space="preserve"> at greater risk and vulnerability since they believe they must hang on to their jobs even at the expense of  trading off some of their basic human rights. This is especially the case for women workers who are not abl</w:t>
      </w:r>
      <w:r w:rsidRPr="00B649BA">
        <w:rPr>
          <w:rFonts w:ascii="Times New Roman" w:eastAsia="Times New Roman" w:hAnsi="Times New Roman" w:cs="Times New Roman"/>
          <w:color w:val="000000" w:themeColor="text1"/>
          <w:sz w:val="24"/>
          <w:szCs w:val="24"/>
        </w:rPr>
        <w:t>e to secure decent jobs in the country for many reasons, including time poverty. This is in part because they have to do ⅔ of the unpaid household work and therefore have little to no time at all to look for paid jobs.</w:t>
      </w:r>
      <w:r w:rsidRPr="00B649BA">
        <w:rPr>
          <w:rFonts w:ascii="Times New Roman" w:eastAsia="Times New Roman" w:hAnsi="Times New Roman" w:cs="Times New Roman"/>
          <w:color w:val="000000" w:themeColor="text1"/>
          <w:sz w:val="24"/>
          <w:szCs w:val="24"/>
          <w:vertAlign w:val="superscript"/>
        </w:rPr>
        <w:footnoteReference w:id="4"/>
      </w:r>
      <w:r w:rsidRPr="00B649BA">
        <w:rPr>
          <w:rFonts w:ascii="Times New Roman" w:eastAsia="Times New Roman" w:hAnsi="Times New Roman" w:cs="Times New Roman"/>
          <w:color w:val="000000" w:themeColor="text1"/>
          <w:sz w:val="24"/>
          <w:szCs w:val="24"/>
        </w:rPr>
        <w:t xml:space="preserve"> It could </w:t>
      </w:r>
      <w:r w:rsidRPr="00B649BA">
        <w:rPr>
          <w:rFonts w:ascii="Times New Roman" w:eastAsia="Times New Roman" w:hAnsi="Times New Roman" w:cs="Times New Roman"/>
          <w:color w:val="000000" w:themeColor="text1"/>
          <w:sz w:val="24"/>
          <w:szCs w:val="24"/>
        </w:rPr>
        <w:lastRenderedPageBreak/>
        <w:t>also because of the increa</w:t>
      </w:r>
      <w:r w:rsidRPr="00B649BA">
        <w:rPr>
          <w:rFonts w:ascii="Times New Roman" w:eastAsia="Times New Roman" w:hAnsi="Times New Roman" w:cs="Times New Roman"/>
          <w:color w:val="000000" w:themeColor="text1"/>
          <w:sz w:val="24"/>
          <w:szCs w:val="24"/>
        </w:rPr>
        <w:t xml:space="preserve">sing demand abroad for care and service workers because of changing demographics and thus the preference for women migrant workers. </w:t>
      </w:r>
    </w:p>
    <w:p w14:paraId="15BA7A86" w14:textId="77777777" w:rsidR="00480B61" w:rsidRPr="009D1840" w:rsidRDefault="00480B61">
      <w:pPr>
        <w:spacing w:after="0"/>
        <w:ind w:left="720"/>
        <w:jc w:val="both"/>
        <w:rPr>
          <w:rFonts w:ascii="Times New Roman" w:eastAsia="Times New Roman" w:hAnsi="Times New Roman" w:cs="Times New Roman"/>
          <w:color w:val="000000" w:themeColor="text1"/>
          <w:sz w:val="24"/>
          <w:szCs w:val="24"/>
        </w:rPr>
      </w:pPr>
    </w:p>
    <w:p w14:paraId="2DFB1776" w14:textId="1B1F5E18"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2F0D7E">
        <w:rPr>
          <w:rFonts w:ascii="Times New Roman" w:eastAsia="Times New Roman" w:hAnsi="Times New Roman" w:cs="Times New Roman"/>
          <w:sz w:val="24"/>
          <w:szCs w:val="24"/>
        </w:rPr>
        <w:t xml:space="preserve">situation </w:t>
      </w:r>
      <w:r>
        <w:rPr>
          <w:rFonts w:ascii="Times New Roman" w:eastAsia="Times New Roman" w:hAnsi="Times New Roman" w:cs="Times New Roman"/>
          <w:sz w:val="24"/>
          <w:szCs w:val="24"/>
        </w:rPr>
        <w:t>results in millions of Filipino migrant workers leaving their families in search of better opportunities ab</w:t>
      </w:r>
      <w:r>
        <w:rPr>
          <w:rFonts w:ascii="Times New Roman" w:eastAsia="Times New Roman" w:hAnsi="Times New Roman" w:cs="Times New Roman"/>
          <w:sz w:val="24"/>
          <w:szCs w:val="24"/>
        </w:rPr>
        <w:t>road. This is particularly the case for women migrant workers who are distinctively employed in low-wage and low-skilled work abroad despite their higher educational profile than their male counterparts. The job mismatch abroad, particularly for women migr</w:t>
      </w:r>
      <w:r>
        <w:rPr>
          <w:rFonts w:ascii="Times New Roman" w:eastAsia="Times New Roman" w:hAnsi="Times New Roman" w:cs="Times New Roman"/>
          <w:sz w:val="24"/>
          <w:szCs w:val="24"/>
        </w:rPr>
        <w:t>ants, the countless cases of abuse and exploitation experienced by the OFWs, and the social costs to their families left behind should compel the State to exert serious efforts to improve the economy and its reintegration program</w:t>
      </w:r>
      <w:r w:rsidR="009025BF">
        <w:rPr>
          <w:rFonts w:ascii="Times New Roman" w:eastAsia="Times New Roman" w:hAnsi="Times New Roman" w:cs="Times New Roman"/>
          <w:sz w:val="24"/>
          <w:szCs w:val="24"/>
        </w:rPr>
        <w:t>s</w:t>
      </w:r>
      <w:r w:rsidR="0078443A">
        <w:rPr>
          <w:rFonts w:ascii="Times New Roman" w:eastAsia="Times New Roman" w:hAnsi="Times New Roman" w:cs="Times New Roman"/>
          <w:sz w:val="24"/>
          <w:szCs w:val="24"/>
        </w:rPr>
        <w:t xml:space="preserve">. This is the only way to keep </w:t>
      </w:r>
      <w:r>
        <w:rPr>
          <w:rFonts w:ascii="Times New Roman" w:eastAsia="Times New Roman" w:hAnsi="Times New Roman" w:cs="Times New Roman"/>
          <w:sz w:val="24"/>
          <w:szCs w:val="24"/>
        </w:rPr>
        <w:t xml:space="preserve">the workers in the country. </w:t>
      </w:r>
    </w:p>
    <w:p w14:paraId="14BFC6DD" w14:textId="77777777" w:rsidR="00480B61" w:rsidRDefault="00480B61">
      <w:pPr>
        <w:spacing w:after="0"/>
        <w:jc w:val="both"/>
        <w:rPr>
          <w:rFonts w:ascii="Times New Roman" w:eastAsia="Times New Roman" w:hAnsi="Times New Roman" w:cs="Times New Roman"/>
          <w:sz w:val="24"/>
          <w:szCs w:val="24"/>
        </w:rPr>
      </w:pPr>
    </w:p>
    <w:p w14:paraId="1C3CBA38" w14:textId="77777777" w:rsidR="00480B61" w:rsidRDefault="004B6453">
      <w:pPr>
        <w:pStyle w:val="Heading1"/>
        <w:numPr>
          <w:ilvl w:val="0"/>
          <w:numId w:val="1"/>
        </w:numPr>
        <w:spacing w:before="0" w:after="0" w:line="240" w:lineRule="auto"/>
        <w:jc w:val="both"/>
        <w:rPr>
          <w:rFonts w:ascii="Times New Roman" w:eastAsia="Times New Roman" w:hAnsi="Times New Roman" w:cs="Times New Roman"/>
          <w:sz w:val="24"/>
          <w:szCs w:val="24"/>
        </w:rPr>
      </w:pPr>
      <w:bookmarkStart w:id="3" w:name="_heading=h.1uu6g19luf8j" w:colFirst="0" w:colLast="0"/>
      <w:bookmarkEnd w:id="3"/>
      <w:r>
        <w:rPr>
          <w:rFonts w:ascii="Times New Roman" w:eastAsia="Times New Roman" w:hAnsi="Times New Roman" w:cs="Times New Roman"/>
          <w:sz w:val="24"/>
          <w:szCs w:val="24"/>
        </w:rPr>
        <w:t>Principal subjects of concern and recommendations</w:t>
      </w:r>
    </w:p>
    <w:p w14:paraId="60C0B715" w14:textId="77777777" w:rsidR="00480B61" w:rsidRDefault="00480B61">
      <w:pPr>
        <w:spacing w:after="0"/>
        <w:jc w:val="both"/>
        <w:rPr>
          <w:rFonts w:ascii="Times New Roman" w:eastAsia="Times New Roman" w:hAnsi="Times New Roman" w:cs="Times New Roman"/>
          <w:sz w:val="24"/>
          <w:szCs w:val="24"/>
        </w:rPr>
      </w:pPr>
    </w:p>
    <w:p w14:paraId="5C3C7812" w14:textId="77777777" w:rsidR="00480B61" w:rsidRDefault="004B6453">
      <w:pPr>
        <w:pStyle w:val="Heading2"/>
        <w:numPr>
          <w:ilvl w:val="0"/>
          <w:numId w:val="3"/>
        </w:numPr>
        <w:spacing w:before="0" w:after="0"/>
        <w:jc w:val="both"/>
        <w:rPr>
          <w:rFonts w:ascii="Times New Roman" w:eastAsia="Times New Roman" w:hAnsi="Times New Roman" w:cs="Times New Roman"/>
          <w:sz w:val="24"/>
          <w:szCs w:val="24"/>
        </w:rPr>
      </w:pPr>
      <w:bookmarkStart w:id="4" w:name="_heading=h.req3wt5qhuof" w:colFirst="0" w:colLast="0"/>
      <w:bookmarkEnd w:id="4"/>
      <w:r>
        <w:rPr>
          <w:rFonts w:ascii="Times New Roman" w:eastAsia="Times New Roman" w:hAnsi="Times New Roman" w:cs="Times New Roman"/>
          <w:sz w:val="24"/>
          <w:szCs w:val="24"/>
        </w:rPr>
        <w:t>Discrimination in Law - Section 4(m) of Republic Act (RA) 11862 or the Expanded Anti Trafficking in Persons Act 2022</w:t>
      </w:r>
    </w:p>
    <w:p w14:paraId="16D72368" w14:textId="77777777" w:rsidR="00480B61" w:rsidRDefault="00480B61">
      <w:pPr>
        <w:spacing w:after="0"/>
        <w:jc w:val="both"/>
        <w:rPr>
          <w:rFonts w:ascii="Times New Roman" w:eastAsia="Times New Roman" w:hAnsi="Times New Roman" w:cs="Times New Roman"/>
          <w:sz w:val="24"/>
          <w:szCs w:val="24"/>
        </w:rPr>
      </w:pPr>
    </w:p>
    <w:p w14:paraId="56761097"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 11862 was lauded by the government as it seeks to strengthen efforts to combat trafficking in persons. Sec. 4 of RA 11862 states that it shall be an act of trafficking in person: </w:t>
      </w:r>
      <w:r w:rsidRPr="009025BF">
        <w:rPr>
          <w:rFonts w:ascii="Times New Roman" w:eastAsia="Times New Roman" w:hAnsi="Times New Roman" w:cs="Times New Roman"/>
          <w:sz w:val="24"/>
          <w:szCs w:val="24"/>
        </w:rPr>
        <w:t>“(m) To recruit, transport, obtain, transfer harbor, maintain, offer, hire</w:t>
      </w:r>
      <w:r w:rsidRPr="009025BF">
        <w:rPr>
          <w:rFonts w:ascii="Times New Roman" w:eastAsia="Times New Roman" w:hAnsi="Times New Roman" w:cs="Times New Roman"/>
          <w:sz w:val="24"/>
          <w:szCs w:val="24"/>
        </w:rPr>
        <w:t>, provide, receive, or adopt a child for deployment abroad as a migrant worker.</w:t>
      </w:r>
      <w:r>
        <w:rPr>
          <w:rFonts w:ascii="Times New Roman" w:eastAsia="Times New Roman" w:hAnsi="Times New Roman" w:cs="Times New Roman"/>
          <w:i/>
          <w:sz w:val="24"/>
          <w:szCs w:val="24"/>
        </w:rPr>
        <w:t xml:space="preserve"> </w:t>
      </w:r>
      <w:proofErr w:type="gramStart"/>
      <w:r>
        <w:rPr>
          <w:rFonts w:ascii="Times New Roman" w:eastAsia="Times New Roman" w:hAnsi="Times New Roman" w:cs="Times New Roman"/>
          <w:i/>
          <w:sz w:val="24"/>
          <w:szCs w:val="24"/>
        </w:rPr>
        <w:t>..</w:t>
      </w:r>
      <w:proofErr w:type="gramEnd"/>
      <w:r w:rsidRPr="009025BF">
        <w:rPr>
          <w:rFonts w:ascii="Times New Roman" w:eastAsia="Times New Roman" w:hAnsi="Times New Roman" w:cs="Times New Roman"/>
          <w:i/>
          <w:sz w:val="24"/>
          <w:szCs w:val="24"/>
        </w:rPr>
        <w:t>Provided further, that in the case of overseas domestic work, a ‘child’ means a person below twenty-four (24) years old.”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CMA strongly objects to the last phrase which rele</w:t>
      </w:r>
      <w:r>
        <w:rPr>
          <w:rFonts w:ascii="Times New Roman" w:eastAsia="Times New Roman" w:hAnsi="Times New Roman" w:cs="Times New Roman"/>
          <w:sz w:val="24"/>
          <w:szCs w:val="24"/>
        </w:rPr>
        <w:t xml:space="preserve">gates a migrant domestic worker as a child if she is below 24 years old. </w:t>
      </w:r>
    </w:p>
    <w:p w14:paraId="0A675975" w14:textId="77777777" w:rsidR="00480B61" w:rsidRDefault="00480B61">
      <w:pPr>
        <w:spacing w:after="0"/>
        <w:ind w:left="720"/>
        <w:jc w:val="both"/>
        <w:rPr>
          <w:rFonts w:ascii="Times New Roman" w:eastAsia="Times New Roman" w:hAnsi="Times New Roman" w:cs="Times New Roman"/>
          <w:sz w:val="24"/>
          <w:szCs w:val="24"/>
        </w:rPr>
      </w:pPr>
    </w:p>
    <w:p w14:paraId="39DFA6DC" w14:textId="1EDE53D3"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Philippine Overseas Employment Administration (POEA) issued Advisory No. 43-2022 to align its policy with Section 4(m) thereby increasing the minimum age for a migrant domestic </w:t>
      </w:r>
      <w:r>
        <w:rPr>
          <w:rFonts w:ascii="Times New Roman" w:eastAsia="Times New Roman" w:hAnsi="Times New Roman" w:cs="Times New Roman"/>
          <w:sz w:val="24"/>
          <w:szCs w:val="24"/>
        </w:rPr>
        <w:t xml:space="preserve">worker from 23 years old to 24 years old. With RA 11862 taking effect, it is estimated that it will affect 1,000 to 2,000 </w:t>
      </w:r>
      <w:r w:rsidR="0078443A">
        <w:rPr>
          <w:rFonts w:ascii="Times New Roman" w:eastAsia="Times New Roman" w:hAnsi="Times New Roman" w:cs="Times New Roman"/>
          <w:sz w:val="24"/>
          <w:szCs w:val="24"/>
        </w:rPr>
        <w:t xml:space="preserve">domestic workers </w:t>
      </w:r>
      <w:r>
        <w:rPr>
          <w:rFonts w:ascii="Times New Roman" w:eastAsia="Times New Roman" w:hAnsi="Times New Roman" w:cs="Times New Roman"/>
          <w:sz w:val="24"/>
          <w:szCs w:val="24"/>
        </w:rPr>
        <w:t>who are ready for deployment.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54111917" w14:textId="77777777" w:rsidR="00480B61" w:rsidRDefault="00480B61">
      <w:pPr>
        <w:spacing w:after="0"/>
        <w:jc w:val="both"/>
        <w:rPr>
          <w:rFonts w:ascii="Times New Roman" w:eastAsia="Times New Roman" w:hAnsi="Times New Roman" w:cs="Times New Roman"/>
          <w:sz w:val="24"/>
          <w:szCs w:val="24"/>
        </w:rPr>
      </w:pPr>
    </w:p>
    <w:p w14:paraId="2EFC7906" w14:textId="134FD028"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is particularly relevant to women OFWs considering that 60.2% (1.10 mi</w:t>
      </w:r>
      <w:r>
        <w:rPr>
          <w:rFonts w:ascii="Times New Roman" w:eastAsia="Times New Roman" w:hAnsi="Times New Roman" w:cs="Times New Roman"/>
          <w:sz w:val="24"/>
          <w:szCs w:val="24"/>
        </w:rPr>
        <w:t>llion) of deployed OFWs as of 2021 are women, wherein 64.8% (712,800) of whom are engaged in elementary occupations including domestic work. Moreover, 2.6% (28,600) of these women OFWs are aged 24 years old</w:t>
      </w:r>
      <w:r w:rsidR="009D1840">
        <w:rPr>
          <w:rFonts w:ascii="Times New Roman" w:eastAsia="Times New Roman" w:hAnsi="Times New Roman" w:cs="Times New Roman"/>
          <w:sz w:val="24"/>
          <w:szCs w:val="24"/>
        </w:rPr>
        <w:t xml:space="preserve"> and below</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7"/>
      </w:r>
    </w:p>
    <w:p w14:paraId="26BBA3B6" w14:textId="77777777" w:rsidR="00480B61" w:rsidRDefault="00480B61">
      <w:pPr>
        <w:spacing w:after="0"/>
        <w:jc w:val="both"/>
        <w:rPr>
          <w:rFonts w:ascii="Times New Roman" w:eastAsia="Times New Roman" w:hAnsi="Times New Roman" w:cs="Times New Roman"/>
          <w:sz w:val="24"/>
          <w:szCs w:val="24"/>
          <w:vertAlign w:val="superscript"/>
        </w:rPr>
      </w:pPr>
    </w:p>
    <w:p w14:paraId="7A0BD20E" w14:textId="3758A469" w:rsidR="00480B61" w:rsidRDefault="0078443A" w:rsidP="0078443A">
      <w:pPr>
        <w:numPr>
          <w:ilvl w:val="0"/>
          <w:numId w:val="2"/>
        </w:numPr>
        <w:spacing w:after="0"/>
        <w:jc w:val="both"/>
        <w:rPr>
          <w:rFonts w:ascii="Times New Roman" w:eastAsia="Times New Roman" w:hAnsi="Times New Roman" w:cs="Times New Roman"/>
          <w:color w:val="0A0A0A"/>
          <w:sz w:val="24"/>
          <w:szCs w:val="24"/>
        </w:rPr>
      </w:pPr>
      <w:r w:rsidRPr="0078443A">
        <w:rPr>
          <w:rFonts w:ascii="Times New Roman" w:eastAsia="Times New Roman" w:hAnsi="Times New Roman" w:cs="Times New Roman"/>
          <w:sz w:val="24"/>
          <w:szCs w:val="24"/>
        </w:rPr>
        <w:t xml:space="preserve">It will be recalled that </w:t>
      </w:r>
      <w:r w:rsidRPr="0078443A">
        <w:rPr>
          <w:rFonts w:ascii="Times New Roman" w:eastAsia="Times New Roman" w:hAnsi="Times New Roman" w:cs="Times New Roman"/>
          <w:color w:val="0A0A0A"/>
          <w:sz w:val="24"/>
          <w:szCs w:val="24"/>
        </w:rPr>
        <w:t xml:space="preserve">in 2006, the State Party through the POEA promulgated the Household Service Workers Policy Reform Package which set the minimum age for migrant domestic workers at 23 years old. Now with section 4(m), the minimum age </w:t>
      </w:r>
      <w:r w:rsidRPr="0078443A">
        <w:rPr>
          <w:rFonts w:ascii="Times New Roman" w:eastAsia="Times New Roman" w:hAnsi="Times New Roman" w:cs="Times New Roman"/>
          <w:color w:val="0A0A0A"/>
          <w:sz w:val="24"/>
          <w:szCs w:val="24"/>
        </w:rPr>
        <w:lastRenderedPageBreak/>
        <w:t xml:space="preserve">was set to 24 years old. CMA has since questioned these changes as these are not aligned with international standards. </w:t>
      </w:r>
    </w:p>
    <w:p w14:paraId="1BF31821" w14:textId="77777777" w:rsidR="0078443A" w:rsidRDefault="0078443A" w:rsidP="0078443A">
      <w:pPr>
        <w:pStyle w:val="ListParagraph"/>
        <w:rPr>
          <w:rFonts w:ascii="Times New Roman" w:eastAsia="Times New Roman" w:hAnsi="Times New Roman" w:cs="Times New Roman"/>
          <w:color w:val="0A0A0A"/>
          <w:sz w:val="24"/>
          <w:szCs w:val="24"/>
        </w:rPr>
      </w:pPr>
    </w:p>
    <w:p w14:paraId="6565C49D" w14:textId="726FD7CA" w:rsidR="00480B61" w:rsidRDefault="004B6453" w:rsidP="00B649BA">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Section 4(m) directly contravenes CEDAW Article 2</w:t>
      </w:r>
      <w:r w:rsidR="002F0D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was also reaffirmed by General Recommendation 26, item</w:t>
      </w:r>
      <w:r w:rsidR="009C7BE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A0A0A"/>
          <w:sz w:val="24"/>
          <w:szCs w:val="24"/>
        </w:rPr>
        <w:t>23(a) and 24 (a).</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It discriminates against young women migrant workers, specifically women domestic workers</w:t>
      </w:r>
      <w:r w:rsidR="002F0D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who make up a considerable </w:t>
      </w:r>
      <w:r w:rsidR="0078443A">
        <w:rPr>
          <w:rFonts w:ascii="Times New Roman" w:eastAsia="Times New Roman" w:hAnsi="Times New Roman" w:cs="Times New Roman"/>
          <w:sz w:val="24"/>
          <w:szCs w:val="24"/>
        </w:rPr>
        <w:t xml:space="preserve">number </w:t>
      </w:r>
      <w:r>
        <w:rPr>
          <w:rFonts w:ascii="Times New Roman" w:eastAsia="Times New Roman" w:hAnsi="Times New Roman" w:cs="Times New Roman"/>
          <w:sz w:val="24"/>
          <w:szCs w:val="24"/>
        </w:rPr>
        <w:t>of the deployed workforce. It disempowers young women, restricts their agency, and does not protect their fundamental rights. Furt</w:t>
      </w:r>
      <w:r>
        <w:rPr>
          <w:rFonts w:ascii="Times New Roman" w:eastAsia="Times New Roman" w:hAnsi="Times New Roman" w:cs="Times New Roman"/>
          <w:sz w:val="24"/>
          <w:szCs w:val="24"/>
        </w:rPr>
        <w:t>hermore</w:t>
      </w:r>
      <w:r w:rsidR="002F0D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will have unintended consequences that contradict the initial purpose of the Law. It incentivizes young women workers to use informal channels as the law blocks them from formal ones, leaving them more exposed and vulnerable as it undermines th</w:t>
      </w:r>
      <w:r>
        <w:rPr>
          <w:rFonts w:ascii="Times New Roman" w:eastAsia="Times New Roman" w:hAnsi="Times New Roman" w:cs="Times New Roman"/>
          <w:sz w:val="24"/>
          <w:szCs w:val="24"/>
        </w:rPr>
        <w:t>eir formal protection. Hence, it does not address ‘the root causes’ of trafficking but exacerbates it.</w:t>
      </w:r>
      <w:r w:rsidR="002F0D7E">
        <w:rPr>
          <w:rFonts w:ascii="Times New Roman" w:eastAsia="Times New Roman" w:hAnsi="Times New Roman" w:cs="Times New Roman"/>
          <w:sz w:val="24"/>
          <w:szCs w:val="24"/>
        </w:rPr>
        <w:t xml:space="preserve"> The academic literature on women’s migration also argue</w:t>
      </w:r>
      <w:r w:rsidR="009C7BEE">
        <w:rPr>
          <w:rFonts w:ascii="Times New Roman" w:eastAsia="Times New Roman" w:hAnsi="Times New Roman" w:cs="Times New Roman"/>
          <w:sz w:val="24"/>
          <w:szCs w:val="24"/>
        </w:rPr>
        <w:t>s</w:t>
      </w:r>
      <w:r w:rsidR="002F0D7E">
        <w:rPr>
          <w:rFonts w:ascii="Times New Roman" w:eastAsia="Times New Roman" w:hAnsi="Times New Roman" w:cs="Times New Roman"/>
          <w:sz w:val="24"/>
          <w:szCs w:val="24"/>
        </w:rPr>
        <w:t xml:space="preserve"> that deployment bans do not work.</w:t>
      </w:r>
    </w:p>
    <w:p w14:paraId="4C5E8D37" w14:textId="77777777" w:rsidR="00B649BA" w:rsidRDefault="00B649BA" w:rsidP="00B649BA">
      <w:pPr>
        <w:pStyle w:val="ListParagraph"/>
        <w:rPr>
          <w:rFonts w:ascii="Times New Roman" w:eastAsia="Times New Roman" w:hAnsi="Times New Roman" w:cs="Times New Roman"/>
          <w:sz w:val="24"/>
          <w:szCs w:val="24"/>
        </w:rPr>
      </w:pPr>
    </w:p>
    <w:p w14:paraId="0C34B71F" w14:textId="2E26EF89"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Section 4 (m) contravenes the United Nations (UN) Convention </w:t>
      </w:r>
      <w:r>
        <w:rPr>
          <w:rFonts w:ascii="Times New Roman" w:eastAsia="Times New Roman" w:hAnsi="Times New Roman" w:cs="Times New Roman"/>
          <w:sz w:val="24"/>
          <w:szCs w:val="24"/>
        </w:rPr>
        <w:t>on the Rights of the Child (CRC),</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International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(ILO) Convention on Minimum Age</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and the ILO Convention 189 on Decent Work for Domestic Workers,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all of which, the Philippines has ratified, and assert that a child is a person under 18 years old.</w:t>
      </w:r>
    </w:p>
    <w:p w14:paraId="5D61CBF2" w14:textId="77777777" w:rsidR="00480B61" w:rsidRDefault="00480B61">
      <w:pPr>
        <w:spacing w:after="0"/>
        <w:jc w:val="both"/>
        <w:rPr>
          <w:rFonts w:ascii="Times New Roman" w:eastAsia="Times New Roman" w:hAnsi="Times New Roman" w:cs="Times New Roman"/>
          <w:sz w:val="24"/>
          <w:szCs w:val="24"/>
        </w:rPr>
      </w:pPr>
    </w:p>
    <w:p w14:paraId="0BD9D8C9" w14:textId="52D8CC9E"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CMA requests the State Party to revoke </w:t>
      </w:r>
      <w:r w:rsidR="009D1840">
        <w:rPr>
          <w:rFonts w:ascii="Times New Roman" w:eastAsia="Times New Roman" w:hAnsi="Times New Roman" w:cs="Times New Roman"/>
          <w:sz w:val="24"/>
          <w:szCs w:val="24"/>
        </w:rPr>
        <w:t xml:space="preserve">the last phrase of </w:t>
      </w:r>
      <w:r>
        <w:rPr>
          <w:rFonts w:ascii="Times New Roman" w:eastAsia="Times New Roman" w:hAnsi="Times New Roman" w:cs="Times New Roman"/>
          <w:sz w:val="24"/>
          <w:szCs w:val="24"/>
        </w:rPr>
        <w:t xml:space="preserve">section 4 (m) of RA 11862 which redefined a </w:t>
      </w:r>
      <w:proofErr w:type="gramStart"/>
      <w:r w:rsidR="00CF0E16">
        <w:rPr>
          <w:rFonts w:ascii="Times New Roman" w:eastAsia="Times New Roman" w:hAnsi="Times New Roman" w:cs="Times New Roman"/>
          <w:sz w:val="24"/>
          <w:szCs w:val="24"/>
        </w:rPr>
        <w:t>migrant domestic workers</w:t>
      </w:r>
      <w:proofErr w:type="gramEnd"/>
      <w:r w:rsidR="00CF0E16">
        <w:rPr>
          <w:rFonts w:ascii="Times New Roman" w:eastAsia="Times New Roman" w:hAnsi="Times New Roman" w:cs="Times New Roman"/>
          <w:sz w:val="24"/>
          <w:szCs w:val="24"/>
        </w:rPr>
        <w:t xml:space="preserve"> as a </w:t>
      </w:r>
      <w:r>
        <w:rPr>
          <w:rFonts w:ascii="Times New Roman" w:eastAsia="Times New Roman" w:hAnsi="Times New Roman" w:cs="Times New Roman"/>
          <w:sz w:val="24"/>
          <w:szCs w:val="24"/>
        </w:rPr>
        <w:t xml:space="preserve">“child” </w:t>
      </w:r>
      <w:r w:rsidR="00CF0E16">
        <w:rPr>
          <w:rFonts w:ascii="Times New Roman" w:eastAsia="Times New Roman" w:hAnsi="Times New Roman" w:cs="Times New Roman"/>
          <w:sz w:val="24"/>
          <w:szCs w:val="24"/>
        </w:rPr>
        <w:t xml:space="preserve">if below 24 years old. CMA </w:t>
      </w:r>
      <w:r w:rsidR="0078443A">
        <w:rPr>
          <w:rFonts w:ascii="Times New Roman" w:eastAsia="Times New Roman" w:hAnsi="Times New Roman" w:cs="Times New Roman"/>
          <w:sz w:val="24"/>
          <w:szCs w:val="24"/>
        </w:rPr>
        <w:lastRenderedPageBreak/>
        <w:t xml:space="preserve">further </w:t>
      </w:r>
      <w:r w:rsidR="00CF0E16">
        <w:rPr>
          <w:rFonts w:ascii="Times New Roman" w:eastAsia="Times New Roman" w:hAnsi="Times New Roman" w:cs="Times New Roman"/>
          <w:sz w:val="24"/>
          <w:szCs w:val="24"/>
        </w:rPr>
        <w:t xml:space="preserve">recommends to the State Party to revisit the minimum age of 23 years old under the HSW Policy Reform Package and to give proof that this change will benefit and protect OFW domestic </w:t>
      </w:r>
      <w:proofErr w:type="gramStart"/>
      <w:r w:rsidR="00CF0E16">
        <w:rPr>
          <w:rFonts w:ascii="Times New Roman" w:eastAsia="Times New Roman" w:hAnsi="Times New Roman" w:cs="Times New Roman"/>
          <w:sz w:val="24"/>
          <w:szCs w:val="24"/>
        </w:rPr>
        <w:t>workers..</w:t>
      </w:r>
      <w:proofErr w:type="gramEnd"/>
      <w:r w:rsidR="00CF0E16">
        <w:rPr>
          <w:rFonts w:ascii="Times New Roman" w:eastAsia="Times New Roman" w:hAnsi="Times New Roman" w:cs="Times New Roman"/>
          <w:sz w:val="24"/>
          <w:szCs w:val="24"/>
        </w:rPr>
        <w:t xml:space="preserve"> </w:t>
      </w:r>
    </w:p>
    <w:p w14:paraId="3F5E50A4" w14:textId="77777777" w:rsidR="00480B61" w:rsidRDefault="00480B61">
      <w:pPr>
        <w:spacing w:after="0"/>
        <w:jc w:val="both"/>
        <w:rPr>
          <w:rFonts w:ascii="Times New Roman" w:eastAsia="Times New Roman" w:hAnsi="Times New Roman" w:cs="Times New Roman"/>
          <w:sz w:val="24"/>
          <w:szCs w:val="24"/>
        </w:rPr>
      </w:pPr>
    </w:p>
    <w:p w14:paraId="632D35A3" w14:textId="77777777" w:rsidR="00480B61" w:rsidRDefault="004B6453">
      <w:pPr>
        <w:pStyle w:val="Heading2"/>
        <w:numPr>
          <w:ilvl w:val="0"/>
          <w:numId w:val="3"/>
        </w:numPr>
        <w:spacing w:before="0" w:after="0"/>
        <w:jc w:val="both"/>
        <w:rPr>
          <w:rFonts w:ascii="Times New Roman" w:eastAsia="Times New Roman" w:hAnsi="Times New Roman" w:cs="Times New Roman"/>
          <w:sz w:val="24"/>
          <w:szCs w:val="24"/>
        </w:rPr>
      </w:pPr>
      <w:bookmarkStart w:id="5" w:name="_heading=h.pn60mqgbnmyc" w:colFirst="0" w:colLast="0"/>
      <w:bookmarkEnd w:id="5"/>
      <w:r>
        <w:rPr>
          <w:rFonts w:ascii="Times New Roman" w:eastAsia="Times New Roman" w:hAnsi="Times New Roman" w:cs="Times New Roman"/>
          <w:sz w:val="24"/>
          <w:szCs w:val="24"/>
        </w:rPr>
        <w:t>Discrimination in Travel - Revised Inter-</w:t>
      </w:r>
      <w:r>
        <w:rPr>
          <w:rFonts w:ascii="Times New Roman" w:eastAsia="Times New Roman" w:hAnsi="Times New Roman" w:cs="Times New Roman"/>
          <w:sz w:val="24"/>
          <w:szCs w:val="24"/>
        </w:rPr>
        <w:t>Agency Council Against Trafficking (IACAT) Guidelines for international-bound Filipino passengers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586F9EE8" w14:textId="77777777" w:rsidR="00480B61" w:rsidRDefault="00480B61">
      <w:pPr>
        <w:spacing w:after="0"/>
        <w:jc w:val="both"/>
        <w:rPr>
          <w:rFonts w:ascii="Times New Roman" w:eastAsia="Times New Roman" w:hAnsi="Times New Roman" w:cs="Times New Roman"/>
          <w:sz w:val="24"/>
          <w:szCs w:val="24"/>
        </w:rPr>
      </w:pPr>
    </w:p>
    <w:p w14:paraId="4D300B50"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IACAT recently revised its guidelines on departure formalities for all international-bound Filipino travelers last August 2023. The revision entails that </w:t>
      </w:r>
      <w:r>
        <w:rPr>
          <w:rFonts w:ascii="Times New Roman" w:eastAsia="Times New Roman" w:hAnsi="Times New Roman" w:cs="Times New Roman"/>
          <w:sz w:val="24"/>
          <w:szCs w:val="24"/>
        </w:rPr>
        <w:t xml:space="preserve">“In addition to the inspection of basic travel documents, the Immigration Officers (IO), may propound relevant clarificatory questions and require the passenger to show additional supporting documents” (Section I. 2.2.). </w:t>
      </w:r>
    </w:p>
    <w:p w14:paraId="472EDE85" w14:textId="77777777" w:rsidR="00480B61" w:rsidRDefault="00480B61">
      <w:pPr>
        <w:spacing w:after="0"/>
        <w:ind w:left="720"/>
        <w:jc w:val="both"/>
        <w:rPr>
          <w:rFonts w:ascii="Times New Roman" w:eastAsia="Times New Roman" w:hAnsi="Times New Roman" w:cs="Times New Roman"/>
          <w:sz w:val="24"/>
          <w:szCs w:val="24"/>
        </w:rPr>
      </w:pPr>
    </w:p>
    <w:p w14:paraId="6C1B61B7"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revised guidelines received b</w:t>
      </w:r>
      <w:r>
        <w:rPr>
          <w:rFonts w:ascii="Times New Roman" w:eastAsia="Times New Roman" w:hAnsi="Times New Roman" w:cs="Times New Roman"/>
          <w:sz w:val="24"/>
          <w:szCs w:val="24"/>
        </w:rPr>
        <w:t>acklash from the public which urged IACAT to clarify that “seasoned travelers” only need to present basic documentation.</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The guidelines were set to take effect last September 3, 2023 but its imposition has been temporarily suspended. </w:t>
      </w:r>
    </w:p>
    <w:p w14:paraId="71809BAB" w14:textId="77777777" w:rsidR="00480B61" w:rsidRDefault="00480B61">
      <w:pPr>
        <w:spacing w:after="0"/>
        <w:ind w:left="720"/>
        <w:jc w:val="both"/>
        <w:rPr>
          <w:rFonts w:ascii="Times New Roman" w:eastAsia="Times New Roman" w:hAnsi="Times New Roman" w:cs="Times New Roman"/>
          <w:sz w:val="24"/>
          <w:szCs w:val="24"/>
        </w:rPr>
      </w:pPr>
    </w:p>
    <w:p w14:paraId="6DE0E86D"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guidelines </w:t>
      </w:r>
      <w:r>
        <w:rPr>
          <w:rFonts w:ascii="Times New Roman" w:eastAsia="Times New Roman" w:hAnsi="Times New Roman" w:cs="Times New Roman"/>
          <w:sz w:val="24"/>
          <w:szCs w:val="24"/>
        </w:rPr>
        <w:t xml:space="preserve">affect all Filipino travelers and directly affect OFWs, a majority of whom are women. OFWs departing for the first time are particularly vulnerable as they do not have migration history nor much familiarity with the immigration process. </w:t>
      </w:r>
    </w:p>
    <w:p w14:paraId="6841A0CC" w14:textId="77777777" w:rsidR="00480B61" w:rsidRDefault="00480B61">
      <w:pPr>
        <w:spacing w:after="0"/>
        <w:ind w:left="720"/>
        <w:jc w:val="both"/>
        <w:rPr>
          <w:rFonts w:ascii="Times New Roman" w:eastAsia="Times New Roman" w:hAnsi="Times New Roman" w:cs="Times New Roman"/>
          <w:sz w:val="24"/>
          <w:szCs w:val="24"/>
        </w:rPr>
      </w:pPr>
    </w:p>
    <w:p w14:paraId="38C28E0C" w14:textId="5B6FCCEC"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guidelines </w:t>
      </w:r>
      <w:r>
        <w:rPr>
          <w:rFonts w:ascii="Times New Roman" w:eastAsia="Times New Roman" w:hAnsi="Times New Roman" w:cs="Times New Roman"/>
          <w:sz w:val="24"/>
          <w:szCs w:val="24"/>
        </w:rPr>
        <w:t>contravene Article 13 of the Universal Declaration of Human Rights (UDHR) which champions every individual’s freedom of movement and right to travel.</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They create unnecessary bureaucracy and confer additional </w:t>
      </w:r>
      <w:r w:rsidR="002F0D7E">
        <w:rPr>
          <w:rFonts w:ascii="Times New Roman" w:eastAsia="Times New Roman" w:hAnsi="Times New Roman" w:cs="Times New Roman"/>
          <w:sz w:val="24"/>
          <w:szCs w:val="24"/>
        </w:rPr>
        <w:t>burdens</w:t>
      </w:r>
      <w:r>
        <w:rPr>
          <w:rFonts w:ascii="Times New Roman" w:eastAsia="Times New Roman" w:hAnsi="Times New Roman" w:cs="Times New Roman"/>
          <w:sz w:val="24"/>
          <w:szCs w:val="24"/>
        </w:rPr>
        <w:t xml:space="preserve"> on the OFWs who need to compile, somet</w:t>
      </w:r>
      <w:r>
        <w:rPr>
          <w:rFonts w:ascii="Times New Roman" w:eastAsia="Times New Roman" w:hAnsi="Times New Roman" w:cs="Times New Roman"/>
          <w:sz w:val="24"/>
          <w:szCs w:val="24"/>
        </w:rPr>
        <w:t xml:space="preserve">imes even pay for, their own documentation. A participant </w:t>
      </w:r>
      <w:r w:rsidR="002F0D7E">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consultation pointed out that some documents may be impossible to obtain by OFWs </w:t>
      </w:r>
      <w:r w:rsidR="002F0D7E">
        <w:rPr>
          <w:rFonts w:ascii="Times New Roman" w:eastAsia="Times New Roman" w:hAnsi="Times New Roman" w:cs="Times New Roman"/>
          <w:sz w:val="24"/>
          <w:szCs w:val="24"/>
        </w:rPr>
        <w:t>who</w:t>
      </w:r>
      <w:r>
        <w:rPr>
          <w:rFonts w:ascii="Times New Roman" w:eastAsia="Times New Roman" w:hAnsi="Times New Roman" w:cs="Times New Roman"/>
          <w:sz w:val="24"/>
          <w:szCs w:val="24"/>
        </w:rPr>
        <w:t xml:space="preserve"> experienced abuse from past employers, have run away, or were unjustly fired. OFWs who cannot comply with </w:t>
      </w:r>
      <w:r>
        <w:rPr>
          <w:rFonts w:ascii="Times New Roman" w:eastAsia="Times New Roman" w:hAnsi="Times New Roman" w:cs="Times New Roman"/>
          <w:sz w:val="24"/>
          <w:szCs w:val="24"/>
        </w:rPr>
        <w:t xml:space="preserve">the guidelines may also opt for illegal channels that they deem easier, therefore defeating the intended purpose of the revised guidelines. </w:t>
      </w:r>
      <w:r w:rsidR="002F0D7E">
        <w:rPr>
          <w:rFonts w:ascii="Times New Roman" w:eastAsia="Times New Roman" w:hAnsi="Times New Roman" w:cs="Times New Roman"/>
          <w:sz w:val="24"/>
          <w:szCs w:val="24"/>
        </w:rPr>
        <w:t>In other words, the directive, just like deployment bans, will not address the problem of human trafficking.</w:t>
      </w:r>
    </w:p>
    <w:p w14:paraId="1AD03755" w14:textId="77777777" w:rsidR="00480B61" w:rsidRDefault="00480B61">
      <w:pPr>
        <w:spacing w:after="0"/>
        <w:ind w:left="720"/>
        <w:jc w:val="both"/>
        <w:rPr>
          <w:rFonts w:ascii="Times New Roman" w:eastAsia="Times New Roman" w:hAnsi="Times New Roman" w:cs="Times New Roman"/>
          <w:sz w:val="24"/>
          <w:szCs w:val="24"/>
        </w:rPr>
      </w:pPr>
    </w:p>
    <w:p w14:paraId="40E76A9B" w14:textId="02159AAD"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CMA therefore requests the State Party to suspend indefinitely the implementation, pending the convening of consultations with relevant stakeholders. At the same time, ensuring that relevant agencies of government including the Bureau of Immigration (BOI) </w:t>
      </w:r>
      <w:r>
        <w:rPr>
          <w:rFonts w:ascii="Times New Roman" w:eastAsia="Times New Roman" w:hAnsi="Times New Roman" w:cs="Times New Roman"/>
          <w:sz w:val="24"/>
          <w:szCs w:val="24"/>
        </w:rPr>
        <w:t xml:space="preserve">are clear on their respective mandates to promote, protect, and fulfill the human rights of passengers and travelers. Attention must be given to the pre-departure stage </w:t>
      </w:r>
      <w:r>
        <w:rPr>
          <w:rFonts w:ascii="Times New Roman" w:eastAsia="Times New Roman" w:hAnsi="Times New Roman" w:cs="Times New Roman"/>
          <w:sz w:val="24"/>
          <w:szCs w:val="24"/>
        </w:rPr>
        <w:lastRenderedPageBreak/>
        <w:t>where women migrant workers must be duly informed</w:t>
      </w:r>
      <w:r w:rsidR="009025BF">
        <w:rPr>
          <w:rFonts w:ascii="Times New Roman" w:eastAsia="Times New Roman" w:hAnsi="Times New Roman" w:cs="Times New Roman"/>
          <w:sz w:val="24"/>
          <w:szCs w:val="24"/>
        </w:rPr>
        <w:t xml:space="preserve"> and </w:t>
      </w:r>
      <w:r w:rsidR="002F0D7E">
        <w:rPr>
          <w:rFonts w:ascii="Times New Roman" w:eastAsia="Times New Roman" w:hAnsi="Times New Roman" w:cs="Times New Roman"/>
          <w:sz w:val="24"/>
          <w:szCs w:val="24"/>
        </w:rPr>
        <w:t>empowered</w:t>
      </w:r>
      <w:r w:rsidR="009025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not intimidated </w:t>
      </w:r>
      <w:r w:rsidR="002F0D7E">
        <w:rPr>
          <w:rFonts w:ascii="Times New Roman" w:eastAsia="Times New Roman" w:hAnsi="Times New Roman" w:cs="Times New Roman"/>
          <w:sz w:val="24"/>
          <w:szCs w:val="24"/>
        </w:rPr>
        <w:t>or</w:t>
      </w:r>
      <w:r>
        <w:rPr>
          <w:rFonts w:ascii="Times New Roman" w:eastAsia="Times New Roman" w:hAnsi="Times New Roman" w:cs="Times New Roman"/>
          <w:sz w:val="24"/>
          <w:szCs w:val="24"/>
        </w:rPr>
        <w:t xml:space="preserve"> burd</w:t>
      </w:r>
      <w:r>
        <w:rPr>
          <w:rFonts w:ascii="Times New Roman" w:eastAsia="Times New Roman" w:hAnsi="Times New Roman" w:cs="Times New Roman"/>
          <w:sz w:val="24"/>
          <w:szCs w:val="24"/>
        </w:rPr>
        <w:t>ened.</w:t>
      </w:r>
    </w:p>
    <w:p w14:paraId="6CED44DE" w14:textId="77777777" w:rsidR="00B649BA" w:rsidRDefault="00B649BA" w:rsidP="00B649BA">
      <w:pPr>
        <w:pStyle w:val="ListParagraph"/>
        <w:rPr>
          <w:rFonts w:ascii="Times New Roman" w:eastAsia="Times New Roman" w:hAnsi="Times New Roman" w:cs="Times New Roman"/>
          <w:sz w:val="24"/>
          <w:szCs w:val="24"/>
        </w:rPr>
      </w:pPr>
    </w:p>
    <w:p w14:paraId="09E1A31D" w14:textId="77FDA221" w:rsidR="002F0D7E" w:rsidRDefault="002F0D7E">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CMA also requests the State Party to always consult with migrant groups, civil society, and all migration stakeholders in coming up with policies. This ensures that policies reflect the lived experiences of migrants, rather than knee-jerk response to problems.</w:t>
      </w:r>
    </w:p>
    <w:p w14:paraId="08F19507" w14:textId="77777777" w:rsidR="00480B61" w:rsidRDefault="00480B61">
      <w:pPr>
        <w:spacing w:after="0"/>
        <w:jc w:val="both"/>
        <w:rPr>
          <w:rFonts w:ascii="Times New Roman" w:eastAsia="Times New Roman" w:hAnsi="Times New Roman" w:cs="Times New Roman"/>
          <w:sz w:val="24"/>
          <w:szCs w:val="24"/>
        </w:rPr>
      </w:pPr>
    </w:p>
    <w:p w14:paraId="36EEE36B" w14:textId="77777777" w:rsidR="00480B61" w:rsidRDefault="00480B61">
      <w:pPr>
        <w:spacing w:after="0"/>
        <w:jc w:val="both"/>
        <w:rPr>
          <w:rFonts w:ascii="Times New Roman" w:eastAsia="Times New Roman" w:hAnsi="Times New Roman" w:cs="Times New Roman"/>
          <w:sz w:val="24"/>
          <w:szCs w:val="24"/>
        </w:rPr>
      </w:pPr>
    </w:p>
    <w:p w14:paraId="05974A5B" w14:textId="77777777" w:rsidR="00480B61" w:rsidRDefault="004B6453">
      <w:pPr>
        <w:pStyle w:val="Heading2"/>
        <w:numPr>
          <w:ilvl w:val="0"/>
          <w:numId w:val="3"/>
        </w:numPr>
        <w:spacing w:before="0" w:after="0"/>
        <w:jc w:val="both"/>
        <w:rPr>
          <w:rFonts w:ascii="Times New Roman" w:eastAsia="Times New Roman" w:hAnsi="Times New Roman" w:cs="Times New Roman"/>
          <w:sz w:val="24"/>
          <w:szCs w:val="24"/>
        </w:rPr>
      </w:pPr>
      <w:bookmarkStart w:id="6" w:name="_heading=h.pvhunjlqem3g" w:colFirst="0" w:colLast="0"/>
      <w:bookmarkEnd w:id="6"/>
      <w:r>
        <w:rPr>
          <w:rFonts w:ascii="Times New Roman" w:eastAsia="Times New Roman" w:hAnsi="Times New Roman" w:cs="Times New Roman"/>
          <w:sz w:val="24"/>
          <w:szCs w:val="24"/>
        </w:rPr>
        <w:t>Efficacy of Bilateral Labor Agreements (BLAs)</w:t>
      </w:r>
    </w:p>
    <w:p w14:paraId="180C274E" w14:textId="77777777" w:rsidR="00480B61" w:rsidRDefault="00480B61">
      <w:pPr>
        <w:spacing w:after="0"/>
        <w:jc w:val="both"/>
        <w:rPr>
          <w:rFonts w:ascii="Times New Roman" w:eastAsia="Times New Roman" w:hAnsi="Times New Roman" w:cs="Times New Roman"/>
          <w:sz w:val="24"/>
          <w:szCs w:val="24"/>
        </w:rPr>
      </w:pPr>
    </w:p>
    <w:p w14:paraId="254C8F30" w14:textId="55917134"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 10022 states the significance of the State Party entering into BLAs with the destination countries of OFWs. Section 3 also reiterates that the State party will only deploy migrant wo</w:t>
      </w:r>
      <w:r>
        <w:rPr>
          <w:rFonts w:ascii="Times New Roman" w:eastAsia="Times New Roman" w:hAnsi="Times New Roman" w:cs="Times New Roman"/>
          <w:sz w:val="24"/>
          <w:szCs w:val="24"/>
        </w:rPr>
        <w:t>rkers to countries where their rights are protected.</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However, even with several BLAs in place, abuse</w:t>
      </w:r>
      <w:r w:rsidR="002F0D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maltreatment of OFWs continue to be rampant especially towards women domestic workers who commonly live in the same household as their employers.</w:t>
      </w:r>
    </w:p>
    <w:p w14:paraId="051DF297" w14:textId="77777777" w:rsidR="00480B61" w:rsidRDefault="00480B61">
      <w:pPr>
        <w:spacing w:after="0"/>
        <w:jc w:val="both"/>
        <w:rPr>
          <w:rFonts w:ascii="Times New Roman" w:eastAsia="Times New Roman" w:hAnsi="Times New Roman" w:cs="Times New Roman"/>
          <w:sz w:val="24"/>
          <w:szCs w:val="24"/>
        </w:rPr>
      </w:pPr>
    </w:p>
    <w:p w14:paraId="68F04FA3" w14:textId="0B53F82D"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gruesome deaths of Filipina domestic workers </w:t>
      </w:r>
      <w:r w:rsidR="00A1359A">
        <w:rPr>
          <w:rFonts w:ascii="Times New Roman" w:eastAsia="Times New Roman" w:hAnsi="Times New Roman" w:cs="Times New Roman"/>
          <w:sz w:val="24"/>
          <w:szCs w:val="24"/>
        </w:rPr>
        <w:t>“J</w:t>
      </w:r>
      <w:r>
        <w:rPr>
          <w:rFonts w:ascii="Times New Roman" w:eastAsia="Times New Roman" w:hAnsi="Times New Roman" w:cs="Times New Roman"/>
          <w:sz w:val="24"/>
          <w:szCs w:val="24"/>
        </w:rPr>
        <w:t>D</w:t>
      </w:r>
      <w:r w:rsidR="00A135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2018, </w:t>
      </w:r>
      <w:r w:rsidR="00A1359A">
        <w:rPr>
          <w:rFonts w:ascii="Times New Roman" w:eastAsia="Times New Roman" w:hAnsi="Times New Roman" w:cs="Times New Roman"/>
          <w:sz w:val="24"/>
          <w:szCs w:val="24"/>
        </w:rPr>
        <w:t>“</w:t>
      </w:r>
      <w:r>
        <w:rPr>
          <w:rFonts w:ascii="Times New Roman" w:eastAsia="Times New Roman" w:hAnsi="Times New Roman" w:cs="Times New Roman"/>
          <w:sz w:val="24"/>
          <w:szCs w:val="24"/>
        </w:rPr>
        <w:t>C</w:t>
      </w:r>
      <w:r w:rsidR="00A1359A">
        <w:rPr>
          <w:rFonts w:ascii="Times New Roman" w:eastAsia="Times New Roman" w:hAnsi="Times New Roman" w:cs="Times New Roman"/>
          <w:sz w:val="24"/>
          <w:szCs w:val="24"/>
        </w:rPr>
        <w:t>LD”</w:t>
      </w:r>
      <w:r>
        <w:rPr>
          <w:rFonts w:ascii="Times New Roman" w:eastAsia="Times New Roman" w:hAnsi="Times New Roman" w:cs="Times New Roman"/>
          <w:sz w:val="24"/>
          <w:szCs w:val="24"/>
        </w:rPr>
        <w:t xml:space="preserve"> and </w:t>
      </w:r>
      <w:r w:rsidR="00A1359A">
        <w:rPr>
          <w:rFonts w:ascii="Times New Roman" w:eastAsia="Times New Roman" w:hAnsi="Times New Roman" w:cs="Times New Roman"/>
          <w:sz w:val="24"/>
          <w:szCs w:val="24"/>
        </w:rPr>
        <w:t>“</w:t>
      </w:r>
      <w:r>
        <w:rPr>
          <w:rFonts w:ascii="Times New Roman" w:eastAsia="Times New Roman" w:hAnsi="Times New Roman" w:cs="Times New Roman"/>
          <w:sz w:val="24"/>
          <w:szCs w:val="24"/>
        </w:rPr>
        <w:t>J</w:t>
      </w:r>
      <w:r w:rsidR="00A1359A">
        <w:rPr>
          <w:rFonts w:ascii="Times New Roman" w:eastAsia="Times New Roman" w:hAnsi="Times New Roman" w:cs="Times New Roman"/>
          <w:sz w:val="24"/>
          <w:szCs w:val="24"/>
        </w:rPr>
        <w:t>V”</w:t>
      </w:r>
      <w:r>
        <w:rPr>
          <w:rFonts w:ascii="Times New Roman" w:eastAsia="Times New Roman" w:hAnsi="Times New Roman" w:cs="Times New Roman"/>
          <w:sz w:val="24"/>
          <w:szCs w:val="24"/>
        </w:rPr>
        <w:t xml:space="preserve"> in 2019, and </w:t>
      </w:r>
      <w:r w:rsidR="00A1359A">
        <w:rPr>
          <w:rFonts w:ascii="Times New Roman" w:eastAsia="Times New Roman" w:hAnsi="Times New Roman" w:cs="Times New Roman"/>
          <w:sz w:val="24"/>
          <w:szCs w:val="24"/>
        </w:rPr>
        <w:t>“</w:t>
      </w:r>
      <w:r>
        <w:rPr>
          <w:rFonts w:ascii="Times New Roman" w:eastAsia="Times New Roman" w:hAnsi="Times New Roman" w:cs="Times New Roman"/>
          <w:sz w:val="24"/>
          <w:szCs w:val="24"/>
        </w:rPr>
        <w:t>J</w:t>
      </w:r>
      <w:r w:rsidR="00A1359A">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 in 2023 all happened in Kuwait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 country </w:t>
      </w:r>
      <w:r w:rsidR="002F0D7E">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has a long-standing agreement with the Philippines. In fact, the Memorandum of Understanding (MOU) between Kuwai</w:t>
      </w:r>
      <w:r>
        <w:rPr>
          <w:rFonts w:ascii="Times New Roman" w:eastAsia="Times New Roman" w:hAnsi="Times New Roman" w:cs="Times New Roman"/>
          <w:sz w:val="24"/>
          <w:szCs w:val="24"/>
        </w:rPr>
        <w:t xml:space="preserve">t and the Philippines is even hailed as a model document as it was the result of the two countries’ negotiations after the deployment ban that followed the discovery of </w:t>
      </w:r>
      <w:r w:rsidR="00A1359A">
        <w:rPr>
          <w:rFonts w:ascii="Times New Roman" w:eastAsia="Times New Roman" w:hAnsi="Times New Roman" w:cs="Times New Roman"/>
          <w:sz w:val="24"/>
          <w:szCs w:val="24"/>
        </w:rPr>
        <w:t>“</w:t>
      </w:r>
      <w:proofErr w:type="gramStart"/>
      <w:r w:rsidR="00A1359A">
        <w:rPr>
          <w:rFonts w:ascii="Times New Roman" w:eastAsia="Times New Roman" w:hAnsi="Times New Roman" w:cs="Times New Roman"/>
          <w:sz w:val="24"/>
          <w:szCs w:val="24"/>
        </w:rPr>
        <w:t xml:space="preserve">JD’s” </w:t>
      </w:r>
      <w:r>
        <w:rPr>
          <w:rFonts w:ascii="Times New Roman" w:eastAsia="Times New Roman" w:hAnsi="Times New Roman" w:cs="Times New Roman"/>
          <w:sz w:val="24"/>
          <w:szCs w:val="24"/>
        </w:rPr>
        <w:t xml:space="preserve"> body</w:t>
      </w:r>
      <w:proofErr w:type="gramEnd"/>
      <w:r>
        <w:rPr>
          <w:rFonts w:ascii="Times New Roman" w:eastAsia="Times New Roman" w:hAnsi="Times New Roman" w:cs="Times New Roman"/>
          <w:sz w:val="24"/>
          <w:szCs w:val="24"/>
        </w:rPr>
        <w:t xml:space="preserve"> in a freezer in 2018. </w:t>
      </w:r>
    </w:p>
    <w:p w14:paraId="662C16AD" w14:textId="77777777" w:rsidR="00480B61" w:rsidRDefault="00480B61">
      <w:pPr>
        <w:spacing w:after="0"/>
        <w:ind w:left="720"/>
        <w:jc w:val="both"/>
        <w:rPr>
          <w:rFonts w:ascii="Times New Roman" w:eastAsia="Times New Roman" w:hAnsi="Times New Roman" w:cs="Times New Roman"/>
          <w:sz w:val="24"/>
          <w:szCs w:val="24"/>
        </w:rPr>
      </w:pPr>
    </w:p>
    <w:p w14:paraId="446ECB5B" w14:textId="625C4EB8"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even with this model bilateral in place, </w:t>
      </w:r>
      <w:r>
        <w:rPr>
          <w:rFonts w:ascii="Times New Roman" w:eastAsia="Times New Roman" w:hAnsi="Times New Roman" w:cs="Times New Roman"/>
          <w:sz w:val="24"/>
          <w:szCs w:val="24"/>
        </w:rPr>
        <w:t>there continues to be a staggering number of migrant welfare cases and complaints in Kuwait. Between 2017-2022, 61,339 welfare cases of migrants were reported. The complaints included contract violations, illegal confiscation of identity documents, illegal</w:t>
      </w:r>
      <w:r>
        <w:rPr>
          <w:rFonts w:ascii="Times New Roman" w:eastAsia="Times New Roman" w:hAnsi="Times New Roman" w:cs="Times New Roman"/>
          <w:sz w:val="24"/>
          <w:szCs w:val="24"/>
        </w:rPr>
        <w:t xml:space="preserve"> terminations, refusal of issuance of exit visas, and several counts of physical abuse. From these numbers, 939 were cases of sexual abuse and 225 were rape cases. The years 2021 (13,351) and 2022 (24,539) saw the highest number of reported cases.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Accord</w:t>
      </w:r>
      <w:r>
        <w:rPr>
          <w:rFonts w:ascii="Times New Roman" w:eastAsia="Times New Roman" w:hAnsi="Times New Roman" w:cs="Times New Roman"/>
          <w:sz w:val="24"/>
          <w:szCs w:val="24"/>
        </w:rPr>
        <w:t>ing to the Overseas Workers Welfare Administration (OWWA), th</w:t>
      </w:r>
      <w:r w:rsidR="00B649BA">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first semester of 2023 already saw 6,005 welfare cases specifically from women migrants in Kuwait.</w:t>
      </w:r>
      <w:r>
        <w:rPr>
          <w:rFonts w:ascii="Times New Roman" w:eastAsia="Times New Roman" w:hAnsi="Times New Roman" w:cs="Times New Roman"/>
          <w:sz w:val="24"/>
          <w:szCs w:val="24"/>
          <w:vertAlign w:val="superscript"/>
        </w:rPr>
        <w:footnoteReference w:id="18"/>
      </w:r>
    </w:p>
    <w:p w14:paraId="697C3A19" w14:textId="77777777" w:rsidR="00480B61" w:rsidRDefault="00480B61">
      <w:pPr>
        <w:spacing w:after="0"/>
        <w:jc w:val="both"/>
        <w:rPr>
          <w:rFonts w:ascii="Times New Roman" w:eastAsia="Times New Roman" w:hAnsi="Times New Roman" w:cs="Times New Roman"/>
          <w:sz w:val="24"/>
          <w:szCs w:val="24"/>
        </w:rPr>
      </w:pPr>
    </w:p>
    <w:p w14:paraId="5DCDBB54" w14:textId="1600BB81" w:rsidR="00480B61" w:rsidRDefault="00A1359A">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“JR’s” death also brought to light several gaps in current BLAs such as the lack of provisions concerning the protocols of investigation and prosecution of criminal </w:t>
      </w:r>
      <w:r>
        <w:rPr>
          <w:rFonts w:ascii="Times New Roman" w:eastAsia="Times New Roman" w:hAnsi="Times New Roman" w:cs="Times New Roman"/>
          <w:sz w:val="24"/>
          <w:szCs w:val="24"/>
        </w:rPr>
        <w:lastRenderedPageBreak/>
        <w:t>offenses against OFWs and their access to justice.</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Another concerning gap is the lack of provision that explicitly prohibits the confiscation of travel and identity documents of migrant workers.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38987516" w14:textId="77777777" w:rsidR="00480B61" w:rsidRDefault="00480B61">
      <w:pPr>
        <w:spacing w:after="0"/>
        <w:jc w:val="both"/>
        <w:rPr>
          <w:rFonts w:ascii="Times New Roman" w:eastAsia="Times New Roman" w:hAnsi="Times New Roman" w:cs="Times New Roman"/>
          <w:sz w:val="24"/>
          <w:szCs w:val="24"/>
        </w:rPr>
      </w:pPr>
    </w:p>
    <w:p w14:paraId="4BD0923A" w14:textId="3A147F4B"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CMA therefore requests the </w:t>
      </w:r>
      <w:r w:rsidR="00B649BA">
        <w:rPr>
          <w:rFonts w:ascii="Times New Roman" w:eastAsia="Times New Roman" w:hAnsi="Times New Roman" w:cs="Times New Roman"/>
          <w:sz w:val="24"/>
          <w:szCs w:val="24"/>
        </w:rPr>
        <w:t xml:space="preserve">State Party to </w:t>
      </w:r>
      <w:r>
        <w:rPr>
          <w:rFonts w:ascii="Times New Roman" w:eastAsia="Times New Roman" w:hAnsi="Times New Roman" w:cs="Times New Roman"/>
          <w:sz w:val="24"/>
          <w:szCs w:val="24"/>
        </w:rPr>
        <w:t>reevaluate and closely monitor the efficacy of already established BLAs</w:t>
      </w:r>
      <w:r w:rsidR="00B649BA">
        <w:rPr>
          <w:rFonts w:ascii="Times New Roman" w:eastAsia="Times New Roman" w:hAnsi="Times New Roman" w:cs="Times New Roman"/>
          <w:sz w:val="24"/>
          <w:szCs w:val="24"/>
        </w:rPr>
        <w:t>/ MOUs</w:t>
      </w:r>
      <w:r>
        <w:rPr>
          <w:rFonts w:ascii="Times New Roman" w:eastAsia="Times New Roman" w:hAnsi="Times New Roman" w:cs="Times New Roman"/>
          <w:sz w:val="24"/>
          <w:szCs w:val="24"/>
        </w:rPr>
        <w:t xml:space="preserve"> and to ensure that the existence of these </w:t>
      </w:r>
      <w:r w:rsidR="002F0D7E">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indeed protecting our migrant workers, specifically women migrant workers. </w:t>
      </w:r>
      <w:r w:rsidR="00B649BA" w:rsidRPr="008D2BA3">
        <w:rPr>
          <w:rFonts w:ascii="Times New Roman" w:eastAsia="Times New Roman" w:hAnsi="Times New Roman" w:cs="Times New Roman"/>
          <w:sz w:val="24"/>
          <w:szCs w:val="24"/>
        </w:rPr>
        <w:t xml:space="preserve">Moreover, the State Party should consider onboarding relevant stakeholders like civil society organizations and trade unions in the negotiations of </w:t>
      </w:r>
      <w:proofErr w:type="spellStart"/>
      <w:r w:rsidR="00B649BA" w:rsidRPr="008D2BA3">
        <w:rPr>
          <w:rFonts w:ascii="Times New Roman" w:eastAsia="Times New Roman" w:hAnsi="Times New Roman" w:cs="Times New Roman"/>
          <w:sz w:val="24"/>
          <w:szCs w:val="24"/>
        </w:rPr>
        <w:t>bilaterals</w:t>
      </w:r>
      <w:proofErr w:type="spellEnd"/>
      <w:r w:rsidR="00B649BA" w:rsidRPr="008D2BA3">
        <w:rPr>
          <w:rFonts w:ascii="Times New Roman" w:eastAsia="Times New Roman" w:hAnsi="Times New Roman" w:cs="Times New Roman"/>
          <w:sz w:val="24"/>
          <w:szCs w:val="24"/>
        </w:rPr>
        <w:t xml:space="preserve"> and MOUs ensuring that </w:t>
      </w:r>
      <w:r w:rsidR="00B649BA">
        <w:rPr>
          <w:rFonts w:ascii="Times New Roman" w:eastAsia="Times New Roman" w:hAnsi="Times New Roman" w:cs="Times New Roman"/>
          <w:sz w:val="24"/>
          <w:szCs w:val="24"/>
        </w:rPr>
        <w:t>mechanisms to monitor and for effective implementation are clearly spelled out.</w:t>
      </w:r>
    </w:p>
    <w:p w14:paraId="1B868E9E" w14:textId="77777777" w:rsidR="00480B61" w:rsidRDefault="00480B61">
      <w:pPr>
        <w:spacing w:after="0"/>
        <w:jc w:val="both"/>
        <w:rPr>
          <w:rFonts w:ascii="Times New Roman" w:eastAsia="Times New Roman" w:hAnsi="Times New Roman" w:cs="Times New Roman"/>
          <w:sz w:val="24"/>
          <w:szCs w:val="24"/>
        </w:rPr>
      </w:pPr>
    </w:p>
    <w:p w14:paraId="141A0B2F" w14:textId="77777777" w:rsidR="00480B61" w:rsidRDefault="004B6453">
      <w:pPr>
        <w:pStyle w:val="Heading2"/>
        <w:numPr>
          <w:ilvl w:val="0"/>
          <w:numId w:val="3"/>
        </w:numPr>
        <w:spacing w:before="0" w:after="0"/>
        <w:jc w:val="both"/>
        <w:rPr>
          <w:rFonts w:ascii="Times New Roman" w:eastAsia="Times New Roman" w:hAnsi="Times New Roman" w:cs="Times New Roman"/>
          <w:sz w:val="24"/>
          <w:szCs w:val="24"/>
        </w:rPr>
      </w:pPr>
      <w:bookmarkStart w:id="7" w:name="_heading=h.msh6bhgzurlr" w:colFirst="0" w:colLast="0"/>
      <w:bookmarkEnd w:id="7"/>
      <w:r>
        <w:rPr>
          <w:rFonts w:ascii="Times New Roman" w:eastAsia="Times New Roman" w:hAnsi="Times New Roman" w:cs="Times New Roman"/>
          <w:sz w:val="24"/>
          <w:szCs w:val="24"/>
        </w:rPr>
        <w:t>Feminization of migration, Gender-based Violence, Continued Abuse Suffered by Women OFWs</w:t>
      </w:r>
    </w:p>
    <w:p w14:paraId="462BBE00" w14:textId="77777777" w:rsidR="00480B61" w:rsidRDefault="00480B61">
      <w:pPr>
        <w:spacing w:after="0"/>
        <w:jc w:val="both"/>
        <w:rPr>
          <w:rFonts w:ascii="Times New Roman" w:eastAsia="Times New Roman" w:hAnsi="Times New Roman" w:cs="Times New Roman"/>
          <w:sz w:val="24"/>
          <w:szCs w:val="24"/>
        </w:rPr>
      </w:pPr>
    </w:p>
    <w:p w14:paraId="1724DB1F"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the feminization of migration concerns the increasing trend </w:t>
      </w:r>
      <w:r>
        <w:rPr>
          <w:rFonts w:ascii="Times New Roman" w:eastAsia="Times New Roman" w:hAnsi="Times New Roman" w:cs="Times New Roman"/>
          <w:sz w:val="24"/>
          <w:szCs w:val="24"/>
        </w:rPr>
        <w:t>where a growing number of women from their home countries are choosing to relocate and work in foreign nations. This phenomenon is particularly evident in the Philippines, where the majority of OFWs are women.</w:t>
      </w:r>
    </w:p>
    <w:p w14:paraId="7BF6F4EC" w14:textId="77777777" w:rsidR="00480B61" w:rsidRDefault="00480B61">
      <w:pPr>
        <w:spacing w:after="0"/>
        <w:ind w:left="720"/>
        <w:jc w:val="both"/>
        <w:rPr>
          <w:rFonts w:ascii="Times New Roman" w:eastAsia="Times New Roman" w:hAnsi="Times New Roman" w:cs="Times New Roman"/>
          <w:sz w:val="24"/>
          <w:szCs w:val="24"/>
        </w:rPr>
      </w:pPr>
    </w:p>
    <w:p w14:paraId="4C1EF892" w14:textId="048DBEBA"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influence of traditional gender roles and</w:t>
      </w:r>
      <w:r>
        <w:rPr>
          <w:rFonts w:ascii="Times New Roman" w:eastAsia="Times New Roman" w:hAnsi="Times New Roman" w:cs="Times New Roman"/>
          <w:sz w:val="24"/>
          <w:szCs w:val="24"/>
        </w:rPr>
        <w:t xml:space="preserve"> societal expectations in the Philippines can significantly impact women's decisions to pursue migration. The pressure to provide for their families</w:t>
      </w:r>
      <w:r w:rsidR="002F0D7E">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the prevailing belief that women are primarily suited for caregiving roles can drive women to seek empl</w:t>
      </w:r>
      <w:r>
        <w:rPr>
          <w:rFonts w:ascii="Times New Roman" w:eastAsia="Times New Roman" w:hAnsi="Times New Roman" w:cs="Times New Roman"/>
          <w:sz w:val="24"/>
          <w:szCs w:val="24"/>
        </w:rPr>
        <w:t xml:space="preserve">oyment opportunities abroad such as domestic work and other elementary occupations, regardless of their educational attainment in the Philippines. </w:t>
      </w:r>
    </w:p>
    <w:p w14:paraId="5B32D62C" w14:textId="77777777" w:rsidR="00480B61" w:rsidRDefault="00480B61">
      <w:pPr>
        <w:spacing w:after="0"/>
        <w:ind w:left="720"/>
        <w:jc w:val="both"/>
        <w:rPr>
          <w:rFonts w:ascii="Times New Roman" w:eastAsia="Times New Roman" w:hAnsi="Times New Roman" w:cs="Times New Roman"/>
          <w:sz w:val="24"/>
          <w:szCs w:val="24"/>
        </w:rPr>
      </w:pPr>
    </w:p>
    <w:p w14:paraId="484F4DB8"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Filipina migrant domestic workers live in the same household as their employers, which makes them part</w:t>
      </w:r>
      <w:r>
        <w:rPr>
          <w:rFonts w:ascii="Times New Roman" w:eastAsia="Times New Roman" w:hAnsi="Times New Roman" w:cs="Times New Roman"/>
          <w:sz w:val="24"/>
          <w:szCs w:val="24"/>
        </w:rPr>
        <w:t>icularly vulnerable to different types of abuses which range from sexual, physical, emotional, verbal, and mental abuse. Other mistreatments such as wage theft, overwork, and changes in contract/employment conditions upon arriving in the destination countr</w:t>
      </w:r>
      <w:r>
        <w:rPr>
          <w:rFonts w:ascii="Times New Roman" w:eastAsia="Times New Roman" w:hAnsi="Times New Roman" w:cs="Times New Roman"/>
          <w:sz w:val="24"/>
          <w:szCs w:val="24"/>
        </w:rPr>
        <w:t xml:space="preserve">ies are also common. </w:t>
      </w:r>
    </w:p>
    <w:p w14:paraId="25656FBA" w14:textId="77777777" w:rsidR="00480B61" w:rsidRDefault="00480B61">
      <w:pPr>
        <w:spacing w:after="0"/>
        <w:ind w:left="720"/>
        <w:jc w:val="both"/>
        <w:rPr>
          <w:rFonts w:ascii="Times New Roman" w:eastAsia="Times New Roman" w:hAnsi="Times New Roman" w:cs="Times New Roman"/>
          <w:sz w:val="24"/>
          <w:szCs w:val="24"/>
        </w:rPr>
      </w:pPr>
    </w:p>
    <w:p w14:paraId="3F7BEAEB"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CMA consultation, around thirteen (13) participants including Filipina former migrant domestic workers and members of OFW Family Circles (OFCs) shared stories of abuse, two (2) of which shared stories of being raped or sex</w:t>
      </w:r>
      <w:r>
        <w:rPr>
          <w:rFonts w:ascii="Times New Roman" w:eastAsia="Times New Roman" w:hAnsi="Times New Roman" w:cs="Times New Roman"/>
          <w:sz w:val="24"/>
          <w:szCs w:val="24"/>
        </w:rPr>
        <w:t xml:space="preserve">ually harassed by their own employers and were repatriated without recourse and without any of their belongings. Neither of them received psychosocial support after their repatriation. </w:t>
      </w:r>
    </w:p>
    <w:p w14:paraId="0FF003A1" w14:textId="77777777" w:rsidR="00480B61" w:rsidRDefault="00480B61">
      <w:pPr>
        <w:spacing w:after="0"/>
        <w:ind w:left="720"/>
        <w:jc w:val="both"/>
        <w:rPr>
          <w:rFonts w:ascii="Times New Roman" w:eastAsia="Times New Roman" w:hAnsi="Times New Roman" w:cs="Times New Roman"/>
          <w:sz w:val="24"/>
          <w:szCs w:val="24"/>
        </w:rPr>
      </w:pPr>
    </w:p>
    <w:p w14:paraId="05C7EB31" w14:textId="6F11DE88"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common abuse shared during the consultation was concerning su</w:t>
      </w:r>
      <w:r>
        <w:rPr>
          <w:rFonts w:ascii="Times New Roman" w:eastAsia="Times New Roman" w:hAnsi="Times New Roman" w:cs="Times New Roman"/>
          <w:sz w:val="24"/>
          <w:szCs w:val="24"/>
        </w:rPr>
        <w:t xml:space="preserve">dden </w:t>
      </w:r>
      <w:r w:rsidR="00B649BA">
        <w:rPr>
          <w:rFonts w:ascii="Times New Roman" w:eastAsia="Times New Roman" w:hAnsi="Times New Roman" w:cs="Times New Roman"/>
          <w:sz w:val="24"/>
          <w:szCs w:val="24"/>
        </w:rPr>
        <w:t xml:space="preserve">changes in </w:t>
      </w:r>
      <w:r>
        <w:rPr>
          <w:rFonts w:ascii="Times New Roman" w:eastAsia="Times New Roman" w:hAnsi="Times New Roman" w:cs="Times New Roman"/>
          <w:sz w:val="24"/>
          <w:szCs w:val="24"/>
        </w:rPr>
        <w:t>contract and employment conditions</w:t>
      </w:r>
      <w:r w:rsidR="00B649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once the Filipina domestic worker arrives in the </w:t>
      </w:r>
      <w:r>
        <w:rPr>
          <w:rFonts w:ascii="Times New Roman" w:eastAsia="Times New Roman" w:hAnsi="Times New Roman" w:cs="Times New Roman"/>
          <w:sz w:val="24"/>
          <w:szCs w:val="24"/>
        </w:rPr>
        <w:lastRenderedPageBreak/>
        <w:t xml:space="preserve">destination country. Around five (5) participants shared experiences with contract / employer changes where they themselves or the Filipina domestic worker </w:t>
      </w:r>
      <w:r>
        <w:rPr>
          <w:rFonts w:ascii="Times New Roman" w:eastAsia="Times New Roman" w:hAnsi="Times New Roman" w:cs="Times New Roman"/>
          <w:sz w:val="24"/>
          <w:szCs w:val="24"/>
        </w:rPr>
        <w:t>they know were either transferred to another employer without their prior consent or were “borrowed” or taken to their employer’s extended family to do additional work. Reports of having additional employers to work for and additional work not stated in th</w:t>
      </w:r>
      <w:r>
        <w:rPr>
          <w:rFonts w:ascii="Times New Roman" w:eastAsia="Times New Roman" w:hAnsi="Times New Roman" w:cs="Times New Roman"/>
          <w:sz w:val="24"/>
          <w:szCs w:val="24"/>
        </w:rPr>
        <w:t xml:space="preserve">e initially signed contract are quite common. </w:t>
      </w:r>
    </w:p>
    <w:p w14:paraId="61967703" w14:textId="77777777" w:rsidR="00480B61" w:rsidRDefault="00480B61">
      <w:pPr>
        <w:spacing w:after="0"/>
        <w:ind w:left="720"/>
        <w:jc w:val="both"/>
        <w:rPr>
          <w:rFonts w:ascii="Times New Roman" w:eastAsia="Times New Roman" w:hAnsi="Times New Roman" w:cs="Times New Roman"/>
          <w:sz w:val="24"/>
          <w:szCs w:val="24"/>
        </w:rPr>
      </w:pPr>
    </w:p>
    <w:p w14:paraId="6460A17A"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Wage theft or unpaid, partial, and delayed wages also top CMA’s received cases from distressed women OFWs in 2020. This was followed by overwork, verbal abuse, physical abuse, and insufficient food and poor l</w:t>
      </w:r>
      <w:r>
        <w:rPr>
          <w:rFonts w:ascii="Times New Roman" w:eastAsia="Times New Roman" w:hAnsi="Times New Roman" w:cs="Times New Roman"/>
          <w:sz w:val="24"/>
          <w:szCs w:val="24"/>
        </w:rPr>
        <w:t xml:space="preserve">iving conditions. CMA also saw an increase of 101% in the cases received in 2020 compared to 2019. </w:t>
      </w:r>
    </w:p>
    <w:p w14:paraId="6A1FBB08" w14:textId="77777777" w:rsidR="00480B61" w:rsidRDefault="00480B61">
      <w:pPr>
        <w:spacing w:after="0"/>
        <w:jc w:val="both"/>
        <w:rPr>
          <w:rFonts w:ascii="Times New Roman" w:eastAsia="Times New Roman" w:hAnsi="Times New Roman" w:cs="Times New Roman"/>
          <w:sz w:val="24"/>
          <w:szCs w:val="24"/>
        </w:rPr>
      </w:pPr>
    </w:p>
    <w:p w14:paraId="5E570975" w14:textId="78B2989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CMA </w:t>
      </w:r>
      <w:r w:rsidR="00B649BA">
        <w:rPr>
          <w:rFonts w:ascii="Times New Roman" w:eastAsia="Times New Roman" w:hAnsi="Times New Roman" w:cs="Times New Roman"/>
          <w:sz w:val="24"/>
          <w:szCs w:val="24"/>
        </w:rPr>
        <w:t xml:space="preserve">recommends that the </w:t>
      </w:r>
      <w:r>
        <w:rPr>
          <w:rFonts w:ascii="Times New Roman" w:eastAsia="Times New Roman" w:hAnsi="Times New Roman" w:cs="Times New Roman"/>
          <w:sz w:val="24"/>
          <w:szCs w:val="24"/>
        </w:rPr>
        <w:t>State Party address the negative aspects of the feminization of migration by developing new policies and legislation specifically t</w:t>
      </w:r>
      <w:r>
        <w:rPr>
          <w:rFonts w:ascii="Times New Roman" w:eastAsia="Times New Roman" w:hAnsi="Times New Roman" w:cs="Times New Roman"/>
          <w:sz w:val="24"/>
          <w:szCs w:val="24"/>
        </w:rPr>
        <w:t xml:space="preserve">ailored to address the unique challenges </w:t>
      </w:r>
      <w:r w:rsidR="002F0D7E">
        <w:rPr>
          <w:rFonts w:ascii="Times New Roman" w:eastAsia="Times New Roman" w:hAnsi="Times New Roman" w:cs="Times New Roman"/>
          <w:sz w:val="24"/>
          <w:szCs w:val="24"/>
        </w:rPr>
        <w:t xml:space="preserve">women </w:t>
      </w:r>
      <w:r w:rsidR="00B649BA">
        <w:rPr>
          <w:rFonts w:ascii="Times New Roman" w:eastAsia="Times New Roman" w:hAnsi="Times New Roman" w:cs="Times New Roman"/>
          <w:sz w:val="24"/>
          <w:szCs w:val="24"/>
        </w:rPr>
        <w:t xml:space="preserve">migrants </w:t>
      </w:r>
      <w:r w:rsidR="002F0D7E">
        <w:rPr>
          <w:rFonts w:ascii="Times New Roman" w:eastAsia="Times New Roman" w:hAnsi="Times New Roman" w:cs="Times New Roman"/>
          <w:sz w:val="24"/>
          <w:szCs w:val="24"/>
        </w:rPr>
        <w:t>face</w:t>
      </w:r>
      <w:r>
        <w:rPr>
          <w:rFonts w:ascii="Times New Roman" w:eastAsia="Times New Roman" w:hAnsi="Times New Roman" w:cs="Times New Roman"/>
          <w:sz w:val="24"/>
          <w:szCs w:val="24"/>
        </w:rPr>
        <w:t xml:space="preserve">. CMA advocates the empowerment of women OFWs by properly educating them </w:t>
      </w:r>
      <w:r w:rsidR="002F0D7E">
        <w:rPr>
          <w:rFonts w:ascii="Times New Roman" w:eastAsia="Times New Roman" w:hAnsi="Times New Roman" w:cs="Times New Roman"/>
          <w:sz w:val="24"/>
          <w:szCs w:val="24"/>
        </w:rPr>
        <w:t>about</w:t>
      </w:r>
      <w:r>
        <w:rPr>
          <w:rFonts w:ascii="Times New Roman" w:eastAsia="Times New Roman" w:hAnsi="Times New Roman" w:cs="Times New Roman"/>
          <w:sz w:val="24"/>
          <w:szCs w:val="24"/>
        </w:rPr>
        <w:t xml:space="preserve"> their rights even before they leave the country. </w:t>
      </w:r>
    </w:p>
    <w:p w14:paraId="4C12A864" w14:textId="77777777" w:rsidR="00480B61" w:rsidRDefault="00480B61">
      <w:pPr>
        <w:spacing w:after="0"/>
        <w:ind w:left="720"/>
        <w:jc w:val="both"/>
        <w:rPr>
          <w:rFonts w:ascii="Times New Roman" w:eastAsia="Times New Roman" w:hAnsi="Times New Roman" w:cs="Times New Roman"/>
          <w:sz w:val="24"/>
          <w:szCs w:val="24"/>
        </w:rPr>
      </w:pPr>
    </w:p>
    <w:p w14:paraId="02D2EAD6" w14:textId="7CE0A871"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CMA </w:t>
      </w:r>
      <w:r w:rsidR="00B649BA">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requests the State Party, specifically the newly establis</w:t>
      </w:r>
      <w:r>
        <w:rPr>
          <w:rFonts w:ascii="Times New Roman" w:eastAsia="Times New Roman" w:hAnsi="Times New Roman" w:cs="Times New Roman"/>
          <w:sz w:val="24"/>
          <w:szCs w:val="24"/>
        </w:rPr>
        <w:t>hed Department of Migrant Workers (DMW), to prioritize the safety of Filipina domestic workers in all stages of migration and to adapt a whole of society approach to better support our women migrant workers especially in the stage of repatriation and reint</w:t>
      </w:r>
      <w:r>
        <w:rPr>
          <w:rFonts w:ascii="Times New Roman" w:eastAsia="Times New Roman" w:hAnsi="Times New Roman" w:cs="Times New Roman"/>
          <w:sz w:val="24"/>
          <w:szCs w:val="24"/>
        </w:rPr>
        <w:t xml:space="preserve">egration. CMA recommends </w:t>
      </w:r>
      <w:r w:rsidR="002F0D7E">
        <w:rPr>
          <w:rFonts w:ascii="Times New Roman" w:eastAsia="Times New Roman" w:hAnsi="Times New Roman" w:cs="Times New Roman"/>
          <w:sz w:val="24"/>
          <w:szCs w:val="24"/>
        </w:rPr>
        <w:t>that the State Party</w:t>
      </w:r>
      <w:r>
        <w:rPr>
          <w:rFonts w:ascii="Times New Roman" w:eastAsia="Times New Roman" w:hAnsi="Times New Roman" w:cs="Times New Roman"/>
          <w:sz w:val="24"/>
          <w:szCs w:val="24"/>
        </w:rPr>
        <w:t xml:space="preserve"> ensure that gender-responsive and gender-sensitive programs and services are consistently rendered to the women OFWs until they are safely reintegrated into their communities. This therefore means that the Loca</w:t>
      </w:r>
      <w:r>
        <w:rPr>
          <w:rFonts w:ascii="Times New Roman" w:eastAsia="Times New Roman" w:hAnsi="Times New Roman" w:cs="Times New Roman"/>
          <w:sz w:val="24"/>
          <w:szCs w:val="24"/>
        </w:rPr>
        <w:t xml:space="preserve">l Government Units (LGUs) and other concerned stakeholders (church, Civil Society Organizations (CSOs), etc.) must have a proper and clear referral system that responds to the needs </w:t>
      </w:r>
      <w:proofErr w:type="gramStart"/>
      <w:r>
        <w:rPr>
          <w:rFonts w:ascii="Times New Roman" w:eastAsia="Times New Roman" w:hAnsi="Times New Roman" w:cs="Times New Roman"/>
          <w:sz w:val="24"/>
          <w:szCs w:val="24"/>
        </w:rPr>
        <w:t>of  women</w:t>
      </w:r>
      <w:proofErr w:type="gramEnd"/>
      <w:r>
        <w:rPr>
          <w:rFonts w:ascii="Times New Roman" w:eastAsia="Times New Roman" w:hAnsi="Times New Roman" w:cs="Times New Roman"/>
          <w:sz w:val="24"/>
          <w:szCs w:val="24"/>
        </w:rPr>
        <w:t xml:space="preserve"> OFWs and their families. </w:t>
      </w:r>
    </w:p>
    <w:p w14:paraId="7087B36F" w14:textId="77777777" w:rsidR="00480B61" w:rsidRDefault="00480B61">
      <w:pPr>
        <w:spacing w:after="0"/>
        <w:ind w:left="720"/>
        <w:jc w:val="both"/>
        <w:rPr>
          <w:rFonts w:ascii="Times New Roman" w:eastAsia="Times New Roman" w:hAnsi="Times New Roman" w:cs="Times New Roman"/>
          <w:sz w:val="24"/>
          <w:szCs w:val="24"/>
        </w:rPr>
      </w:pPr>
    </w:p>
    <w:p w14:paraId="20FBA32A" w14:textId="0A44DD96"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CMA advocates for the D</w:t>
      </w:r>
      <w:r>
        <w:rPr>
          <w:rFonts w:ascii="Times New Roman" w:eastAsia="Times New Roman" w:hAnsi="Times New Roman" w:cs="Times New Roman"/>
          <w:sz w:val="24"/>
          <w:szCs w:val="24"/>
        </w:rPr>
        <w:t>MW to equip its personnel with the necessary sensitivity and expertise to address cases involving OFW domestic workers who have endured abuse and provide the necessary help to OFWs</w:t>
      </w:r>
      <w:r w:rsidR="002F0D7E">
        <w:rPr>
          <w:rFonts w:ascii="Times New Roman" w:eastAsia="Times New Roman" w:hAnsi="Times New Roman" w:cs="Times New Roman"/>
          <w:sz w:val="24"/>
          <w:szCs w:val="24"/>
        </w:rPr>
        <w:t>, including</w:t>
      </w:r>
      <w:r w:rsidR="00B649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proper psychosocial support and recourse. </w:t>
      </w:r>
    </w:p>
    <w:p w14:paraId="70AF33C8" w14:textId="77777777" w:rsidR="00480B61" w:rsidRDefault="00480B61">
      <w:pPr>
        <w:spacing w:after="0"/>
        <w:ind w:left="720"/>
        <w:jc w:val="both"/>
        <w:rPr>
          <w:rFonts w:ascii="Times New Roman" w:eastAsia="Times New Roman" w:hAnsi="Times New Roman" w:cs="Times New Roman"/>
          <w:sz w:val="24"/>
          <w:szCs w:val="24"/>
        </w:rPr>
      </w:pPr>
    </w:p>
    <w:p w14:paraId="0C628256" w14:textId="477B3AB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CMA also recommends</w:t>
      </w:r>
      <w:r w:rsidR="00B649BA">
        <w:rPr>
          <w:rFonts w:ascii="Times New Roman" w:eastAsia="Times New Roman" w:hAnsi="Times New Roman" w:cs="Times New Roman"/>
          <w:sz w:val="24"/>
          <w:szCs w:val="24"/>
        </w:rPr>
        <w:t xml:space="preserve"> to the State Party</w:t>
      </w:r>
      <w:r>
        <w:rPr>
          <w:rFonts w:ascii="Times New Roman" w:eastAsia="Times New Roman" w:hAnsi="Times New Roman" w:cs="Times New Roman"/>
          <w:sz w:val="24"/>
          <w:szCs w:val="24"/>
        </w:rPr>
        <w:t xml:space="preserve"> a survivor-centered approach </w:t>
      </w:r>
      <w:r w:rsidR="002F0D7E">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a defined and itemized process specifically for women migrant workers </w:t>
      </w:r>
      <w:r w:rsidR="002F0D7E">
        <w:rPr>
          <w:rFonts w:ascii="Times New Roman" w:eastAsia="Times New Roman" w:hAnsi="Times New Roman" w:cs="Times New Roman"/>
          <w:sz w:val="24"/>
          <w:szCs w:val="24"/>
        </w:rPr>
        <w:t>who</w:t>
      </w:r>
      <w:r>
        <w:rPr>
          <w:rFonts w:ascii="Times New Roman" w:eastAsia="Times New Roman" w:hAnsi="Times New Roman" w:cs="Times New Roman"/>
          <w:sz w:val="24"/>
          <w:szCs w:val="24"/>
        </w:rPr>
        <w:t xml:space="preserve"> are victims of abuse. It must embody the core principles of safety, respect, confidentiality, and nondiscrimination which are all</w:t>
      </w:r>
      <w:r>
        <w:rPr>
          <w:rFonts w:ascii="Times New Roman" w:eastAsia="Times New Roman" w:hAnsi="Times New Roman" w:cs="Times New Roman"/>
          <w:sz w:val="24"/>
          <w:szCs w:val="24"/>
        </w:rPr>
        <w:t xml:space="preserve"> instrumental in ensuring a do-no-harm approach when dealing with survivors. </w:t>
      </w:r>
    </w:p>
    <w:p w14:paraId="3A2EC854" w14:textId="77777777" w:rsidR="00480B61" w:rsidRDefault="00480B61">
      <w:pPr>
        <w:spacing w:after="0"/>
        <w:jc w:val="both"/>
        <w:rPr>
          <w:rFonts w:ascii="Times New Roman" w:eastAsia="Times New Roman" w:hAnsi="Times New Roman" w:cs="Times New Roman"/>
          <w:sz w:val="24"/>
          <w:szCs w:val="24"/>
        </w:rPr>
      </w:pPr>
    </w:p>
    <w:p w14:paraId="2FC80300" w14:textId="77777777" w:rsidR="00480B61" w:rsidRDefault="004B6453">
      <w:pPr>
        <w:spacing w:after="0"/>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 Access to Justice for Migrant Domestic Workers </w:t>
      </w:r>
    </w:p>
    <w:p w14:paraId="2727F197" w14:textId="77777777" w:rsidR="00480B61" w:rsidRDefault="00480B61">
      <w:pPr>
        <w:spacing w:after="0"/>
        <w:jc w:val="both"/>
        <w:rPr>
          <w:rFonts w:ascii="Times New Roman" w:eastAsia="Times New Roman" w:hAnsi="Times New Roman" w:cs="Times New Roman"/>
          <w:sz w:val="24"/>
          <w:szCs w:val="24"/>
        </w:rPr>
      </w:pPr>
    </w:p>
    <w:p w14:paraId="426BF87C" w14:textId="7777777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CMA preliminary study saw that per data from the National Labor Relations Commission (NLRC</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73.22% of the administrative and money claim cases filed at </w:t>
      </w:r>
      <w:r>
        <w:rPr>
          <w:rFonts w:ascii="Times New Roman" w:eastAsia="Times New Roman" w:hAnsi="Times New Roman" w:cs="Times New Roman"/>
          <w:sz w:val="24"/>
          <w:szCs w:val="24"/>
        </w:rPr>
        <w:lastRenderedPageBreak/>
        <w:t>POEA and NLRC between 2015-2017 were disposed of through settlements and not through the merits of the cases.</w:t>
      </w:r>
    </w:p>
    <w:p w14:paraId="43288397" w14:textId="77777777" w:rsidR="00480B61" w:rsidRDefault="00480B61">
      <w:pPr>
        <w:spacing w:after="0"/>
        <w:ind w:left="720"/>
        <w:jc w:val="both"/>
        <w:rPr>
          <w:rFonts w:ascii="Times New Roman" w:eastAsia="Times New Roman" w:hAnsi="Times New Roman" w:cs="Times New Roman"/>
          <w:sz w:val="24"/>
          <w:szCs w:val="24"/>
        </w:rPr>
      </w:pPr>
    </w:p>
    <w:p w14:paraId="044D09D5" w14:textId="5D4F3E45"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means that the compensation paid to aggrieved migrant domestic workers was </w:t>
      </w:r>
      <w:r w:rsidR="002F0D7E">
        <w:rPr>
          <w:rFonts w:ascii="Times New Roman" w:eastAsia="Times New Roman" w:hAnsi="Times New Roman" w:cs="Times New Roman"/>
          <w:sz w:val="24"/>
          <w:szCs w:val="24"/>
        </w:rPr>
        <w:t>much less than they demanded</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This system of mandatory conciliation- mediation institutionalized through the Single Entry Approach (</w:t>
      </w:r>
      <w:proofErr w:type="spellStart"/>
      <w:r>
        <w:rPr>
          <w:rFonts w:ascii="Times New Roman" w:eastAsia="Times New Roman" w:hAnsi="Times New Roman" w:cs="Times New Roman"/>
          <w:sz w:val="24"/>
          <w:szCs w:val="24"/>
        </w:rPr>
        <w:t>SE</w:t>
      </w:r>
      <w:r w:rsidR="002F0D7E">
        <w:rPr>
          <w:rFonts w:ascii="Times New Roman" w:eastAsia="Times New Roman" w:hAnsi="Times New Roman" w:cs="Times New Roman"/>
          <w:sz w:val="24"/>
          <w:szCs w:val="24"/>
        </w:rPr>
        <w:t>n</w:t>
      </w:r>
      <w:r>
        <w:rPr>
          <w:rFonts w:ascii="Times New Roman" w:eastAsia="Times New Roman" w:hAnsi="Times New Roman" w:cs="Times New Roman"/>
          <w:sz w:val="24"/>
          <w:szCs w:val="24"/>
        </w:rPr>
        <w:t>A</w:t>
      </w:r>
      <w:proofErr w:type="spellEnd"/>
      <w:r>
        <w:rPr>
          <w:rFonts w:ascii="Times New Roman" w:eastAsia="Times New Roman" w:hAnsi="Times New Roman" w:cs="Times New Roman"/>
          <w:sz w:val="24"/>
          <w:szCs w:val="24"/>
        </w:rPr>
        <w:t xml:space="preserve">) which is also implemented at the Philippine  Overseas Labor Offices (POLO–now called Migrant Worker Offices) may result </w:t>
      </w:r>
      <w:r w:rsidR="002F0D7E">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unintended </w:t>
      </w:r>
      <w:r w:rsidR="002F0D7E">
        <w:rPr>
          <w:rFonts w:ascii="Times New Roman" w:eastAsia="Times New Roman" w:hAnsi="Times New Roman" w:cs="Times New Roman"/>
          <w:sz w:val="24"/>
          <w:szCs w:val="24"/>
        </w:rPr>
        <w:t>consequences</w:t>
      </w:r>
      <w:r>
        <w:rPr>
          <w:rFonts w:ascii="Times New Roman" w:eastAsia="Times New Roman" w:hAnsi="Times New Roman" w:cs="Times New Roman"/>
          <w:sz w:val="24"/>
          <w:szCs w:val="24"/>
        </w:rPr>
        <w:t xml:space="preserve"> of decimating the provision of the law for joint and several liability between the Philippine-based recruiters and the foreign employers. </w:t>
      </w:r>
    </w:p>
    <w:p w14:paraId="1A7ED8EB" w14:textId="77777777" w:rsidR="00480B61" w:rsidRDefault="00480B61">
      <w:pPr>
        <w:spacing w:after="0"/>
        <w:ind w:left="720"/>
        <w:jc w:val="both"/>
        <w:rPr>
          <w:rFonts w:ascii="Times New Roman" w:eastAsia="Times New Roman" w:hAnsi="Times New Roman" w:cs="Times New Roman"/>
          <w:sz w:val="24"/>
          <w:szCs w:val="24"/>
        </w:rPr>
      </w:pPr>
    </w:p>
    <w:p w14:paraId="0F546D1E" w14:textId="4414CE82" w:rsidR="00480B61" w:rsidRDefault="004B6453">
      <w:pPr>
        <w:numPr>
          <w:ilvl w:val="0"/>
          <w:numId w:val="2"/>
        </w:numPr>
        <w:spacing w:after="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CMA respectfully urges the State Party to revisit the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xml:space="preserve"> to ensure that it strengt</w:t>
      </w:r>
      <w:r>
        <w:rPr>
          <w:rFonts w:ascii="Times New Roman" w:eastAsia="Times New Roman" w:hAnsi="Times New Roman" w:cs="Times New Roman"/>
          <w:sz w:val="24"/>
          <w:szCs w:val="24"/>
        </w:rPr>
        <w:t xml:space="preserve">hens the workers’ access to justice and not </w:t>
      </w:r>
      <w:r w:rsidR="002F0D7E">
        <w:rPr>
          <w:rFonts w:ascii="Times New Roman" w:eastAsia="Times New Roman" w:hAnsi="Times New Roman" w:cs="Times New Roman"/>
          <w:sz w:val="24"/>
          <w:szCs w:val="24"/>
        </w:rPr>
        <w:t>vice versa</w:t>
      </w:r>
      <w:r>
        <w:rPr>
          <w:rFonts w:ascii="Times New Roman" w:eastAsia="Times New Roman" w:hAnsi="Times New Roman" w:cs="Times New Roman"/>
          <w:sz w:val="24"/>
          <w:szCs w:val="24"/>
        </w:rPr>
        <w:t xml:space="preserve">. </w:t>
      </w:r>
    </w:p>
    <w:p w14:paraId="34EABECA" w14:textId="77777777" w:rsidR="00480B61" w:rsidRDefault="00480B61">
      <w:pPr>
        <w:spacing w:after="0"/>
        <w:ind w:left="720"/>
        <w:jc w:val="both"/>
        <w:rPr>
          <w:rFonts w:ascii="Times New Roman" w:eastAsia="Times New Roman" w:hAnsi="Times New Roman" w:cs="Times New Roman"/>
          <w:b/>
          <w:sz w:val="24"/>
          <w:szCs w:val="24"/>
        </w:rPr>
      </w:pPr>
    </w:p>
    <w:p w14:paraId="2CA60946" w14:textId="77777777" w:rsidR="00480B61" w:rsidRDefault="004B6453">
      <w:pPr>
        <w:spacing w:after="0"/>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 Data Collection for Evidence-based Policy </w:t>
      </w:r>
    </w:p>
    <w:p w14:paraId="78BE9D9D" w14:textId="77777777" w:rsidR="00480B61" w:rsidRDefault="00480B61">
      <w:pPr>
        <w:spacing w:after="0"/>
        <w:jc w:val="both"/>
        <w:rPr>
          <w:rFonts w:ascii="Times New Roman" w:eastAsia="Times New Roman" w:hAnsi="Times New Roman" w:cs="Times New Roman"/>
          <w:sz w:val="24"/>
          <w:szCs w:val="24"/>
        </w:rPr>
      </w:pPr>
    </w:p>
    <w:p w14:paraId="43B19269" w14:textId="6D432B37" w:rsidR="00480B61" w:rsidRDefault="004B645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glaring gap in migration governance of the State party is the availability of up-to-date sex-disaggregated data on the many facets of labor migration</w:t>
      </w:r>
      <w:r>
        <w:rPr>
          <w:rFonts w:ascii="Times New Roman" w:eastAsia="Times New Roman" w:hAnsi="Times New Roman" w:cs="Times New Roman"/>
          <w:sz w:val="24"/>
          <w:szCs w:val="24"/>
        </w:rPr>
        <w:t xml:space="preserve"> –not only in terms of deployment data but </w:t>
      </w:r>
      <w:r w:rsidR="002F0D7E">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skills and data on their human and labor rights abuses. RA8042 of 1995 provides for a Shared Government Information System on Migration (SGISM) that will collect comprehensive data on men and women OFWs, land</w:t>
      </w:r>
      <w:r>
        <w:rPr>
          <w:rFonts w:ascii="Times New Roman" w:eastAsia="Times New Roman" w:hAnsi="Times New Roman" w:cs="Times New Roman"/>
          <w:sz w:val="24"/>
          <w:szCs w:val="24"/>
        </w:rPr>
        <w:t xml:space="preserve">-and-sea-based, covering all stages of the migration cycle – </w:t>
      </w:r>
      <w:r w:rsidR="002F0D7E">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develop and put in place evidence-based policies, programs and services. To date, </w:t>
      </w:r>
      <w:r w:rsidR="002F0D7E">
        <w:rPr>
          <w:rFonts w:ascii="Times New Roman" w:eastAsia="Times New Roman" w:hAnsi="Times New Roman" w:cs="Times New Roman"/>
          <w:sz w:val="24"/>
          <w:szCs w:val="24"/>
        </w:rPr>
        <w:t xml:space="preserve">apart from one-off initiatives in the past, </w:t>
      </w:r>
      <w:r>
        <w:rPr>
          <w:rFonts w:ascii="Times New Roman" w:eastAsia="Times New Roman" w:hAnsi="Times New Roman" w:cs="Times New Roman"/>
          <w:sz w:val="24"/>
          <w:szCs w:val="24"/>
        </w:rPr>
        <w:t xml:space="preserve">the SGISM has not been implemented. </w:t>
      </w:r>
    </w:p>
    <w:p w14:paraId="78F57062" w14:textId="77777777" w:rsidR="00B649BA" w:rsidRDefault="00B649BA" w:rsidP="00B649BA">
      <w:pPr>
        <w:spacing w:after="0"/>
        <w:ind w:left="720"/>
        <w:jc w:val="both"/>
        <w:rPr>
          <w:rFonts w:ascii="Times New Roman" w:eastAsia="Times New Roman" w:hAnsi="Times New Roman" w:cs="Times New Roman"/>
          <w:sz w:val="24"/>
          <w:szCs w:val="24"/>
        </w:rPr>
      </w:pPr>
    </w:p>
    <w:p w14:paraId="5712E821" w14:textId="77777777" w:rsidR="00B649BA" w:rsidRPr="008D2BA3" w:rsidRDefault="00B649BA" w:rsidP="00B649BA">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CMA therefore recommends to the </w:t>
      </w:r>
      <w:r w:rsidRPr="008D2BA3">
        <w:rPr>
          <w:rFonts w:ascii="Times New Roman" w:eastAsia="Times New Roman" w:hAnsi="Times New Roman" w:cs="Times New Roman"/>
          <w:sz w:val="24"/>
          <w:szCs w:val="24"/>
        </w:rPr>
        <w:t>State Party</w:t>
      </w:r>
      <w:r>
        <w:rPr>
          <w:rFonts w:ascii="Times New Roman" w:eastAsia="Times New Roman" w:hAnsi="Times New Roman" w:cs="Times New Roman"/>
          <w:sz w:val="24"/>
          <w:szCs w:val="24"/>
        </w:rPr>
        <w:t xml:space="preserve">, through the Department of Migrant Workers to invest in the setting up of an efficient, up-to-date SGISM for data collection that may be shared as needed for informed policy and program development.  </w:t>
      </w:r>
    </w:p>
    <w:p w14:paraId="48E4E83A" w14:textId="77777777" w:rsidR="00B649BA" w:rsidRDefault="00B649BA" w:rsidP="00B649BA">
      <w:pPr>
        <w:spacing w:after="0"/>
        <w:ind w:left="720"/>
        <w:jc w:val="both"/>
        <w:rPr>
          <w:rFonts w:ascii="Times New Roman" w:eastAsia="Times New Roman" w:hAnsi="Times New Roman" w:cs="Times New Roman"/>
          <w:sz w:val="24"/>
          <w:szCs w:val="24"/>
        </w:rPr>
      </w:pPr>
    </w:p>
    <w:p w14:paraId="0E4AA216" w14:textId="77777777" w:rsidR="00480B61" w:rsidRDefault="00480B61">
      <w:pPr>
        <w:spacing w:after="0"/>
        <w:ind w:left="720"/>
        <w:jc w:val="both"/>
        <w:rPr>
          <w:rFonts w:ascii="Times New Roman" w:eastAsia="Times New Roman" w:hAnsi="Times New Roman" w:cs="Times New Roman"/>
          <w:sz w:val="24"/>
          <w:szCs w:val="24"/>
        </w:rPr>
      </w:pPr>
    </w:p>
    <w:p w14:paraId="6038D499" w14:textId="77777777" w:rsidR="00480B61" w:rsidRDefault="00480B61">
      <w:pPr>
        <w:spacing w:after="0"/>
        <w:jc w:val="both"/>
        <w:rPr>
          <w:rFonts w:ascii="Times New Roman" w:eastAsia="Times New Roman" w:hAnsi="Times New Roman" w:cs="Times New Roman"/>
          <w:sz w:val="24"/>
          <w:szCs w:val="24"/>
        </w:rPr>
      </w:pPr>
    </w:p>
    <w:p w14:paraId="7F40CAAB" w14:textId="77777777" w:rsidR="00480B61" w:rsidRDefault="00480B61">
      <w:pPr>
        <w:spacing w:after="0"/>
        <w:rPr>
          <w:rFonts w:ascii="Arial" w:eastAsia="Arial" w:hAnsi="Arial" w:cs="Arial"/>
        </w:rPr>
      </w:pPr>
    </w:p>
    <w:p w14:paraId="73AC0132" w14:textId="77777777" w:rsidR="00480B61" w:rsidRDefault="00480B61">
      <w:pPr>
        <w:spacing w:after="0"/>
        <w:rPr>
          <w:rFonts w:ascii="Arial" w:eastAsia="Arial" w:hAnsi="Arial" w:cs="Arial"/>
        </w:rPr>
      </w:pPr>
    </w:p>
    <w:p w14:paraId="28B6DDC4" w14:textId="77777777" w:rsidR="00480B61" w:rsidRDefault="00480B61">
      <w:pPr>
        <w:spacing w:after="0"/>
        <w:rPr>
          <w:rFonts w:ascii="Arial" w:eastAsia="Arial" w:hAnsi="Arial" w:cs="Arial"/>
        </w:rPr>
      </w:pPr>
    </w:p>
    <w:p w14:paraId="0A6672C3" w14:textId="77777777" w:rsidR="00480B61" w:rsidRDefault="00480B61">
      <w:pPr>
        <w:spacing w:after="0"/>
        <w:rPr>
          <w:rFonts w:ascii="Arial" w:eastAsia="Arial" w:hAnsi="Arial" w:cs="Arial"/>
        </w:rPr>
      </w:pPr>
    </w:p>
    <w:p w14:paraId="174D4C0E" w14:textId="77777777" w:rsidR="00480B61" w:rsidRDefault="00480B61">
      <w:pPr>
        <w:spacing w:after="0"/>
        <w:rPr>
          <w:rFonts w:ascii="Arial" w:eastAsia="Arial" w:hAnsi="Arial" w:cs="Arial"/>
        </w:rPr>
      </w:pPr>
    </w:p>
    <w:p w14:paraId="0B6B64D2" w14:textId="77777777" w:rsidR="00480B61" w:rsidRDefault="00480B61">
      <w:pPr>
        <w:spacing w:after="0"/>
        <w:rPr>
          <w:rFonts w:ascii="Arial" w:eastAsia="Arial" w:hAnsi="Arial" w:cs="Arial"/>
        </w:rPr>
      </w:pPr>
    </w:p>
    <w:p w14:paraId="32077474" w14:textId="77777777" w:rsidR="00480B61" w:rsidRDefault="00480B61">
      <w:pPr>
        <w:spacing w:after="0"/>
        <w:rPr>
          <w:rFonts w:ascii="Arial" w:eastAsia="Arial" w:hAnsi="Arial" w:cs="Arial"/>
        </w:rPr>
      </w:pPr>
    </w:p>
    <w:p w14:paraId="630B4767" w14:textId="77777777" w:rsidR="00480B61" w:rsidRDefault="00480B61">
      <w:pPr>
        <w:spacing w:after="0"/>
        <w:rPr>
          <w:rFonts w:ascii="Arial" w:eastAsia="Arial" w:hAnsi="Arial" w:cs="Arial"/>
        </w:rPr>
      </w:pPr>
    </w:p>
    <w:p w14:paraId="42BF1C46" w14:textId="77777777" w:rsidR="00480B61" w:rsidRDefault="00480B61">
      <w:pPr>
        <w:spacing w:after="0"/>
        <w:rPr>
          <w:rFonts w:ascii="Arial" w:eastAsia="Arial" w:hAnsi="Arial" w:cs="Arial"/>
        </w:rPr>
      </w:pPr>
    </w:p>
    <w:p w14:paraId="38AC8BD0" w14:textId="77777777" w:rsidR="00480B61" w:rsidRDefault="00480B61">
      <w:pPr>
        <w:spacing w:after="0"/>
        <w:rPr>
          <w:rFonts w:ascii="Arial" w:eastAsia="Arial" w:hAnsi="Arial" w:cs="Arial"/>
        </w:rPr>
      </w:pPr>
    </w:p>
    <w:p w14:paraId="4E7C70FF" w14:textId="77777777" w:rsidR="00480B61" w:rsidRDefault="00480B61">
      <w:pPr>
        <w:spacing w:after="0"/>
        <w:rPr>
          <w:rFonts w:ascii="Arial" w:eastAsia="Arial" w:hAnsi="Arial" w:cs="Arial"/>
        </w:rPr>
      </w:pPr>
    </w:p>
    <w:p w14:paraId="1707B697" w14:textId="77777777" w:rsidR="00480B61" w:rsidRDefault="00480B61">
      <w:pPr>
        <w:spacing w:after="0"/>
        <w:rPr>
          <w:rFonts w:ascii="Arial" w:eastAsia="Arial" w:hAnsi="Arial" w:cs="Arial"/>
        </w:rPr>
      </w:pPr>
    </w:p>
    <w:p w14:paraId="1DF46B11" w14:textId="77777777" w:rsidR="00480B61" w:rsidRDefault="00480B61">
      <w:pPr>
        <w:spacing w:after="0"/>
        <w:rPr>
          <w:rFonts w:ascii="Arial" w:eastAsia="Arial" w:hAnsi="Arial" w:cs="Arial"/>
        </w:rPr>
      </w:pPr>
    </w:p>
    <w:p w14:paraId="44BC2518" w14:textId="77777777" w:rsidR="00480B61" w:rsidRDefault="00480B61">
      <w:pPr>
        <w:spacing w:after="0"/>
        <w:rPr>
          <w:rFonts w:ascii="Arial" w:eastAsia="Arial" w:hAnsi="Arial" w:cs="Arial"/>
        </w:rPr>
      </w:pPr>
    </w:p>
    <w:p w14:paraId="00E7F339" w14:textId="77777777" w:rsidR="00480B61" w:rsidRDefault="00480B61">
      <w:pPr>
        <w:spacing w:after="0"/>
        <w:rPr>
          <w:rFonts w:ascii="Arial" w:eastAsia="Arial" w:hAnsi="Arial" w:cs="Arial"/>
        </w:rPr>
      </w:pPr>
      <w:bookmarkStart w:id="8" w:name="_heading=h.30j0zll" w:colFirst="0" w:colLast="0"/>
      <w:bookmarkEnd w:id="8"/>
    </w:p>
    <w:sectPr w:rsidR="00480B61">
      <w:headerReference w:type="default" r:id="rId10"/>
      <w:headerReference w:type="first" r:id="rId11"/>
      <w:pgSz w:w="11907" w:h="16839"/>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C5192" w14:textId="77777777" w:rsidR="001E0CCD" w:rsidRDefault="001E0CCD">
      <w:pPr>
        <w:spacing w:after="0" w:line="240" w:lineRule="auto"/>
      </w:pPr>
      <w:r>
        <w:separator/>
      </w:r>
    </w:p>
  </w:endnote>
  <w:endnote w:type="continuationSeparator" w:id="0">
    <w:p w14:paraId="706D5C69" w14:textId="77777777" w:rsidR="001E0CCD" w:rsidRDefault="001E0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71CAF" w14:textId="77777777" w:rsidR="001E0CCD" w:rsidRDefault="001E0CCD">
      <w:pPr>
        <w:spacing w:after="0" w:line="240" w:lineRule="auto"/>
      </w:pPr>
      <w:r>
        <w:separator/>
      </w:r>
    </w:p>
  </w:footnote>
  <w:footnote w:type="continuationSeparator" w:id="0">
    <w:p w14:paraId="081CFBB6" w14:textId="77777777" w:rsidR="001E0CCD" w:rsidRDefault="001E0CCD">
      <w:pPr>
        <w:spacing w:after="0" w:line="240" w:lineRule="auto"/>
      </w:pPr>
      <w:r>
        <w:continuationSeparator/>
      </w:r>
    </w:p>
  </w:footnote>
  <w:footnote w:id="1">
    <w:p w14:paraId="4F0F9FA4" w14:textId="77777777" w:rsidR="00480B61" w:rsidRDefault="004B6453">
      <w:pPr>
        <w:spacing w:after="0"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This submission may be posted in the </w:t>
      </w:r>
      <w:proofErr w:type="gramStart"/>
      <w:r>
        <w:rPr>
          <w:rFonts w:ascii="Times New Roman" w:eastAsia="Times New Roman" w:hAnsi="Times New Roman" w:cs="Times New Roman"/>
          <w:sz w:val="16"/>
          <w:szCs w:val="16"/>
        </w:rPr>
        <w:t>OHCHR  webpage</w:t>
      </w:r>
      <w:proofErr w:type="gramEnd"/>
      <w:r>
        <w:rPr>
          <w:rFonts w:ascii="Times New Roman" w:eastAsia="Times New Roman" w:hAnsi="Times New Roman" w:cs="Times New Roman"/>
          <w:sz w:val="16"/>
          <w:szCs w:val="16"/>
        </w:rPr>
        <w:t xml:space="preserve"> for CEDAW  public information purposes. </w:t>
      </w:r>
    </w:p>
  </w:footnote>
  <w:footnote w:id="2">
    <w:p w14:paraId="256C32AB" w14:textId="77777777" w:rsidR="00480B61" w:rsidRDefault="004B6453">
      <w:pPr>
        <w:spacing w:after="0"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6"/>
          <w:szCs w:val="16"/>
        </w:rPr>
        <w:t xml:space="preserve"> The online consultation took place last August 29, 2023. It was participated in by some 26 individuals representing migrant organizations in the country </w:t>
      </w:r>
      <w:r>
        <w:rPr>
          <w:rFonts w:ascii="Times New Roman" w:eastAsia="Times New Roman" w:hAnsi="Times New Roman" w:cs="Times New Roman"/>
          <w:sz w:val="16"/>
          <w:szCs w:val="16"/>
        </w:rPr>
        <w:t>and overseas, migrant workers, and other relevant stakeholders.</w:t>
      </w:r>
      <w:r>
        <w:rPr>
          <w:rFonts w:ascii="Times New Roman" w:eastAsia="Times New Roman" w:hAnsi="Times New Roman" w:cs="Times New Roman"/>
          <w:sz w:val="18"/>
          <w:szCs w:val="18"/>
        </w:rPr>
        <w:t xml:space="preserve"> </w:t>
      </w:r>
    </w:p>
  </w:footnote>
  <w:footnote w:id="3">
    <w:p w14:paraId="42E086AA" w14:textId="77777777" w:rsidR="00480B61" w:rsidRDefault="004B6453">
      <w:pPr>
        <w:spacing w:after="0"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“…It is our wish that one day foreign employment will be driven by choice, not by necessity. It remains a noble calling that our OFWs have answered, requiring great sacrifice from them, the</w:t>
      </w:r>
      <w:r>
        <w:rPr>
          <w:rFonts w:ascii="Times New Roman" w:eastAsia="Times New Roman" w:hAnsi="Times New Roman" w:cs="Times New Roman"/>
          <w:sz w:val="16"/>
          <w:szCs w:val="16"/>
        </w:rPr>
        <w:t xml:space="preserve">ir families, and their communities…” President Ferdinand Marcos, Jr. State of the Nation Address. July 24, 2023. </w:t>
      </w:r>
    </w:p>
  </w:footnote>
  <w:footnote w:id="4">
    <w:p w14:paraId="3A9AF89B"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PIDS Discussion Paper Series No. 2019-02 titled “Counting Women’s Work in the Philippines” written by Michael R.M. Abrigo and Kris Francisco</w:t>
      </w:r>
      <w:r>
        <w:rPr>
          <w:rFonts w:ascii="Times New Roman" w:eastAsia="Times New Roman" w:hAnsi="Times New Roman" w:cs="Times New Roman"/>
          <w:sz w:val="16"/>
          <w:szCs w:val="16"/>
        </w:rPr>
        <w:t>-Abrigo</w:t>
      </w:r>
    </w:p>
    <w:p w14:paraId="66402BC5" w14:textId="77777777" w:rsidR="00480B61" w:rsidRDefault="004B6453">
      <w:pPr>
        <w:spacing w:after="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https://pidswebs.pids.gov.ph/CDN/PUBLICATIONS/pidsdps1902.pdf</w:t>
      </w:r>
    </w:p>
  </w:footnote>
  <w:footnote w:id="5">
    <w:p w14:paraId="46DC2020" w14:textId="7B6F78A0"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
        <w:r>
          <w:rPr>
            <w:rFonts w:ascii="Times New Roman" w:eastAsia="Times New Roman" w:hAnsi="Times New Roman" w:cs="Times New Roman"/>
            <w:color w:val="1155CC"/>
            <w:sz w:val="16"/>
            <w:szCs w:val="16"/>
            <w:u w:val="single"/>
          </w:rPr>
          <w:t>https://www.officialgazette.gov.ph/2022/06/02/republic-act-no-11862/</w:t>
        </w:r>
      </w:hyperlink>
      <w:r w:rsidR="009025BF">
        <w:rPr>
          <w:rFonts w:ascii="Times New Roman" w:eastAsia="Times New Roman" w:hAnsi="Times New Roman" w:cs="Times New Roman"/>
          <w:color w:val="1155CC"/>
          <w:sz w:val="16"/>
          <w:szCs w:val="16"/>
          <w:u w:val="single"/>
        </w:rPr>
        <w:t>. Underscore by CMA.</w:t>
      </w:r>
    </w:p>
  </w:footnote>
  <w:footnote w:id="6">
    <w:p w14:paraId="05C93343"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2">
        <w:r>
          <w:rPr>
            <w:rFonts w:ascii="Times New Roman" w:eastAsia="Times New Roman" w:hAnsi="Times New Roman" w:cs="Times New Roman"/>
            <w:color w:val="1155CC"/>
            <w:sz w:val="16"/>
            <w:szCs w:val="16"/>
            <w:u w:val="single"/>
          </w:rPr>
          <w:t>https://www.sunstar.com.ph/article/1935128/manila/local-news/2000-household-service-</w:t>
        </w:r>
        <w:r>
          <w:rPr>
            <w:rFonts w:ascii="Times New Roman" w:eastAsia="Times New Roman" w:hAnsi="Times New Roman" w:cs="Times New Roman"/>
            <w:color w:val="1155CC"/>
            <w:sz w:val="16"/>
            <w:szCs w:val="16"/>
            <w:u w:val="single"/>
          </w:rPr>
          <w:t>workers-seen-stranded-due-to-new-age-limit</w:t>
        </w:r>
      </w:hyperlink>
    </w:p>
  </w:footnote>
  <w:footnote w:id="7">
    <w:p w14:paraId="12C03755"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3">
        <w:r>
          <w:rPr>
            <w:rFonts w:ascii="Times New Roman" w:eastAsia="Times New Roman" w:hAnsi="Times New Roman" w:cs="Times New Roman"/>
            <w:color w:val="1155CC"/>
            <w:sz w:val="16"/>
            <w:szCs w:val="16"/>
            <w:u w:val="single"/>
          </w:rPr>
          <w:t>https://psa.gov.ph/statistics/survey/labor-and-employment/survey-overseas-filipinos</w:t>
        </w:r>
      </w:hyperlink>
      <w:r>
        <w:rPr>
          <w:rFonts w:ascii="Times New Roman" w:eastAsia="Times New Roman" w:hAnsi="Times New Roman" w:cs="Times New Roman"/>
          <w:sz w:val="16"/>
          <w:szCs w:val="16"/>
        </w:rPr>
        <w:t xml:space="preserve"> </w:t>
      </w:r>
    </w:p>
  </w:footnote>
  <w:footnote w:id="8">
    <w:p w14:paraId="73176EE0"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UN Convention on the Elimination of</w:t>
      </w:r>
      <w:r>
        <w:rPr>
          <w:rFonts w:ascii="Times New Roman" w:eastAsia="Times New Roman" w:hAnsi="Times New Roman" w:cs="Times New Roman"/>
          <w:sz w:val="16"/>
          <w:szCs w:val="16"/>
        </w:rPr>
        <w:t xml:space="preserve"> All Forms of Discrimination Against Women, Article 1 which elaborates on “discrimination against women" shall mean any distinction, exclusion or restriction made on the basis of sex which has the effect or purpose of impairing or nullifying the recognitio</w:t>
      </w:r>
      <w:r>
        <w:rPr>
          <w:rFonts w:ascii="Times New Roman" w:eastAsia="Times New Roman" w:hAnsi="Times New Roman" w:cs="Times New Roman"/>
          <w:sz w:val="16"/>
          <w:szCs w:val="16"/>
        </w:rPr>
        <w:t xml:space="preserve">n, enjoyment or exercise by women, irrespective of their marital status, on a basis of equality of men and women, of human rights and fundamental freedoms in the political, economic, social, cultural, civil or any other field. Article 2f </w:t>
      </w:r>
      <w:proofErr w:type="gramStart"/>
      <w:r>
        <w:rPr>
          <w:rFonts w:ascii="Times New Roman" w:eastAsia="Times New Roman" w:hAnsi="Times New Roman" w:cs="Times New Roman"/>
          <w:sz w:val="16"/>
          <w:szCs w:val="16"/>
        </w:rPr>
        <w:t>To</w:t>
      </w:r>
      <w:proofErr w:type="gramEnd"/>
      <w:r>
        <w:rPr>
          <w:rFonts w:ascii="Times New Roman" w:eastAsia="Times New Roman" w:hAnsi="Times New Roman" w:cs="Times New Roman"/>
          <w:sz w:val="16"/>
          <w:szCs w:val="16"/>
        </w:rPr>
        <w:t xml:space="preserve"> take all approp</w:t>
      </w:r>
      <w:r>
        <w:rPr>
          <w:rFonts w:ascii="Times New Roman" w:eastAsia="Times New Roman" w:hAnsi="Times New Roman" w:cs="Times New Roman"/>
          <w:sz w:val="16"/>
          <w:szCs w:val="16"/>
        </w:rPr>
        <w:t>riate measures, including legislation, to modify or abolish existing laws, regulations, customs and practices which constitute discrimination against women</w:t>
      </w:r>
    </w:p>
    <w:p w14:paraId="65056DA6" w14:textId="77777777" w:rsidR="00480B61" w:rsidRDefault="004B6453">
      <w:pPr>
        <w:spacing w:after="0"/>
        <w:jc w:val="both"/>
        <w:rPr>
          <w:rFonts w:ascii="Times New Roman" w:eastAsia="Times New Roman" w:hAnsi="Times New Roman" w:cs="Times New Roman"/>
          <w:sz w:val="16"/>
          <w:szCs w:val="16"/>
        </w:rPr>
      </w:pPr>
      <w:hyperlink r:id="rId4">
        <w:r>
          <w:rPr>
            <w:rFonts w:ascii="Times New Roman" w:eastAsia="Times New Roman" w:hAnsi="Times New Roman" w:cs="Times New Roman"/>
            <w:color w:val="1155CC"/>
            <w:sz w:val="16"/>
            <w:szCs w:val="16"/>
            <w:u w:val="single"/>
          </w:rPr>
          <w:t>https://www.ohchr.org/en/instruments-mechanisms/instruments/convention-elimination-all-forms-discrimination-against-women</w:t>
        </w:r>
      </w:hyperlink>
      <w:r>
        <w:rPr>
          <w:rFonts w:ascii="Times New Roman" w:eastAsia="Times New Roman" w:hAnsi="Times New Roman" w:cs="Times New Roman"/>
          <w:sz w:val="16"/>
          <w:szCs w:val="16"/>
        </w:rPr>
        <w:t>;</w:t>
      </w:r>
    </w:p>
    <w:p w14:paraId="1C4C7743" w14:textId="77777777" w:rsidR="00480B61" w:rsidRDefault="004B6453">
      <w:pPr>
        <w:spacing w:after="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Further, under CEDAW General Recommendation 26 on Women Mig</w:t>
      </w:r>
      <w:r>
        <w:rPr>
          <w:rFonts w:ascii="Times New Roman" w:eastAsia="Times New Roman" w:hAnsi="Times New Roman" w:cs="Times New Roman"/>
          <w:sz w:val="16"/>
          <w:szCs w:val="16"/>
        </w:rPr>
        <w:t>rant Workers, Paragraph 24a recommendation to countries of origin states are urged to lift discriminatory bans or restrictions on migration: States parties should repeal sex-specific bans and discriminatory restrictions on women’s migration on the basis of</w:t>
      </w:r>
      <w:r>
        <w:rPr>
          <w:rFonts w:ascii="Times New Roman" w:eastAsia="Times New Roman" w:hAnsi="Times New Roman" w:cs="Times New Roman"/>
          <w:sz w:val="16"/>
          <w:szCs w:val="16"/>
        </w:rPr>
        <w:t xml:space="preserve"> age, marital status, pregnancy or maternity status. They should lift restrictions that require women to get permission from their spouse or male guardian to obtain a passport or to travel (article 2 (f));  </w:t>
      </w:r>
      <w:hyperlink r:id="rId5">
        <w:r>
          <w:rPr>
            <w:rFonts w:ascii="Times New Roman" w:eastAsia="Times New Roman" w:hAnsi="Times New Roman" w:cs="Times New Roman"/>
            <w:color w:val="1155CC"/>
            <w:sz w:val="16"/>
            <w:szCs w:val="16"/>
            <w:u w:val="single"/>
          </w:rPr>
          <w:t>https://tbinternet.ohchr.org/Treaties/CEDAW/Shared%20Documents/1_Global/CEDAW_C_2009_WP-1_R_7138_E.pdf</w:t>
        </w:r>
      </w:hyperlink>
    </w:p>
  </w:footnote>
  <w:footnote w:id="9">
    <w:p w14:paraId="3C8805C7"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Convention on the Rights of the Child, Artic</w:t>
      </w:r>
      <w:r>
        <w:rPr>
          <w:rFonts w:ascii="Times New Roman" w:eastAsia="Times New Roman" w:hAnsi="Times New Roman" w:cs="Times New Roman"/>
          <w:sz w:val="16"/>
          <w:szCs w:val="16"/>
        </w:rPr>
        <w:t>le 1 states that “a child means every human being below the age of eighteen years unless under the law applicable to the child, majority is attained earlier.”</w:t>
      </w:r>
      <w:hyperlink r:id="rId6">
        <w:r>
          <w:rPr>
            <w:rFonts w:ascii="Times New Roman" w:eastAsia="Times New Roman" w:hAnsi="Times New Roman" w:cs="Times New Roman"/>
            <w:color w:val="1155CC"/>
            <w:sz w:val="16"/>
            <w:szCs w:val="16"/>
            <w:u w:val="single"/>
          </w:rPr>
          <w:t xml:space="preserve"> https://www.ohchr.org/en/instruments-mechanisms/instruments/convention-rights-child</w:t>
        </w:r>
      </w:hyperlink>
    </w:p>
  </w:footnote>
  <w:footnote w:id="10">
    <w:p w14:paraId="49528539"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ILO Convention on Minimum Age Article 3, 11. The minimum age for admission to any type of employment or work which by its nature o</w:t>
      </w:r>
      <w:r>
        <w:rPr>
          <w:rFonts w:ascii="Times New Roman" w:eastAsia="Times New Roman" w:hAnsi="Times New Roman" w:cs="Times New Roman"/>
          <w:sz w:val="16"/>
          <w:szCs w:val="16"/>
        </w:rPr>
        <w:t xml:space="preserve">r the circumstances in which it is carried out is likely to </w:t>
      </w:r>
      <w:proofErr w:type="spellStart"/>
      <w:r>
        <w:rPr>
          <w:rFonts w:ascii="Times New Roman" w:eastAsia="Times New Roman" w:hAnsi="Times New Roman" w:cs="Times New Roman"/>
          <w:sz w:val="16"/>
          <w:szCs w:val="16"/>
        </w:rPr>
        <w:t>jeopardise</w:t>
      </w:r>
      <w:proofErr w:type="spellEnd"/>
      <w:r>
        <w:rPr>
          <w:rFonts w:ascii="Times New Roman" w:eastAsia="Times New Roman" w:hAnsi="Times New Roman" w:cs="Times New Roman"/>
          <w:sz w:val="16"/>
          <w:szCs w:val="16"/>
        </w:rPr>
        <w:t xml:space="preserve"> the health, safety or morals of young persons shall not be less than 18 years. The Philippines specified 15 years old as the working age when it ratified C138 in June 1998. </w:t>
      </w:r>
      <w:hyperlink r:id="rId7">
        <w:r>
          <w:rPr>
            <w:rFonts w:ascii="Times New Roman" w:eastAsia="Times New Roman" w:hAnsi="Times New Roman" w:cs="Times New Roman"/>
            <w:color w:val="1155CC"/>
            <w:sz w:val="16"/>
            <w:szCs w:val="16"/>
            <w:u w:val="single"/>
          </w:rPr>
          <w:t>https://www.ilo.org/dyn/normlex/en/f?p=1000:11200:0::NO:11200:P11200_COUNTRY_ID:102970</w:t>
        </w:r>
      </w:hyperlink>
    </w:p>
  </w:footnote>
  <w:footnote w:id="11">
    <w:p w14:paraId="7DCDC50E"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ILO Convention 189 on Decent Work for Do</w:t>
      </w:r>
      <w:r>
        <w:rPr>
          <w:rFonts w:ascii="Times New Roman" w:eastAsia="Times New Roman" w:hAnsi="Times New Roman" w:cs="Times New Roman"/>
          <w:sz w:val="16"/>
          <w:szCs w:val="16"/>
        </w:rPr>
        <w:t xml:space="preserve">mestic Workers Article 4 states: </w:t>
      </w:r>
    </w:p>
    <w:p w14:paraId="5A0D92C2" w14:textId="77777777" w:rsidR="00480B61" w:rsidRDefault="004B6453">
      <w:pPr>
        <w:spacing w:after="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 Each Member shall set a minimum age for domestic workers consistent with the provisions of the Minimum Age Convention, 1973 (No. 138), and the Worst Forms of Child </w:t>
      </w:r>
      <w:proofErr w:type="spellStart"/>
      <w:r>
        <w:rPr>
          <w:rFonts w:ascii="Times New Roman" w:eastAsia="Times New Roman" w:hAnsi="Times New Roman" w:cs="Times New Roman"/>
          <w:sz w:val="16"/>
          <w:szCs w:val="16"/>
        </w:rPr>
        <w:t>Labour</w:t>
      </w:r>
      <w:proofErr w:type="spellEnd"/>
      <w:r>
        <w:rPr>
          <w:rFonts w:ascii="Times New Roman" w:eastAsia="Times New Roman" w:hAnsi="Times New Roman" w:cs="Times New Roman"/>
          <w:sz w:val="16"/>
          <w:szCs w:val="16"/>
        </w:rPr>
        <w:t xml:space="preserve"> Convention, 1999 (No. 182), and not lower than t</w:t>
      </w:r>
      <w:r>
        <w:rPr>
          <w:rFonts w:ascii="Times New Roman" w:eastAsia="Times New Roman" w:hAnsi="Times New Roman" w:cs="Times New Roman"/>
          <w:sz w:val="16"/>
          <w:szCs w:val="16"/>
        </w:rPr>
        <w:t xml:space="preserve">hat established by national laws and regulations for workers generally. </w:t>
      </w:r>
    </w:p>
    <w:p w14:paraId="55C4133D" w14:textId="77777777" w:rsidR="00480B61" w:rsidRDefault="004B6453">
      <w:pPr>
        <w:spacing w:after="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2. Each Member shall take measures to ensure that work performed by domestic workers who are under the age of 18 and above the minimum age of employment does not deprive them of compulsory education, or interfere with opportunities to participate in furthe</w:t>
      </w:r>
      <w:r>
        <w:rPr>
          <w:rFonts w:ascii="Times New Roman" w:eastAsia="Times New Roman" w:hAnsi="Times New Roman" w:cs="Times New Roman"/>
          <w:sz w:val="16"/>
          <w:szCs w:val="16"/>
        </w:rPr>
        <w:t xml:space="preserve">r education or vocational training. </w:t>
      </w:r>
      <w:hyperlink r:id="rId8">
        <w:r>
          <w:rPr>
            <w:rFonts w:ascii="Times New Roman" w:eastAsia="Times New Roman" w:hAnsi="Times New Roman" w:cs="Times New Roman"/>
            <w:color w:val="1155CC"/>
            <w:sz w:val="16"/>
            <w:szCs w:val="16"/>
            <w:u w:val="single"/>
          </w:rPr>
          <w:t>https://www.ilo.org/dyn/normlex/en/f?p=NORMLEXPUB:12100:0::NO::P12100_ILO_CODE:C189</w:t>
        </w:r>
      </w:hyperlink>
    </w:p>
  </w:footnote>
  <w:footnote w:id="12">
    <w:p w14:paraId="5E22E12D"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hyperlink r:id="rId9">
        <w:r>
          <w:rPr>
            <w:rFonts w:ascii="Times New Roman" w:eastAsia="Times New Roman" w:hAnsi="Times New Roman" w:cs="Times New Roman"/>
            <w:color w:val="1155CC"/>
            <w:sz w:val="16"/>
            <w:szCs w:val="16"/>
            <w:u w:val="single"/>
          </w:rPr>
          <w:t>https://www.o</w:t>
        </w:r>
        <w:r>
          <w:rPr>
            <w:rFonts w:ascii="Times New Roman" w:eastAsia="Times New Roman" w:hAnsi="Times New Roman" w:cs="Times New Roman"/>
            <w:color w:val="1155CC"/>
            <w:sz w:val="16"/>
            <w:szCs w:val="16"/>
            <w:u w:val="single"/>
          </w:rPr>
          <w:t>fficialgazette.gov.ph/downloads/2023/08aug/2023_Revised_IACAT_Guidelines_on_Departure_Formalities_for_International-Bound_Filipino_Passengers.pdf?fbclid=IwAR2F9TgmPCtXLPuIbhFPaqwwpX85jhaZiaU6WfT03N1XPXSOTmCnUy2By68</w:t>
        </w:r>
      </w:hyperlink>
      <w:r>
        <w:rPr>
          <w:rFonts w:ascii="Times New Roman" w:eastAsia="Times New Roman" w:hAnsi="Times New Roman" w:cs="Times New Roman"/>
          <w:sz w:val="16"/>
          <w:szCs w:val="16"/>
        </w:rPr>
        <w:t xml:space="preserve"> </w:t>
      </w:r>
    </w:p>
  </w:footnote>
  <w:footnote w:id="13">
    <w:p w14:paraId="7B256944"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0">
        <w:r>
          <w:rPr>
            <w:rFonts w:ascii="Times New Roman" w:eastAsia="Times New Roman" w:hAnsi="Times New Roman" w:cs="Times New Roman"/>
            <w:color w:val="1155CC"/>
            <w:sz w:val="16"/>
            <w:szCs w:val="16"/>
            <w:u w:val="single"/>
          </w:rPr>
          <w:t>https://www.rappler.com/nation/doj-apologizes-failed-communication-revised-immigration-requirements/</w:t>
        </w:r>
      </w:hyperlink>
      <w:r>
        <w:rPr>
          <w:rFonts w:ascii="Times New Roman" w:eastAsia="Times New Roman" w:hAnsi="Times New Roman" w:cs="Times New Roman"/>
          <w:sz w:val="16"/>
          <w:szCs w:val="16"/>
        </w:rPr>
        <w:t xml:space="preserve"> </w:t>
      </w:r>
    </w:p>
  </w:footnote>
  <w:footnote w:id="14">
    <w:p w14:paraId="65444173"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1">
        <w:r>
          <w:rPr>
            <w:rFonts w:ascii="Times New Roman" w:eastAsia="Times New Roman" w:hAnsi="Times New Roman" w:cs="Times New Roman"/>
            <w:color w:val="1155CC"/>
            <w:sz w:val="16"/>
            <w:szCs w:val="16"/>
            <w:u w:val="single"/>
          </w:rPr>
          <w:t>https://www.un.org/en/about-us/universal-declaration-of-human-rights</w:t>
        </w:r>
      </w:hyperlink>
      <w:r>
        <w:rPr>
          <w:rFonts w:ascii="Times New Roman" w:eastAsia="Times New Roman" w:hAnsi="Times New Roman" w:cs="Times New Roman"/>
          <w:sz w:val="16"/>
          <w:szCs w:val="16"/>
        </w:rPr>
        <w:t xml:space="preserve"> </w:t>
      </w:r>
    </w:p>
  </w:footnote>
  <w:footnote w:id="15">
    <w:p w14:paraId="068FBA6A"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2">
        <w:r>
          <w:rPr>
            <w:rFonts w:ascii="Times New Roman" w:eastAsia="Times New Roman" w:hAnsi="Times New Roman" w:cs="Times New Roman"/>
            <w:color w:val="1155CC"/>
            <w:sz w:val="16"/>
            <w:szCs w:val="16"/>
            <w:u w:val="single"/>
          </w:rPr>
          <w:t>https://www.officialgazette.gov.ph/2010/03/10/republic-act-no-10022-s-2010/</w:t>
        </w:r>
      </w:hyperlink>
      <w:r>
        <w:rPr>
          <w:rFonts w:ascii="Times New Roman" w:eastAsia="Times New Roman" w:hAnsi="Times New Roman" w:cs="Times New Roman"/>
          <w:sz w:val="16"/>
          <w:szCs w:val="16"/>
        </w:rPr>
        <w:t xml:space="preserve"> </w:t>
      </w:r>
    </w:p>
  </w:footnote>
  <w:footnote w:id="16">
    <w:p w14:paraId="52EF1B9F"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1155CC"/>
            <w:sz w:val="16"/>
            <w:szCs w:val="16"/>
            <w:u w:val="single"/>
          </w:rPr>
          <w:t>https://ww</w:t>
        </w:r>
        <w:r>
          <w:rPr>
            <w:rFonts w:ascii="Times New Roman" w:eastAsia="Times New Roman" w:hAnsi="Times New Roman" w:cs="Times New Roman"/>
            <w:color w:val="1155CC"/>
            <w:sz w:val="16"/>
            <w:szCs w:val="16"/>
            <w:u w:val="single"/>
          </w:rPr>
          <w:t>w.rappler.com/nation/overseas-filipinos/ofws-died-hands-employers-kuwait/</w:t>
        </w:r>
      </w:hyperlink>
      <w:r>
        <w:rPr>
          <w:rFonts w:ascii="Times New Roman" w:eastAsia="Times New Roman" w:hAnsi="Times New Roman" w:cs="Times New Roman"/>
          <w:sz w:val="16"/>
          <w:szCs w:val="16"/>
        </w:rPr>
        <w:t xml:space="preserve"> </w:t>
      </w:r>
    </w:p>
  </w:footnote>
  <w:footnote w:id="17">
    <w:p w14:paraId="3A03758F"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Committee Report of the Senate Committees on Migrant Workers and Foreign Relations on the public hearing conducted on February 8, 2023 on the c</w:t>
      </w:r>
      <w:r>
        <w:rPr>
          <w:rFonts w:ascii="Times New Roman" w:eastAsia="Times New Roman" w:hAnsi="Times New Roman" w:cs="Times New Roman"/>
          <w:sz w:val="16"/>
          <w:szCs w:val="16"/>
        </w:rPr>
        <w:t xml:space="preserve">ase of </w:t>
      </w:r>
      <w:proofErr w:type="spellStart"/>
      <w:r>
        <w:rPr>
          <w:rFonts w:ascii="Times New Roman" w:eastAsia="Times New Roman" w:hAnsi="Times New Roman" w:cs="Times New Roman"/>
          <w:sz w:val="16"/>
          <w:szCs w:val="16"/>
        </w:rPr>
        <w:t>Jullebee</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Ranara</w:t>
      </w:r>
      <w:proofErr w:type="spellEnd"/>
      <w:r>
        <w:rPr>
          <w:rFonts w:ascii="Times New Roman" w:eastAsia="Times New Roman" w:hAnsi="Times New Roman" w:cs="Times New Roman"/>
          <w:sz w:val="16"/>
          <w:szCs w:val="16"/>
        </w:rPr>
        <w:t xml:space="preserve">. </w:t>
      </w:r>
    </w:p>
  </w:footnote>
  <w:footnote w:id="18">
    <w:p w14:paraId="31C1BDC6"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Philippine Dissemination of the World Development Report 2023: Managing the Social Impacts of Labor Migration: The Philippine Experience on the Feminization of Migration. Atty. Melanie H. Quino, OWWA Deputy Administrator for Oper</w:t>
      </w:r>
      <w:r>
        <w:rPr>
          <w:rFonts w:ascii="Times New Roman" w:eastAsia="Times New Roman" w:hAnsi="Times New Roman" w:cs="Times New Roman"/>
          <w:sz w:val="16"/>
          <w:szCs w:val="16"/>
        </w:rPr>
        <w:t>ations. July 10, 2023.</w:t>
      </w:r>
    </w:p>
  </w:footnote>
  <w:footnote w:id="19">
    <w:p w14:paraId="709A3210"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4">
        <w:r>
          <w:rPr>
            <w:rFonts w:ascii="Times New Roman" w:eastAsia="Times New Roman" w:hAnsi="Times New Roman" w:cs="Times New Roman"/>
            <w:color w:val="1155CC"/>
            <w:sz w:val="16"/>
            <w:szCs w:val="16"/>
            <w:u w:val="single"/>
          </w:rPr>
          <w:t>https://www.pna.gov.ph/articles/1194540</w:t>
        </w:r>
      </w:hyperlink>
      <w:r>
        <w:rPr>
          <w:rFonts w:ascii="Times New Roman" w:eastAsia="Times New Roman" w:hAnsi="Times New Roman" w:cs="Times New Roman"/>
          <w:sz w:val="16"/>
          <w:szCs w:val="16"/>
        </w:rPr>
        <w:t xml:space="preserve"> </w:t>
      </w:r>
    </w:p>
  </w:footnote>
  <w:footnote w:id="20">
    <w:p w14:paraId="667F878C" w14:textId="77777777" w:rsidR="00480B61" w:rsidRDefault="004B6453">
      <w:pPr>
        <w:spacing w:after="0"/>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Center for Migrant </w:t>
      </w:r>
      <w:proofErr w:type="spellStart"/>
      <w:r>
        <w:rPr>
          <w:rFonts w:ascii="Times New Roman" w:eastAsia="Times New Roman" w:hAnsi="Times New Roman" w:cs="Times New Roman"/>
          <w:sz w:val="16"/>
          <w:szCs w:val="16"/>
        </w:rPr>
        <w:t>Advocacy,“Translating</w:t>
      </w:r>
      <w:proofErr w:type="spellEnd"/>
      <w:r>
        <w:rPr>
          <w:rFonts w:ascii="Times New Roman" w:eastAsia="Times New Roman" w:hAnsi="Times New Roman" w:cs="Times New Roman"/>
          <w:sz w:val="16"/>
          <w:szCs w:val="16"/>
        </w:rPr>
        <w:t xml:space="preserve"> Rights: A Study on Bilateral Labor Agreements Between the Philippines and Saudi Arabia, Jordan, and Lebanon,” 2020, Available at: </w:t>
      </w:r>
      <w:hyperlink r:id="rId15">
        <w:r>
          <w:rPr>
            <w:rFonts w:ascii="Times New Roman" w:eastAsia="Times New Roman" w:hAnsi="Times New Roman" w:cs="Times New Roman"/>
            <w:color w:val="1155CC"/>
            <w:sz w:val="16"/>
            <w:szCs w:val="16"/>
            <w:u w:val="single"/>
          </w:rPr>
          <w:t>https://centerformigrantadvo</w:t>
        </w:r>
        <w:r>
          <w:rPr>
            <w:rFonts w:ascii="Times New Roman" w:eastAsia="Times New Roman" w:hAnsi="Times New Roman" w:cs="Times New Roman"/>
            <w:color w:val="1155CC"/>
            <w:sz w:val="16"/>
            <w:szCs w:val="16"/>
            <w:u w:val="single"/>
          </w:rPr>
          <w:t>cacy.files.wordpress.com/2021/01/bla-study-v.-2.pdf</w:t>
        </w:r>
      </w:hyperlink>
    </w:p>
  </w:footnote>
  <w:footnote w:id="21">
    <w:p w14:paraId="457FE9E3" w14:textId="77777777" w:rsidR="00480B61" w:rsidRDefault="004B6453">
      <w:pPr>
        <w:spacing w:after="0"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https://centerformigrantadvocacy.com/migrant-domestic-workers-access-to-justice-2018/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D931" w14:textId="77777777" w:rsidR="00480B61" w:rsidRDefault="004B6453">
    <w:pPr>
      <w:pBdr>
        <w:top w:val="nil"/>
        <w:left w:val="nil"/>
        <w:bottom w:val="nil"/>
        <w:right w:val="nil"/>
        <w:between w:val="nil"/>
      </w:pBdr>
      <w:tabs>
        <w:tab w:val="center" w:pos="4680"/>
        <w:tab w:val="right" w:pos="9360"/>
        <w:tab w:val="left" w:pos="2535"/>
        <w:tab w:val="center" w:pos="4513"/>
      </w:tabs>
      <w:spacing w:after="0" w:line="240" w:lineRule="auto"/>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5A3EA" w14:textId="77777777" w:rsidR="00480B61" w:rsidRDefault="00480B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957E9"/>
    <w:multiLevelType w:val="multilevel"/>
    <w:tmpl w:val="41BEA8EC"/>
    <w:lvl w:ilvl="0">
      <w:start w:val="1"/>
      <w:numFmt w:val="upperRoman"/>
      <w:lvlText w:val="%1."/>
      <w:lvlJc w:val="right"/>
      <w:pPr>
        <w:ind w:left="720" w:hanging="360"/>
      </w:pPr>
      <w:rPr>
        <w:color w:val="FFFFFF" w:themeColor="background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8524452"/>
    <w:multiLevelType w:val="multilevel"/>
    <w:tmpl w:val="775475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97C5698"/>
    <w:multiLevelType w:val="multilevel"/>
    <w:tmpl w:val="B0C89B8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57350895">
    <w:abstractNumId w:val="0"/>
  </w:num>
  <w:num w:numId="2" w16cid:durableId="1769347922">
    <w:abstractNumId w:val="1"/>
  </w:num>
  <w:num w:numId="3" w16cid:durableId="1996108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B61"/>
    <w:rsid w:val="001E0CCD"/>
    <w:rsid w:val="00275AFF"/>
    <w:rsid w:val="002F0D7E"/>
    <w:rsid w:val="00480B61"/>
    <w:rsid w:val="004B6453"/>
    <w:rsid w:val="0078443A"/>
    <w:rsid w:val="008B5903"/>
    <w:rsid w:val="009025BF"/>
    <w:rsid w:val="009C7BEE"/>
    <w:rsid w:val="009D1840"/>
    <w:rsid w:val="00A1359A"/>
    <w:rsid w:val="00B649BA"/>
    <w:rsid w:val="00CE0EA0"/>
    <w:rsid w:val="00CF0E16"/>
    <w:rsid w:val="00EA6275"/>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0DAD"/>
  <w15:docId w15:val="{62AF9547-9DE7-4FA6-A515-6CA18C12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P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A86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0F6"/>
    <w:rPr>
      <w:rFonts w:ascii="Tahoma" w:hAnsi="Tahoma" w:cs="Tahoma"/>
      <w:sz w:val="16"/>
      <w:szCs w:val="16"/>
    </w:rPr>
  </w:style>
  <w:style w:type="paragraph" w:styleId="Header">
    <w:name w:val="header"/>
    <w:basedOn w:val="Normal"/>
    <w:link w:val="HeaderChar"/>
    <w:uiPriority w:val="99"/>
    <w:unhideWhenUsed/>
    <w:rsid w:val="00E033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33C"/>
  </w:style>
  <w:style w:type="paragraph" w:styleId="Footer">
    <w:name w:val="footer"/>
    <w:basedOn w:val="Normal"/>
    <w:link w:val="FooterChar"/>
    <w:uiPriority w:val="99"/>
    <w:unhideWhenUsed/>
    <w:rsid w:val="00E033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33C"/>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F0D7E"/>
    <w:pPr>
      <w:spacing w:after="0" w:line="240" w:lineRule="auto"/>
    </w:pPr>
  </w:style>
  <w:style w:type="paragraph" w:styleId="ListParagraph">
    <w:name w:val="List Paragraph"/>
    <w:basedOn w:val="Normal"/>
    <w:uiPriority w:val="34"/>
    <w:qFormat/>
    <w:rsid w:val="00B649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ilo.org/dyn/normlex/en/f?p=NORMLEXPUB:12100:0::NO::P12100_ILO_CODE:C189" TargetMode="External"/><Relationship Id="rId13" Type="http://schemas.openxmlformats.org/officeDocument/2006/relationships/hyperlink" Target="https://www.rappler.com/nation/overseas-filipinos/ofws-died-hands-employers-kuwait/" TargetMode="External"/><Relationship Id="rId3" Type="http://schemas.openxmlformats.org/officeDocument/2006/relationships/hyperlink" Target="https://psa.gov.ph/statistics/survey/labor-and-employment/survey-overseas-filipinos" TargetMode="External"/><Relationship Id="rId7" Type="http://schemas.openxmlformats.org/officeDocument/2006/relationships/hyperlink" Target="https://www.ilo.org/dyn/normlex/en/f?p=1000:11200:0::NO:11200:P11200_COUNTRY_ID:102970" TargetMode="External"/><Relationship Id="rId12" Type="http://schemas.openxmlformats.org/officeDocument/2006/relationships/hyperlink" Target="https://www.officialgazette.gov.ph/2010/03/10/republic-act-no-10022-s-2010/" TargetMode="External"/><Relationship Id="rId2" Type="http://schemas.openxmlformats.org/officeDocument/2006/relationships/hyperlink" Target="https://www.sunstar.com.ph/article/1935128/manila/local-news/2000-household-service-workers-seen-stranded-due-to-new-age-limit" TargetMode="External"/><Relationship Id="rId1" Type="http://schemas.openxmlformats.org/officeDocument/2006/relationships/hyperlink" Target="https://www.officialgazette.gov.ph/2022/06/02/republic-act-no-11862/" TargetMode="External"/><Relationship Id="rId6" Type="http://schemas.openxmlformats.org/officeDocument/2006/relationships/hyperlink" Target="https://www.ohchr.org/en/instruments-mechanisms/instruments/convention-rights-child" TargetMode="External"/><Relationship Id="rId11" Type="http://schemas.openxmlformats.org/officeDocument/2006/relationships/hyperlink" Target="https://www.un.org/en/about-us/universal-declaration-of-human-rights" TargetMode="External"/><Relationship Id="rId5" Type="http://schemas.openxmlformats.org/officeDocument/2006/relationships/hyperlink" Target="https://tbinternet.ohchr.org/Treaties/CEDAW/Shared%20Documents/1_Global/CEDAW_C_2009_WP-1_R_7138_E.pdf" TargetMode="External"/><Relationship Id="rId15" Type="http://schemas.openxmlformats.org/officeDocument/2006/relationships/hyperlink" Target="https://centerformigrantadvocacy.files.wordpress.com/2021/01/bla-study-v.-2.pdf" TargetMode="External"/><Relationship Id="rId10" Type="http://schemas.openxmlformats.org/officeDocument/2006/relationships/hyperlink" Target="https://www.rappler.com/nation/doj-apologizes-failed-communication-revised-immigration-requirements/" TargetMode="External"/><Relationship Id="rId4" Type="http://schemas.openxmlformats.org/officeDocument/2006/relationships/hyperlink" Target="https://www.ohchr.org/en/instruments-mechanisms/instruments/convention-elimination-all-forms-discrimination-against-women" TargetMode="External"/><Relationship Id="rId9" Type="http://schemas.openxmlformats.org/officeDocument/2006/relationships/hyperlink" Target="https://www.officialgazette.gov.ph/downloads/2023/08aug/2023_Revised_IACAT_Guidelines_on_Departure_Formalities_for_International-Bound_Filipino_Passengers.pdf?fbclid=IwAR2F9TgmPCtXLPuIbhFPaqwwpX85jhaZiaU6WfT03N1XPXSOTmCnUy2By68" TargetMode="External"/><Relationship Id="rId14" Type="http://schemas.openxmlformats.org/officeDocument/2006/relationships/hyperlink" Target="https://www.pna.gov.ph/articles/1194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845CAA8-4230-6D44-A811-F5B413C063DD}">
  <we:reference id="f518cb36-c901-4d52-a9e7-4331342e485d" version="1.2.0.0" store="EXCatalog" storeType="EXCatalog"/>
  <we:alternateReferences>
    <we:reference id="WA200001011" version="1.2.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xJus1DdBk+qZjw8KTD8ZPnTNcA==">CgMxLjAyDmguYW42enR1dXZlNHpwMg5oLm9odTl4aW9iOTRmMTIOaC5seDc2NHlsbXRqZTAyDmguMXV1NmcxOWx1ZjhqMg5oLnJlcTN3dDVxaHVvZjIOaC5wbjYwbXFnYm5teWMyDmgucHZodW5qbHFlbTNnMg5oLm1zaDZiaGd6dXJscjIJaC4zMGowemxsOAByITFYckpSNWlXbTJBSXZPenlJNV9nNWZKZGdLQ0YzS1dKYQ==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1EB8720-CACF-47E6-AE28-9728A5EDE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2660</Words>
  <Characters>14630</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Lopez</dc:creator>
  <cp:lastModifiedBy>Janna Iskakova</cp:lastModifiedBy>
  <cp:revision>2</cp:revision>
  <dcterms:created xsi:type="dcterms:W3CDTF">2023-09-18T12:24:00Z</dcterms:created>
  <dcterms:modified xsi:type="dcterms:W3CDTF">2023-09-18T12:24:00Z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documentId_9619</vt:lpwstr>
  </property>
  <property fmtid="{D5CDD505-2E9C-101B-9397-08002B2CF9AE}" pid="3" name="grammarly_documentContext">
    <vt:lpwstr>{"goals":[],"domain":"general","emotions":[],"dialect":"american"}</vt:lpwstr>
  </property>
</Properties>
</file>