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THREATS AND RESTRICTIONS AFFECTING THE RIGHT TO CHOOSE IN VENEZUELA </w:t>
      </w:r>
    </w:p>
    <w:p w:rsidR="00000000" w:rsidDel="00000000" w:rsidP="00000000" w:rsidRDefault="00000000" w:rsidRPr="00000000" w14:paraId="00000002">
      <w:pPr>
        <w:jc w:val="left"/>
        <w:rPr>
          <w:b w:val="1"/>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Civil society shadow report on the consideration of the fifth periodic report of the Bolivarian Republic of Venezuela.</w:t>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International Covenant on Civil and Political Rights </w:t>
      </w:r>
    </w:p>
    <w:p w:rsidR="00000000" w:rsidDel="00000000" w:rsidP="00000000" w:rsidRDefault="00000000" w:rsidRPr="00000000" w14:paraId="00000005">
      <w:pPr>
        <w:jc w:val="center"/>
        <w:rPr>
          <w:b w:val="1"/>
          <w:sz w:val="24"/>
          <w:szCs w:val="24"/>
        </w:rPr>
      </w:pPr>
      <w:r w:rsidDel="00000000" w:rsidR="00000000" w:rsidRPr="00000000">
        <w:rPr>
          <w:b w:val="1"/>
          <w:sz w:val="24"/>
          <w:szCs w:val="24"/>
          <w:rtl w:val="0"/>
        </w:rPr>
        <w:t xml:space="preserve">139th Period of Sessions</w:t>
      </w:r>
    </w:p>
    <w:p w:rsidR="00000000" w:rsidDel="00000000" w:rsidP="00000000" w:rsidRDefault="00000000" w:rsidRPr="00000000" w14:paraId="00000006">
      <w:pPr>
        <w:jc w:val="center"/>
        <w:rPr>
          <w:b w:val="1"/>
          <w:sz w:val="24"/>
          <w:szCs w:val="24"/>
        </w:rPr>
      </w:pPr>
      <w:r w:rsidDel="00000000" w:rsidR="00000000" w:rsidRPr="00000000">
        <w:rPr>
          <w:rtl w:val="0"/>
        </w:rPr>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b w:val="1"/>
          <w:sz w:val="24"/>
          <w:szCs w:val="24"/>
        </w:rPr>
        <w:drawing>
          <wp:inline distB="114300" distT="114300" distL="114300" distR="114300">
            <wp:extent cx="1360650" cy="136065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60650" cy="136065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4"/>
          <w:szCs w:val="24"/>
        </w:rPr>
        <w:drawing>
          <wp:inline distB="114300" distT="114300" distL="114300" distR="114300">
            <wp:extent cx="911629" cy="636891"/>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911629" cy="636891"/>
                    </a:xfrm>
                    <a:prstGeom prst="rect"/>
                    <a:ln/>
                  </pic:spPr>
                </pic:pic>
              </a:graphicData>
            </a:graphic>
          </wp:inline>
        </w:drawing>
      </w: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1799226" cy="715659"/>
            <wp:effectExtent b="0" l="0" r="0" t="0"/>
            <wp:docPr id="2" name="image2.png"/>
            <a:graphic>
              <a:graphicData uri="http://schemas.openxmlformats.org/drawingml/2006/picture">
                <pic:pic>
                  <pic:nvPicPr>
                    <pic:cNvPr id="0" name="image2.png"/>
                    <pic:cNvPicPr preferRelativeResize="0"/>
                  </pic:nvPicPr>
                  <pic:blipFill>
                    <a:blip r:embed="rId10"/>
                    <a:srcRect b="35626" l="10666" r="10000" t="32748"/>
                    <a:stretch>
                      <a:fillRect/>
                    </a:stretch>
                  </pic:blipFill>
                  <pic:spPr>
                    <a:xfrm>
                      <a:off x="0" y="0"/>
                      <a:ext cx="1799226" cy="715659"/>
                    </a:xfrm>
                    <a:prstGeom prst="rect"/>
                    <a:ln/>
                  </pic:spPr>
                </pic:pic>
              </a:graphicData>
            </a:graphic>
          </wp:inline>
        </w:drawing>
      </w: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1559135" cy="876151"/>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559135" cy="876151"/>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Presented by the Electoral Citizen Network (Red Electoral Ciudadana): </w:t>
      </w:r>
      <w:r w:rsidDel="00000000" w:rsidR="00000000" w:rsidRPr="00000000">
        <w:rPr>
          <w:sz w:val="24"/>
          <w:szCs w:val="24"/>
          <w:rtl w:val="0"/>
        </w:rPr>
        <w:t xml:space="preserve">initiative that unites civil society organizations and citizens to articulate actions aimed to strengthen the civil and political rights of Venezuelans, based on international human rights standards and the obligations of the State established in the Constitution of the Bolivarian Republic of Venezuela. </w:t>
      </w: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b w:val="1"/>
          <w:sz w:val="24"/>
          <w:szCs w:val="24"/>
          <w:rtl w:val="0"/>
        </w:rPr>
        <w:t xml:space="preserve">Contact: </w:t>
      </w:r>
      <w:r w:rsidDel="00000000" w:rsidR="00000000" w:rsidRPr="00000000">
        <w:rPr>
          <w:sz w:val="24"/>
          <w:szCs w:val="24"/>
          <w:rtl w:val="0"/>
        </w:rPr>
        <w:t xml:space="preserve">somosvotojoven@gmail.com. </w:t>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b w:val="1"/>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b w:val="1"/>
          <w:sz w:val="24"/>
          <w:szCs w:val="24"/>
          <w:rtl w:val="0"/>
        </w:rPr>
        <w:t xml:space="preserve">Authoring organizations: </w:t>
      </w:r>
    </w:p>
    <w:p w:rsidR="00000000" w:rsidDel="00000000" w:rsidP="00000000" w:rsidRDefault="00000000" w:rsidRPr="00000000" w14:paraId="00000015">
      <w:pPr>
        <w:rPr>
          <w:sz w:val="24"/>
          <w:szCs w:val="24"/>
        </w:rPr>
      </w:pPr>
      <w:r w:rsidDel="00000000" w:rsidR="00000000" w:rsidRPr="00000000">
        <w:rPr>
          <w:sz w:val="24"/>
          <w:szCs w:val="24"/>
          <w:rtl w:val="0"/>
        </w:rPr>
        <w:t xml:space="preserve">● Center for Justice and Peace (CEPAZ). </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 The Global Observatory on Communication and Democracy. (OGCD)</w:t>
      </w:r>
      <w:r w:rsidDel="00000000" w:rsidR="00000000" w:rsidRPr="00000000">
        <w:rPr>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sz w:val="24"/>
          <w:szCs w:val="24"/>
          <w:rtl w:val="0"/>
        </w:rPr>
        <w:t xml:space="preserve">● Young Vote (Voto Joven)</w:t>
      </w:r>
      <w:r w:rsidDel="00000000" w:rsidR="00000000" w:rsidRPr="00000000">
        <w:rPr>
          <w:b w:val="1"/>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8">
      <w:pPr>
        <w:rPr>
          <w:b w:val="1"/>
          <w:sz w:val="24"/>
          <w:szCs w:val="24"/>
        </w:rPr>
      </w:pP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rtl w:val="0"/>
        </w:rPr>
      </w:r>
    </w:p>
    <w:p w:rsidR="00000000" w:rsidDel="00000000" w:rsidP="00000000" w:rsidRDefault="00000000" w:rsidRPr="00000000" w14:paraId="0000001A">
      <w:pPr>
        <w:jc w:val="center"/>
        <w:rPr>
          <w:b w:val="1"/>
          <w:sz w:val="24"/>
          <w:szCs w:val="24"/>
        </w:rPr>
      </w:pPr>
      <w:r w:rsidDel="00000000" w:rsidR="00000000" w:rsidRPr="00000000">
        <w:rPr>
          <w:b w:val="1"/>
          <w:sz w:val="24"/>
          <w:szCs w:val="24"/>
          <w:rtl w:val="0"/>
        </w:rPr>
        <w:t xml:space="preserve">Table of Contents </w:t>
      </w:r>
    </w:p>
    <w:p w:rsidR="00000000" w:rsidDel="00000000" w:rsidP="00000000" w:rsidRDefault="00000000" w:rsidRPr="00000000" w14:paraId="0000001B">
      <w:pPr>
        <w:jc w:val="left"/>
        <w:rPr>
          <w:b w:val="1"/>
          <w:sz w:val="24"/>
          <w:szCs w:val="24"/>
        </w:rPr>
      </w:pPr>
      <w:r w:rsidDel="00000000" w:rsidR="00000000" w:rsidRPr="00000000">
        <w:rPr>
          <w:rtl w:val="0"/>
        </w:rPr>
      </w:r>
    </w:p>
    <w:p w:rsidR="00000000" w:rsidDel="00000000" w:rsidP="00000000" w:rsidRDefault="00000000" w:rsidRPr="00000000" w14:paraId="0000001C">
      <w:pPr>
        <w:jc w:val="left"/>
        <w:rPr>
          <w:b w:val="1"/>
          <w:sz w:val="24"/>
          <w:szCs w:val="24"/>
        </w:rPr>
      </w:pPr>
      <w:r w:rsidDel="00000000" w:rsidR="00000000" w:rsidRPr="00000000">
        <w:rPr>
          <w:b w:val="1"/>
          <w:sz w:val="24"/>
          <w:szCs w:val="24"/>
          <w:rtl w:val="0"/>
        </w:rPr>
        <w:t xml:space="preserve">        Executive summary                                                                                </w:t>
      </w:r>
    </w:p>
    <w:p w:rsidR="00000000" w:rsidDel="00000000" w:rsidP="00000000" w:rsidRDefault="00000000" w:rsidRPr="00000000" w14:paraId="0000001D">
      <w:pPr>
        <w:jc w:val="left"/>
        <w:rPr>
          <w:b w:val="1"/>
          <w:sz w:val="24"/>
          <w:szCs w:val="24"/>
        </w:rPr>
      </w:pPr>
      <w:r w:rsidDel="00000000" w:rsidR="00000000" w:rsidRPr="00000000">
        <w:rPr>
          <w:b w:val="1"/>
          <w:sz w:val="24"/>
          <w:szCs w:val="24"/>
          <w:rtl w:val="0"/>
        </w:rPr>
        <w:t xml:space="preserve">        Presentation and methodology                                                                 </w:t>
      </w:r>
    </w:p>
    <w:p w:rsidR="00000000" w:rsidDel="00000000" w:rsidP="00000000" w:rsidRDefault="00000000" w:rsidRPr="00000000" w14:paraId="0000001E">
      <w:pPr>
        <w:numPr>
          <w:ilvl w:val="0"/>
          <w:numId w:val="3"/>
        </w:numPr>
        <w:ind w:left="720" w:hanging="360"/>
        <w:jc w:val="left"/>
        <w:rPr>
          <w:b w:val="1"/>
          <w:sz w:val="24"/>
          <w:szCs w:val="24"/>
          <w:u w:val="none"/>
        </w:rPr>
      </w:pPr>
      <w:r w:rsidDel="00000000" w:rsidR="00000000" w:rsidRPr="00000000">
        <w:rPr>
          <w:b w:val="1"/>
          <w:sz w:val="24"/>
          <w:szCs w:val="24"/>
          <w:rtl w:val="0"/>
        </w:rPr>
        <w:t xml:space="preserve">Gender equality between women and men in the enjoyment of their civil and political rights (art. 3).                                                                                                </w:t>
      </w:r>
    </w:p>
    <w:p w:rsidR="00000000" w:rsidDel="00000000" w:rsidP="00000000" w:rsidRDefault="00000000" w:rsidRPr="00000000" w14:paraId="0000001F">
      <w:pPr>
        <w:numPr>
          <w:ilvl w:val="0"/>
          <w:numId w:val="3"/>
        </w:numPr>
        <w:ind w:left="720" w:hanging="360"/>
        <w:jc w:val="left"/>
        <w:rPr>
          <w:b w:val="1"/>
          <w:sz w:val="24"/>
          <w:szCs w:val="24"/>
          <w:u w:val="none"/>
        </w:rPr>
      </w:pPr>
      <w:r w:rsidDel="00000000" w:rsidR="00000000" w:rsidRPr="00000000">
        <w:rPr>
          <w:b w:val="1"/>
          <w:sz w:val="24"/>
          <w:szCs w:val="24"/>
          <w:rtl w:val="0"/>
        </w:rPr>
        <w:t xml:space="preserve">Right of States Parties to derogation (art. 4).                                                                           </w:t>
      </w:r>
    </w:p>
    <w:p w:rsidR="00000000" w:rsidDel="00000000" w:rsidP="00000000" w:rsidRDefault="00000000" w:rsidRPr="00000000" w14:paraId="00000020">
      <w:pPr>
        <w:numPr>
          <w:ilvl w:val="0"/>
          <w:numId w:val="3"/>
        </w:numPr>
        <w:ind w:left="720" w:hanging="360"/>
        <w:jc w:val="left"/>
        <w:rPr>
          <w:b w:val="1"/>
          <w:sz w:val="24"/>
          <w:szCs w:val="24"/>
          <w:u w:val="none"/>
        </w:rPr>
      </w:pPr>
      <w:r w:rsidDel="00000000" w:rsidR="00000000" w:rsidRPr="00000000">
        <w:rPr>
          <w:b w:val="1"/>
          <w:sz w:val="24"/>
          <w:szCs w:val="24"/>
          <w:rtl w:val="0"/>
        </w:rPr>
        <w:t xml:space="preserve">Right to freedom of expression and access to information (art.19).</w:t>
      </w:r>
    </w:p>
    <w:p w:rsidR="00000000" w:rsidDel="00000000" w:rsidP="00000000" w:rsidRDefault="00000000" w:rsidRPr="00000000" w14:paraId="00000021">
      <w:pPr>
        <w:numPr>
          <w:ilvl w:val="0"/>
          <w:numId w:val="3"/>
        </w:numPr>
        <w:ind w:left="720" w:hanging="360"/>
        <w:jc w:val="left"/>
        <w:rPr>
          <w:b w:val="1"/>
          <w:sz w:val="24"/>
          <w:szCs w:val="24"/>
          <w:u w:val="none"/>
        </w:rPr>
      </w:pPr>
      <w:r w:rsidDel="00000000" w:rsidR="00000000" w:rsidRPr="00000000">
        <w:rPr>
          <w:b w:val="1"/>
          <w:sz w:val="24"/>
          <w:szCs w:val="24"/>
          <w:rtl w:val="0"/>
        </w:rPr>
        <w:t xml:space="preserve">Rights related to political participation (art. 25).</w:t>
      </w:r>
    </w:p>
    <w:p w:rsidR="00000000" w:rsidDel="00000000" w:rsidP="00000000" w:rsidRDefault="00000000" w:rsidRPr="00000000" w14:paraId="00000022">
      <w:pPr>
        <w:jc w:val="left"/>
        <w:rPr>
          <w:b w:val="1"/>
          <w:sz w:val="24"/>
          <w:szCs w:val="24"/>
        </w:rPr>
      </w:pPr>
      <w:r w:rsidDel="00000000" w:rsidR="00000000" w:rsidRPr="00000000">
        <w:rPr>
          <w:rtl w:val="0"/>
        </w:rPr>
      </w:r>
    </w:p>
    <w:p w:rsidR="00000000" w:rsidDel="00000000" w:rsidP="00000000" w:rsidRDefault="00000000" w:rsidRPr="00000000" w14:paraId="00000023">
      <w:pPr>
        <w:jc w:val="left"/>
        <w:rPr>
          <w:b w:val="1"/>
          <w:sz w:val="24"/>
          <w:szCs w:val="24"/>
        </w:rPr>
      </w:pPr>
      <w:r w:rsidDel="00000000" w:rsidR="00000000" w:rsidRPr="00000000">
        <w:rPr>
          <w:rtl w:val="0"/>
        </w:rPr>
      </w:r>
    </w:p>
    <w:p w:rsidR="00000000" w:rsidDel="00000000" w:rsidP="00000000" w:rsidRDefault="00000000" w:rsidRPr="00000000" w14:paraId="00000024">
      <w:pPr>
        <w:jc w:val="left"/>
        <w:rPr>
          <w:b w:val="1"/>
          <w:sz w:val="24"/>
          <w:szCs w:val="24"/>
        </w:rPr>
      </w:pPr>
      <w:r w:rsidDel="00000000" w:rsidR="00000000" w:rsidRPr="00000000">
        <w:rPr>
          <w:rtl w:val="0"/>
        </w:rPr>
      </w:r>
    </w:p>
    <w:p w:rsidR="00000000" w:rsidDel="00000000" w:rsidP="00000000" w:rsidRDefault="00000000" w:rsidRPr="00000000" w14:paraId="00000025">
      <w:pPr>
        <w:jc w:val="left"/>
        <w:rPr>
          <w:b w:val="1"/>
          <w:sz w:val="24"/>
          <w:szCs w:val="24"/>
        </w:rPr>
      </w:pPr>
      <w:r w:rsidDel="00000000" w:rsidR="00000000" w:rsidRPr="00000000">
        <w:rPr>
          <w:rtl w:val="0"/>
        </w:rPr>
      </w:r>
    </w:p>
    <w:p w:rsidR="00000000" w:rsidDel="00000000" w:rsidP="00000000" w:rsidRDefault="00000000" w:rsidRPr="00000000" w14:paraId="00000026">
      <w:pPr>
        <w:jc w:val="left"/>
        <w:rPr>
          <w:b w:val="1"/>
          <w:sz w:val="24"/>
          <w:szCs w:val="24"/>
        </w:rPr>
      </w:pPr>
      <w:r w:rsidDel="00000000" w:rsidR="00000000" w:rsidRPr="00000000">
        <w:rPr>
          <w:rtl w:val="0"/>
        </w:rPr>
      </w:r>
    </w:p>
    <w:p w:rsidR="00000000" w:rsidDel="00000000" w:rsidP="00000000" w:rsidRDefault="00000000" w:rsidRPr="00000000" w14:paraId="00000027">
      <w:pPr>
        <w:jc w:val="left"/>
        <w:rPr>
          <w:b w:val="1"/>
          <w:sz w:val="24"/>
          <w:szCs w:val="24"/>
        </w:rPr>
      </w:pPr>
      <w:r w:rsidDel="00000000" w:rsidR="00000000" w:rsidRPr="00000000">
        <w:rPr>
          <w:rtl w:val="0"/>
        </w:rPr>
      </w:r>
    </w:p>
    <w:p w:rsidR="00000000" w:rsidDel="00000000" w:rsidP="00000000" w:rsidRDefault="00000000" w:rsidRPr="00000000" w14:paraId="00000028">
      <w:pPr>
        <w:jc w:val="left"/>
        <w:rPr>
          <w:b w:val="1"/>
          <w:sz w:val="24"/>
          <w:szCs w:val="24"/>
        </w:rPr>
      </w:pPr>
      <w:r w:rsidDel="00000000" w:rsidR="00000000" w:rsidRPr="00000000">
        <w:rPr>
          <w:rtl w:val="0"/>
        </w:rPr>
      </w:r>
    </w:p>
    <w:p w:rsidR="00000000" w:rsidDel="00000000" w:rsidP="00000000" w:rsidRDefault="00000000" w:rsidRPr="00000000" w14:paraId="00000029">
      <w:pPr>
        <w:jc w:val="left"/>
        <w:rPr>
          <w:b w:val="1"/>
          <w:sz w:val="24"/>
          <w:szCs w:val="24"/>
        </w:rPr>
      </w:pPr>
      <w:r w:rsidDel="00000000" w:rsidR="00000000" w:rsidRPr="00000000">
        <w:rPr>
          <w:rtl w:val="0"/>
        </w:rPr>
      </w:r>
    </w:p>
    <w:p w:rsidR="00000000" w:rsidDel="00000000" w:rsidP="00000000" w:rsidRDefault="00000000" w:rsidRPr="00000000" w14:paraId="0000002A">
      <w:pPr>
        <w:jc w:val="left"/>
        <w:rPr>
          <w:b w:val="1"/>
          <w:sz w:val="24"/>
          <w:szCs w:val="24"/>
        </w:rPr>
      </w:pPr>
      <w:r w:rsidDel="00000000" w:rsidR="00000000" w:rsidRPr="00000000">
        <w:rPr>
          <w:rtl w:val="0"/>
        </w:rPr>
      </w:r>
    </w:p>
    <w:p w:rsidR="00000000" w:rsidDel="00000000" w:rsidP="00000000" w:rsidRDefault="00000000" w:rsidRPr="00000000" w14:paraId="0000002B">
      <w:pPr>
        <w:jc w:val="left"/>
        <w:rPr>
          <w:b w:val="1"/>
          <w:sz w:val="24"/>
          <w:szCs w:val="24"/>
        </w:rPr>
      </w:pPr>
      <w:r w:rsidDel="00000000" w:rsidR="00000000" w:rsidRPr="00000000">
        <w:rPr>
          <w:rtl w:val="0"/>
        </w:rPr>
      </w:r>
    </w:p>
    <w:p w:rsidR="00000000" w:rsidDel="00000000" w:rsidP="00000000" w:rsidRDefault="00000000" w:rsidRPr="00000000" w14:paraId="0000002C">
      <w:pPr>
        <w:jc w:val="left"/>
        <w:rPr>
          <w:b w:val="1"/>
          <w:sz w:val="24"/>
          <w:szCs w:val="24"/>
        </w:rPr>
      </w:pPr>
      <w:r w:rsidDel="00000000" w:rsidR="00000000" w:rsidRPr="00000000">
        <w:rPr>
          <w:rtl w:val="0"/>
        </w:rPr>
      </w:r>
    </w:p>
    <w:p w:rsidR="00000000" w:rsidDel="00000000" w:rsidP="00000000" w:rsidRDefault="00000000" w:rsidRPr="00000000" w14:paraId="0000002D">
      <w:pPr>
        <w:jc w:val="left"/>
        <w:rPr>
          <w:b w:val="1"/>
          <w:sz w:val="24"/>
          <w:szCs w:val="24"/>
        </w:rPr>
      </w:pPr>
      <w:r w:rsidDel="00000000" w:rsidR="00000000" w:rsidRPr="00000000">
        <w:rPr>
          <w:rtl w:val="0"/>
        </w:rPr>
      </w:r>
    </w:p>
    <w:p w:rsidR="00000000" w:rsidDel="00000000" w:rsidP="00000000" w:rsidRDefault="00000000" w:rsidRPr="00000000" w14:paraId="0000002E">
      <w:pPr>
        <w:jc w:val="left"/>
        <w:rPr>
          <w:b w:val="1"/>
          <w:sz w:val="24"/>
          <w:szCs w:val="24"/>
        </w:rPr>
      </w:pPr>
      <w:r w:rsidDel="00000000" w:rsidR="00000000" w:rsidRPr="00000000">
        <w:rPr>
          <w:rtl w:val="0"/>
        </w:rPr>
      </w:r>
    </w:p>
    <w:p w:rsidR="00000000" w:rsidDel="00000000" w:rsidP="00000000" w:rsidRDefault="00000000" w:rsidRPr="00000000" w14:paraId="0000002F">
      <w:pPr>
        <w:jc w:val="left"/>
        <w:rPr>
          <w:b w:val="1"/>
          <w:sz w:val="24"/>
          <w:szCs w:val="24"/>
        </w:rPr>
      </w:pPr>
      <w:r w:rsidDel="00000000" w:rsidR="00000000" w:rsidRPr="00000000">
        <w:rPr>
          <w:rtl w:val="0"/>
        </w:rPr>
      </w:r>
    </w:p>
    <w:p w:rsidR="00000000" w:rsidDel="00000000" w:rsidP="00000000" w:rsidRDefault="00000000" w:rsidRPr="00000000" w14:paraId="00000030">
      <w:pPr>
        <w:jc w:val="left"/>
        <w:rPr>
          <w:b w:val="1"/>
          <w:sz w:val="24"/>
          <w:szCs w:val="24"/>
        </w:rPr>
      </w:pPr>
      <w:r w:rsidDel="00000000" w:rsidR="00000000" w:rsidRPr="00000000">
        <w:rPr>
          <w:rtl w:val="0"/>
        </w:rPr>
      </w:r>
    </w:p>
    <w:p w:rsidR="00000000" w:rsidDel="00000000" w:rsidP="00000000" w:rsidRDefault="00000000" w:rsidRPr="00000000" w14:paraId="00000031">
      <w:pPr>
        <w:jc w:val="left"/>
        <w:rPr>
          <w:b w:val="1"/>
          <w:sz w:val="24"/>
          <w:szCs w:val="24"/>
        </w:rPr>
      </w:pPr>
      <w:r w:rsidDel="00000000" w:rsidR="00000000" w:rsidRPr="00000000">
        <w:rPr>
          <w:rtl w:val="0"/>
        </w:rPr>
      </w:r>
    </w:p>
    <w:p w:rsidR="00000000" w:rsidDel="00000000" w:rsidP="00000000" w:rsidRDefault="00000000" w:rsidRPr="00000000" w14:paraId="00000032">
      <w:pPr>
        <w:jc w:val="left"/>
        <w:rPr>
          <w:b w:val="1"/>
          <w:sz w:val="24"/>
          <w:szCs w:val="24"/>
        </w:rPr>
      </w:pPr>
      <w:r w:rsidDel="00000000" w:rsidR="00000000" w:rsidRPr="00000000">
        <w:rPr>
          <w:rtl w:val="0"/>
        </w:rPr>
      </w:r>
    </w:p>
    <w:p w:rsidR="00000000" w:rsidDel="00000000" w:rsidP="00000000" w:rsidRDefault="00000000" w:rsidRPr="00000000" w14:paraId="00000033">
      <w:pPr>
        <w:jc w:val="left"/>
        <w:rPr>
          <w:b w:val="1"/>
          <w:sz w:val="24"/>
          <w:szCs w:val="24"/>
        </w:rPr>
      </w:pPr>
      <w:r w:rsidDel="00000000" w:rsidR="00000000" w:rsidRPr="00000000">
        <w:rPr>
          <w:rtl w:val="0"/>
        </w:rPr>
      </w:r>
    </w:p>
    <w:p w:rsidR="00000000" w:rsidDel="00000000" w:rsidP="00000000" w:rsidRDefault="00000000" w:rsidRPr="00000000" w14:paraId="00000034">
      <w:pPr>
        <w:jc w:val="left"/>
        <w:rPr>
          <w:b w:val="1"/>
          <w:sz w:val="24"/>
          <w:szCs w:val="24"/>
        </w:rPr>
      </w:pPr>
      <w:r w:rsidDel="00000000" w:rsidR="00000000" w:rsidRPr="00000000">
        <w:rPr>
          <w:rtl w:val="0"/>
        </w:rPr>
      </w:r>
    </w:p>
    <w:p w:rsidR="00000000" w:rsidDel="00000000" w:rsidP="00000000" w:rsidRDefault="00000000" w:rsidRPr="00000000" w14:paraId="00000035">
      <w:pPr>
        <w:jc w:val="left"/>
        <w:rPr>
          <w:b w:val="1"/>
          <w:sz w:val="24"/>
          <w:szCs w:val="24"/>
        </w:rPr>
      </w:pPr>
      <w:r w:rsidDel="00000000" w:rsidR="00000000" w:rsidRPr="00000000">
        <w:rPr>
          <w:rtl w:val="0"/>
        </w:rPr>
      </w:r>
    </w:p>
    <w:p w:rsidR="00000000" w:rsidDel="00000000" w:rsidP="00000000" w:rsidRDefault="00000000" w:rsidRPr="00000000" w14:paraId="00000036">
      <w:pPr>
        <w:jc w:val="left"/>
        <w:rPr>
          <w:b w:val="1"/>
          <w:sz w:val="24"/>
          <w:szCs w:val="24"/>
        </w:rPr>
      </w:pPr>
      <w:r w:rsidDel="00000000" w:rsidR="00000000" w:rsidRPr="00000000">
        <w:rPr>
          <w:rtl w:val="0"/>
        </w:rPr>
      </w:r>
    </w:p>
    <w:p w:rsidR="00000000" w:rsidDel="00000000" w:rsidP="00000000" w:rsidRDefault="00000000" w:rsidRPr="00000000" w14:paraId="00000037">
      <w:pPr>
        <w:jc w:val="left"/>
        <w:rPr>
          <w:b w:val="1"/>
          <w:sz w:val="24"/>
          <w:szCs w:val="24"/>
        </w:rPr>
      </w:pPr>
      <w:r w:rsidDel="00000000" w:rsidR="00000000" w:rsidRPr="00000000">
        <w:rPr>
          <w:rtl w:val="0"/>
        </w:rPr>
      </w:r>
    </w:p>
    <w:p w:rsidR="00000000" w:rsidDel="00000000" w:rsidP="00000000" w:rsidRDefault="00000000" w:rsidRPr="00000000" w14:paraId="00000038">
      <w:pPr>
        <w:jc w:val="left"/>
        <w:rPr>
          <w:b w:val="1"/>
          <w:sz w:val="24"/>
          <w:szCs w:val="24"/>
        </w:rPr>
      </w:pPr>
      <w:r w:rsidDel="00000000" w:rsidR="00000000" w:rsidRPr="00000000">
        <w:rPr>
          <w:rtl w:val="0"/>
        </w:rPr>
      </w:r>
    </w:p>
    <w:p w:rsidR="00000000" w:rsidDel="00000000" w:rsidP="00000000" w:rsidRDefault="00000000" w:rsidRPr="00000000" w14:paraId="00000039">
      <w:pPr>
        <w:jc w:val="left"/>
        <w:rPr>
          <w:b w:val="1"/>
          <w:sz w:val="24"/>
          <w:szCs w:val="24"/>
        </w:rPr>
      </w:pPr>
      <w:r w:rsidDel="00000000" w:rsidR="00000000" w:rsidRPr="00000000">
        <w:rPr>
          <w:rtl w:val="0"/>
        </w:rPr>
      </w:r>
    </w:p>
    <w:p w:rsidR="00000000" w:rsidDel="00000000" w:rsidP="00000000" w:rsidRDefault="00000000" w:rsidRPr="00000000" w14:paraId="0000003A">
      <w:pPr>
        <w:jc w:val="left"/>
        <w:rPr>
          <w:b w:val="1"/>
          <w:sz w:val="24"/>
          <w:szCs w:val="24"/>
        </w:rPr>
      </w:pPr>
      <w:r w:rsidDel="00000000" w:rsidR="00000000" w:rsidRPr="00000000">
        <w:rPr>
          <w:rtl w:val="0"/>
        </w:rPr>
      </w:r>
    </w:p>
    <w:p w:rsidR="00000000" w:rsidDel="00000000" w:rsidP="00000000" w:rsidRDefault="00000000" w:rsidRPr="00000000" w14:paraId="0000003B">
      <w:pPr>
        <w:jc w:val="left"/>
        <w:rPr>
          <w:b w:val="1"/>
          <w:sz w:val="24"/>
          <w:szCs w:val="24"/>
        </w:rPr>
      </w:pPr>
      <w:r w:rsidDel="00000000" w:rsidR="00000000" w:rsidRPr="00000000">
        <w:rPr>
          <w:rtl w:val="0"/>
        </w:rPr>
      </w:r>
    </w:p>
    <w:p w:rsidR="00000000" w:rsidDel="00000000" w:rsidP="00000000" w:rsidRDefault="00000000" w:rsidRPr="00000000" w14:paraId="0000003C">
      <w:pPr>
        <w:jc w:val="left"/>
        <w:rPr>
          <w:b w:val="1"/>
          <w:sz w:val="24"/>
          <w:szCs w:val="24"/>
        </w:rPr>
      </w:pPr>
      <w:r w:rsidDel="00000000" w:rsidR="00000000" w:rsidRPr="00000000">
        <w:rPr>
          <w:rtl w:val="0"/>
        </w:rPr>
      </w:r>
    </w:p>
    <w:p w:rsidR="00000000" w:rsidDel="00000000" w:rsidP="00000000" w:rsidRDefault="00000000" w:rsidRPr="00000000" w14:paraId="0000003D">
      <w:pPr>
        <w:jc w:val="left"/>
        <w:rPr>
          <w:b w:val="1"/>
          <w:sz w:val="24"/>
          <w:szCs w:val="24"/>
        </w:rPr>
      </w:pPr>
      <w:r w:rsidDel="00000000" w:rsidR="00000000" w:rsidRPr="00000000">
        <w:rPr>
          <w:rtl w:val="0"/>
        </w:rPr>
      </w:r>
    </w:p>
    <w:p w:rsidR="00000000" w:rsidDel="00000000" w:rsidP="00000000" w:rsidRDefault="00000000" w:rsidRPr="00000000" w14:paraId="0000003E">
      <w:pPr>
        <w:jc w:val="left"/>
        <w:rPr>
          <w:b w:val="1"/>
          <w:sz w:val="24"/>
          <w:szCs w:val="24"/>
        </w:rPr>
      </w:pPr>
      <w:r w:rsidDel="00000000" w:rsidR="00000000" w:rsidRPr="00000000">
        <w:rPr>
          <w:rtl w:val="0"/>
        </w:rPr>
      </w:r>
    </w:p>
    <w:p w:rsidR="00000000" w:rsidDel="00000000" w:rsidP="00000000" w:rsidRDefault="00000000" w:rsidRPr="00000000" w14:paraId="0000003F">
      <w:pPr>
        <w:jc w:val="left"/>
        <w:rPr>
          <w:b w:val="1"/>
          <w:sz w:val="24"/>
          <w:szCs w:val="24"/>
        </w:rPr>
      </w:pPr>
      <w:r w:rsidDel="00000000" w:rsidR="00000000" w:rsidRPr="00000000">
        <w:rPr>
          <w:rtl w:val="0"/>
        </w:rPr>
      </w:r>
    </w:p>
    <w:p w:rsidR="00000000" w:rsidDel="00000000" w:rsidP="00000000" w:rsidRDefault="00000000" w:rsidRPr="00000000" w14:paraId="00000040">
      <w:pPr>
        <w:jc w:val="left"/>
        <w:rPr>
          <w:b w:val="1"/>
          <w:sz w:val="24"/>
          <w:szCs w:val="24"/>
        </w:rPr>
      </w:pPr>
      <w:r w:rsidDel="00000000" w:rsidR="00000000" w:rsidRPr="00000000">
        <w:rPr>
          <w:rtl w:val="0"/>
        </w:rPr>
      </w:r>
    </w:p>
    <w:p w:rsidR="00000000" w:rsidDel="00000000" w:rsidP="00000000" w:rsidRDefault="00000000" w:rsidRPr="00000000" w14:paraId="00000041">
      <w:pPr>
        <w:jc w:val="left"/>
        <w:rPr>
          <w:b w:val="1"/>
          <w:sz w:val="24"/>
          <w:szCs w:val="24"/>
        </w:rPr>
      </w:pPr>
      <w:r w:rsidDel="00000000" w:rsidR="00000000" w:rsidRPr="00000000">
        <w:rPr>
          <w:rtl w:val="0"/>
        </w:rPr>
      </w:r>
    </w:p>
    <w:p w:rsidR="00000000" w:rsidDel="00000000" w:rsidP="00000000" w:rsidRDefault="00000000" w:rsidRPr="00000000" w14:paraId="00000042">
      <w:pPr>
        <w:jc w:val="left"/>
        <w:rPr>
          <w:b w:val="1"/>
          <w:sz w:val="24"/>
          <w:szCs w:val="24"/>
        </w:rPr>
      </w:pPr>
      <w:r w:rsidDel="00000000" w:rsidR="00000000" w:rsidRPr="00000000">
        <w:rPr>
          <w:rtl w:val="0"/>
        </w:rPr>
      </w:r>
    </w:p>
    <w:p w:rsidR="00000000" w:rsidDel="00000000" w:rsidP="00000000" w:rsidRDefault="00000000" w:rsidRPr="00000000" w14:paraId="00000043">
      <w:pPr>
        <w:jc w:val="left"/>
        <w:rPr>
          <w:b w:val="1"/>
          <w:sz w:val="24"/>
          <w:szCs w:val="24"/>
        </w:rPr>
      </w:pPr>
      <w:r w:rsidDel="00000000" w:rsidR="00000000" w:rsidRPr="00000000">
        <w:rPr>
          <w:rtl w:val="0"/>
        </w:rPr>
      </w:r>
    </w:p>
    <w:p w:rsidR="00000000" w:rsidDel="00000000" w:rsidP="00000000" w:rsidRDefault="00000000" w:rsidRPr="00000000" w14:paraId="00000044">
      <w:pPr>
        <w:rPr>
          <w:b w:val="1"/>
          <w:sz w:val="24"/>
          <w:szCs w:val="24"/>
        </w:rPr>
      </w:pPr>
      <w:r w:rsidDel="00000000" w:rsidR="00000000" w:rsidRPr="00000000">
        <w:rPr>
          <w:rtl w:val="0"/>
        </w:rPr>
      </w:r>
    </w:p>
    <w:p w:rsidR="00000000" w:rsidDel="00000000" w:rsidP="00000000" w:rsidRDefault="00000000" w:rsidRPr="00000000" w14:paraId="00000045">
      <w:pPr>
        <w:rPr>
          <w:b w:val="1"/>
          <w:sz w:val="24"/>
          <w:szCs w:val="24"/>
        </w:rPr>
      </w:pPr>
      <w:r w:rsidDel="00000000" w:rsidR="00000000" w:rsidRPr="00000000">
        <w:rPr>
          <w:b w:val="1"/>
          <w:sz w:val="24"/>
          <w:szCs w:val="24"/>
          <w:rtl w:val="0"/>
        </w:rPr>
        <w:t xml:space="preserve">REPORT ON THREATS AND RESTRICTIONS ON ELECTIONS (2015-2023).</w:t>
      </w:r>
    </w:p>
    <w:p w:rsidR="00000000" w:rsidDel="00000000" w:rsidP="00000000" w:rsidRDefault="00000000" w:rsidRPr="00000000" w14:paraId="00000046">
      <w:pPr>
        <w:rPr>
          <w:b w:val="1"/>
          <w:sz w:val="24"/>
          <w:szCs w:val="24"/>
        </w:rPr>
      </w:pPr>
      <w:r w:rsidDel="00000000" w:rsidR="00000000" w:rsidRPr="00000000">
        <w:rPr>
          <w:rtl w:val="0"/>
        </w:rPr>
      </w:r>
    </w:p>
    <w:p w:rsidR="00000000" w:rsidDel="00000000" w:rsidP="00000000" w:rsidRDefault="00000000" w:rsidRPr="00000000" w14:paraId="00000047">
      <w:pPr>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48">
      <w:pPr>
        <w:rPr>
          <w:b w:val="1"/>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This report based on secondary sources, prepared by the Electoral Citizen Network on the threats and restrictions made by the Venezuelan State in the elections of 2015-2023, addresses a significant series of violations of civil and political rights established in the ICCPR, which compromises the Venezuelan State with the non-compliance of its obligations to protect and guarantee what is established in the international standards.</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sz w:val="24"/>
          <w:szCs w:val="24"/>
          <w:rtl w:val="0"/>
        </w:rPr>
        <w:t xml:space="preserve">The right of citizens to participate and have a voice in public affairs in Venezuela has been deeply affected, giving the rise of constant documentation on irregularities related to the prosecution of political actors of the opposition, restriction on the freedom of expression, omission of due process and the application of laws and judicial interpretations that consolidate policies of displacement and delegitimization of civil society. </w:t>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sz w:val="24"/>
          <w:szCs w:val="24"/>
          <w:rtl w:val="0"/>
        </w:rPr>
        <w:t xml:space="preserve">Following the same discursive line, in Venezuela the right to choose and be chosen has been violated on several occasions in the last two decades, through the institutional weakening of the vote, political disqualifications, omission and obstruction of gender parity in the elections, affectations to the right to self-determination of the people, advantageism, limited access to the media and proselytism.</w:t>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In this hostile context, organized citizens have exercised their right to protest in search of the demands denied by the State, for which they have received more repression, coercion and non-respect to the fundamental rights of transparency, freedom and equity in the electoral processes.</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In this sense, the recommendations to the Venezuelan State made in this report are aimed at re-establishing the constitutional order, as well as civil and political guarantees for citizens, in order to solve the problems of political conflict between opposition, government and dissident actors, reparations to victims, commitment to non-repetition and guarantees of an environment of peace and freedom in the territory.</w:t>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b w:val="1"/>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center"/>
        <w:rPr>
          <w:b w:val="1"/>
          <w:sz w:val="24"/>
          <w:szCs w:val="24"/>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jc w:val="center"/>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numPr>
          <w:ilvl w:val="0"/>
          <w:numId w:val="5"/>
        </w:numPr>
        <w:ind w:left="1440" w:hanging="360"/>
        <w:jc w:val="both"/>
        <w:rPr>
          <w:b w:val="1"/>
          <w:sz w:val="24"/>
          <w:szCs w:val="24"/>
        </w:rPr>
      </w:pPr>
      <w:r w:rsidDel="00000000" w:rsidR="00000000" w:rsidRPr="00000000">
        <w:rPr>
          <w:b w:val="1"/>
          <w:sz w:val="24"/>
          <w:szCs w:val="24"/>
          <w:u w:val="single"/>
          <w:rtl w:val="0"/>
        </w:rPr>
        <w:t xml:space="preserve">Right to equality between men and women </w:t>
      </w:r>
      <w:r w:rsidDel="00000000" w:rsidR="00000000" w:rsidRPr="00000000">
        <w:rPr>
          <w:b w:val="1"/>
          <w:color w:val="161616"/>
          <w:sz w:val="24"/>
          <w:szCs w:val="24"/>
          <w:highlight w:val="white"/>
          <w:u w:val="single"/>
          <w:rtl w:val="0"/>
        </w:rPr>
        <w:t xml:space="preserve">in the enjoyment of their civil and political rights (art. 3).</w:t>
      </w:r>
      <w:r w:rsidDel="00000000" w:rsidR="00000000" w:rsidRPr="00000000">
        <w:rPr>
          <w:rtl w:val="0"/>
        </w:rPr>
      </w:r>
    </w:p>
    <w:p w:rsidR="00000000" w:rsidDel="00000000" w:rsidP="00000000" w:rsidRDefault="00000000" w:rsidRPr="00000000" w14:paraId="0000005E">
      <w:pPr>
        <w:ind w:left="720" w:firstLine="0"/>
        <w:jc w:val="both"/>
        <w:rPr>
          <w:b w:val="1"/>
          <w:color w:val="161616"/>
          <w:sz w:val="24"/>
          <w:szCs w:val="24"/>
          <w:highlight w:val="white"/>
          <w:u w:val="single"/>
        </w:rPr>
      </w:pPr>
      <w:r w:rsidDel="00000000" w:rsidR="00000000" w:rsidRPr="00000000">
        <w:rPr>
          <w:rtl w:val="0"/>
        </w:rPr>
      </w:r>
    </w:p>
    <w:p w:rsidR="00000000" w:rsidDel="00000000" w:rsidP="00000000" w:rsidRDefault="00000000" w:rsidRPr="00000000" w14:paraId="0000005F">
      <w:pPr>
        <w:numPr>
          <w:ilvl w:val="0"/>
          <w:numId w:val="7"/>
        </w:numPr>
        <w:shd w:fill="ffffff" w:val="clear"/>
        <w:ind w:left="720" w:hanging="360"/>
        <w:jc w:val="both"/>
        <w:rPr>
          <w:sz w:val="24"/>
          <w:szCs w:val="24"/>
        </w:rPr>
      </w:pPr>
      <w:r w:rsidDel="00000000" w:rsidR="00000000" w:rsidRPr="00000000">
        <w:rPr>
          <w:sz w:val="24"/>
          <w:szCs w:val="24"/>
          <w:rtl w:val="0"/>
        </w:rPr>
        <w:t xml:space="preserve">Reform the Organic Law of Electoral Processes to definitively regulate gender parity in the nominations for candidacies, considering its application in all elections, not only in collegiate entities. </w:t>
      </w:r>
    </w:p>
    <w:p w:rsidR="00000000" w:rsidDel="00000000" w:rsidP="00000000" w:rsidRDefault="00000000" w:rsidRPr="00000000" w14:paraId="00000060">
      <w:pPr>
        <w:numPr>
          <w:ilvl w:val="0"/>
          <w:numId w:val="7"/>
        </w:numPr>
        <w:shd w:fill="ffffff" w:val="clear"/>
        <w:spacing w:after="360" w:lineRule="auto"/>
        <w:ind w:left="720" w:hanging="360"/>
        <w:jc w:val="both"/>
        <w:rPr>
          <w:sz w:val="24"/>
          <w:szCs w:val="24"/>
        </w:rPr>
      </w:pPr>
      <w:r w:rsidDel="00000000" w:rsidR="00000000" w:rsidRPr="00000000">
        <w:rPr>
          <w:sz w:val="24"/>
          <w:szCs w:val="24"/>
          <w:rtl w:val="0"/>
        </w:rPr>
        <w:t xml:space="preserve">To comply with the legal deadlines for nominations established in the Organic Law of Electoral Processes.</w:t>
      </w:r>
    </w:p>
    <w:p w:rsidR="00000000" w:rsidDel="00000000" w:rsidP="00000000" w:rsidRDefault="00000000" w:rsidRPr="00000000" w14:paraId="00000061">
      <w:pPr>
        <w:shd w:fill="ffffff" w:val="clear"/>
        <w:spacing w:after="360" w:lineRule="auto"/>
        <w:ind w:left="720" w:firstLine="0"/>
        <w:jc w:val="both"/>
        <w:rPr>
          <w:b w:val="1"/>
          <w:sz w:val="24"/>
          <w:szCs w:val="24"/>
          <w:u w:val="single"/>
        </w:rPr>
      </w:pPr>
      <w:r w:rsidDel="00000000" w:rsidR="00000000" w:rsidRPr="00000000">
        <w:rPr>
          <w:b w:val="1"/>
          <w:sz w:val="24"/>
          <w:szCs w:val="24"/>
          <w:rtl w:val="0"/>
        </w:rPr>
        <w:t xml:space="preserve">II.       </w:t>
      </w:r>
      <w:r w:rsidDel="00000000" w:rsidR="00000000" w:rsidRPr="00000000">
        <w:rPr>
          <w:b w:val="1"/>
          <w:sz w:val="24"/>
          <w:szCs w:val="24"/>
          <w:u w:val="single"/>
          <w:rtl w:val="0"/>
        </w:rPr>
        <w:t xml:space="preserve">Right of States Parties to derogate (art. 4)</w:t>
      </w:r>
    </w:p>
    <w:p w:rsidR="00000000" w:rsidDel="00000000" w:rsidP="00000000" w:rsidRDefault="00000000" w:rsidRPr="00000000" w14:paraId="00000062">
      <w:pPr>
        <w:numPr>
          <w:ilvl w:val="0"/>
          <w:numId w:val="1"/>
        </w:numPr>
        <w:shd w:fill="ffffff" w:val="clear"/>
        <w:ind w:left="720" w:hanging="360"/>
        <w:jc w:val="both"/>
        <w:rPr>
          <w:sz w:val="24"/>
          <w:szCs w:val="24"/>
        </w:rPr>
      </w:pPr>
      <w:r w:rsidDel="00000000" w:rsidR="00000000" w:rsidRPr="00000000">
        <w:rPr>
          <w:sz w:val="24"/>
          <w:szCs w:val="24"/>
          <w:rtl w:val="0"/>
        </w:rPr>
        <w:t xml:space="preserve">Report to States Parties on duties suspended during 2015, 2016, 2017, 2018, 2019 and 2020.</w:t>
      </w:r>
    </w:p>
    <w:p w:rsidR="00000000" w:rsidDel="00000000" w:rsidP="00000000" w:rsidRDefault="00000000" w:rsidRPr="00000000" w14:paraId="00000063">
      <w:pPr>
        <w:numPr>
          <w:ilvl w:val="0"/>
          <w:numId w:val="1"/>
        </w:numPr>
        <w:shd w:fill="ffffff" w:val="clear"/>
        <w:ind w:left="720" w:hanging="360"/>
        <w:jc w:val="both"/>
        <w:rPr>
          <w:sz w:val="24"/>
          <w:szCs w:val="24"/>
        </w:rPr>
      </w:pPr>
      <w:r w:rsidDel="00000000" w:rsidR="00000000" w:rsidRPr="00000000">
        <w:rPr>
          <w:sz w:val="24"/>
          <w:szCs w:val="24"/>
          <w:rtl w:val="0"/>
        </w:rPr>
        <w:t xml:space="preserve">Conduct a thorough and transparent investigation into the electoral processes that were obstructed during the State of Emergency decrees in the last 9 years.</w:t>
      </w:r>
    </w:p>
    <w:p w:rsidR="00000000" w:rsidDel="00000000" w:rsidP="00000000" w:rsidRDefault="00000000" w:rsidRPr="00000000" w14:paraId="00000064">
      <w:pPr>
        <w:numPr>
          <w:ilvl w:val="0"/>
          <w:numId w:val="1"/>
        </w:numPr>
        <w:shd w:fill="ffffff" w:val="clear"/>
        <w:ind w:left="720" w:hanging="360"/>
        <w:jc w:val="both"/>
        <w:rPr>
          <w:sz w:val="24"/>
          <w:szCs w:val="24"/>
        </w:rPr>
      </w:pPr>
      <w:r w:rsidDel="00000000" w:rsidR="00000000" w:rsidRPr="00000000">
        <w:rPr>
          <w:sz w:val="24"/>
          <w:szCs w:val="24"/>
          <w:rtl w:val="0"/>
        </w:rPr>
        <w:t xml:space="preserve">To order the suspension of arbitrary detentions and the release of political prisoners, arbitrarily detained in the framework of states of emergency.</w:t>
      </w:r>
    </w:p>
    <w:p w:rsidR="00000000" w:rsidDel="00000000" w:rsidP="00000000" w:rsidRDefault="00000000" w:rsidRPr="00000000" w14:paraId="00000065">
      <w:pPr>
        <w:numPr>
          <w:ilvl w:val="0"/>
          <w:numId w:val="1"/>
        </w:numPr>
        <w:shd w:fill="ffffff" w:val="clear"/>
        <w:spacing w:after="360" w:lineRule="auto"/>
        <w:ind w:left="720" w:hanging="360"/>
        <w:jc w:val="both"/>
        <w:rPr>
          <w:sz w:val="24"/>
          <w:szCs w:val="24"/>
        </w:rPr>
      </w:pPr>
      <w:r w:rsidDel="00000000" w:rsidR="00000000" w:rsidRPr="00000000">
        <w:rPr>
          <w:sz w:val="24"/>
          <w:szCs w:val="24"/>
          <w:rtl w:val="0"/>
        </w:rPr>
        <w:t xml:space="preserve">To make reparations to victims and guarantee non-repetition.  </w:t>
      </w:r>
    </w:p>
    <w:p w:rsidR="00000000" w:rsidDel="00000000" w:rsidP="00000000" w:rsidRDefault="00000000" w:rsidRPr="00000000" w14:paraId="00000066">
      <w:pPr>
        <w:shd w:fill="ffffff" w:val="clear"/>
        <w:spacing w:after="360" w:lineRule="auto"/>
        <w:jc w:val="both"/>
        <w:rPr>
          <w:b w:val="1"/>
          <w:sz w:val="24"/>
          <w:szCs w:val="24"/>
        </w:rPr>
      </w:pPr>
      <w:r w:rsidDel="00000000" w:rsidR="00000000" w:rsidRPr="00000000">
        <w:rPr>
          <w:b w:val="1"/>
          <w:sz w:val="24"/>
          <w:szCs w:val="24"/>
          <w:rtl w:val="0"/>
        </w:rPr>
        <w:t xml:space="preserve">           III.   </w:t>
      </w:r>
      <w:r w:rsidDel="00000000" w:rsidR="00000000" w:rsidRPr="00000000">
        <w:rPr>
          <w:b w:val="1"/>
          <w:sz w:val="24"/>
          <w:szCs w:val="24"/>
          <w:u w:val="single"/>
          <w:rtl w:val="0"/>
        </w:rPr>
        <w:t xml:space="preserve">Right to freedom of expression and access to information (art.19)</w:t>
      </w:r>
      <w:r w:rsidDel="00000000" w:rsidR="00000000" w:rsidRPr="00000000">
        <w:rPr>
          <w:rtl w:val="0"/>
        </w:rPr>
      </w:r>
    </w:p>
    <w:p w:rsidR="00000000" w:rsidDel="00000000" w:rsidP="00000000" w:rsidRDefault="00000000" w:rsidRPr="00000000" w14:paraId="00000067">
      <w:pPr>
        <w:numPr>
          <w:ilvl w:val="0"/>
          <w:numId w:val="4"/>
        </w:numPr>
        <w:ind w:left="720" w:hanging="360"/>
        <w:jc w:val="both"/>
        <w:rPr>
          <w:sz w:val="24"/>
          <w:szCs w:val="24"/>
        </w:rPr>
      </w:pPr>
      <w:r w:rsidDel="00000000" w:rsidR="00000000" w:rsidRPr="00000000">
        <w:rPr>
          <w:sz w:val="24"/>
          <w:szCs w:val="24"/>
          <w:rtl w:val="0"/>
        </w:rPr>
        <w:t xml:space="preserve">Ensure balance in state media coverage during electoral campaigns, in line with the Organic Law on Electoral Processes and international best practices.</w:t>
      </w:r>
    </w:p>
    <w:p w:rsidR="00000000" w:rsidDel="00000000" w:rsidP="00000000" w:rsidRDefault="00000000" w:rsidRPr="00000000" w14:paraId="00000068">
      <w:pPr>
        <w:numPr>
          <w:ilvl w:val="0"/>
          <w:numId w:val="4"/>
        </w:numPr>
        <w:ind w:left="720" w:hanging="360"/>
        <w:jc w:val="both"/>
        <w:rPr>
          <w:sz w:val="24"/>
          <w:szCs w:val="24"/>
        </w:rPr>
      </w:pPr>
      <w:r w:rsidDel="00000000" w:rsidR="00000000" w:rsidRPr="00000000">
        <w:rPr>
          <w:sz w:val="24"/>
          <w:szCs w:val="24"/>
          <w:rtl w:val="0"/>
        </w:rPr>
        <w:t xml:space="preserve">Repeal the Law against Hate, for Peaceful Coexistence and Tolerance to promote freedom of expression, prevent self-censorship and stop arbitrary arrests for political reasons.</w:t>
      </w:r>
    </w:p>
    <w:p w:rsidR="00000000" w:rsidDel="00000000" w:rsidP="00000000" w:rsidRDefault="00000000" w:rsidRPr="00000000" w14:paraId="00000069">
      <w:pPr>
        <w:numPr>
          <w:ilvl w:val="0"/>
          <w:numId w:val="4"/>
        </w:numPr>
        <w:ind w:left="720" w:hanging="360"/>
        <w:jc w:val="both"/>
        <w:rPr>
          <w:sz w:val="24"/>
          <w:szCs w:val="24"/>
        </w:rPr>
      </w:pPr>
      <w:r w:rsidDel="00000000" w:rsidR="00000000" w:rsidRPr="00000000">
        <w:rPr>
          <w:sz w:val="24"/>
          <w:szCs w:val="24"/>
          <w:rtl w:val="0"/>
        </w:rPr>
        <w:t xml:space="preserve">Guarantee the Venezuelan population access to the State media and transparency of public information. </w:t>
      </w:r>
    </w:p>
    <w:p w:rsidR="00000000" w:rsidDel="00000000" w:rsidP="00000000" w:rsidRDefault="00000000" w:rsidRPr="00000000" w14:paraId="0000006A">
      <w:pPr>
        <w:numPr>
          <w:ilvl w:val="0"/>
          <w:numId w:val="4"/>
        </w:numPr>
        <w:ind w:left="720" w:hanging="360"/>
        <w:jc w:val="both"/>
        <w:rPr>
          <w:sz w:val="24"/>
          <w:szCs w:val="24"/>
        </w:rPr>
      </w:pPr>
      <w:r w:rsidDel="00000000" w:rsidR="00000000" w:rsidRPr="00000000">
        <w:rPr>
          <w:sz w:val="24"/>
          <w:szCs w:val="24"/>
          <w:rtl w:val="0"/>
        </w:rPr>
        <w:t xml:space="preserve">Protect and respect private media and guarantee their free development in the public space.</w:t>
      </w:r>
    </w:p>
    <w:p w:rsidR="00000000" w:rsidDel="00000000" w:rsidP="00000000" w:rsidRDefault="00000000" w:rsidRPr="00000000" w14:paraId="0000006B">
      <w:pPr>
        <w:numPr>
          <w:ilvl w:val="0"/>
          <w:numId w:val="4"/>
        </w:numPr>
        <w:ind w:left="720" w:hanging="360"/>
        <w:jc w:val="both"/>
        <w:rPr>
          <w:sz w:val="24"/>
          <w:szCs w:val="24"/>
        </w:rPr>
      </w:pPr>
      <w:r w:rsidDel="00000000" w:rsidR="00000000" w:rsidRPr="00000000">
        <w:rPr>
          <w:sz w:val="24"/>
          <w:szCs w:val="24"/>
          <w:rtl w:val="0"/>
        </w:rPr>
        <w:t xml:space="preserve">Strengthen the supervisory capacity of the National Electoral Council regarding information imbalance in electoral processes. </w:t>
      </w:r>
    </w:p>
    <w:p w:rsidR="00000000" w:rsidDel="00000000" w:rsidP="00000000" w:rsidRDefault="00000000" w:rsidRPr="00000000" w14:paraId="0000006C">
      <w:pPr>
        <w:jc w:val="both"/>
        <w:rPr>
          <w:sz w:val="24"/>
          <w:szCs w:val="24"/>
        </w:rPr>
      </w:pPr>
      <w:r w:rsidDel="00000000" w:rsidR="00000000" w:rsidRPr="00000000">
        <w:rPr>
          <w:rtl w:val="0"/>
        </w:rPr>
      </w:r>
    </w:p>
    <w:p w:rsidR="00000000" w:rsidDel="00000000" w:rsidP="00000000" w:rsidRDefault="00000000" w:rsidRPr="00000000" w14:paraId="0000006D">
      <w:pPr>
        <w:jc w:val="both"/>
        <w:rPr>
          <w:b w:val="1"/>
          <w:sz w:val="24"/>
          <w:szCs w:val="24"/>
          <w:u w:val="single"/>
        </w:rPr>
      </w:pPr>
      <w:r w:rsidDel="00000000" w:rsidR="00000000" w:rsidRPr="00000000">
        <w:rPr>
          <w:b w:val="1"/>
          <w:sz w:val="24"/>
          <w:szCs w:val="24"/>
          <w:rtl w:val="0"/>
        </w:rPr>
        <w:t xml:space="preserve">            IV.   </w:t>
      </w:r>
      <w:r w:rsidDel="00000000" w:rsidR="00000000" w:rsidRPr="00000000">
        <w:rPr>
          <w:b w:val="1"/>
          <w:sz w:val="24"/>
          <w:szCs w:val="24"/>
          <w:u w:val="single"/>
          <w:rtl w:val="0"/>
        </w:rPr>
        <w:t xml:space="preserve">Right to elect and be elected (art.25)</w:t>
      </w:r>
    </w:p>
    <w:p w:rsidR="00000000" w:rsidDel="00000000" w:rsidP="00000000" w:rsidRDefault="00000000" w:rsidRPr="00000000" w14:paraId="0000006E">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F">
      <w:pPr>
        <w:numPr>
          <w:ilvl w:val="0"/>
          <w:numId w:val="2"/>
        </w:numPr>
        <w:ind w:left="720" w:hanging="360"/>
        <w:jc w:val="both"/>
        <w:rPr>
          <w:sz w:val="24"/>
          <w:szCs w:val="24"/>
        </w:rPr>
      </w:pPr>
      <w:r w:rsidDel="00000000" w:rsidR="00000000" w:rsidRPr="00000000">
        <w:rPr>
          <w:sz w:val="24"/>
          <w:szCs w:val="24"/>
          <w:rtl w:val="0"/>
        </w:rPr>
        <w:t xml:space="preserve">Strengthen the separation and independence of public powers through the due application of the Organic Law of the Supreme Court of Justice.</w:t>
      </w:r>
    </w:p>
    <w:p w:rsidR="00000000" w:rsidDel="00000000" w:rsidP="00000000" w:rsidRDefault="00000000" w:rsidRPr="00000000" w14:paraId="00000070">
      <w:pPr>
        <w:numPr>
          <w:ilvl w:val="0"/>
          <w:numId w:val="2"/>
        </w:numPr>
        <w:ind w:left="720" w:hanging="360"/>
        <w:jc w:val="both"/>
        <w:rPr>
          <w:sz w:val="24"/>
          <w:szCs w:val="24"/>
        </w:rPr>
      </w:pPr>
      <w:r w:rsidDel="00000000" w:rsidR="00000000" w:rsidRPr="00000000">
        <w:rPr>
          <w:sz w:val="24"/>
          <w:szCs w:val="24"/>
          <w:rtl w:val="0"/>
        </w:rPr>
        <w:t xml:space="preserve">Eliminate the prerogative of the Comptroller General's Office to disqualify citizens who wish to run as candidates in electoral processes through an administrative procedure. </w:t>
      </w:r>
    </w:p>
    <w:p w:rsidR="00000000" w:rsidDel="00000000" w:rsidP="00000000" w:rsidRDefault="00000000" w:rsidRPr="00000000" w14:paraId="00000071">
      <w:pPr>
        <w:numPr>
          <w:ilvl w:val="0"/>
          <w:numId w:val="2"/>
        </w:numPr>
        <w:ind w:left="720" w:hanging="360"/>
        <w:jc w:val="both"/>
        <w:rPr>
          <w:sz w:val="24"/>
          <w:szCs w:val="24"/>
        </w:rPr>
      </w:pPr>
      <w:r w:rsidDel="00000000" w:rsidR="00000000" w:rsidRPr="00000000">
        <w:rPr>
          <w:sz w:val="24"/>
          <w:szCs w:val="24"/>
          <w:rtl w:val="0"/>
        </w:rPr>
        <w:t xml:space="preserve">Comply with the mandate of the Inter-American Court of Human Rights on disqualifications only as convictions following a judicial proceeding with a final judgment. </w:t>
      </w:r>
    </w:p>
    <w:p w:rsidR="00000000" w:rsidDel="00000000" w:rsidP="00000000" w:rsidRDefault="00000000" w:rsidRPr="00000000" w14:paraId="00000072">
      <w:pPr>
        <w:numPr>
          <w:ilvl w:val="0"/>
          <w:numId w:val="2"/>
        </w:numPr>
        <w:ind w:left="720" w:hanging="360"/>
        <w:jc w:val="both"/>
        <w:rPr>
          <w:sz w:val="24"/>
          <w:szCs w:val="24"/>
        </w:rPr>
      </w:pPr>
      <w:r w:rsidDel="00000000" w:rsidR="00000000" w:rsidRPr="00000000">
        <w:rPr>
          <w:sz w:val="24"/>
          <w:szCs w:val="24"/>
          <w:rtl w:val="0"/>
        </w:rPr>
        <w:t xml:space="preserve">Return to their original boards of directors the parties judged by the Supreme Court of Justice, allowing them to compete with their electoral card. </w:t>
      </w:r>
    </w:p>
    <w:p w:rsidR="00000000" w:rsidDel="00000000" w:rsidP="00000000" w:rsidRDefault="00000000" w:rsidRPr="00000000" w14:paraId="00000073">
      <w:pPr>
        <w:numPr>
          <w:ilvl w:val="0"/>
          <w:numId w:val="2"/>
        </w:numPr>
        <w:ind w:left="720" w:hanging="360"/>
        <w:jc w:val="both"/>
        <w:rPr>
          <w:sz w:val="24"/>
          <w:szCs w:val="24"/>
        </w:rPr>
      </w:pPr>
      <w:r w:rsidDel="00000000" w:rsidR="00000000" w:rsidRPr="00000000">
        <w:rPr>
          <w:sz w:val="24"/>
          <w:szCs w:val="24"/>
          <w:rtl w:val="0"/>
        </w:rPr>
        <w:t xml:space="preserve">Approve a special day of registration and updating of data in the Electoral Registry, with sufficient time and territory to reduce the gap of unregistered young people. </w:t>
      </w:r>
    </w:p>
    <w:p w:rsidR="00000000" w:rsidDel="00000000" w:rsidP="00000000" w:rsidRDefault="00000000" w:rsidRPr="00000000" w14:paraId="00000074">
      <w:pPr>
        <w:numPr>
          <w:ilvl w:val="0"/>
          <w:numId w:val="2"/>
        </w:numPr>
        <w:ind w:left="720" w:hanging="360"/>
        <w:jc w:val="both"/>
        <w:rPr>
          <w:sz w:val="24"/>
          <w:szCs w:val="24"/>
        </w:rPr>
      </w:pPr>
      <w:r w:rsidDel="00000000" w:rsidR="00000000" w:rsidRPr="00000000">
        <w:rPr>
          <w:sz w:val="24"/>
          <w:szCs w:val="24"/>
          <w:rtl w:val="0"/>
        </w:rPr>
        <w:t xml:space="preserve">To comply with the continuous nature of the Electoral Registry abroad, opening and allowing Venezuelans outside the country to register or update their data to participate in the next electoral processes, with no other requirements than those established by the Organic Law of Electoral Processes. </w:t>
      </w:r>
    </w:p>
    <w:p w:rsidR="00000000" w:rsidDel="00000000" w:rsidP="00000000" w:rsidRDefault="00000000" w:rsidRPr="00000000" w14:paraId="00000075">
      <w:pPr>
        <w:numPr>
          <w:ilvl w:val="0"/>
          <w:numId w:val="2"/>
        </w:numPr>
        <w:ind w:left="720" w:hanging="360"/>
        <w:jc w:val="both"/>
        <w:rPr>
          <w:sz w:val="24"/>
          <w:szCs w:val="24"/>
        </w:rPr>
      </w:pPr>
      <w:r w:rsidDel="00000000" w:rsidR="00000000" w:rsidRPr="00000000">
        <w:rPr>
          <w:sz w:val="24"/>
          <w:szCs w:val="24"/>
          <w:rtl w:val="0"/>
        </w:rPr>
        <w:t xml:space="preserve">Develop a voter education campaign to inform voters of their political rights and the legal requirements established to exercise them.</w:t>
      </w:r>
    </w:p>
    <w:p w:rsidR="00000000" w:rsidDel="00000000" w:rsidP="00000000" w:rsidRDefault="00000000" w:rsidRPr="00000000" w14:paraId="00000076">
      <w:pPr>
        <w:numPr>
          <w:ilvl w:val="0"/>
          <w:numId w:val="2"/>
        </w:numPr>
        <w:ind w:left="720" w:hanging="360"/>
        <w:jc w:val="both"/>
        <w:rPr>
          <w:sz w:val="24"/>
          <w:szCs w:val="24"/>
        </w:rPr>
      </w:pPr>
      <w:r w:rsidDel="00000000" w:rsidR="00000000" w:rsidRPr="00000000">
        <w:rPr>
          <w:sz w:val="24"/>
          <w:szCs w:val="24"/>
          <w:rtl w:val="0"/>
        </w:rPr>
        <w:t xml:space="preserve">Strengthen the sanctioning powers of the electoral body through a system of control and sanctions, ranging from a reprimand to the imposition of progressive penalties, especially with regard to the use of State resources in campaigns.</w:t>
      </w:r>
    </w:p>
    <w:p w:rsidR="00000000" w:rsidDel="00000000" w:rsidP="00000000" w:rsidRDefault="00000000" w:rsidRPr="00000000" w14:paraId="00000077">
      <w:pPr>
        <w:shd w:fill="ffffff" w:val="clear"/>
        <w:spacing w:after="360" w:lineRule="auto"/>
        <w:ind w:left="720" w:firstLine="0"/>
        <w:jc w:val="both"/>
        <w:rPr>
          <w:b w:val="1"/>
          <w:sz w:val="24"/>
          <w:szCs w:val="24"/>
        </w:rPr>
      </w:pPr>
      <w:r w:rsidDel="00000000" w:rsidR="00000000" w:rsidRPr="00000000">
        <w:rPr>
          <w:rtl w:val="0"/>
        </w:rPr>
      </w:r>
    </w:p>
    <w:p w:rsidR="00000000" w:rsidDel="00000000" w:rsidP="00000000" w:rsidRDefault="00000000" w:rsidRPr="00000000" w14:paraId="00000078">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9">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A">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B">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C">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D">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E">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7F">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80">
      <w:pPr>
        <w:shd w:fill="ffffff" w:val="clear"/>
        <w:spacing w:after="360" w:lineRule="auto"/>
        <w:jc w:val="center"/>
        <w:rPr>
          <w:b w:val="1"/>
          <w:sz w:val="24"/>
          <w:szCs w:val="24"/>
        </w:rPr>
      </w:pPr>
      <w:r w:rsidDel="00000000" w:rsidR="00000000" w:rsidRPr="00000000">
        <w:rPr>
          <w:rtl w:val="0"/>
        </w:rPr>
      </w:r>
    </w:p>
    <w:p w:rsidR="00000000" w:rsidDel="00000000" w:rsidP="00000000" w:rsidRDefault="00000000" w:rsidRPr="00000000" w14:paraId="00000081">
      <w:pPr>
        <w:shd w:fill="ffffff" w:val="clear"/>
        <w:spacing w:after="360" w:lineRule="auto"/>
        <w:jc w:val="center"/>
        <w:rPr>
          <w:sz w:val="24"/>
          <w:szCs w:val="24"/>
        </w:rPr>
      </w:pPr>
      <w:r w:rsidDel="00000000" w:rsidR="00000000" w:rsidRPr="00000000">
        <w:rPr>
          <w:b w:val="1"/>
          <w:sz w:val="24"/>
          <w:szCs w:val="24"/>
          <w:rtl w:val="0"/>
        </w:rPr>
        <w:t xml:space="preserve">Presentation and methodology</w:t>
      </w:r>
      <w:r w:rsidDel="00000000" w:rsidR="00000000" w:rsidRPr="00000000">
        <w:rPr>
          <w:rtl w:val="0"/>
        </w:rPr>
      </w:r>
    </w:p>
    <w:p w:rsidR="00000000" w:rsidDel="00000000" w:rsidP="00000000" w:rsidRDefault="00000000" w:rsidRPr="00000000" w14:paraId="00000082">
      <w:pPr>
        <w:shd w:fill="ffffff" w:val="clear"/>
        <w:spacing w:after="360" w:lineRule="auto"/>
        <w:jc w:val="both"/>
        <w:rPr>
          <w:sz w:val="24"/>
          <w:szCs w:val="24"/>
        </w:rPr>
      </w:pPr>
      <w:r w:rsidDel="00000000" w:rsidR="00000000" w:rsidRPr="00000000">
        <w:rPr>
          <w:sz w:val="24"/>
          <w:szCs w:val="24"/>
          <w:rtl w:val="0"/>
        </w:rPr>
        <w:t xml:space="preserve">This report is presented by the Red Electoral Ciudadana, an </w:t>
      </w:r>
      <w:r w:rsidDel="00000000" w:rsidR="00000000" w:rsidRPr="00000000">
        <w:rPr>
          <w:sz w:val="23"/>
          <w:szCs w:val="23"/>
          <w:rtl w:val="0"/>
        </w:rPr>
        <w:t xml:space="preserve">alliance between the organizations: CEPAZ, Voto Joven and the Global Observatory on Communication and Democracy. A space that unites civil society organizations and citizens to articulate actions aimed at strengthening and defending citizen participation. It also proposes strategies to promote citizen values and transparent electoral processes, and conducts electoral observation exercises. </w:t>
      </w:r>
      <w:r w:rsidDel="00000000" w:rsidR="00000000" w:rsidRPr="00000000">
        <w:rPr>
          <w:rtl w:val="0"/>
        </w:rPr>
      </w:r>
    </w:p>
    <w:p w:rsidR="00000000" w:rsidDel="00000000" w:rsidP="00000000" w:rsidRDefault="00000000" w:rsidRPr="00000000" w14:paraId="00000083">
      <w:pPr>
        <w:shd w:fill="ffffff" w:val="clear"/>
        <w:spacing w:after="360" w:lineRule="auto"/>
        <w:jc w:val="both"/>
        <w:rPr>
          <w:sz w:val="24"/>
          <w:szCs w:val="24"/>
        </w:rPr>
      </w:pPr>
      <w:r w:rsidDel="00000000" w:rsidR="00000000" w:rsidRPr="00000000">
        <w:rPr>
          <w:sz w:val="24"/>
          <w:szCs w:val="24"/>
          <w:rtl w:val="0"/>
        </w:rPr>
        <w:t xml:space="preserve">The information comes from reviews of: 1. media; 2. reports issued by the Citizen Electoral Network and its organizations after electoral observation processes; 3. reports issued by international electoral observation groups; 4. own analysis and projections; and 5. official gazettes, laws and administrative acts issued by public entities. </w:t>
      </w:r>
    </w:p>
    <w:p w:rsidR="00000000" w:rsidDel="00000000" w:rsidP="00000000" w:rsidRDefault="00000000" w:rsidRPr="00000000" w14:paraId="00000084">
      <w:pPr>
        <w:shd w:fill="ffffff" w:val="clear"/>
        <w:spacing w:after="360" w:lineRule="auto"/>
        <w:jc w:val="both"/>
        <w:rPr>
          <w:sz w:val="24"/>
          <w:szCs w:val="24"/>
        </w:rPr>
      </w:pPr>
      <w:r w:rsidDel="00000000" w:rsidR="00000000" w:rsidRPr="00000000">
        <w:rPr>
          <w:sz w:val="24"/>
          <w:szCs w:val="24"/>
          <w:rtl w:val="0"/>
        </w:rPr>
        <w:t xml:space="preserve">Given the opacity in the publication of data by the Venezuelan State, it was a challenge to contrast official figures of young people not registered in the Electoral Registry to be able to exercise their right to vote. The figures presented are approximations made by the organization Voto Joven based on projections of the growth of the Venezuelan population.</w:t>
      </w:r>
    </w:p>
    <w:p w:rsidR="00000000" w:rsidDel="00000000" w:rsidP="00000000" w:rsidRDefault="00000000" w:rsidRPr="00000000" w14:paraId="00000085">
      <w:pPr>
        <w:shd w:fill="ffffff" w:val="clear"/>
        <w:spacing w:after="360" w:lineRule="auto"/>
        <w:jc w:val="both"/>
        <w:rPr>
          <w:sz w:val="24"/>
          <w:szCs w:val="24"/>
        </w:rPr>
      </w:pPr>
      <w:r w:rsidDel="00000000" w:rsidR="00000000" w:rsidRPr="00000000">
        <w:rPr>
          <w:rtl w:val="0"/>
        </w:rPr>
      </w:r>
    </w:p>
    <w:p w:rsidR="00000000" w:rsidDel="00000000" w:rsidP="00000000" w:rsidRDefault="00000000" w:rsidRPr="00000000" w14:paraId="00000086">
      <w:pPr>
        <w:shd w:fill="ffffff" w:val="clear"/>
        <w:spacing w:after="360" w:lineRule="auto"/>
        <w:ind w:left="720" w:firstLine="0"/>
        <w:jc w:val="both"/>
        <w:rPr>
          <w:sz w:val="24"/>
          <w:szCs w:val="24"/>
        </w:rPr>
      </w:pPr>
      <w:r w:rsidDel="00000000" w:rsidR="00000000" w:rsidRPr="00000000">
        <w:rPr>
          <w:rtl w:val="0"/>
        </w:rPr>
      </w:r>
    </w:p>
    <w:p w:rsidR="00000000" w:rsidDel="00000000" w:rsidP="00000000" w:rsidRDefault="00000000" w:rsidRPr="00000000" w14:paraId="00000087">
      <w:pPr>
        <w:shd w:fill="ffffff" w:val="clear"/>
        <w:spacing w:after="360" w:lineRule="auto"/>
        <w:jc w:val="both"/>
        <w:rPr>
          <w:sz w:val="24"/>
          <w:szCs w:val="24"/>
        </w:rPr>
      </w:pPr>
      <w:r w:rsidDel="00000000" w:rsidR="00000000" w:rsidRPr="00000000">
        <w:rPr>
          <w:rtl w:val="0"/>
        </w:rPr>
      </w:r>
    </w:p>
    <w:p w:rsidR="00000000" w:rsidDel="00000000" w:rsidP="00000000" w:rsidRDefault="00000000" w:rsidRPr="00000000" w14:paraId="00000088">
      <w:pPr>
        <w:shd w:fill="ffffff" w:val="clear"/>
        <w:spacing w:after="360" w:lineRule="auto"/>
        <w:jc w:val="both"/>
        <w:rPr>
          <w:sz w:val="24"/>
          <w:szCs w:val="24"/>
        </w:rPr>
      </w:pPr>
      <w:r w:rsidDel="00000000" w:rsidR="00000000" w:rsidRPr="00000000">
        <w:rPr>
          <w:rtl w:val="0"/>
        </w:rPr>
      </w:r>
    </w:p>
    <w:p w:rsidR="00000000" w:rsidDel="00000000" w:rsidP="00000000" w:rsidRDefault="00000000" w:rsidRPr="00000000" w14:paraId="00000089">
      <w:pPr>
        <w:shd w:fill="ffffff" w:val="clear"/>
        <w:spacing w:after="360" w:lineRule="auto"/>
        <w:ind w:left="720" w:firstLine="0"/>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jc w:val="both"/>
        <w:rPr>
          <w:sz w:val="24"/>
          <w:szCs w:val="24"/>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sz w:val="24"/>
          <w:szCs w:val="24"/>
        </w:rPr>
      </w:pPr>
      <w:r w:rsidDel="00000000" w:rsidR="00000000" w:rsidRPr="00000000">
        <w:rPr>
          <w:rtl w:val="0"/>
        </w:rPr>
      </w:r>
    </w:p>
    <w:p w:rsidR="00000000" w:rsidDel="00000000" w:rsidP="00000000" w:rsidRDefault="00000000" w:rsidRPr="00000000" w14:paraId="00000095">
      <w:pPr>
        <w:numPr>
          <w:ilvl w:val="0"/>
          <w:numId w:val="6"/>
        </w:numPr>
        <w:ind w:left="720" w:hanging="360"/>
        <w:rPr>
          <w:b w:val="1"/>
          <w:color w:val="161616"/>
          <w:sz w:val="24"/>
          <w:szCs w:val="24"/>
          <w:highlight w:val="white"/>
        </w:rPr>
      </w:pPr>
      <w:r w:rsidDel="00000000" w:rsidR="00000000" w:rsidRPr="00000000">
        <w:rPr>
          <w:b w:val="1"/>
          <w:color w:val="161616"/>
          <w:sz w:val="24"/>
          <w:szCs w:val="24"/>
          <w:highlight w:val="white"/>
          <w:rtl w:val="0"/>
        </w:rPr>
        <w:t xml:space="preserve">Right to equality between men and women in the enjoyment of their civil and political rights (art. 3).</w:t>
      </w:r>
    </w:p>
    <w:p w:rsidR="00000000" w:rsidDel="00000000" w:rsidP="00000000" w:rsidRDefault="00000000" w:rsidRPr="00000000" w14:paraId="00000096">
      <w:pPr>
        <w:jc w:val="both"/>
        <w:rPr>
          <w:color w:val="161616"/>
          <w:sz w:val="24"/>
          <w:szCs w:val="24"/>
          <w:highlight w:val="white"/>
        </w:rPr>
      </w:pPr>
      <w:r w:rsidDel="00000000" w:rsidR="00000000" w:rsidRPr="00000000">
        <w:rPr>
          <w:rtl w:val="0"/>
        </w:rPr>
      </w:r>
    </w:p>
    <w:p w:rsidR="00000000" w:rsidDel="00000000" w:rsidP="00000000" w:rsidRDefault="00000000" w:rsidRPr="00000000" w14:paraId="00000097">
      <w:pPr>
        <w:numPr>
          <w:ilvl w:val="0"/>
          <w:numId w:val="8"/>
        </w:numPr>
        <w:ind w:left="720" w:hanging="360"/>
        <w:jc w:val="both"/>
        <w:rPr>
          <w:i w:val="1"/>
          <w:sz w:val="24"/>
          <w:szCs w:val="24"/>
        </w:rPr>
      </w:pPr>
      <w:r w:rsidDel="00000000" w:rsidR="00000000" w:rsidRPr="00000000">
        <w:rPr>
          <w:i w:val="1"/>
          <w:sz w:val="24"/>
          <w:szCs w:val="24"/>
          <w:rtl w:val="0"/>
        </w:rPr>
        <w:t xml:space="preserve">Special regulations on the principle of gender parity. </w:t>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jc w:val="both"/>
        <w:rPr>
          <w:sz w:val="24"/>
          <w:szCs w:val="24"/>
        </w:rPr>
      </w:pPr>
      <w:r w:rsidDel="00000000" w:rsidR="00000000" w:rsidRPr="00000000">
        <w:rPr>
          <w:sz w:val="24"/>
          <w:szCs w:val="24"/>
          <w:rtl w:val="0"/>
        </w:rPr>
        <w:t xml:space="preserve">In Venezuela, gender parity has a historical legal debt, the applicable principle for each electoral process depends on the approval of a sub-legal act carried out by the electoral body in each election, this not only affects the principle of legal certainty but it is unpredictable to know which gender parity criteria will be applied. It is necessary the approval of a law that definitively regulates this matter. </w:t>
      </w:r>
    </w:p>
    <w:p w:rsidR="00000000" w:rsidDel="00000000" w:rsidP="00000000" w:rsidRDefault="00000000" w:rsidRPr="00000000" w14:paraId="0000009A">
      <w:pPr>
        <w:jc w:val="both"/>
        <w:rPr>
          <w:sz w:val="24"/>
          <w:szCs w:val="24"/>
        </w:rPr>
      </w:pPr>
      <w:r w:rsidDel="00000000" w:rsidR="00000000" w:rsidRPr="00000000">
        <w:rPr>
          <w:rtl w:val="0"/>
        </w:rPr>
      </w:r>
    </w:p>
    <w:p w:rsidR="00000000" w:rsidDel="00000000" w:rsidP="00000000" w:rsidRDefault="00000000" w:rsidRPr="00000000" w14:paraId="0000009B">
      <w:pPr>
        <w:jc w:val="both"/>
        <w:rPr>
          <w:sz w:val="24"/>
          <w:szCs w:val="24"/>
        </w:rPr>
      </w:pPr>
      <w:r w:rsidDel="00000000" w:rsidR="00000000" w:rsidRPr="00000000">
        <w:rPr>
          <w:sz w:val="24"/>
          <w:szCs w:val="24"/>
          <w:rtl w:val="0"/>
        </w:rPr>
        <w:t xml:space="preserve">3.  On June 25, 2015, the CNE announced the approval of a special regulation establishing the principle of gender parity</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valid and applicable for the nominations submitted for the December 6 parliamentary elections, however, such regulation was approved late, increasing the tension and disorganization of the process, due to the fact that the Mesa de la Unidad Democrática (Alliance of opposition parties) had already formed the list of its candidates.</w:t>
      </w:r>
    </w:p>
    <w:p w:rsidR="00000000" w:rsidDel="00000000" w:rsidP="00000000" w:rsidRDefault="00000000" w:rsidRPr="00000000" w14:paraId="0000009C">
      <w:pPr>
        <w:jc w:val="both"/>
        <w:rPr>
          <w:sz w:val="24"/>
          <w:szCs w:val="24"/>
        </w:rPr>
      </w:pPr>
      <w:r w:rsidDel="00000000" w:rsidR="00000000" w:rsidRPr="00000000">
        <w:rPr>
          <w:rtl w:val="0"/>
        </w:rPr>
      </w:r>
    </w:p>
    <w:p w:rsidR="00000000" w:rsidDel="00000000" w:rsidP="00000000" w:rsidRDefault="00000000" w:rsidRPr="00000000" w14:paraId="0000009D">
      <w:pPr>
        <w:shd w:fill="ffffff" w:val="clear"/>
        <w:spacing w:after="360" w:lineRule="auto"/>
        <w:jc w:val="both"/>
        <w:rPr>
          <w:sz w:val="24"/>
          <w:szCs w:val="24"/>
        </w:rPr>
      </w:pPr>
      <w:r w:rsidDel="00000000" w:rsidR="00000000" w:rsidRPr="00000000">
        <w:rPr>
          <w:sz w:val="24"/>
          <w:szCs w:val="24"/>
          <w:rtl w:val="0"/>
        </w:rPr>
        <w:t xml:space="preserve">4. In Electoral Gazette No. 980, dated July 12, 2021, the NEC issued the "Special Regulations to Guarantee the Rights of Parity, Alternate and Political Participation of Legislators and Councilmen or Councilwomen in the Regional and Municipal Elections 2021</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 wherein it was established that the nominations must have a parity and alternate composition of 50% for each gender. However, the CNE made the mandate more flexible by allowing that the nomination could have a minimum of 40% and a maximum of 60% for each gender, due to its late promulgation and the disorganization caused by such regulation. </w:t>
      </w:r>
    </w:p>
    <w:p w:rsidR="00000000" w:rsidDel="00000000" w:rsidP="00000000" w:rsidRDefault="00000000" w:rsidRPr="00000000" w14:paraId="0000009E">
      <w:pPr>
        <w:shd w:fill="ffffff" w:val="clear"/>
        <w:spacing w:after="360" w:lineRule="auto"/>
        <w:jc w:val="both"/>
        <w:rPr>
          <w:sz w:val="24"/>
          <w:szCs w:val="24"/>
        </w:rPr>
      </w:pPr>
      <w:r w:rsidDel="00000000" w:rsidR="00000000" w:rsidRPr="00000000">
        <w:rPr>
          <w:sz w:val="24"/>
          <w:szCs w:val="24"/>
          <w:rtl w:val="0"/>
        </w:rPr>
        <w:t xml:space="preserve">5.  Being a measure applied only for the nominations of the collegiate bodies, the number of women candidates for state executive positions was lower in relation to the number of men candidates. Likewise, the publication of special regulations in elections to promote gender parity has become a practice of the electoral entity, however, the measure is insufficient to guarantee gender equality in power spaces and produces greater discrimination and violation of women's rights in the participation and incidence in public affairs. </w:t>
      </w:r>
    </w:p>
    <w:p w:rsidR="00000000" w:rsidDel="00000000" w:rsidP="00000000" w:rsidRDefault="00000000" w:rsidRPr="00000000" w14:paraId="0000009F">
      <w:pPr>
        <w:shd w:fill="ffffff" w:val="clear"/>
        <w:spacing w:after="360" w:lineRule="auto"/>
        <w:jc w:val="both"/>
        <w:rPr>
          <w:b w:val="1"/>
          <w:sz w:val="24"/>
          <w:szCs w:val="24"/>
        </w:rPr>
      </w:pPr>
      <w:r w:rsidDel="00000000" w:rsidR="00000000" w:rsidRPr="00000000">
        <w:rPr>
          <w:b w:val="1"/>
          <w:sz w:val="24"/>
          <w:szCs w:val="24"/>
          <w:rtl w:val="0"/>
        </w:rPr>
        <w:t xml:space="preserve"> Recommendations:</w:t>
      </w:r>
    </w:p>
    <w:p w:rsidR="00000000" w:rsidDel="00000000" w:rsidP="00000000" w:rsidRDefault="00000000" w:rsidRPr="00000000" w14:paraId="000000A0">
      <w:pPr>
        <w:numPr>
          <w:ilvl w:val="0"/>
          <w:numId w:val="7"/>
        </w:numPr>
        <w:shd w:fill="ffffff" w:val="clear"/>
        <w:ind w:left="720" w:hanging="360"/>
        <w:jc w:val="both"/>
        <w:rPr>
          <w:sz w:val="24"/>
          <w:szCs w:val="24"/>
        </w:rPr>
      </w:pPr>
      <w:r w:rsidDel="00000000" w:rsidR="00000000" w:rsidRPr="00000000">
        <w:rPr>
          <w:sz w:val="24"/>
          <w:szCs w:val="24"/>
          <w:rtl w:val="0"/>
        </w:rPr>
        <w:t xml:space="preserve">Reform the Organic Law of Electoral Processes to definitively regulate gender parity in the nominations for candidacies, considering its application in all elections, not only in collegiate entities. </w:t>
      </w:r>
    </w:p>
    <w:p w:rsidR="00000000" w:rsidDel="00000000" w:rsidP="00000000" w:rsidRDefault="00000000" w:rsidRPr="00000000" w14:paraId="000000A1">
      <w:pPr>
        <w:numPr>
          <w:ilvl w:val="0"/>
          <w:numId w:val="7"/>
        </w:numPr>
        <w:shd w:fill="ffffff" w:val="clear"/>
        <w:spacing w:after="360" w:lineRule="auto"/>
        <w:ind w:left="720" w:hanging="360"/>
        <w:jc w:val="both"/>
        <w:rPr>
          <w:sz w:val="24"/>
          <w:szCs w:val="24"/>
        </w:rPr>
      </w:pPr>
      <w:r w:rsidDel="00000000" w:rsidR="00000000" w:rsidRPr="00000000">
        <w:rPr>
          <w:sz w:val="24"/>
          <w:szCs w:val="24"/>
          <w:rtl w:val="0"/>
        </w:rPr>
        <w:t xml:space="preserve">To comply with the legal deadlines for nominations established in the Organic Law of Electoral Processes.</w:t>
      </w:r>
    </w:p>
    <w:p w:rsidR="00000000" w:rsidDel="00000000" w:rsidP="00000000" w:rsidRDefault="00000000" w:rsidRPr="00000000" w14:paraId="000000A2">
      <w:pPr>
        <w:jc w:val="both"/>
        <w:rPr>
          <w:b w:val="1"/>
          <w:sz w:val="24"/>
          <w:szCs w:val="24"/>
        </w:rPr>
      </w:pPr>
      <w:r w:rsidDel="00000000" w:rsidR="00000000" w:rsidRPr="00000000">
        <w:rPr>
          <w:b w:val="1"/>
          <w:sz w:val="24"/>
          <w:szCs w:val="24"/>
          <w:rtl w:val="0"/>
        </w:rPr>
        <w:t xml:space="preserve">II. Right of States Parties to derogate (art. 4)</w:t>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jc w:val="both"/>
        <w:rPr>
          <w:sz w:val="24"/>
          <w:szCs w:val="24"/>
        </w:rPr>
      </w:pPr>
      <w:r w:rsidDel="00000000" w:rsidR="00000000" w:rsidRPr="00000000">
        <w:rPr>
          <w:sz w:val="24"/>
          <w:szCs w:val="24"/>
          <w:rtl w:val="0"/>
        </w:rPr>
        <w:t xml:space="preserve">6. During 2015, in the framework of the 2015 Parliamentary electoral process, the executive branch issued 8 State of Exception decrees due to "the economic emergency", starting in 5 municipalities of the state of Táchira and in the following months, extending the measure to other border states such as Apure, Amazonas and Zulia, affecting a total of 28 municipalities and limiting the development of the electoral campaign, coercing the right to vote and limiting the right to the inviolability of the home, inviolability of private communications, free transit, assembly, peaceful demonstration and free economic activity.</w:t>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shd w:fill="ffffff" w:val="clear"/>
        <w:spacing w:after="360" w:lineRule="auto"/>
        <w:jc w:val="both"/>
        <w:rPr>
          <w:sz w:val="24"/>
          <w:szCs w:val="24"/>
        </w:rPr>
      </w:pPr>
      <w:r w:rsidDel="00000000" w:rsidR="00000000" w:rsidRPr="00000000">
        <w:rPr>
          <w:sz w:val="24"/>
          <w:szCs w:val="24"/>
          <w:rtl w:val="0"/>
        </w:rPr>
        <w:t xml:space="preserve">7. Among the justifications for this decision, they alleged the presence of paramilitarism, drug trafficking and smuggling of extraction in said zones, however no evidence of these facts was shown. The arguments against 6 decrees received by the Constitutional Chamber of the TSJ were dismissed, arguing the necessity of the decision without specifying reasons. </w:t>
      </w:r>
      <w:r w:rsidDel="00000000" w:rsidR="00000000" w:rsidRPr="00000000">
        <w:rPr>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A7">
      <w:pPr>
        <w:shd w:fill="ffffff" w:val="clear"/>
        <w:spacing w:after="360" w:lineRule="auto"/>
        <w:jc w:val="both"/>
        <w:rPr>
          <w:sz w:val="24"/>
          <w:szCs w:val="24"/>
          <w:highlight w:val="white"/>
        </w:rPr>
      </w:pPr>
      <w:r w:rsidDel="00000000" w:rsidR="00000000" w:rsidRPr="00000000">
        <w:rPr>
          <w:sz w:val="24"/>
          <w:szCs w:val="24"/>
          <w:rtl w:val="0"/>
        </w:rPr>
        <w:t xml:space="preserve">8. In 2016, 2017, 2018, 2019 and 2020 the executive branch also decreed States of Exception to a greater or lesser extent, justifying the mandate with the economic emergency that the country was going through, but giving rise to arbitrary detentions and cruel and inhuman treatment of citizens exercising their right to peaceful protest, for reasons of gender and with family ties to political dissidence</w:t>
      </w:r>
      <w:r w:rsidDel="00000000" w:rsidR="00000000" w:rsidRPr="00000000">
        <w:rPr>
          <w:sz w:val="24"/>
          <w:szCs w:val="24"/>
          <w:highlight w:val="white"/>
          <w:rtl w:val="0"/>
        </w:rPr>
        <w:t xml:space="preserve">. </w:t>
      </w:r>
      <w:r w:rsidDel="00000000" w:rsidR="00000000" w:rsidRPr="00000000">
        <w:rPr>
          <w:sz w:val="24"/>
          <w:szCs w:val="24"/>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A8">
      <w:pPr>
        <w:shd w:fill="ffffff" w:val="clear"/>
        <w:spacing w:after="360" w:lineRule="auto"/>
        <w:jc w:val="both"/>
        <w:rPr>
          <w:b w:val="1"/>
          <w:sz w:val="24"/>
          <w:szCs w:val="24"/>
        </w:rPr>
      </w:pPr>
      <w:r w:rsidDel="00000000" w:rsidR="00000000" w:rsidRPr="00000000">
        <w:rPr>
          <w:sz w:val="24"/>
          <w:szCs w:val="24"/>
          <w:rtl w:val="0"/>
        </w:rPr>
        <w:t xml:space="preserve">9. Even though a State party to the </w:t>
      </w:r>
      <w:r w:rsidDel="00000000" w:rsidR="00000000" w:rsidRPr="00000000">
        <w:rPr>
          <w:color w:val="040c28"/>
          <w:sz w:val="24"/>
          <w:szCs w:val="24"/>
          <w:rtl w:val="0"/>
        </w:rPr>
        <w:t xml:space="preserve">ICCPR </w:t>
      </w:r>
      <w:r w:rsidDel="00000000" w:rsidR="00000000" w:rsidRPr="00000000">
        <w:rPr>
          <w:sz w:val="24"/>
          <w:szCs w:val="24"/>
          <w:rtl w:val="0"/>
        </w:rPr>
        <w:t xml:space="preserve">has the possibility of suspending several rights in exceptional situations, the Venezuelan State abused this right without grounds and adopted discriminatory measures of various kinds that aggravated the particular and general situations of the context. In addition to not immediately informing the other States Parties of the rights suspended and the date set for lifting the suspension.</w:t>
      </w:r>
      <w:r w:rsidDel="00000000" w:rsidR="00000000" w:rsidRPr="00000000">
        <w:rPr>
          <w:rtl w:val="0"/>
        </w:rPr>
      </w:r>
    </w:p>
    <w:p w:rsidR="00000000" w:rsidDel="00000000" w:rsidP="00000000" w:rsidRDefault="00000000" w:rsidRPr="00000000" w14:paraId="000000A9">
      <w:pPr>
        <w:shd w:fill="ffffff" w:val="clear"/>
        <w:spacing w:after="360" w:lineRule="auto"/>
        <w:jc w:val="both"/>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AA">
      <w:pPr>
        <w:numPr>
          <w:ilvl w:val="0"/>
          <w:numId w:val="1"/>
        </w:numPr>
        <w:shd w:fill="ffffff" w:val="clear"/>
        <w:ind w:left="720" w:hanging="360"/>
        <w:jc w:val="both"/>
        <w:rPr>
          <w:sz w:val="24"/>
          <w:szCs w:val="24"/>
        </w:rPr>
      </w:pPr>
      <w:r w:rsidDel="00000000" w:rsidR="00000000" w:rsidRPr="00000000">
        <w:rPr>
          <w:sz w:val="24"/>
          <w:szCs w:val="24"/>
          <w:rtl w:val="0"/>
        </w:rPr>
        <w:t xml:space="preserve">Report to States Parties on duties suspended during 2015, 2016, 2017, 2018, 2019 and 2020.</w:t>
      </w:r>
    </w:p>
    <w:p w:rsidR="00000000" w:rsidDel="00000000" w:rsidP="00000000" w:rsidRDefault="00000000" w:rsidRPr="00000000" w14:paraId="000000AB">
      <w:pPr>
        <w:numPr>
          <w:ilvl w:val="0"/>
          <w:numId w:val="1"/>
        </w:numPr>
        <w:shd w:fill="ffffff" w:val="clear"/>
        <w:ind w:left="720" w:hanging="360"/>
        <w:jc w:val="both"/>
        <w:rPr>
          <w:sz w:val="24"/>
          <w:szCs w:val="24"/>
        </w:rPr>
      </w:pPr>
      <w:r w:rsidDel="00000000" w:rsidR="00000000" w:rsidRPr="00000000">
        <w:rPr>
          <w:sz w:val="24"/>
          <w:szCs w:val="24"/>
          <w:rtl w:val="0"/>
        </w:rPr>
        <w:t xml:space="preserve">Conduct a thorough and transparent investigation into the electoral processes that were obstructed during the State of Emergency decrees in the last 9 years.</w:t>
      </w:r>
    </w:p>
    <w:p w:rsidR="00000000" w:rsidDel="00000000" w:rsidP="00000000" w:rsidRDefault="00000000" w:rsidRPr="00000000" w14:paraId="000000AC">
      <w:pPr>
        <w:numPr>
          <w:ilvl w:val="0"/>
          <w:numId w:val="1"/>
        </w:numPr>
        <w:shd w:fill="ffffff" w:val="clear"/>
        <w:ind w:left="720" w:hanging="360"/>
        <w:jc w:val="both"/>
        <w:rPr>
          <w:sz w:val="24"/>
          <w:szCs w:val="24"/>
        </w:rPr>
      </w:pPr>
      <w:r w:rsidDel="00000000" w:rsidR="00000000" w:rsidRPr="00000000">
        <w:rPr>
          <w:sz w:val="24"/>
          <w:szCs w:val="24"/>
          <w:rtl w:val="0"/>
        </w:rPr>
        <w:t xml:space="preserve">To order the suspension of arbitrary detentions and the release of political prisoners, arbitrarily detained in the framework of states of emergency.</w:t>
      </w:r>
    </w:p>
    <w:p w:rsidR="00000000" w:rsidDel="00000000" w:rsidP="00000000" w:rsidRDefault="00000000" w:rsidRPr="00000000" w14:paraId="000000AD">
      <w:pPr>
        <w:numPr>
          <w:ilvl w:val="0"/>
          <w:numId w:val="1"/>
        </w:numPr>
        <w:shd w:fill="ffffff" w:val="clear"/>
        <w:spacing w:after="360" w:lineRule="auto"/>
        <w:ind w:left="720" w:hanging="360"/>
        <w:jc w:val="both"/>
        <w:rPr>
          <w:sz w:val="24"/>
          <w:szCs w:val="24"/>
        </w:rPr>
      </w:pPr>
      <w:r w:rsidDel="00000000" w:rsidR="00000000" w:rsidRPr="00000000">
        <w:rPr>
          <w:sz w:val="24"/>
          <w:szCs w:val="24"/>
          <w:rtl w:val="0"/>
        </w:rPr>
        <w:t xml:space="preserve">To make reparations to victims and guarantee non-repetition.  </w:t>
      </w:r>
    </w:p>
    <w:p w:rsidR="00000000" w:rsidDel="00000000" w:rsidP="00000000" w:rsidRDefault="00000000" w:rsidRPr="00000000" w14:paraId="000000AE">
      <w:pPr>
        <w:jc w:val="both"/>
        <w:rPr>
          <w:b w:val="1"/>
          <w:sz w:val="24"/>
          <w:szCs w:val="24"/>
        </w:rPr>
      </w:pPr>
      <w:r w:rsidDel="00000000" w:rsidR="00000000" w:rsidRPr="00000000">
        <w:rPr>
          <w:b w:val="1"/>
          <w:sz w:val="24"/>
          <w:szCs w:val="24"/>
          <w:rtl w:val="0"/>
        </w:rPr>
        <w:t xml:space="preserve">III. Right to Freedom of opinion and expression (art. 19). </w:t>
      </w:r>
    </w:p>
    <w:p w:rsidR="00000000" w:rsidDel="00000000" w:rsidP="00000000" w:rsidRDefault="00000000" w:rsidRPr="00000000" w14:paraId="000000AF">
      <w:pPr>
        <w:jc w:val="both"/>
        <w:rPr>
          <w:b w:val="1"/>
          <w:sz w:val="24"/>
          <w:szCs w:val="24"/>
        </w:rPr>
      </w:pPr>
      <w:r w:rsidDel="00000000" w:rsidR="00000000" w:rsidRPr="00000000">
        <w:rPr>
          <w:rtl w:val="0"/>
        </w:rPr>
      </w:r>
    </w:p>
    <w:p w:rsidR="00000000" w:rsidDel="00000000" w:rsidP="00000000" w:rsidRDefault="00000000" w:rsidRPr="00000000" w14:paraId="000000B0">
      <w:pPr>
        <w:jc w:val="both"/>
        <w:rPr>
          <w:b w:val="1"/>
          <w:sz w:val="24"/>
          <w:szCs w:val="24"/>
        </w:rPr>
      </w:pPr>
      <w:r w:rsidDel="00000000" w:rsidR="00000000" w:rsidRPr="00000000">
        <w:rPr>
          <w:b w:val="1"/>
          <w:sz w:val="24"/>
          <w:szCs w:val="24"/>
          <w:rtl w:val="0"/>
        </w:rPr>
        <w:t xml:space="preserve">Lack of access to the media - right to a free press.</w:t>
      </w:r>
    </w:p>
    <w:p w:rsidR="00000000" w:rsidDel="00000000" w:rsidP="00000000" w:rsidRDefault="00000000" w:rsidRPr="00000000" w14:paraId="000000B1">
      <w:pPr>
        <w:jc w:val="both"/>
        <w:rPr>
          <w:sz w:val="24"/>
          <w:szCs w:val="24"/>
        </w:rPr>
      </w:pP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sz w:val="24"/>
          <w:szCs w:val="24"/>
          <w:rtl w:val="0"/>
        </w:rPr>
        <w:t xml:space="preserve">10. The asymmetry that has occurred regarding access to the media between opposition actors and the ruling party is notorious.  During the 2015 parliamentary electoral process, the control exercised by the Venezuelan State over twelve television channels, about twenty radio stations, print media and community media, with the purpose of using them as instruments to promote the PSUV, marked the beginning of this practice</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However, the situation worsened due to the criminalization pressures of the State towards private media that served as an informative platform for democratic alternatives, hindering access to public information, leaving censorship and self-censorship as the only alternative.</w:t>
      </w:r>
    </w:p>
    <w:p w:rsidR="00000000" w:rsidDel="00000000" w:rsidP="00000000" w:rsidRDefault="00000000" w:rsidRPr="00000000" w14:paraId="000000B3">
      <w:pPr>
        <w:jc w:val="both"/>
        <w:rPr>
          <w:sz w:val="24"/>
          <w:szCs w:val="24"/>
        </w:rPr>
      </w:pPr>
      <w:r w:rsidDel="00000000" w:rsidR="00000000" w:rsidRPr="00000000">
        <w:rPr>
          <w:rtl w:val="0"/>
        </w:rPr>
      </w:r>
    </w:p>
    <w:p w:rsidR="00000000" w:rsidDel="00000000" w:rsidP="00000000" w:rsidRDefault="00000000" w:rsidRPr="00000000" w14:paraId="000000B4">
      <w:pPr>
        <w:jc w:val="both"/>
        <w:rPr>
          <w:sz w:val="24"/>
          <w:szCs w:val="24"/>
        </w:rPr>
      </w:pPr>
      <w:r w:rsidDel="00000000" w:rsidR="00000000" w:rsidRPr="00000000">
        <w:rPr>
          <w:sz w:val="24"/>
          <w:szCs w:val="24"/>
          <w:rtl w:val="0"/>
        </w:rPr>
        <w:t xml:space="preserve">11. In 2015 the NGO Espacio Público, presented 297 violations to freedom of expression at a general level, 93 acts of intimidation, of which 31 were to journalists in polling stations, likewise, within the different types of violence to the free press 4 threats and 3 aggressions were visible in the elections, denouncing retention of journalists and removal of audiovisual material by military and police officials. </w:t>
      </w:r>
      <w:r w:rsidDel="00000000" w:rsidR="00000000" w:rsidRPr="00000000">
        <w:rPr>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B5">
      <w:pPr>
        <w:jc w:val="both"/>
        <w:rPr>
          <w:sz w:val="24"/>
          <w:szCs w:val="24"/>
        </w:rPr>
      </w:pPr>
      <w:r w:rsidDel="00000000" w:rsidR="00000000" w:rsidRPr="00000000">
        <w:rPr>
          <w:rtl w:val="0"/>
        </w:rPr>
      </w:r>
    </w:p>
    <w:p w:rsidR="00000000" w:rsidDel="00000000" w:rsidP="00000000" w:rsidRDefault="00000000" w:rsidRPr="00000000" w14:paraId="000000B6">
      <w:pPr>
        <w:jc w:val="both"/>
        <w:rPr>
          <w:sz w:val="24"/>
          <w:szCs w:val="24"/>
        </w:rPr>
      </w:pPr>
      <w:r w:rsidDel="00000000" w:rsidR="00000000" w:rsidRPr="00000000">
        <w:rPr>
          <w:sz w:val="24"/>
          <w:szCs w:val="24"/>
          <w:rtl w:val="0"/>
        </w:rPr>
        <w:t xml:space="preserve">12. In 2016, the NGO Espacio Público, registered an increase of 12% in cases of violations to freedom of expression, totaling 366 situations, of which 119 were of a political and electoral nature due to the demands of the recall referendum. </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On April 13 of that year, Miguel González, a photojournalist, was assaulted and robbed, allegedly by supporters of the ruling party</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 in the vicinity of the National Electoral Council, while covering the delivery of signatures by the Venezuelan opposition to request the activation of the recall referendum. </w:t>
      </w:r>
    </w:p>
    <w:p w:rsidR="00000000" w:rsidDel="00000000" w:rsidP="00000000" w:rsidRDefault="00000000" w:rsidRPr="00000000" w14:paraId="000000B7">
      <w:pPr>
        <w:jc w:val="both"/>
        <w:rPr>
          <w:sz w:val="24"/>
          <w:szCs w:val="24"/>
        </w:rPr>
      </w:pPr>
      <w:r w:rsidDel="00000000" w:rsidR="00000000" w:rsidRPr="00000000">
        <w:rPr>
          <w:rtl w:val="0"/>
        </w:rPr>
      </w:r>
    </w:p>
    <w:p w:rsidR="00000000" w:rsidDel="00000000" w:rsidP="00000000" w:rsidRDefault="00000000" w:rsidRPr="00000000" w14:paraId="000000B8">
      <w:pPr>
        <w:jc w:val="both"/>
        <w:rPr>
          <w:sz w:val="24"/>
          <w:szCs w:val="24"/>
        </w:rPr>
      </w:pPr>
      <w:r w:rsidDel="00000000" w:rsidR="00000000" w:rsidRPr="00000000">
        <w:rPr>
          <w:sz w:val="24"/>
          <w:szCs w:val="24"/>
          <w:rtl w:val="0"/>
        </w:rPr>
        <w:t xml:space="preserve">13. During 2017, this situation worsened with the enactment and enforcement of the Anti-Hate Law, which establishes administrative sanctions such as fines and up to 20 years in prison for anyone who disseminates information considered "intolerant" to the State, granting authorities greater legal powers to block digital content deemed contrary to their standards.</w:t>
      </w:r>
      <w:r w:rsidDel="00000000" w:rsidR="00000000" w:rsidRPr="00000000">
        <w:rPr>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B9">
      <w:pPr>
        <w:jc w:val="both"/>
        <w:rPr>
          <w:sz w:val="24"/>
          <w:szCs w:val="24"/>
        </w:rPr>
      </w:pPr>
      <w:r w:rsidDel="00000000" w:rsidR="00000000" w:rsidRPr="00000000">
        <w:rPr>
          <w:rtl w:val="0"/>
        </w:rPr>
      </w:r>
    </w:p>
    <w:p w:rsidR="00000000" w:rsidDel="00000000" w:rsidP="00000000" w:rsidRDefault="00000000" w:rsidRPr="00000000" w14:paraId="000000BA">
      <w:pPr>
        <w:jc w:val="both"/>
        <w:rPr>
          <w:sz w:val="24"/>
          <w:szCs w:val="24"/>
        </w:rPr>
      </w:pPr>
      <w:r w:rsidDel="00000000" w:rsidR="00000000" w:rsidRPr="00000000">
        <w:rPr>
          <w:sz w:val="24"/>
          <w:szCs w:val="24"/>
          <w:rtl w:val="0"/>
        </w:rPr>
        <w:t xml:space="preserve">14. According to the observation report of the European Union Mission, for the 2021 municipal and regional processes, the candidates of the different opposition parties had almost no access to the state media in 15 states, a circumstance that affected mainly the Democratic Unity Table in 13 states and the Democratic Alliance in 9 states. The private television networks Televen and Venevisión also gave preference to the PSUV candidates over the candidates of the opposition coalitions. </w:t>
      </w:r>
    </w:p>
    <w:p w:rsidR="00000000" w:rsidDel="00000000" w:rsidP="00000000" w:rsidRDefault="00000000" w:rsidRPr="00000000" w14:paraId="000000BB">
      <w:pPr>
        <w:jc w:val="both"/>
        <w:rPr>
          <w:sz w:val="24"/>
          <w:szCs w:val="24"/>
        </w:rPr>
      </w:pPr>
      <w:r w:rsidDel="00000000" w:rsidR="00000000" w:rsidRPr="00000000">
        <w:rPr>
          <w:rtl w:val="0"/>
        </w:rPr>
      </w:r>
    </w:p>
    <w:p w:rsidR="00000000" w:rsidDel="00000000" w:rsidP="00000000" w:rsidRDefault="00000000" w:rsidRPr="00000000" w14:paraId="000000BC">
      <w:pPr>
        <w:jc w:val="both"/>
        <w:rPr>
          <w:sz w:val="24"/>
          <w:szCs w:val="24"/>
        </w:rPr>
      </w:pPr>
      <w:r w:rsidDel="00000000" w:rsidR="00000000" w:rsidRPr="00000000">
        <w:rPr>
          <w:sz w:val="24"/>
          <w:szCs w:val="24"/>
          <w:rtl w:val="0"/>
        </w:rPr>
        <w:t xml:space="preserve">The president of the National Electoral Council of 2021 (CNE), Pedro Calzadilla, acknowledged at the beginning of the campaign corresponding to the municipal and regional elections the presence of this type of "imbalances" in the coverage of the electoral process by TV channels. A couple of weeks later, the electoral body itself opened administrative inquiries against the state channel Venezolana de Televisión (VTV) and the private channel Globovisión for "imbalance in the news coverage". However, there was no response after these investigations. </w:t>
      </w:r>
    </w:p>
    <w:p w:rsidR="00000000" w:rsidDel="00000000" w:rsidP="00000000" w:rsidRDefault="00000000" w:rsidRPr="00000000" w14:paraId="000000BD">
      <w:pPr>
        <w:jc w:val="both"/>
        <w:rPr>
          <w:sz w:val="24"/>
          <w:szCs w:val="24"/>
        </w:rPr>
      </w:pPr>
      <w:r w:rsidDel="00000000" w:rsidR="00000000" w:rsidRPr="00000000">
        <w:rPr>
          <w:rtl w:val="0"/>
        </w:rPr>
      </w:r>
    </w:p>
    <w:p w:rsidR="00000000" w:rsidDel="00000000" w:rsidP="00000000" w:rsidRDefault="00000000" w:rsidRPr="00000000" w14:paraId="000000BE">
      <w:pPr>
        <w:jc w:val="both"/>
        <w:rPr>
          <w:sz w:val="24"/>
          <w:szCs w:val="24"/>
        </w:rPr>
      </w:pPr>
      <w:r w:rsidDel="00000000" w:rsidR="00000000" w:rsidRPr="00000000">
        <w:rPr>
          <w:sz w:val="24"/>
          <w:szCs w:val="24"/>
          <w:rtl w:val="0"/>
        </w:rPr>
        <w:t xml:space="preserve">16.  From 2017 and 2020, the State denied information of public interest by ignoring 89% of 172 requests for information made by Civil Society Organizations.</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In 2023, Espacio Público recorded from January to August, 261 violations to freedom of expression, detecting </w:t>
      </w:r>
      <w:r w:rsidDel="00000000" w:rsidR="00000000" w:rsidRPr="00000000">
        <w:rPr>
          <w:sz w:val="24"/>
          <w:szCs w:val="24"/>
          <w:rtl w:val="0"/>
        </w:rPr>
        <w:t xml:space="preserve">27 violations of this type being censorship and intimidation the most common,</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ignoring the provisions on the right to freedom and thought contemplated in art. 19 of the International Covenant on Civil and Political Rights. </w:t>
      </w:r>
      <w:r w:rsidDel="00000000" w:rsidR="00000000" w:rsidRPr="00000000">
        <w:rPr>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BF">
      <w:pPr>
        <w:jc w:val="both"/>
        <w:rPr>
          <w:sz w:val="24"/>
          <w:szCs w:val="24"/>
        </w:rPr>
      </w:pPr>
      <w:r w:rsidDel="00000000" w:rsidR="00000000" w:rsidRPr="00000000">
        <w:rPr>
          <w:rtl w:val="0"/>
        </w:rPr>
      </w:r>
    </w:p>
    <w:p w:rsidR="00000000" w:rsidDel="00000000" w:rsidP="00000000" w:rsidRDefault="00000000" w:rsidRPr="00000000" w14:paraId="000000C0">
      <w:pPr>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C1">
      <w:pPr>
        <w:jc w:val="both"/>
        <w:rPr>
          <w:b w:val="1"/>
          <w:sz w:val="24"/>
          <w:szCs w:val="24"/>
        </w:rPr>
      </w:pPr>
      <w:r w:rsidDel="00000000" w:rsidR="00000000" w:rsidRPr="00000000">
        <w:rPr>
          <w:rtl w:val="0"/>
        </w:rPr>
      </w:r>
    </w:p>
    <w:p w:rsidR="00000000" w:rsidDel="00000000" w:rsidP="00000000" w:rsidRDefault="00000000" w:rsidRPr="00000000" w14:paraId="000000C2">
      <w:pPr>
        <w:numPr>
          <w:ilvl w:val="0"/>
          <w:numId w:val="4"/>
        </w:numPr>
        <w:ind w:left="720" w:hanging="360"/>
        <w:jc w:val="both"/>
        <w:rPr>
          <w:sz w:val="24"/>
          <w:szCs w:val="24"/>
        </w:rPr>
      </w:pPr>
      <w:r w:rsidDel="00000000" w:rsidR="00000000" w:rsidRPr="00000000">
        <w:rPr>
          <w:sz w:val="24"/>
          <w:szCs w:val="24"/>
          <w:rtl w:val="0"/>
        </w:rPr>
        <w:t xml:space="preserve">Ensure balance in state media coverage during electoral campaigns, in line with the Organic Law on Electoral Processes and international best practices.</w:t>
      </w:r>
    </w:p>
    <w:p w:rsidR="00000000" w:rsidDel="00000000" w:rsidP="00000000" w:rsidRDefault="00000000" w:rsidRPr="00000000" w14:paraId="000000C3">
      <w:pPr>
        <w:numPr>
          <w:ilvl w:val="0"/>
          <w:numId w:val="4"/>
        </w:numPr>
        <w:ind w:left="720" w:hanging="360"/>
        <w:jc w:val="both"/>
        <w:rPr>
          <w:sz w:val="24"/>
          <w:szCs w:val="24"/>
        </w:rPr>
      </w:pPr>
      <w:r w:rsidDel="00000000" w:rsidR="00000000" w:rsidRPr="00000000">
        <w:rPr>
          <w:sz w:val="24"/>
          <w:szCs w:val="24"/>
          <w:rtl w:val="0"/>
        </w:rPr>
        <w:t xml:space="preserve">Repeal the Law against Hate, for Peaceful Coexistence and Tolerance to promote freedom of expression, prevent self-censorship and stop arbitrary arrests for political reasons.</w:t>
      </w:r>
    </w:p>
    <w:p w:rsidR="00000000" w:rsidDel="00000000" w:rsidP="00000000" w:rsidRDefault="00000000" w:rsidRPr="00000000" w14:paraId="000000C4">
      <w:pPr>
        <w:numPr>
          <w:ilvl w:val="0"/>
          <w:numId w:val="4"/>
        </w:numPr>
        <w:ind w:left="720" w:hanging="360"/>
        <w:jc w:val="both"/>
        <w:rPr>
          <w:sz w:val="24"/>
          <w:szCs w:val="24"/>
        </w:rPr>
      </w:pPr>
      <w:r w:rsidDel="00000000" w:rsidR="00000000" w:rsidRPr="00000000">
        <w:rPr>
          <w:sz w:val="24"/>
          <w:szCs w:val="24"/>
          <w:rtl w:val="0"/>
        </w:rPr>
        <w:t xml:space="preserve">Guarantee the Venezuelan population access to the State media and transparency of public information. </w:t>
      </w:r>
    </w:p>
    <w:p w:rsidR="00000000" w:rsidDel="00000000" w:rsidP="00000000" w:rsidRDefault="00000000" w:rsidRPr="00000000" w14:paraId="000000C5">
      <w:pPr>
        <w:numPr>
          <w:ilvl w:val="0"/>
          <w:numId w:val="4"/>
        </w:numPr>
        <w:ind w:left="720" w:hanging="360"/>
        <w:jc w:val="both"/>
        <w:rPr>
          <w:sz w:val="24"/>
          <w:szCs w:val="24"/>
        </w:rPr>
      </w:pPr>
      <w:r w:rsidDel="00000000" w:rsidR="00000000" w:rsidRPr="00000000">
        <w:rPr>
          <w:sz w:val="24"/>
          <w:szCs w:val="24"/>
          <w:rtl w:val="0"/>
        </w:rPr>
        <w:t xml:space="preserve">Protect and respect private media and guarantee their free development in the public space.</w:t>
      </w:r>
    </w:p>
    <w:p w:rsidR="00000000" w:rsidDel="00000000" w:rsidP="00000000" w:rsidRDefault="00000000" w:rsidRPr="00000000" w14:paraId="000000C6">
      <w:pPr>
        <w:numPr>
          <w:ilvl w:val="0"/>
          <w:numId w:val="4"/>
        </w:numPr>
        <w:ind w:left="720" w:hanging="360"/>
        <w:jc w:val="both"/>
        <w:rPr>
          <w:sz w:val="24"/>
          <w:szCs w:val="24"/>
        </w:rPr>
      </w:pPr>
      <w:r w:rsidDel="00000000" w:rsidR="00000000" w:rsidRPr="00000000">
        <w:rPr>
          <w:sz w:val="24"/>
          <w:szCs w:val="24"/>
          <w:rtl w:val="0"/>
        </w:rPr>
        <w:t xml:space="preserve">Strengthen the supervisory capacity of the National Electoral Council regarding information imbalance in electoral processes. </w:t>
      </w:r>
    </w:p>
    <w:p w:rsidR="00000000" w:rsidDel="00000000" w:rsidP="00000000" w:rsidRDefault="00000000" w:rsidRPr="00000000" w14:paraId="000000C7">
      <w:pPr>
        <w:ind w:left="720" w:firstLine="0"/>
        <w:jc w:val="both"/>
        <w:rPr>
          <w:sz w:val="24"/>
          <w:szCs w:val="24"/>
        </w:rPr>
      </w:pPr>
      <w:r w:rsidDel="00000000" w:rsidR="00000000" w:rsidRPr="00000000">
        <w:rPr>
          <w:rtl w:val="0"/>
        </w:rPr>
      </w:r>
    </w:p>
    <w:p w:rsidR="00000000" w:rsidDel="00000000" w:rsidP="00000000" w:rsidRDefault="00000000" w:rsidRPr="00000000" w14:paraId="000000C8">
      <w:pPr>
        <w:shd w:fill="ffffff" w:val="clear"/>
        <w:spacing w:after="360" w:lineRule="auto"/>
        <w:jc w:val="both"/>
        <w:rPr>
          <w:b w:val="1"/>
          <w:sz w:val="24"/>
          <w:szCs w:val="24"/>
          <w:highlight w:val="white"/>
        </w:rPr>
      </w:pPr>
      <w:r w:rsidDel="00000000" w:rsidR="00000000" w:rsidRPr="00000000">
        <w:rPr>
          <w:b w:val="1"/>
          <w:sz w:val="24"/>
          <w:szCs w:val="24"/>
          <w:highlight w:val="white"/>
          <w:rtl w:val="0"/>
        </w:rPr>
        <w:t xml:space="preserve">IV. Right to elect and be elected (art. 25)</w:t>
      </w:r>
    </w:p>
    <w:p w:rsidR="00000000" w:rsidDel="00000000" w:rsidP="00000000" w:rsidRDefault="00000000" w:rsidRPr="00000000" w14:paraId="000000C9">
      <w:pPr>
        <w:shd w:fill="ffffff" w:val="clear"/>
        <w:spacing w:after="360" w:lineRule="auto"/>
        <w:jc w:val="both"/>
        <w:rPr>
          <w:b w:val="1"/>
          <w:sz w:val="24"/>
          <w:szCs w:val="24"/>
        </w:rPr>
      </w:pPr>
      <w:r w:rsidDel="00000000" w:rsidR="00000000" w:rsidRPr="00000000">
        <w:rPr>
          <w:b w:val="1"/>
          <w:sz w:val="24"/>
          <w:szCs w:val="24"/>
          <w:rtl w:val="0"/>
        </w:rPr>
        <w:t xml:space="preserve">a) Precariousness of the electoral registry (2015-2023)</w:t>
      </w:r>
    </w:p>
    <w:p w:rsidR="00000000" w:rsidDel="00000000" w:rsidP="00000000" w:rsidRDefault="00000000" w:rsidRPr="00000000" w14:paraId="000000CA">
      <w:pPr>
        <w:shd w:fill="ffffff" w:val="clear"/>
        <w:spacing w:after="360" w:lineRule="auto"/>
        <w:jc w:val="both"/>
        <w:rPr>
          <w:sz w:val="24"/>
          <w:szCs w:val="24"/>
        </w:rPr>
      </w:pPr>
      <w:r w:rsidDel="00000000" w:rsidR="00000000" w:rsidRPr="00000000">
        <w:rPr>
          <w:sz w:val="24"/>
          <w:szCs w:val="24"/>
          <w:rtl w:val="0"/>
        </w:rPr>
        <w:t xml:space="preserve">17. The weakening of the Electoral Registry has increased over the last 25 years, going from an average growth twice a year of 20% in the years 2000-2006 to a drop of 50% in the years 2010-2015. Increased, the drop to 75% for the 2016-2019 period, which is a clear sign of the lack of guarantees in the exercise of participation rights for new voters. In this sense, the years with lower registration and updating of data, according to the Global Observatory on Communication and Democracy, were 2007 (1.1%) 2009 ( 0.7% ) 2013 ( 0.1% ) , 2017 (-0.5% ) and 2020 ( -0.5% ), registering that in the last five years reflected, the number of voters remained at 19 million, approximately. </w:t>
      </w:r>
      <w:r w:rsidDel="00000000" w:rsidR="00000000" w:rsidRPr="00000000">
        <w:rPr>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CB">
      <w:pPr>
        <w:shd w:fill="ffffff" w:val="clear"/>
        <w:spacing w:after="360" w:lineRule="auto"/>
        <w:jc w:val="both"/>
        <w:rPr>
          <w:sz w:val="24"/>
          <w:szCs w:val="24"/>
          <w:vertAlign w:val="superscript"/>
        </w:rPr>
      </w:pPr>
      <w:r w:rsidDel="00000000" w:rsidR="00000000" w:rsidRPr="00000000">
        <w:rPr>
          <w:sz w:val="24"/>
          <w:szCs w:val="24"/>
          <w:rtl w:val="0"/>
        </w:rPr>
        <w:t xml:space="preserve">18. According to the Organic Law of Electoral Processes, the electoral registration has a continuous character, as expressed in Article 28. Likewise, the regulation establishes that the CNE is obliged to approve a special registration and data update day that allows it to deploy machines located in areas throughout the country for a significant extension of time that facilitates the process for Venezuelans; however, the last major operation that complied with these specifications occurred in 2017, in the following years the special days were insufficient, had a limited extension of time and an extremely limited territorial extension compared to previous days. The last special day took place in 2021, currently Venezuelans can only register in the regional headquarters of the National Electoral Council, located in the capital cities, excluding those citizens who do not live close to them.</w:t>
      </w:r>
      <w:r w:rsidDel="00000000" w:rsidR="00000000" w:rsidRPr="00000000">
        <w:rPr>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CC">
      <w:pPr>
        <w:shd w:fill="ffffff" w:val="clear"/>
        <w:spacing w:after="360" w:lineRule="auto"/>
        <w:jc w:val="both"/>
        <w:rPr>
          <w:sz w:val="24"/>
          <w:szCs w:val="24"/>
        </w:rPr>
      </w:pPr>
      <w:r w:rsidDel="00000000" w:rsidR="00000000" w:rsidRPr="00000000">
        <w:rPr>
          <w:sz w:val="24"/>
          <w:szCs w:val="24"/>
          <w:rtl w:val="0"/>
        </w:rPr>
        <w:t xml:space="preserve">19. In 2017, the Citizen Electoral Network corroborated that only 76% of the Regional Electoral Offices</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were operative, and the other 24% were closed. For the special day of the presidential elections of that year, the electoral body only activated 531 points throughout the country and for the legislative elections of 2020, they reduced the days to 17 days and only 439 points throughout the national territory.</w:t>
      </w:r>
    </w:p>
    <w:p w:rsidR="00000000" w:rsidDel="00000000" w:rsidP="00000000" w:rsidRDefault="00000000" w:rsidRPr="00000000" w14:paraId="000000CD">
      <w:pPr>
        <w:shd w:fill="ffffff" w:val="clear"/>
        <w:spacing w:after="360" w:lineRule="auto"/>
        <w:jc w:val="both"/>
        <w:rPr>
          <w:sz w:val="24"/>
          <w:szCs w:val="24"/>
          <w:vertAlign w:val="superscript"/>
        </w:rPr>
      </w:pPr>
      <w:r w:rsidDel="00000000" w:rsidR="00000000" w:rsidRPr="00000000">
        <w:rPr>
          <w:sz w:val="24"/>
          <w:szCs w:val="24"/>
          <w:rtl w:val="0"/>
        </w:rPr>
        <w:t xml:space="preserve">20. Likewise, the development of informative campaigns directed towards the population and especially to new voters to promote registration before the Electoral Registry has been limited. The last institutional campaign to promote registration and data updating took place in 2021.</w:t>
      </w:r>
      <w:r w:rsidDel="00000000" w:rsidR="00000000" w:rsidRPr="00000000">
        <w:rPr>
          <w:rtl w:val="0"/>
        </w:rPr>
      </w:r>
    </w:p>
    <w:p w:rsidR="00000000" w:rsidDel="00000000" w:rsidP="00000000" w:rsidRDefault="00000000" w:rsidRPr="00000000" w14:paraId="000000CE">
      <w:pPr>
        <w:shd w:fill="ffffff" w:val="clear"/>
        <w:spacing w:after="360" w:lineRule="auto"/>
        <w:jc w:val="both"/>
        <w:rPr>
          <w:sz w:val="24"/>
          <w:szCs w:val="24"/>
        </w:rPr>
      </w:pPr>
      <w:r w:rsidDel="00000000" w:rsidR="00000000" w:rsidRPr="00000000">
        <w:rPr>
          <w:sz w:val="24"/>
          <w:szCs w:val="24"/>
          <w:rtl w:val="0"/>
        </w:rPr>
        <w:t xml:space="preserve">21. Although the Electoral Registry has a continuous character and Venezuela is one of the countries that allows the electoral participation of its citizens residing abroad, the registration and updating of electoral data abroad is more complex. By 2017, it was estimated that between two and four million Venezuelans of legal age had moved to other borders but only 101,595 were registered in the Electoral Registry. Since 2018, registrations or updates before the Electoral Registry of Venezuelans abroad have not been activated. Currently, it is estimated that out of the 7.2 million migrants, 4.1 million are of voting age but are unable to vote. </w:t>
      </w:r>
    </w:p>
    <w:p w:rsidR="00000000" w:rsidDel="00000000" w:rsidP="00000000" w:rsidRDefault="00000000" w:rsidRPr="00000000" w14:paraId="000000CF">
      <w:pPr>
        <w:shd w:fill="ffffff" w:val="clear"/>
        <w:spacing w:after="360" w:lineRule="auto"/>
        <w:jc w:val="both"/>
        <w:rPr>
          <w:sz w:val="24"/>
          <w:szCs w:val="24"/>
          <w:highlight w:val="white"/>
        </w:rPr>
      </w:pPr>
      <w:r w:rsidDel="00000000" w:rsidR="00000000" w:rsidRPr="00000000">
        <w:rPr>
          <w:sz w:val="24"/>
          <w:szCs w:val="24"/>
          <w:rtl w:val="0"/>
        </w:rPr>
        <w:t xml:space="preserve">22. In the case of Venezuelans abroad, it must be added that in recent years among the requirements that consulates and embassies have demanded, is the presentation </w:t>
      </w:r>
      <w:r w:rsidDel="00000000" w:rsidR="00000000" w:rsidRPr="00000000">
        <w:rPr>
          <w:sz w:val="24"/>
          <w:szCs w:val="24"/>
          <w:highlight w:val="white"/>
          <w:rtl w:val="0"/>
        </w:rPr>
        <w:t xml:space="preserve">of a valid Venezuelan passport, original birth certificate and an instrument showing a regular residence according to the host country, these requirements are not contemplated in the legal regulations. According to the Organic Law of Electoral Processes, the only instrument required for the registration or updating of data is the laminated identity card, regardless of its expiration date. </w:t>
      </w:r>
    </w:p>
    <w:p w:rsidR="00000000" w:rsidDel="00000000" w:rsidP="00000000" w:rsidRDefault="00000000" w:rsidRPr="00000000" w14:paraId="000000D0">
      <w:pPr>
        <w:shd w:fill="ffffff" w:val="clear"/>
        <w:spacing w:after="360" w:lineRule="auto"/>
        <w:jc w:val="both"/>
        <w:rPr>
          <w:sz w:val="24"/>
          <w:szCs w:val="24"/>
          <w:highlight w:val="white"/>
        </w:rPr>
      </w:pPr>
      <w:r w:rsidDel="00000000" w:rsidR="00000000" w:rsidRPr="00000000">
        <w:rPr>
          <w:sz w:val="24"/>
          <w:szCs w:val="24"/>
          <w:highlight w:val="white"/>
          <w:rtl w:val="0"/>
        </w:rPr>
        <w:t xml:space="preserve">23. In June 2023, </w:t>
      </w:r>
      <w:r w:rsidDel="00000000" w:rsidR="00000000" w:rsidRPr="00000000">
        <w:rPr>
          <w:color w:val="222f3a"/>
          <w:sz w:val="24"/>
          <w:szCs w:val="24"/>
          <w:highlight w:val="white"/>
          <w:rtl w:val="0"/>
        </w:rPr>
        <w:t xml:space="preserve">the CNE made public a cut-off of the voter registry, determining that 21.01 million people are registered, 20.7 million Venezuelans and 227,200 foreigners. However, opposition parties and civil society organizations, through independent studies, estimate that there are 3.5 million new unregistered voters,</w:t>
      </w:r>
      <w:r w:rsidDel="00000000" w:rsidR="00000000" w:rsidRPr="00000000">
        <w:rPr>
          <w:color w:val="222f3a"/>
          <w:sz w:val="24"/>
          <w:szCs w:val="24"/>
          <w:highlight w:val="white"/>
          <w:vertAlign w:val="superscript"/>
        </w:rPr>
        <w:footnoteReference w:customMarkFollows="0" w:id="18"/>
      </w:r>
      <w:r w:rsidDel="00000000" w:rsidR="00000000" w:rsidRPr="00000000">
        <w:rPr>
          <w:color w:val="222f3a"/>
          <w:sz w:val="24"/>
          <w:szCs w:val="24"/>
          <w:highlight w:val="white"/>
          <w:rtl w:val="0"/>
        </w:rPr>
        <w:t xml:space="preserve"> representing a large gap and an imminent violation of the right to elect and be elected of such citizens.</w:t>
      </w:r>
      <w:r w:rsidDel="00000000" w:rsidR="00000000" w:rsidRPr="00000000">
        <w:rPr>
          <w:rtl w:val="0"/>
        </w:rPr>
      </w:r>
    </w:p>
    <w:p w:rsidR="00000000" w:rsidDel="00000000" w:rsidP="00000000" w:rsidRDefault="00000000" w:rsidRPr="00000000" w14:paraId="000000D1">
      <w:pPr>
        <w:numPr>
          <w:ilvl w:val="0"/>
          <w:numId w:val="8"/>
        </w:numPr>
        <w:ind w:left="720" w:hanging="360"/>
        <w:jc w:val="both"/>
        <w:rPr>
          <w:b w:val="1"/>
          <w:sz w:val="24"/>
          <w:szCs w:val="24"/>
        </w:rPr>
      </w:pPr>
      <w:r w:rsidDel="00000000" w:rsidR="00000000" w:rsidRPr="00000000">
        <w:rPr>
          <w:b w:val="1"/>
          <w:sz w:val="24"/>
          <w:szCs w:val="24"/>
          <w:rtl w:val="0"/>
        </w:rPr>
        <w:t xml:space="preserve">Parliamentary 2015-2020.</w:t>
      </w:r>
    </w:p>
    <w:p w:rsidR="00000000" w:rsidDel="00000000" w:rsidP="00000000" w:rsidRDefault="00000000" w:rsidRPr="00000000" w14:paraId="000000D2">
      <w:pPr>
        <w:jc w:val="both"/>
        <w:rPr>
          <w:sz w:val="24"/>
          <w:szCs w:val="24"/>
        </w:rPr>
      </w:pPr>
      <w:r w:rsidDel="00000000" w:rsidR="00000000" w:rsidRPr="00000000">
        <w:rPr>
          <w:rtl w:val="0"/>
        </w:rPr>
      </w:r>
    </w:p>
    <w:p w:rsidR="00000000" w:rsidDel="00000000" w:rsidP="00000000" w:rsidRDefault="00000000" w:rsidRPr="00000000" w14:paraId="000000D3">
      <w:pPr>
        <w:jc w:val="both"/>
        <w:rPr>
          <w:sz w:val="24"/>
          <w:szCs w:val="24"/>
        </w:rPr>
      </w:pPr>
      <w:r w:rsidDel="00000000" w:rsidR="00000000" w:rsidRPr="00000000">
        <w:rPr>
          <w:sz w:val="24"/>
          <w:szCs w:val="24"/>
          <w:rtl w:val="0"/>
        </w:rPr>
        <w:t xml:space="preserve">24.  During 2015, the latent and deepened economic crisis due to the fall of oil prices, inflation, huge fiscal deficit, food shortages, high unemployment rates, as well as the political crisis, violence and institutional crisis, reinforced the complexity of the electoral scenario. The partial renewal of the rectors of the National Electoral Council was inefficient due to the delay of almost two years for the appointment of new rectors,</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 and the rectification of two outgoing rectors, fostering the distrust of the electorate in its transparency, fairness and efficiency as an organization. </w:t>
      </w:r>
      <w:r w:rsidDel="00000000" w:rsidR="00000000" w:rsidRPr="00000000">
        <w:rPr>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D4">
      <w:pPr>
        <w:jc w:val="both"/>
        <w:rPr>
          <w:sz w:val="24"/>
          <w:szCs w:val="24"/>
        </w:rPr>
      </w:pPr>
      <w:r w:rsidDel="00000000" w:rsidR="00000000" w:rsidRPr="00000000">
        <w:rPr>
          <w:rtl w:val="0"/>
        </w:rPr>
      </w:r>
    </w:p>
    <w:p w:rsidR="00000000" w:rsidDel="00000000" w:rsidP="00000000" w:rsidRDefault="00000000" w:rsidRPr="00000000" w14:paraId="000000D5">
      <w:pPr>
        <w:jc w:val="both"/>
        <w:rPr>
          <w:sz w:val="24"/>
          <w:szCs w:val="24"/>
        </w:rPr>
      </w:pPr>
      <w:r w:rsidDel="00000000" w:rsidR="00000000" w:rsidRPr="00000000">
        <w:rPr>
          <w:sz w:val="24"/>
          <w:szCs w:val="24"/>
          <w:rtl w:val="0"/>
        </w:rPr>
        <w:t xml:space="preserve">25. The date for the 2015 Parliamentary election process was set with a delay, thus increasing the complexity of managing the agenda of the different political actors of the opposition and fostering the distrust of the civil society. In addition, the National Electoral Council chose not to call for a popular election for the designation of the 11 deputies to the Parlatino, but demanded that these be determined within the National Assembly, alleging that such action had already been put into practice</w:t>
      </w:r>
      <w:r w:rsidDel="00000000" w:rsidR="00000000" w:rsidRPr="00000000">
        <w:rPr>
          <w:sz w:val="24"/>
          <w:szCs w:val="24"/>
          <w:vertAlign w:val="superscript"/>
        </w:rPr>
        <w:footnoteReference w:customMarkFollows="0" w:id="21"/>
      </w:r>
      <w:r w:rsidDel="00000000" w:rsidR="00000000" w:rsidRPr="00000000">
        <w:rPr>
          <w:sz w:val="24"/>
          <w:szCs w:val="24"/>
          <w:rtl w:val="0"/>
        </w:rPr>
        <w:t xml:space="preserve"> , biasing and violating the electoral process by preventing the universal, direct and secret election of the representatives to the Parlatino. </w:t>
      </w:r>
      <w:r w:rsidDel="00000000" w:rsidR="00000000" w:rsidRPr="00000000">
        <w:rPr>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0D6">
      <w:pPr>
        <w:jc w:val="both"/>
        <w:rPr>
          <w:sz w:val="24"/>
          <w:szCs w:val="24"/>
        </w:rPr>
      </w:pPr>
      <w:r w:rsidDel="00000000" w:rsidR="00000000" w:rsidRPr="00000000">
        <w:rPr>
          <w:rtl w:val="0"/>
        </w:rPr>
      </w:r>
    </w:p>
    <w:p w:rsidR="00000000" w:rsidDel="00000000" w:rsidP="00000000" w:rsidRDefault="00000000" w:rsidRPr="00000000" w14:paraId="000000D7">
      <w:pPr>
        <w:shd w:fill="ffffff" w:val="clear"/>
        <w:spacing w:after="360" w:lineRule="auto"/>
        <w:jc w:val="both"/>
        <w:rPr>
          <w:sz w:val="24"/>
          <w:szCs w:val="24"/>
        </w:rPr>
      </w:pPr>
      <w:r w:rsidDel="00000000" w:rsidR="00000000" w:rsidRPr="00000000">
        <w:rPr>
          <w:sz w:val="24"/>
          <w:szCs w:val="24"/>
          <w:rtl w:val="0"/>
        </w:rPr>
        <w:t xml:space="preserve">26. On June 20, 2020, due to the upcoming parliamentary elections, the Constitutional Chamber of the Supreme Court of Justice, with the justification of legislative omission by the National Assembly, unconstitutionally appoints a new National Council, which in office, designed by unconstitutional orders of the Chamber, a new electoral framework where the principles of proportionality and personalization of suffrage and universality and direct vote for the case of indigenous elections were altered.</w:t>
      </w:r>
      <w:r w:rsidDel="00000000" w:rsidR="00000000" w:rsidRPr="00000000">
        <w:rPr>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D8">
      <w:pPr>
        <w:shd w:fill="ffffff" w:val="clear"/>
        <w:spacing w:after="360" w:lineRule="auto"/>
        <w:jc w:val="both"/>
        <w:rPr>
          <w:sz w:val="24"/>
          <w:szCs w:val="24"/>
        </w:rPr>
      </w:pPr>
      <w:r w:rsidDel="00000000" w:rsidR="00000000" w:rsidRPr="00000000">
        <w:rPr>
          <w:sz w:val="24"/>
          <w:szCs w:val="24"/>
          <w:rtl w:val="0"/>
        </w:rPr>
        <w:t xml:space="preserve">27. Finally, on December 6, 2020, the elections were held amidst opacity of information, non-compliance with the electoral calendar, a decimated electoral roll because a considerable number of citizens of voting age were unable to register, plus the lack of knowledge of the functioning of the new automated voting system.</w:t>
      </w:r>
    </w:p>
    <w:p w:rsidR="00000000" w:rsidDel="00000000" w:rsidP="00000000" w:rsidRDefault="00000000" w:rsidRPr="00000000" w14:paraId="000000D9">
      <w:pPr>
        <w:jc w:val="both"/>
        <w:rPr>
          <w:sz w:val="24"/>
          <w:szCs w:val="24"/>
        </w:rPr>
      </w:pPr>
      <w:r w:rsidDel="00000000" w:rsidR="00000000" w:rsidRPr="00000000">
        <w:rPr>
          <w:rtl w:val="0"/>
        </w:rPr>
      </w:r>
    </w:p>
    <w:p w:rsidR="00000000" w:rsidDel="00000000" w:rsidP="00000000" w:rsidRDefault="00000000" w:rsidRPr="00000000" w14:paraId="000000DA">
      <w:pPr>
        <w:numPr>
          <w:ilvl w:val="0"/>
          <w:numId w:val="8"/>
        </w:numPr>
        <w:ind w:left="720" w:hanging="360"/>
        <w:jc w:val="both"/>
        <w:rPr>
          <w:b w:val="1"/>
          <w:sz w:val="24"/>
          <w:szCs w:val="24"/>
        </w:rPr>
      </w:pPr>
      <w:r w:rsidDel="00000000" w:rsidR="00000000" w:rsidRPr="00000000">
        <w:rPr>
          <w:b w:val="1"/>
          <w:sz w:val="24"/>
          <w:szCs w:val="24"/>
          <w:rtl w:val="0"/>
        </w:rPr>
        <w:t xml:space="preserve">Political disqualifications (2015-2023)</w:t>
      </w:r>
    </w:p>
    <w:p w:rsidR="00000000" w:rsidDel="00000000" w:rsidP="00000000" w:rsidRDefault="00000000" w:rsidRPr="00000000" w14:paraId="000000DB">
      <w:pPr>
        <w:jc w:val="both"/>
        <w:rPr>
          <w:i w:val="1"/>
          <w:sz w:val="24"/>
          <w:szCs w:val="24"/>
        </w:rPr>
      </w:pPr>
      <w:r w:rsidDel="00000000" w:rsidR="00000000" w:rsidRPr="00000000">
        <w:rPr>
          <w:rtl w:val="0"/>
        </w:rPr>
      </w:r>
    </w:p>
    <w:p w:rsidR="00000000" w:rsidDel="00000000" w:rsidP="00000000" w:rsidRDefault="00000000" w:rsidRPr="00000000" w14:paraId="000000DC">
      <w:pPr>
        <w:jc w:val="both"/>
        <w:rPr>
          <w:sz w:val="24"/>
          <w:szCs w:val="24"/>
        </w:rPr>
      </w:pPr>
      <w:r w:rsidDel="00000000" w:rsidR="00000000" w:rsidRPr="00000000">
        <w:rPr>
          <w:sz w:val="24"/>
          <w:szCs w:val="24"/>
          <w:rtl w:val="0"/>
        </w:rPr>
        <w:t xml:space="preserve">28. On May 5, 2015, Cesar Perez Vivas was notified by the Comptroller's Office of his political disqualification due to labor solvencies of the press office of the Governor's Office, contrary to international standards, the disqualification occurred through administrative and not judicial channels. In 2016, Perez Vivas filed an appeal for the consideration of the disqualification, however, it was not until 2019 that the Chamber admitted the claim.</w:t>
      </w:r>
      <w:r w:rsidDel="00000000" w:rsidR="00000000" w:rsidRPr="00000000">
        <w:rPr>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DD">
      <w:pPr>
        <w:jc w:val="both"/>
        <w:rPr>
          <w:i w:val="1"/>
          <w:sz w:val="24"/>
          <w:szCs w:val="24"/>
        </w:rPr>
      </w:pPr>
      <w:r w:rsidDel="00000000" w:rsidR="00000000" w:rsidRPr="00000000">
        <w:rPr>
          <w:rtl w:val="0"/>
        </w:rPr>
      </w:r>
    </w:p>
    <w:p w:rsidR="00000000" w:rsidDel="00000000" w:rsidP="00000000" w:rsidRDefault="00000000" w:rsidRPr="00000000" w14:paraId="000000DE">
      <w:pPr>
        <w:jc w:val="both"/>
        <w:rPr>
          <w:sz w:val="24"/>
          <w:szCs w:val="24"/>
        </w:rPr>
      </w:pPr>
      <w:r w:rsidDel="00000000" w:rsidR="00000000" w:rsidRPr="00000000">
        <w:rPr>
          <w:sz w:val="24"/>
          <w:szCs w:val="24"/>
          <w:rtl w:val="0"/>
        </w:rPr>
        <w:t xml:space="preserve">29. On June 3, 2015, through the resolution published in the official resolution no. 01-00-000181, the Comptroller General's Office informed the disqualification of  Cesar Pérez Vivas from holding public office for a period of ten years, because of transferring public resources,</w:t>
      </w:r>
      <w:r w:rsidDel="00000000" w:rsidR="00000000" w:rsidRPr="00000000">
        <w:rPr>
          <w:sz w:val="24"/>
          <w:szCs w:val="24"/>
          <w:highlight w:val="white"/>
          <w:vertAlign w:val="superscript"/>
        </w:rPr>
        <w:footnoteReference w:customMarkFollows="0" w:id="25"/>
      </w:r>
      <w:r w:rsidDel="00000000" w:rsidR="00000000" w:rsidRPr="00000000">
        <w:rPr>
          <w:sz w:val="24"/>
          <w:szCs w:val="24"/>
          <w:highlight w:val="white"/>
          <w:rtl w:val="0"/>
        </w:rPr>
        <w:t xml:space="preserve"> by offering scholarships to young people in exchange for their militancy, again, such disqualification occurred through an administrative act.</w:t>
      </w:r>
      <w:r w:rsidDel="00000000" w:rsidR="00000000" w:rsidRPr="00000000">
        <w:rPr>
          <w:rtl w:val="0"/>
        </w:rPr>
      </w:r>
    </w:p>
    <w:p w:rsidR="00000000" w:rsidDel="00000000" w:rsidP="00000000" w:rsidRDefault="00000000" w:rsidRPr="00000000" w14:paraId="000000DF">
      <w:pPr>
        <w:jc w:val="both"/>
        <w:rPr>
          <w:sz w:val="24"/>
          <w:szCs w:val="24"/>
        </w:rPr>
      </w:pPr>
      <w:r w:rsidDel="00000000" w:rsidR="00000000" w:rsidRPr="00000000">
        <w:rPr>
          <w:rtl w:val="0"/>
        </w:rPr>
      </w:r>
    </w:p>
    <w:p w:rsidR="00000000" w:rsidDel="00000000" w:rsidP="00000000" w:rsidRDefault="00000000" w:rsidRPr="00000000" w14:paraId="000000E0">
      <w:pPr>
        <w:jc w:val="both"/>
        <w:rPr>
          <w:sz w:val="24"/>
          <w:szCs w:val="24"/>
        </w:rPr>
      </w:pPr>
      <w:r w:rsidDel="00000000" w:rsidR="00000000" w:rsidRPr="00000000">
        <w:rPr>
          <w:sz w:val="24"/>
          <w:szCs w:val="24"/>
          <w:rtl w:val="0"/>
        </w:rPr>
        <w:t xml:space="preserve">30. On July 6, 2015, by means of a resolution published in Official Gazette No. 40.695, the Comptroller General of the Republic, through an administrative act, disqualified Daniel Ceballos from holding public office for 12 months.</w:t>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4"/>
          <w:szCs w:val="24"/>
        </w:rPr>
      </w:pPr>
      <w:r w:rsidDel="00000000" w:rsidR="00000000" w:rsidRPr="00000000">
        <w:rPr>
          <w:sz w:val="24"/>
          <w:szCs w:val="24"/>
          <w:rtl w:val="0"/>
        </w:rPr>
        <w:t xml:space="preserve">31. On July 14, 2015, </w:t>
      </w:r>
      <w:r w:rsidDel="00000000" w:rsidR="00000000" w:rsidRPr="00000000">
        <w:rPr>
          <w:sz w:val="24"/>
          <w:szCs w:val="24"/>
          <w:shd w:fill="fdfdfd" w:val="clear"/>
          <w:rtl w:val="0"/>
        </w:rPr>
        <w:t xml:space="preserve">the Office of the Comptroller General of the Republic notified, through an administrative act, María Corina Machado of her political disqualification for 12 months, without any justification but mentioning that she could appeal before the Office of the Comptroller General and the Supreme Court of Justice.</w:t>
      </w:r>
      <w:r w:rsidDel="00000000" w:rsidR="00000000" w:rsidRPr="00000000">
        <w:rPr>
          <w:sz w:val="24"/>
          <w:szCs w:val="24"/>
          <w:shd w:fill="fdfdfd" w:val="clear"/>
          <w:vertAlign w:val="superscript"/>
        </w:rPr>
        <w:footnoteReference w:customMarkFollows="0" w:id="26"/>
      </w:r>
      <w:r w:rsidDel="00000000" w:rsidR="00000000" w:rsidRPr="00000000">
        <w:rPr>
          <w:rtl w:val="0"/>
        </w:rPr>
      </w:r>
    </w:p>
    <w:p w:rsidR="00000000" w:rsidDel="00000000" w:rsidP="00000000" w:rsidRDefault="00000000" w:rsidRPr="00000000" w14:paraId="000000E3">
      <w:pPr>
        <w:jc w:val="both"/>
        <w:rPr>
          <w:sz w:val="24"/>
          <w:szCs w:val="24"/>
        </w:rPr>
      </w:pPr>
      <w:r w:rsidDel="00000000" w:rsidR="00000000" w:rsidRPr="00000000">
        <w:rPr>
          <w:rtl w:val="0"/>
        </w:rPr>
      </w:r>
    </w:p>
    <w:p w:rsidR="00000000" w:rsidDel="00000000" w:rsidP="00000000" w:rsidRDefault="00000000" w:rsidRPr="00000000" w14:paraId="000000E4">
      <w:pPr>
        <w:jc w:val="both"/>
        <w:rPr>
          <w:sz w:val="24"/>
          <w:szCs w:val="24"/>
          <w:highlight w:val="white"/>
        </w:rPr>
      </w:pPr>
      <w:r w:rsidDel="00000000" w:rsidR="00000000" w:rsidRPr="00000000">
        <w:rPr>
          <w:sz w:val="24"/>
          <w:szCs w:val="24"/>
          <w:rtl w:val="0"/>
        </w:rPr>
        <w:t xml:space="preserve">32. On April 7, 2017, the Office of the Comptroller General of the Republic notified Henrique Capriles Radonski that he was administratively sanctioned to hold public office at the time of the termination of his mandate as governor of the State of Miranda, justifying such sentence in the execution of alleged </w:t>
      </w:r>
      <w:r w:rsidDel="00000000" w:rsidR="00000000" w:rsidRPr="00000000">
        <w:rPr>
          <w:sz w:val="24"/>
          <w:szCs w:val="24"/>
          <w:highlight w:val="white"/>
          <w:rtl w:val="0"/>
        </w:rPr>
        <w:t xml:space="preserve">administrative wrongdoings during his administration in the years 2011, 2012 and 2013, by not submitting a draft Budget Law before the Legislative Council of Miranda.</w:t>
      </w:r>
      <w:r w:rsidDel="00000000" w:rsidR="00000000" w:rsidRPr="00000000">
        <w:rPr>
          <w:sz w:val="24"/>
          <w:szCs w:val="24"/>
          <w:highlight w:val="white"/>
          <w:vertAlign w:val="superscript"/>
        </w:rPr>
        <w:footnoteReference w:customMarkFollows="0" w:id="27"/>
      </w:r>
      <w:r w:rsidDel="00000000" w:rsidR="00000000" w:rsidRPr="00000000">
        <w:rPr>
          <w:rtl w:val="0"/>
        </w:rPr>
      </w:r>
    </w:p>
    <w:p w:rsidR="00000000" w:rsidDel="00000000" w:rsidP="00000000" w:rsidRDefault="00000000" w:rsidRPr="00000000" w14:paraId="000000E5">
      <w:pPr>
        <w:jc w:val="both"/>
        <w:rPr>
          <w:sz w:val="24"/>
          <w:szCs w:val="24"/>
          <w:highlight w:val="white"/>
        </w:rPr>
      </w:pPr>
      <w:r w:rsidDel="00000000" w:rsidR="00000000" w:rsidRPr="00000000">
        <w:rPr>
          <w:rtl w:val="0"/>
        </w:rPr>
      </w:r>
    </w:p>
    <w:p w:rsidR="00000000" w:rsidDel="00000000" w:rsidP="00000000" w:rsidRDefault="00000000" w:rsidRPr="00000000" w14:paraId="000000E6">
      <w:pPr>
        <w:jc w:val="both"/>
        <w:rPr>
          <w:sz w:val="24"/>
          <w:szCs w:val="24"/>
          <w:highlight w:val="white"/>
        </w:rPr>
      </w:pPr>
      <w:r w:rsidDel="00000000" w:rsidR="00000000" w:rsidRPr="00000000">
        <w:rPr>
          <w:sz w:val="24"/>
          <w:szCs w:val="24"/>
          <w:highlight w:val="white"/>
          <w:rtl w:val="0"/>
        </w:rPr>
        <w:t xml:space="preserve">33. On November 29, 2021, the disqualification of Freddy Superlano to exercise any public office was decreed, who had competed as candidate for Governor of the State of Barinas in the regional and municipal processes of November 21, 2021. This disqualification occurred during a recount of votes between Argenis Chávez, candidate of the Government party and Freddy Superlano, the opposition candidate surpassed the PSUV candidate by only 0.39 percentage points. The same had a retroactive effect, although in the formalization of his registration he had no objection whatsoever.  </w:t>
      </w:r>
    </w:p>
    <w:p w:rsidR="00000000" w:rsidDel="00000000" w:rsidP="00000000" w:rsidRDefault="00000000" w:rsidRPr="00000000" w14:paraId="000000E7">
      <w:pPr>
        <w:jc w:val="both"/>
        <w:rPr>
          <w:sz w:val="24"/>
          <w:szCs w:val="24"/>
          <w:highlight w:val="white"/>
        </w:rPr>
      </w:pPr>
      <w:r w:rsidDel="00000000" w:rsidR="00000000" w:rsidRPr="00000000">
        <w:rPr>
          <w:rtl w:val="0"/>
        </w:rPr>
      </w:r>
    </w:p>
    <w:p w:rsidR="00000000" w:rsidDel="00000000" w:rsidP="00000000" w:rsidRDefault="00000000" w:rsidRPr="00000000" w14:paraId="000000E8">
      <w:pPr>
        <w:jc w:val="both"/>
        <w:rPr>
          <w:sz w:val="24"/>
          <w:szCs w:val="24"/>
          <w:highlight w:val="white"/>
        </w:rPr>
      </w:pPr>
      <w:r w:rsidDel="00000000" w:rsidR="00000000" w:rsidRPr="00000000">
        <w:rPr>
          <w:sz w:val="24"/>
          <w:szCs w:val="24"/>
          <w:highlight w:val="white"/>
          <w:rtl w:val="0"/>
        </w:rPr>
        <w:t xml:space="preserve">34. Although the National Electoral Council offered preliminary results in the early morning of November 22, the announcement of the final result of the voting in the State of Barinas was postponed for several days due to the delay in the delivery of the minutes corresponding to three municipalities. Finally, on November 28, when it seemed imminent that the results would favor the opposition candidate, Freddy Superlano, a decision of the Electoral Chamber of the Supreme Court of Justice (TSJ) ordered to stop the processes of totalization, adjudication and dissemination of the results. Said ruling was followed that same day, and within a few hours of each other, by a second ruling, in which the election of November 21, 2021 was annulled, ordering at the same time the celebration of new elections on January 9, 2022. Although the second judgment confirmed the victory of the opposition candidate Freddy Superlano by the aforementioned narrow margin, it annulled such elections arguing the alleged existence of a disqualification against Superlano, which would have been issued by the Comptroller General's Office a little more than three months before the elections, such decision, if any, was not notified to the National Electoral Council. </w:t>
      </w:r>
    </w:p>
    <w:p w:rsidR="00000000" w:rsidDel="00000000" w:rsidP="00000000" w:rsidRDefault="00000000" w:rsidRPr="00000000" w14:paraId="000000E9">
      <w:pPr>
        <w:jc w:val="both"/>
        <w:rPr>
          <w:sz w:val="24"/>
          <w:szCs w:val="24"/>
          <w:highlight w:val="white"/>
        </w:rPr>
      </w:pPr>
      <w:r w:rsidDel="00000000" w:rsidR="00000000" w:rsidRPr="00000000">
        <w:rPr>
          <w:rtl w:val="0"/>
        </w:rPr>
      </w:r>
    </w:p>
    <w:p w:rsidR="00000000" w:rsidDel="00000000" w:rsidP="00000000" w:rsidRDefault="00000000" w:rsidRPr="00000000" w14:paraId="000000EA">
      <w:pPr>
        <w:jc w:val="both"/>
        <w:rPr>
          <w:sz w:val="24"/>
          <w:szCs w:val="24"/>
          <w:highlight w:val="white"/>
        </w:rPr>
      </w:pPr>
      <w:r w:rsidDel="00000000" w:rsidR="00000000" w:rsidRPr="00000000">
        <w:rPr>
          <w:sz w:val="24"/>
          <w:szCs w:val="24"/>
          <w:highlight w:val="white"/>
          <w:rtl w:val="0"/>
        </w:rPr>
        <w:t xml:space="preserve">35. The new elections to elect governor in Barinas implied a new batch of disqualifications. After the Venezuelan opposition decided to nominate Aurora Silva de Superlano, replacing her husband, Freddy Superlano, her name also appeared as disqualified in the system, despite the fact that she had never held public office before. The same fate befell the second choice of the Venezuelan opposition, leader Julio César Reyes. Finally, with only a few hours left for the closing of the deadlines, the system accepted the third candidate proposed, the leader and member of Acción Democrática, Sergio Garrido.</w:t>
      </w:r>
    </w:p>
    <w:p w:rsidR="00000000" w:rsidDel="00000000" w:rsidP="00000000" w:rsidRDefault="00000000" w:rsidRPr="00000000" w14:paraId="000000EB">
      <w:pPr>
        <w:jc w:val="both"/>
        <w:rPr>
          <w:sz w:val="24"/>
          <w:szCs w:val="24"/>
          <w:highlight w:val="white"/>
        </w:rPr>
      </w:pPr>
      <w:r w:rsidDel="00000000" w:rsidR="00000000" w:rsidRPr="00000000">
        <w:rPr>
          <w:rtl w:val="0"/>
        </w:rPr>
      </w:r>
    </w:p>
    <w:p w:rsidR="00000000" w:rsidDel="00000000" w:rsidP="00000000" w:rsidRDefault="00000000" w:rsidRPr="00000000" w14:paraId="000000EC">
      <w:pPr>
        <w:jc w:val="both"/>
        <w:rPr>
          <w:sz w:val="24"/>
          <w:szCs w:val="24"/>
          <w:highlight w:val="white"/>
        </w:rPr>
      </w:pPr>
      <w:r w:rsidDel="00000000" w:rsidR="00000000" w:rsidRPr="00000000">
        <w:rPr>
          <w:sz w:val="24"/>
          <w:szCs w:val="24"/>
          <w:rtl w:val="0"/>
        </w:rPr>
        <w:t xml:space="preserve">36. On June 30, 2023, within the framework of the primary elections of the opposition, the Comptroller General of the Republic, notifies again through an administrative act, the opposition leader, María Corina Machado that she will be disqualified for 15 years due to her links with the interim government of Juan Guaido and her requests for foreign intervention.</w:t>
      </w:r>
      <w:r w:rsidDel="00000000" w:rsidR="00000000" w:rsidRPr="00000000">
        <w:rPr>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0ED">
      <w:pPr>
        <w:jc w:val="both"/>
        <w:rPr>
          <w:sz w:val="24"/>
          <w:szCs w:val="24"/>
          <w:highlight w:val="white"/>
        </w:rPr>
      </w:pPr>
      <w:r w:rsidDel="00000000" w:rsidR="00000000" w:rsidRPr="00000000">
        <w:rPr>
          <w:rtl w:val="0"/>
        </w:rPr>
      </w:r>
    </w:p>
    <w:p w:rsidR="00000000" w:rsidDel="00000000" w:rsidP="00000000" w:rsidRDefault="00000000" w:rsidRPr="00000000" w14:paraId="000000EE">
      <w:pPr>
        <w:jc w:val="both"/>
        <w:rPr>
          <w:sz w:val="24"/>
          <w:szCs w:val="24"/>
          <w:highlight w:val="white"/>
        </w:rPr>
      </w:pPr>
      <w:r w:rsidDel="00000000" w:rsidR="00000000" w:rsidRPr="00000000">
        <w:rPr>
          <w:sz w:val="24"/>
          <w:szCs w:val="24"/>
          <w:highlight w:val="white"/>
          <w:rtl w:val="0"/>
        </w:rPr>
        <w:t xml:space="preserve">37. On September 7, 2023, Nicolás Maduro, president of Venezuela, declared on national television that he will not lift the political disqualifications of opposition leaders without some solid justification, alleging that such actors only appear in electoral processes</w:t>
      </w:r>
      <w:r w:rsidDel="00000000" w:rsidR="00000000" w:rsidRPr="00000000">
        <w:rPr>
          <w:sz w:val="24"/>
          <w:szCs w:val="24"/>
          <w:highlight w:val="white"/>
          <w:vertAlign w:val="superscript"/>
        </w:rPr>
        <w:footnoteReference w:customMarkFollows="0" w:id="29"/>
      </w:r>
      <w:r w:rsidDel="00000000" w:rsidR="00000000" w:rsidRPr="00000000">
        <w:rPr>
          <w:sz w:val="24"/>
          <w:szCs w:val="24"/>
          <w:highlight w:val="white"/>
          <w:rtl w:val="0"/>
        </w:rPr>
        <w:t xml:space="preserve"> . </w:t>
      </w:r>
    </w:p>
    <w:p w:rsidR="00000000" w:rsidDel="00000000" w:rsidP="00000000" w:rsidRDefault="00000000" w:rsidRPr="00000000" w14:paraId="000000EF">
      <w:pPr>
        <w:jc w:val="both"/>
        <w:rPr>
          <w:sz w:val="24"/>
          <w:szCs w:val="24"/>
          <w:highlight w:val="white"/>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sz w:val="24"/>
          <w:szCs w:val="24"/>
          <w:rtl w:val="0"/>
        </w:rPr>
        <w:t xml:space="preserve">38. In this regard, it is worth mentioning that the Supreme Court of Justice determined that the judgment of the Inter-American Court urging Venezuela to modify the law that allowed the Comptroller General to disqualify candidates without conviction for a crime was unenforceable, alleging that the Court was imposing ideological biases that went against the constitutional system of the Venezuelan State. </w:t>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sz w:val="24"/>
          <w:szCs w:val="24"/>
          <w:rtl w:val="0"/>
        </w:rPr>
        <w:t xml:space="preserve">d) </w:t>
      </w:r>
      <w:r w:rsidDel="00000000" w:rsidR="00000000" w:rsidRPr="00000000">
        <w:rPr>
          <w:b w:val="1"/>
          <w:sz w:val="24"/>
          <w:szCs w:val="24"/>
          <w:rtl w:val="0"/>
        </w:rPr>
        <w:t xml:space="preserve">Political proselytism (2015)</w:t>
      </w:r>
      <w:r w:rsidDel="00000000" w:rsidR="00000000" w:rsidRPr="00000000">
        <w:rPr>
          <w:sz w:val="24"/>
          <w:szCs w:val="24"/>
          <w:rtl w:val="0"/>
        </w:rPr>
        <w:t xml:space="preserve">. </w:t>
      </w:r>
    </w:p>
    <w:p w:rsidR="00000000" w:rsidDel="00000000" w:rsidP="00000000" w:rsidRDefault="00000000" w:rsidRPr="00000000" w14:paraId="000000F3">
      <w:pPr>
        <w:jc w:val="both"/>
        <w:rPr>
          <w:sz w:val="24"/>
          <w:szCs w:val="24"/>
        </w:rPr>
      </w:pPr>
      <w:r w:rsidDel="00000000" w:rsidR="00000000" w:rsidRPr="00000000">
        <w:rPr>
          <w:rtl w:val="0"/>
        </w:rPr>
      </w:r>
    </w:p>
    <w:p w:rsidR="00000000" w:rsidDel="00000000" w:rsidP="00000000" w:rsidRDefault="00000000" w:rsidRPr="00000000" w14:paraId="000000F4">
      <w:pPr>
        <w:jc w:val="both"/>
        <w:rPr>
          <w:sz w:val="24"/>
          <w:szCs w:val="24"/>
        </w:rPr>
      </w:pPr>
      <w:r w:rsidDel="00000000" w:rsidR="00000000" w:rsidRPr="00000000">
        <w:rPr>
          <w:sz w:val="24"/>
          <w:szCs w:val="24"/>
          <w:rtl w:val="0"/>
        </w:rPr>
        <w:t xml:space="preserve">39.  On November 29, 2015, the electoral authorities developed an electoral simulation intended to test the effectiveness of the technological equipment and organizational apparatus prior to the 2015 parliamentary electoral process, but contrary to this, it became an act of political proselytism of the United Socialist Party of Venezuela, the governing party. In many voting centers there were complaints of open electoral campaign activities, thus violating article 75 of the Organic Law of Electoral Processes.</w:t>
      </w:r>
      <w:r w:rsidDel="00000000" w:rsidR="00000000" w:rsidRPr="00000000">
        <w:rPr>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F5">
      <w:pPr>
        <w:jc w:val="both"/>
        <w:rPr>
          <w:sz w:val="24"/>
          <w:szCs w:val="24"/>
        </w:rPr>
      </w:pPr>
      <w:r w:rsidDel="00000000" w:rsidR="00000000" w:rsidRPr="00000000">
        <w:rPr>
          <w:rtl w:val="0"/>
        </w:rPr>
      </w:r>
    </w:p>
    <w:p w:rsidR="00000000" w:rsidDel="00000000" w:rsidP="00000000" w:rsidRDefault="00000000" w:rsidRPr="00000000" w14:paraId="000000F6">
      <w:pPr>
        <w:jc w:val="both"/>
        <w:rPr>
          <w:sz w:val="24"/>
          <w:szCs w:val="24"/>
        </w:rPr>
      </w:pPr>
      <w:r w:rsidDel="00000000" w:rsidR="00000000" w:rsidRPr="00000000">
        <w:rPr>
          <w:sz w:val="24"/>
          <w:szCs w:val="24"/>
          <w:rtl w:val="0"/>
        </w:rPr>
        <w:t xml:space="preserve">40. In some cases, the location of the different movements and political parties in the electoral card of the 2015 parliamentary elections, could generate confusion in the voters when selecting their vote, as in the case of the proximity of the MIN-UNIDAD card, a party associated to Chavismo, to the right side of the MUD-UNIDAD card, a party associated to the opposition, which would have graphic similarities and could be understood as an action aimed at harming the opposition alliance, generating confusion. </w:t>
      </w:r>
    </w:p>
    <w:p w:rsidR="00000000" w:rsidDel="00000000" w:rsidP="00000000" w:rsidRDefault="00000000" w:rsidRPr="00000000" w14:paraId="000000F7">
      <w:pPr>
        <w:jc w:val="both"/>
        <w:rPr>
          <w:sz w:val="24"/>
          <w:szCs w:val="24"/>
        </w:rPr>
      </w:pPr>
      <w:r w:rsidDel="00000000" w:rsidR="00000000" w:rsidRPr="00000000">
        <w:rPr>
          <w:rtl w:val="0"/>
        </w:rPr>
      </w:r>
    </w:p>
    <w:p w:rsidR="00000000" w:rsidDel="00000000" w:rsidP="00000000" w:rsidRDefault="00000000" w:rsidRPr="00000000" w14:paraId="000000F8">
      <w:pPr>
        <w:jc w:val="both"/>
        <w:rPr>
          <w:sz w:val="24"/>
          <w:szCs w:val="24"/>
        </w:rPr>
      </w:pPr>
      <w:r w:rsidDel="00000000" w:rsidR="00000000" w:rsidRPr="00000000">
        <w:rPr>
          <w:sz w:val="24"/>
          <w:szCs w:val="24"/>
          <w:rtl w:val="0"/>
        </w:rPr>
        <w:t xml:space="preserve">41. In the 2015 process, campaign times were not respected, different political actors did not know that the start of the campaign was November 13 and ended on November 3, generating campaign actions two months before the date set by the electoral body, violating its regulations, likewise, the National Electoral Council incurred in omission by not rejecting these irregularities and allowing a "pre-campaign" that lasted longer than the time of the campaign</w:t>
      </w:r>
      <w:r w:rsidDel="00000000" w:rsidR="00000000" w:rsidRPr="00000000">
        <w:rPr>
          <w:sz w:val="24"/>
          <w:szCs w:val="24"/>
          <w:vertAlign w:val="superscript"/>
        </w:rPr>
        <w:footnoteReference w:customMarkFollows="0" w:id="31"/>
      </w:r>
      <w:r w:rsidDel="00000000" w:rsidR="00000000" w:rsidRPr="00000000">
        <w:rPr>
          <w:sz w:val="24"/>
          <w:szCs w:val="24"/>
          <w:rtl w:val="0"/>
        </w:rPr>
        <w:t xml:space="preserve"> .</w:t>
      </w:r>
    </w:p>
    <w:p w:rsidR="00000000" w:rsidDel="00000000" w:rsidP="00000000" w:rsidRDefault="00000000" w:rsidRPr="00000000" w14:paraId="000000F9">
      <w:pPr>
        <w:jc w:val="both"/>
        <w:rPr>
          <w:sz w:val="24"/>
          <w:szCs w:val="24"/>
        </w:rPr>
      </w:pPr>
      <w:r w:rsidDel="00000000" w:rsidR="00000000" w:rsidRPr="00000000">
        <w:rPr>
          <w:rtl w:val="0"/>
        </w:rPr>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42. In this same line of omissions of the CNE for the 2015 parliamentary process, there was no call of attention or sanction to the fact that the president assumed to be head of the PSUV campaign and participated in openly electoral and campaign activities, as well as other public officials, without having any connotation or call of attention by the electoral body, violating article 145 of the Constitution and article 221 of the general regulations of the LOPRE, where the prohibitions of the public servants in favoring or harming electorally a candidate, organization with political purposes or group of voters are detailed, as well as the use of public resources in such campaigns, demonstrating an electoral advantage</w:t>
      </w:r>
      <w:r w:rsidDel="00000000" w:rsidR="00000000" w:rsidRPr="00000000">
        <w:rPr>
          <w:sz w:val="24"/>
          <w:szCs w:val="24"/>
          <w:vertAlign w:val="superscript"/>
        </w:rPr>
        <w:footnoteReference w:customMarkFollows="0" w:id="32"/>
      </w:r>
      <w:r w:rsidDel="00000000" w:rsidR="00000000" w:rsidRPr="00000000">
        <w:rPr>
          <w:sz w:val="24"/>
          <w:szCs w:val="24"/>
          <w:rtl w:val="0"/>
        </w:rPr>
        <w:t xml:space="preserve"> . </w:t>
      </w:r>
    </w:p>
    <w:p w:rsidR="00000000" w:rsidDel="00000000" w:rsidP="00000000" w:rsidRDefault="00000000" w:rsidRPr="00000000" w14:paraId="000000FB">
      <w:pPr>
        <w:jc w:val="both"/>
        <w:rPr>
          <w:sz w:val="24"/>
          <w:szCs w:val="24"/>
        </w:rPr>
      </w:pPr>
      <w:r w:rsidDel="00000000" w:rsidR="00000000" w:rsidRPr="00000000">
        <w:rPr>
          <w:rtl w:val="0"/>
        </w:rPr>
      </w:r>
    </w:p>
    <w:p w:rsidR="00000000" w:rsidDel="00000000" w:rsidP="00000000" w:rsidRDefault="00000000" w:rsidRPr="00000000" w14:paraId="000000FC">
      <w:pPr>
        <w:jc w:val="both"/>
        <w:rPr>
          <w:sz w:val="24"/>
          <w:szCs w:val="24"/>
        </w:rPr>
      </w:pPr>
      <w:r w:rsidDel="00000000" w:rsidR="00000000" w:rsidRPr="00000000">
        <w:rPr>
          <w:sz w:val="24"/>
          <w:szCs w:val="24"/>
          <w:rtl w:val="0"/>
        </w:rPr>
        <w:t xml:space="preserve">43. In the 2021 municipal and regional elections, according to the report of the European Union electoral observation mission, in 20 of the 24 Venezuelan states the use of public resources for proselytizing purposes was observed. This circumstance was linked, in the vast majority of cases, to the ruling party (in only one state was the use of state resources by non-ruling party forces observed). </w:t>
      </w:r>
    </w:p>
    <w:p w:rsidR="00000000" w:rsidDel="00000000" w:rsidP="00000000" w:rsidRDefault="00000000" w:rsidRPr="00000000" w14:paraId="000000FD">
      <w:pPr>
        <w:jc w:val="both"/>
        <w:rPr>
          <w:sz w:val="24"/>
          <w:szCs w:val="24"/>
        </w:rPr>
      </w:pPr>
      <w:r w:rsidDel="00000000" w:rsidR="00000000" w:rsidRPr="00000000">
        <w:rPr>
          <w:rtl w:val="0"/>
        </w:rPr>
      </w:r>
    </w:p>
    <w:p w:rsidR="00000000" w:rsidDel="00000000" w:rsidP="00000000" w:rsidRDefault="00000000" w:rsidRPr="00000000" w14:paraId="000000FE">
      <w:pPr>
        <w:jc w:val="both"/>
        <w:rPr>
          <w:sz w:val="24"/>
          <w:szCs w:val="24"/>
        </w:rPr>
      </w:pPr>
      <w:r w:rsidDel="00000000" w:rsidR="00000000" w:rsidRPr="00000000">
        <w:rPr>
          <w:sz w:val="24"/>
          <w:szCs w:val="24"/>
          <w:rtl w:val="0"/>
        </w:rPr>
        <w:t xml:space="preserve">44. According to the report of the European Union electoral observation mission</w:t>
      </w:r>
      <w:r w:rsidDel="00000000" w:rsidR="00000000" w:rsidRPr="00000000">
        <w:rPr>
          <w:sz w:val="24"/>
          <w:szCs w:val="24"/>
          <w:vertAlign w:val="superscript"/>
        </w:rPr>
        <w:footnoteReference w:customMarkFollows="0" w:id="33"/>
      </w:r>
      <w:r w:rsidDel="00000000" w:rsidR="00000000" w:rsidRPr="00000000">
        <w:rPr>
          <w:sz w:val="24"/>
          <w:szCs w:val="24"/>
          <w:rtl w:val="0"/>
        </w:rPr>
        <w:t xml:space="preserve"> , in the municipal and regional 2021 process, the participation of public officials in campaign acts was observed in 16 states, while the distribution of consumer goods with proselytizing objectives, by the government, such as food bags, gas bottles, electric plants or water pumps, was observed in nine states. The proselytizing use of vaccination plans against Covid-19 was observed in three other states. In the rallies of the United Socialist Party of Venezuela (PSUV), the generalized use of public vehicles for logistical tasks of the electoral campaign was also observed. </w:t>
      </w:r>
    </w:p>
    <w:p w:rsidR="00000000" w:rsidDel="00000000" w:rsidP="00000000" w:rsidRDefault="00000000" w:rsidRPr="00000000" w14:paraId="000000FF">
      <w:pPr>
        <w:jc w:val="both"/>
        <w:rPr>
          <w:sz w:val="24"/>
          <w:szCs w:val="24"/>
        </w:rPr>
      </w:pPr>
      <w:r w:rsidDel="00000000" w:rsidR="00000000" w:rsidRPr="00000000">
        <w:rPr>
          <w:rtl w:val="0"/>
        </w:rPr>
      </w:r>
    </w:p>
    <w:p w:rsidR="00000000" w:rsidDel="00000000" w:rsidP="00000000" w:rsidRDefault="00000000" w:rsidRPr="00000000" w14:paraId="00000100">
      <w:pPr>
        <w:jc w:val="both"/>
        <w:rPr>
          <w:sz w:val="24"/>
          <w:szCs w:val="24"/>
        </w:rPr>
      </w:pPr>
      <w:r w:rsidDel="00000000" w:rsidR="00000000" w:rsidRPr="00000000">
        <w:rPr>
          <w:sz w:val="24"/>
          <w:szCs w:val="24"/>
          <w:rtl w:val="0"/>
        </w:rPr>
        <w:t xml:space="preserve">45. In statistical terms, the European Union mission observed for the 2021 parliamentary process, the use of state resources in 30 percent of the PSUV campaign events (versus 2.5 percent of the events of the opposition groups). In 23 percent of PSUV events, it was also observed acts of pressure on citizens to attend such events (versus 2.5 percent in the case of opposition events). </w:t>
      </w:r>
    </w:p>
    <w:p w:rsidR="00000000" w:rsidDel="00000000" w:rsidP="00000000" w:rsidRDefault="00000000" w:rsidRPr="00000000" w14:paraId="00000101">
      <w:pPr>
        <w:jc w:val="both"/>
        <w:rPr>
          <w:sz w:val="24"/>
          <w:szCs w:val="24"/>
        </w:rPr>
      </w:pPr>
      <w:r w:rsidDel="00000000" w:rsidR="00000000" w:rsidRPr="00000000">
        <w:rPr>
          <w:rtl w:val="0"/>
        </w:rPr>
      </w:r>
    </w:p>
    <w:p w:rsidR="00000000" w:rsidDel="00000000" w:rsidP="00000000" w:rsidRDefault="00000000" w:rsidRPr="00000000" w14:paraId="00000102">
      <w:pPr>
        <w:jc w:val="both"/>
        <w:rPr>
          <w:b w:val="1"/>
          <w:sz w:val="24"/>
          <w:szCs w:val="24"/>
        </w:rPr>
      </w:pPr>
      <w:r w:rsidDel="00000000" w:rsidR="00000000" w:rsidRPr="00000000">
        <w:rPr>
          <w:b w:val="1"/>
          <w:sz w:val="24"/>
          <w:szCs w:val="24"/>
          <w:rtl w:val="0"/>
        </w:rPr>
        <w:t xml:space="preserve">(e) Prohibition of party registration and intervention (2015-2023)</w:t>
      </w:r>
    </w:p>
    <w:p w:rsidR="00000000" w:rsidDel="00000000" w:rsidP="00000000" w:rsidRDefault="00000000" w:rsidRPr="00000000" w14:paraId="00000103">
      <w:pPr>
        <w:jc w:val="both"/>
        <w:rPr>
          <w:b w:val="1"/>
          <w:sz w:val="24"/>
          <w:szCs w:val="24"/>
        </w:rPr>
      </w:pPr>
      <w:r w:rsidDel="00000000" w:rsidR="00000000" w:rsidRPr="00000000">
        <w:rPr>
          <w:rtl w:val="0"/>
        </w:rPr>
      </w:r>
    </w:p>
    <w:p w:rsidR="00000000" w:rsidDel="00000000" w:rsidP="00000000" w:rsidRDefault="00000000" w:rsidRPr="00000000" w14:paraId="00000104">
      <w:pPr>
        <w:jc w:val="both"/>
        <w:rPr>
          <w:sz w:val="24"/>
          <w:szCs w:val="24"/>
        </w:rPr>
      </w:pPr>
      <w:r w:rsidDel="00000000" w:rsidR="00000000" w:rsidRPr="00000000">
        <w:rPr>
          <w:sz w:val="24"/>
          <w:szCs w:val="24"/>
          <w:rtl w:val="0"/>
        </w:rPr>
        <w:t xml:space="preserve">46. In 2020 the National Electoral Council declared inadmissible the registration of some political movements, among them COPEI, MIN and the MEP, which expressed their desire to participate in the 2020 parliamentary elections, a fact that directly affected the political scenario, and that only worsened when the Supreme Court of Justice decided to intervene them and to disregard their legitimacy</w:t>
      </w:r>
      <w:r w:rsidDel="00000000" w:rsidR="00000000" w:rsidRPr="00000000">
        <w:rPr>
          <w:sz w:val="24"/>
          <w:szCs w:val="24"/>
          <w:vertAlign w:val="superscript"/>
        </w:rPr>
        <w:footnoteReference w:customMarkFollows="0" w:id="34"/>
      </w:r>
      <w:r w:rsidDel="00000000" w:rsidR="00000000" w:rsidRPr="00000000">
        <w:rPr>
          <w:sz w:val="24"/>
          <w:szCs w:val="24"/>
          <w:vertAlign w:val="superscript"/>
          <w:rtl w:val="0"/>
        </w:rPr>
        <w:t xml:space="preserve"> </w:t>
      </w:r>
      <w:r w:rsidDel="00000000" w:rsidR="00000000" w:rsidRPr="00000000">
        <w:rPr>
          <w:sz w:val="24"/>
          <w:szCs w:val="24"/>
          <w:rtl w:val="0"/>
        </w:rPr>
        <w:t xml:space="preserve"> , violating the principles of participation, plurality and association.</w:t>
      </w:r>
    </w:p>
    <w:p w:rsidR="00000000" w:rsidDel="00000000" w:rsidP="00000000" w:rsidRDefault="00000000" w:rsidRPr="00000000" w14:paraId="00000105">
      <w:pPr>
        <w:jc w:val="both"/>
        <w:rPr>
          <w:sz w:val="24"/>
          <w:szCs w:val="24"/>
        </w:rPr>
      </w:pPr>
      <w:r w:rsidDel="00000000" w:rsidR="00000000" w:rsidRPr="00000000">
        <w:rPr>
          <w:rtl w:val="0"/>
        </w:rPr>
      </w:r>
    </w:p>
    <w:p w:rsidR="00000000" w:rsidDel="00000000" w:rsidP="00000000" w:rsidRDefault="00000000" w:rsidRPr="00000000" w14:paraId="00000106">
      <w:pPr>
        <w:shd w:fill="ffffff" w:val="clear"/>
        <w:spacing w:after="360" w:lineRule="auto"/>
        <w:jc w:val="both"/>
        <w:rPr>
          <w:i w:val="1"/>
          <w:sz w:val="24"/>
          <w:szCs w:val="24"/>
          <w:u w:val="single"/>
        </w:rPr>
      </w:pPr>
      <w:r w:rsidDel="00000000" w:rsidR="00000000" w:rsidRPr="00000000">
        <w:rPr>
          <w:sz w:val="24"/>
          <w:szCs w:val="24"/>
          <w:rtl w:val="0"/>
        </w:rPr>
        <w:t xml:space="preserve">47. In the 2020 parliamentary elections, the Supreme Court of Justice intervened in the internal processes of the political parties Acción Democrática, Primero Justicia and Voluntad Popular through sentences 71</w:t>
      </w:r>
      <w:r w:rsidDel="00000000" w:rsidR="00000000" w:rsidRPr="00000000">
        <w:rPr>
          <w:sz w:val="24"/>
          <w:szCs w:val="24"/>
          <w:vertAlign w:val="superscript"/>
        </w:rPr>
        <w:footnoteReference w:customMarkFollows="0" w:id="35"/>
      </w:r>
      <w:r w:rsidDel="00000000" w:rsidR="00000000" w:rsidRPr="00000000">
        <w:rPr>
          <w:sz w:val="24"/>
          <w:szCs w:val="24"/>
          <w:rtl w:val="0"/>
        </w:rPr>
        <w:t xml:space="preserve"> , 72</w:t>
      </w:r>
      <w:r w:rsidDel="00000000" w:rsidR="00000000" w:rsidRPr="00000000">
        <w:rPr>
          <w:sz w:val="24"/>
          <w:szCs w:val="24"/>
          <w:vertAlign w:val="superscript"/>
        </w:rPr>
        <w:footnoteReference w:customMarkFollows="0" w:id="36"/>
      </w:r>
      <w:r w:rsidDel="00000000" w:rsidR="00000000" w:rsidRPr="00000000">
        <w:rPr>
          <w:sz w:val="24"/>
          <w:szCs w:val="24"/>
          <w:rtl w:val="0"/>
        </w:rPr>
        <w:t xml:space="preserve"> , 77</w:t>
      </w:r>
      <w:r w:rsidDel="00000000" w:rsidR="00000000" w:rsidRPr="00000000">
        <w:rPr>
          <w:sz w:val="24"/>
          <w:szCs w:val="24"/>
          <w:vertAlign w:val="superscript"/>
        </w:rPr>
        <w:footnoteReference w:customMarkFollows="0" w:id="37"/>
      </w:r>
      <w:r w:rsidDel="00000000" w:rsidR="00000000" w:rsidRPr="00000000">
        <w:rPr>
          <w:sz w:val="24"/>
          <w:szCs w:val="24"/>
          <w:rtl w:val="0"/>
        </w:rPr>
        <w:t xml:space="preserve"> , became a kidnapping of the directives of the main opposition leaders and dissidents, action that added together with the absence of an impartial electoral arbiter and the absence of a legitimate legal framework for the said elections to not comply with national and international standards of electoral processes.</w:t>
      </w:r>
      <w:r w:rsidDel="00000000" w:rsidR="00000000" w:rsidRPr="00000000">
        <w:rPr>
          <w:sz w:val="24"/>
          <w:szCs w:val="24"/>
          <w:vertAlign w:val="superscript"/>
        </w:rPr>
        <w:footnoteReference w:customMarkFollows="0" w:id="38"/>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07">
      <w:pPr>
        <w:jc w:val="both"/>
        <w:rPr>
          <w:color w:val="9900ff"/>
          <w:sz w:val="24"/>
          <w:szCs w:val="24"/>
        </w:rPr>
      </w:pPr>
      <w:r w:rsidDel="00000000" w:rsidR="00000000" w:rsidRPr="00000000">
        <w:rPr>
          <w:sz w:val="24"/>
          <w:szCs w:val="24"/>
          <w:rtl w:val="0"/>
        </w:rPr>
        <w:t xml:space="preserve">48.  On August 11, 2023, the TSJ, through judgment number 1.160, ordered the intervention of the Communist Party of Venezuela, granting the leadership of the movement to allies of the United Socialist Party of Venezuela.</w:t>
      </w:r>
      <w:r w:rsidDel="00000000" w:rsidR="00000000" w:rsidRPr="00000000">
        <w:rPr>
          <w:sz w:val="24"/>
          <w:szCs w:val="24"/>
          <w:vertAlign w:val="superscript"/>
          <w:rtl w:val="0"/>
        </w:rPr>
        <w:t xml:space="preserve">.</w:t>
      </w:r>
      <w:r w:rsidDel="00000000" w:rsidR="00000000" w:rsidRPr="00000000">
        <w:rPr>
          <w:sz w:val="24"/>
          <w:szCs w:val="24"/>
          <w:vertAlign w:val="superscript"/>
        </w:rPr>
        <w:footnoteReference w:customMarkFollows="0" w:id="39"/>
      </w:r>
      <w:r w:rsidDel="00000000" w:rsidR="00000000" w:rsidRPr="00000000">
        <w:rPr>
          <w:rtl w:val="0"/>
        </w:rPr>
      </w:r>
    </w:p>
    <w:p w:rsidR="00000000" w:rsidDel="00000000" w:rsidP="00000000" w:rsidRDefault="00000000" w:rsidRPr="00000000" w14:paraId="00000108">
      <w:pPr>
        <w:jc w:val="both"/>
        <w:rPr>
          <w:sz w:val="24"/>
          <w:szCs w:val="24"/>
        </w:rPr>
      </w:pPr>
      <w:r w:rsidDel="00000000" w:rsidR="00000000" w:rsidRPr="00000000">
        <w:rPr>
          <w:rtl w:val="0"/>
        </w:rPr>
      </w:r>
    </w:p>
    <w:p w:rsidR="00000000" w:rsidDel="00000000" w:rsidP="00000000" w:rsidRDefault="00000000" w:rsidRPr="00000000" w14:paraId="00000109">
      <w:pPr>
        <w:jc w:val="both"/>
        <w:rPr>
          <w:b w:val="1"/>
          <w:sz w:val="24"/>
          <w:szCs w:val="24"/>
        </w:rPr>
      </w:pPr>
      <w:r w:rsidDel="00000000" w:rsidR="00000000" w:rsidRPr="00000000">
        <w:rPr>
          <w:b w:val="1"/>
          <w:sz w:val="24"/>
          <w:szCs w:val="24"/>
          <w:rtl w:val="0"/>
        </w:rPr>
        <w:t xml:space="preserve">F) Activation of the recall referendum (2016).</w:t>
      </w:r>
    </w:p>
    <w:p w:rsidR="00000000" w:rsidDel="00000000" w:rsidP="00000000" w:rsidRDefault="00000000" w:rsidRPr="00000000" w14:paraId="0000010A">
      <w:pPr>
        <w:jc w:val="both"/>
        <w:rPr>
          <w:sz w:val="24"/>
          <w:szCs w:val="24"/>
        </w:rPr>
      </w:pPr>
      <w:r w:rsidDel="00000000" w:rsidR="00000000" w:rsidRPr="00000000">
        <w:rPr>
          <w:rtl w:val="0"/>
        </w:rPr>
      </w:r>
    </w:p>
    <w:p w:rsidR="00000000" w:rsidDel="00000000" w:rsidP="00000000" w:rsidRDefault="00000000" w:rsidRPr="00000000" w14:paraId="0000010B">
      <w:pPr>
        <w:jc w:val="both"/>
        <w:rPr>
          <w:sz w:val="24"/>
          <w:szCs w:val="24"/>
        </w:rPr>
      </w:pPr>
      <w:r w:rsidDel="00000000" w:rsidR="00000000" w:rsidRPr="00000000">
        <w:rPr>
          <w:sz w:val="24"/>
          <w:szCs w:val="24"/>
          <w:rtl w:val="0"/>
        </w:rPr>
        <w:t xml:space="preserve">49. On March 9, 2016, the Venezuelan opposition, represented at that time by the Mesa de la Unidad (MUD) introduced the request for the activation of the recall referendum against the President of the Republic. Serious violations of this process include the misrepresentation of the times established in the regulations, insufficient electoral infrastructure, creation of new procedures not contemplated in the regulations, biased distribution of collection centers and fingerprint recognition machines</w:t>
      </w:r>
      <w:r w:rsidDel="00000000" w:rsidR="00000000" w:rsidRPr="00000000">
        <w:rPr>
          <w:sz w:val="24"/>
          <w:szCs w:val="24"/>
          <w:vertAlign w:val="superscript"/>
        </w:rPr>
        <w:footnoteReference w:customMarkFollows="0" w:id="40"/>
      </w:r>
      <w:r w:rsidDel="00000000" w:rsidR="00000000" w:rsidRPr="00000000">
        <w:rPr>
          <w:sz w:val="24"/>
          <w:szCs w:val="24"/>
          <w:rtl w:val="0"/>
        </w:rPr>
        <w:t xml:space="preserve"> and the establishment of conditions that hinder the full exercise of the political participation of the citizens. These situations were a direct consequence of the institutional obstacles created by the National Electoral Council to prevent the activation of the citizen consultation to revoke the presidential mandate, even though the National Constitution establishes this process.</w:t>
      </w:r>
      <w:r w:rsidDel="00000000" w:rsidR="00000000" w:rsidRPr="00000000">
        <w:rPr>
          <w:sz w:val="24"/>
          <w:szCs w:val="24"/>
          <w:vertAlign w:val="superscript"/>
        </w:rPr>
        <w:footnoteReference w:customMarkFollows="0" w:id="41"/>
      </w:r>
      <w:r w:rsidDel="00000000" w:rsidR="00000000" w:rsidRPr="00000000">
        <w:rPr>
          <w:sz w:val="24"/>
          <w:szCs w:val="24"/>
          <w:vertAlign w:val="superscript"/>
          <w:rtl w:val="0"/>
        </w:rPr>
        <w:t xml:space="preserve"> </w:t>
      </w:r>
      <w:r w:rsidDel="00000000" w:rsidR="00000000" w:rsidRPr="00000000">
        <w:rPr>
          <w:rtl w:val="0"/>
        </w:rPr>
      </w:r>
    </w:p>
    <w:p w:rsidR="00000000" w:rsidDel="00000000" w:rsidP="00000000" w:rsidRDefault="00000000" w:rsidRPr="00000000" w14:paraId="0000010C">
      <w:pPr>
        <w:jc w:val="both"/>
        <w:rPr>
          <w:sz w:val="24"/>
          <w:szCs w:val="24"/>
        </w:rPr>
      </w:pPr>
      <w:r w:rsidDel="00000000" w:rsidR="00000000" w:rsidRPr="00000000">
        <w:rPr>
          <w:rtl w:val="0"/>
        </w:rPr>
      </w:r>
    </w:p>
    <w:p w:rsidR="00000000" w:rsidDel="00000000" w:rsidP="00000000" w:rsidRDefault="00000000" w:rsidRPr="00000000" w14:paraId="0000010D">
      <w:pPr>
        <w:jc w:val="both"/>
        <w:rPr>
          <w:sz w:val="24"/>
          <w:szCs w:val="24"/>
        </w:rPr>
      </w:pPr>
      <w:r w:rsidDel="00000000" w:rsidR="00000000" w:rsidRPr="00000000">
        <w:rPr>
          <w:sz w:val="24"/>
          <w:szCs w:val="24"/>
          <w:rtl w:val="0"/>
        </w:rPr>
        <w:t xml:space="preserve">50. One of the situations that increased tensions at the time was the political consequences of holding the referendum before January 10 or after January 10, being possible that before that date, in case the option to revoke the president won, the National Electoral Council was under the obligation to call for presidential elections within 30 days after the disclosure of the results according to the provisions of the Constitution. But in opposition to this, if the process took place later and the option to revoke the president still won, the vice-president would have the duty to assume the functions of the executive, as established in Article 233 of the Constitution of the Bolivarian Republic of Venezuela</w:t>
      </w:r>
      <w:r w:rsidDel="00000000" w:rsidR="00000000" w:rsidRPr="00000000">
        <w:rPr>
          <w:sz w:val="24"/>
          <w:szCs w:val="24"/>
          <w:vertAlign w:val="superscript"/>
        </w:rPr>
        <w:footnoteReference w:customMarkFollows="0" w:id="42"/>
      </w:r>
      <w:r w:rsidDel="00000000" w:rsidR="00000000" w:rsidRPr="00000000">
        <w:rPr>
          <w:sz w:val="24"/>
          <w:szCs w:val="24"/>
          <w:rtl w:val="0"/>
        </w:rPr>
        <w:t xml:space="preserve"> .</w:t>
      </w:r>
    </w:p>
    <w:p w:rsidR="00000000" w:rsidDel="00000000" w:rsidP="00000000" w:rsidRDefault="00000000" w:rsidRPr="00000000" w14:paraId="0000010E">
      <w:pPr>
        <w:jc w:val="both"/>
        <w:rPr>
          <w:sz w:val="24"/>
          <w:szCs w:val="24"/>
        </w:rPr>
      </w:pPr>
      <w:r w:rsidDel="00000000" w:rsidR="00000000" w:rsidRPr="00000000">
        <w:rPr>
          <w:rtl w:val="0"/>
        </w:rPr>
      </w:r>
    </w:p>
    <w:p w:rsidR="00000000" w:rsidDel="00000000" w:rsidP="00000000" w:rsidRDefault="00000000" w:rsidRPr="00000000" w14:paraId="0000010F">
      <w:pPr>
        <w:jc w:val="both"/>
        <w:rPr>
          <w:sz w:val="24"/>
          <w:szCs w:val="24"/>
        </w:rPr>
      </w:pPr>
      <w:r w:rsidDel="00000000" w:rsidR="00000000" w:rsidRPr="00000000">
        <w:rPr>
          <w:sz w:val="24"/>
          <w:szCs w:val="24"/>
          <w:rtl w:val="0"/>
        </w:rPr>
        <w:t xml:space="preserve">51. On October 20, during the signature collection stage corresponding to the activation of the recall referendum, the National Electoral Council suspended the process set for October 26 and 28, indefinitely</w:t>
      </w:r>
      <w:r w:rsidDel="00000000" w:rsidR="00000000" w:rsidRPr="00000000">
        <w:rPr>
          <w:sz w:val="24"/>
          <w:szCs w:val="24"/>
          <w:vertAlign w:val="superscript"/>
        </w:rPr>
        <w:footnoteReference w:customMarkFollows="0" w:id="43"/>
      </w:r>
      <w:r w:rsidDel="00000000" w:rsidR="00000000" w:rsidRPr="00000000">
        <w:rPr>
          <w:sz w:val="24"/>
          <w:szCs w:val="24"/>
          <w:rtl w:val="0"/>
        </w:rPr>
        <w:t xml:space="preserve"> justifying itself in decisions of regional courts of Apure, Aragua, Bolivar, Carabobo and Monagas, accusing of fraud an accumulation of signatures in their respective states without any verification, a fact that demonstrated the bias and interference in the entity and the null separation of public powers. </w:t>
      </w:r>
    </w:p>
    <w:p w:rsidR="00000000" w:rsidDel="00000000" w:rsidP="00000000" w:rsidRDefault="00000000" w:rsidRPr="00000000" w14:paraId="00000110">
      <w:pPr>
        <w:jc w:val="both"/>
        <w:rPr>
          <w:sz w:val="24"/>
          <w:szCs w:val="24"/>
        </w:rPr>
      </w:pPr>
      <w:r w:rsidDel="00000000" w:rsidR="00000000" w:rsidRPr="00000000">
        <w:rPr>
          <w:rtl w:val="0"/>
        </w:rPr>
      </w:r>
    </w:p>
    <w:p w:rsidR="00000000" w:rsidDel="00000000" w:rsidP="00000000" w:rsidRDefault="00000000" w:rsidRPr="00000000" w14:paraId="00000111">
      <w:pPr>
        <w:jc w:val="both"/>
        <w:rPr>
          <w:sz w:val="24"/>
          <w:szCs w:val="24"/>
        </w:rPr>
      </w:pPr>
      <w:r w:rsidDel="00000000" w:rsidR="00000000" w:rsidRPr="00000000">
        <w:rPr>
          <w:rtl w:val="0"/>
        </w:rPr>
      </w:r>
    </w:p>
    <w:p w:rsidR="00000000" w:rsidDel="00000000" w:rsidP="00000000" w:rsidRDefault="00000000" w:rsidRPr="00000000" w14:paraId="00000112">
      <w:pPr>
        <w:jc w:val="both"/>
        <w:rPr>
          <w:b w:val="1"/>
          <w:sz w:val="24"/>
          <w:szCs w:val="24"/>
        </w:rPr>
      </w:pPr>
      <w:r w:rsidDel="00000000" w:rsidR="00000000" w:rsidRPr="00000000">
        <w:rPr>
          <w:b w:val="1"/>
          <w:sz w:val="24"/>
          <w:szCs w:val="24"/>
          <w:rtl w:val="0"/>
        </w:rPr>
        <w:t xml:space="preserve">g) Contempt of the National Assembly and National Constituent Assembly (2016)</w:t>
      </w:r>
    </w:p>
    <w:p w:rsidR="00000000" w:rsidDel="00000000" w:rsidP="00000000" w:rsidRDefault="00000000" w:rsidRPr="00000000" w14:paraId="00000113">
      <w:pPr>
        <w:jc w:val="both"/>
        <w:rPr>
          <w:sz w:val="24"/>
          <w:szCs w:val="24"/>
        </w:rPr>
      </w:pPr>
      <w:r w:rsidDel="00000000" w:rsidR="00000000" w:rsidRPr="00000000">
        <w:rPr>
          <w:rtl w:val="0"/>
        </w:rPr>
      </w:r>
    </w:p>
    <w:p w:rsidR="00000000" w:rsidDel="00000000" w:rsidP="00000000" w:rsidRDefault="00000000" w:rsidRPr="00000000" w14:paraId="00000114">
      <w:pPr>
        <w:jc w:val="both"/>
        <w:rPr>
          <w:sz w:val="24"/>
          <w:szCs w:val="24"/>
          <w:highlight w:val="white"/>
        </w:rPr>
      </w:pPr>
      <w:r w:rsidDel="00000000" w:rsidR="00000000" w:rsidRPr="00000000">
        <w:rPr>
          <w:sz w:val="24"/>
          <w:szCs w:val="24"/>
          <w:rtl w:val="0"/>
        </w:rPr>
        <w:t xml:space="preserve">52. On March 21, 2016, the National Assembly </w:t>
      </w:r>
      <w:r w:rsidDel="00000000" w:rsidR="00000000" w:rsidRPr="00000000">
        <w:rPr>
          <w:sz w:val="24"/>
          <w:szCs w:val="24"/>
          <w:highlight w:val="white"/>
          <w:rtl w:val="0"/>
        </w:rPr>
        <w:t xml:space="preserve">of 2015 approves with 90 votes in favor the Draft Agreement on the reactivation of the process of application of the Inter-American Democratic Charter of the Organization of American States (OAS)</w:t>
      </w:r>
      <w:r w:rsidDel="00000000" w:rsidR="00000000" w:rsidRPr="00000000">
        <w:rPr>
          <w:sz w:val="24"/>
          <w:szCs w:val="24"/>
          <w:highlight w:val="white"/>
          <w:vertAlign w:val="superscript"/>
        </w:rPr>
        <w:footnoteReference w:customMarkFollows="0" w:id="44"/>
      </w:r>
      <w:r w:rsidDel="00000000" w:rsidR="00000000" w:rsidRPr="00000000">
        <w:rPr>
          <w:sz w:val="24"/>
          <w:szCs w:val="24"/>
          <w:highlight w:val="white"/>
          <w:rtl w:val="0"/>
        </w:rPr>
        <w:t xml:space="preserve"> , for the peaceful resolution of the conflicts that had been arising due to the undermining and usurpation of competences proper to the autonomy of the Legislative Branch and the restitution of the constitutional thread. </w:t>
      </w:r>
    </w:p>
    <w:p w:rsidR="00000000" w:rsidDel="00000000" w:rsidP="00000000" w:rsidRDefault="00000000" w:rsidRPr="00000000" w14:paraId="00000115">
      <w:pPr>
        <w:jc w:val="both"/>
        <w:rPr>
          <w:sz w:val="24"/>
          <w:szCs w:val="24"/>
        </w:rPr>
      </w:pPr>
      <w:r w:rsidDel="00000000" w:rsidR="00000000" w:rsidRPr="00000000">
        <w:rPr>
          <w:rtl w:val="0"/>
        </w:rPr>
      </w:r>
    </w:p>
    <w:p w:rsidR="00000000" w:rsidDel="00000000" w:rsidP="00000000" w:rsidRDefault="00000000" w:rsidRPr="00000000" w14:paraId="00000116">
      <w:pPr>
        <w:jc w:val="both"/>
        <w:rPr>
          <w:sz w:val="24"/>
          <w:szCs w:val="24"/>
        </w:rPr>
      </w:pPr>
      <w:r w:rsidDel="00000000" w:rsidR="00000000" w:rsidRPr="00000000">
        <w:rPr>
          <w:sz w:val="24"/>
          <w:szCs w:val="24"/>
          <w:rtl w:val="0"/>
        </w:rPr>
        <w:t xml:space="preserve">53. On March 27 and 29, 2016, after the issuance of rulings 155</w:t>
      </w:r>
      <w:r w:rsidDel="00000000" w:rsidR="00000000" w:rsidRPr="00000000">
        <w:rPr>
          <w:sz w:val="24"/>
          <w:szCs w:val="24"/>
          <w:vertAlign w:val="superscript"/>
        </w:rPr>
        <w:footnoteReference w:customMarkFollows="0" w:id="45"/>
      </w:r>
      <w:r w:rsidDel="00000000" w:rsidR="00000000" w:rsidRPr="00000000">
        <w:rPr>
          <w:sz w:val="24"/>
          <w:szCs w:val="24"/>
          <w:rtl w:val="0"/>
        </w:rPr>
        <w:t xml:space="preserve"> and 156</w:t>
      </w:r>
      <w:r w:rsidDel="00000000" w:rsidR="00000000" w:rsidRPr="00000000">
        <w:rPr>
          <w:sz w:val="24"/>
          <w:szCs w:val="24"/>
          <w:vertAlign w:val="superscript"/>
        </w:rPr>
        <w:footnoteReference w:customMarkFollows="0" w:id="46"/>
      </w:r>
      <w:r w:rsidDel="00000000" w:rsidR="00000000" w:rsidRPr="00000000">
        <w:rPr>
          <w:sz w:val="24"/>
          <w:szCs w:val="24"/>
          <w:rtl w:val="0"/>
        </w:rPr>
        <w:t xml:space="preserve"> of the Supreme Court of Justice, together with the appeals filed for alleged fraud in the parliamentary elections, declared null and void all actions issued by the legislative body to date, declaring its functions in contempt, a fact that became the trigger for more repression in the demonstrations of the democratic citizenry, who at the same time, affirmed the consolidation of a judicial dictatorship that placed all public powers as dependent on the Executive Branch. </w:t>
      </w:r>
    </w:p>
    <w:p w:rsidR="00000000" w:rsidDel="00000000" w:rsidP="00000000" w:rsidRDefault="00000000" w:rsidRPr="00000000" w14:paraId="00000117">
      <w:pPr>
        <w:jc w:val="both"/>
        <w:rPr>
          <w:sz w:val="24"/>
          <w:szCs w:val="24"/>
        </w:rPr>
      </w:pPr>
      <w:r w:rsidDel="00000000" w:rsidR="00000000" w:rsidRPr="00000000">
        <w:rPr>
          <w:rtl w:val="0"/>
        </w:rPr>
      </w:r>
    </w:p>
    <w:p w:rsidR="00000000" w:rsidDel="00000000" w:rsidP="00000000" w:rsidRDefault="00000000" w:rsidRPr="00000000" w14:paraId="00000118">
      <w:pPr>
        <w:jc w:val="both"/>
        <w:rPr>
          <w:sz w:val="24"/>
          <w:szCs w:val="24"/>
        </w:rPr>
      </w:pPr>
      <w:r w:rsidDel="00000000" w:rsidR="00000000" w:rsidRPr="00000000">
        <w:rPr>
          <w:sz w:val="24"/>
          <w:szCs w:val="24"/>
          <w:rtl w:val="0"/>
        </w:rPr>
        <w:t xml:space="preserve">54. On May 1, 2016, the executive branch called for a National Constituent Assembly, through Decree No. 2.830, misinterpreting the powers conferred to it by Article 348</w:t>
      </w:r>
      <w:r w:rsidDel="00000000" w:rsidR="00000000" w:rsidRPr="00000000">
        <w:rPr>
          <w:sz w:val="24"/>
          <w:szCs w:val="24"/>
          <w:vertAlign w:val="superscript"/>
        </w:rPr>
        <w:footnoteReference w:customMarkFollows="0" w:id="47"/>
      </w:r>
      <w:r w:rsidDel="00000000" w:rsidR="00000000" w:rsidRPr="00000000">
        <w:rPr>
          <w:sz w:val="24"/>
          <w:szCs w:val="24"/>
          <w:rtl w:val="0"/>
        </w:rPr>
        <w:t xml:space="preserve"> of the Constitution. Such action was labeled as unconstitutional by opposition actors, civil society organizations and citizens, making reference to the fact that it is the people the depositary of the original power who has the powers to convene a Constituent Assembly, according to the constitutional mandate set forth in art. 347 of the Constitution.</w:t>
      </w:r>
      <w:r w:rsidDel="00000000" w:rsidR="00000000" w:rsidRPr="00000000">
        <w:rPr>
          <w:sz w:val="24"/>
          <w:szCs w:val="24"/>
          <w:vertAlign w:val="superscript"/>
        </w:rPr>
        <w:footnoteReference w:customMarkFollows="0" w:id="48"/>
      </w:r>
      <w:r w:rsidDel="00000000" w:rsidR="00000000" w:rsidRPr="00000000">
        <w:rPr>
          <w:rtl w:val="0"/>
        </w:rPr>
      </w:r>
    </w:p>
    <w:p w:rsidR="00000000" w:rsidDel="00000000" w:rsidP="00000000" w:rsidRDefault="00000000" w:rsidRPr="00000000" w14:paraId="00000119">
      <w:pPr>
        <w:jc w:val="both"/>
        <w:rPr>
          <w:sz w:val="24"/>
          <w:szCs w:val="24"/>
        </w:rPr>
      </w:pPr>
      <w:r w:rsidDel="00000000" w:rsidR="00000000" w:rsidRPr="00000000">
        <w:rPr>
          <w:rtl w:val="0"/>
        </w:rPr>
      </w:r>
    </w:p>
    <w:p w:rsidR="00000000" w:rsidDel="00000000" w:rsidP="00000000" w:rsidRDefault="00000000" w:rsidRPr="00000000" w14:paraId="0000011A">
      <w:pPr>
        <w:jc w:val="both"/>
        <w:rPr>
          <w:sz w:val="24"/>
          <w:szCs w:val="24"/>
        </w:rPr>
      </w:pPr>
      <w:r w:rsidDel="00000000" w:rsidR="00000000" w:rsidRPr="00000000">
        <w:rPr>
          <w:sz w:val="24"/>
          <w:szCs w:val="24"/>
          <w:rtl w:val="0"/>
        </w:rPr>
        <w:t xml:space="preserve">55. After the electoral process to elect the members of the Constituent Assembly was called and carried out, citizens and civil society organizations, such as the Citizen Electoral Network (Red Electoral Ciudadana), rejected the results, arguing that the process did not comply with the basic requirements for its convocation and represented a systematic violation of electoral guarantees, transparency and democratic principles. Likewise, they reiterated their position on the loss of legitimacy of the electoral body.</w:t>
      </w:r>
      <w:r w:rsidDel="00000000" w:rsidR="00000000" w:rsidRPr="00000000">
        <w:rPr>
          <w:sz w:val="24"/>
          <w:szCs w:val="24"/>
          <w:vertAlign w:val="superscript"/>
        </w:rPr>
        <w:footnoteReference w:customMarkFollows="0" w:id="49"/>
      </w:r>
      <w:r w:rsidDel="00000000" w:rsidR="00000000" w:rsidRPr="00000000">
        <w:rPr>
          <w:rtl w:val="0"/>
        </w:rPr>
      </w:r>
    </w:p>
    <w:p w:rsidR="00000000" w:rsidDel="00000000" w:rsidP="00000000" w:rsidRDefault="00000000" w:rsidRPr="00000000" w14:paraId="0000011B">
      <w:pPr>
        <w:jc w:val="both"/>
        <w:rPr>
          <w:sz w:val="24"/>
          <w:szCs w:val="24"/>
        </w:rPr>
      </w:pPr>
      <w:r w:rsidDel="00000000" w:rsidR="00000000" w:rsidRPr="00000000">
        <w:rPr>
          <w:rtl w:val="0"/>
        </w:rPr>
      </w:r>
    </w:p>
    <w:p w:rsidR="00000000" w:rsidDel="00000000" w:rsidP="00000000" w:rsidRDefault="00000000" w:rsidRPr="00000000" w14:paraId="0000011C">
      <w:pPr>
        <w:jc w:val="both"/>
        <w:rPr>
          <w:sz w:val="24"/>
          <w:szCs w:val="24"/>
        </w:rPr>
      </w:pPr>
      <w:r w:rsidDel="00000000" w:rsidR="00000000" w:rsidRPr="00000000">
        <w:rPr>
          <w:sz w:val="24"/>
          <w:szCs w:val="24"/>
          <w:rtl w:val="0"/>
        </w:rPr>
        <w:t xml:space="preserve">56. On August 2, 2016, the company that provides the software and electoral machines, Smartmatic, expressed its ignorance of the electoral results presented by the National Electoral Council as official, warning that there was manipulation in the announced participation data. Said company ceased its operations in March 2018 after 14 years of work and subsequently denounced that the Venezuelan State had initiated a harassment of its members from the moment of its denunciation. </w:t>
      </w:r>
      <w:r w:rsidDel="00000000" w:rsidR="00000000" w:rsidRPr="00000000">
        <w:rPr>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11D">
      <w:pPr>
        <w:jc w:val="both"/>
        <w:rPr>
          <w:sz w:val="24"/>
          <w:szCs w:val="24"/>
        </w:rPr>
      </w:pPr>
      <w:r w:rsidDel="00000000" w:rsidR="00000000" w:rsidRPr="00000000">
        <w:rPr>
          <w:rtl w:val="0"/>
        </w:rPr>
      </w:r>
    </w:p>
    <w:p w:rsidR="00000000" w:rsidDel="00000000" w:rsidP="00000000" w:rsidRDefault="00000000" w:rsidRPr="00000000" w14:paraId="0000011E">
      <w:pPr>
        <w:jc w:val="both"/>
        <w:rPr>
          <w:sz w:val="24"/>
          <w:szCs w:val="24"/>
        </w:rPr>
      </w:pPr>
      <w:r w:rsidDel="00000000" w:rsidR="00000000" w:rsidRPr="00000000">
        <w:rPr>
          <w:sz w:val="24"/>
          <w:szCs w:val="24"/>
          <w:rtl w:val="0"/>
        </w:rPr>
        <w:t xml:space="preserve">57. On December 18, 2016, the Center for Justice and Peace updated its report on Political Persecution and patterns thereof, where it corroborated the boom in persecution and vexation by the Venezuelan State of political dissidence and those who dare to denounce nationally and internationally the violations of HR in the country, compared to the numbers observed in 2014 and 2015, also identifying four patterns of persecution; opening of proceedings before military courts, persecution of family members, annulment of passports and opening of judicial proceedings and removal of mayors.</w:t>
      </w:r>
      <w:r w:rsidDel="00000000" w:rsidR="00000000" w:rsidRPr="00000000">
        <w:rPr>
          <w:sz w:val="24"/>
          <w:szCs w:val="24"/>
          <w:vertAlign w:val="superscript"/>
        </w:rPr>
        <w:footnoteReference w:customMarkFollows="0" w:id="51"/>
      </w:r>
      <w:r w:rsidDel="00000000" w:rsidR="00000000" w:rsidRPr="00000000">
        <w:rPr>
          <w:rtl w:val="0"/>
        </w:rPr>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jc w:val="both"/>
        <w:rPr>
          <w:sz w:val="24"/>
          <w:szCs w:val="24"/>
          <w:highlight w:val="white"/>
        </w:rPr>
      </w:pPr>
      <w:r w:rsidDel="00000000" w:rsidR="00000000" w:rsidRPr="00000000">
        <w:rPr>
          <w:sz w:val="24"/>
          <w:szCs w:val="24"/>
          <w:rtl w:val="0"/>
        </w:rPr>
        <w:t xml:space="preserve">58. Disregarding the procedural principles established in art. 49 and </w:t>
      </w:r>
      <w:r w:rsidDel="00000000" w:rsidR="00000000" w:rsidRPr="00000000">
        <w:rPr>
          <w:sz w:val="24"/>
          <w:szCs w:val="24"/>
          <w:highlight w:val="white"/>
          <w:rtl w:val="0"/>
        </w:rPr>
        <w:t xml:space="preserve">257 of the CRBV and articles 7, 13, 175 179 and 180 of the Organic Code of Criminal Procedure</w:t>
      </w:r>
      <w:r w:rsidDel="00000000" w:rsidR="00000000" w:rsidRPr="00000000">
        <w:rPr>
          <w:sz w:val="24"/>
          <w:szCs w:val="24"/>
          <w:highlight w:val="white"/>
          <w:vertAlign w:val="superscript"/>
        </w:rPr>
        <w:footnoteReference w:customMarkFollows="0" w:id="52"/>
      </w:r>
      <w:r w:rsidDel="00000000" w:rsidR="00000000" w:rsidRPr="00000000">
        <w:rPr>
          <w:sz w:val="24"/>
          <w:szCs w:val="24"/>
          <w:rtl w:val="0"/>
        </w:rPr>
        <w:t xml:space="preserve"> and international treaties ratified by the Venezuelan State such as the International Covenant on Civil and Political Rights in its art. 14 of 1966 and the </w:t>
      </w:r>
      <w:r w:rsidDel="00000000" w:rsidR="00000000" w:rsidRPr="00000000">
        <w:rPr>
          <w:sz w:val="24"/>
          <w:szCs w:val="24"/>
          <w:highlight w:val="white"/>
          <w:rtl w:val="0"/>
        </w:rPr>
        <w:t xml:space="preserve">American Convention on Human Rights in its art. 8</w:t>
      </w:r>
      <w:r w:rsidDel="00000000" w:rsidR="00000000" w:rsidRPr="00000000">
        <w:rPr>
          <w:sz w:val="24"/>
          <w:szCs w:val="24"/>
          <w:highlight w:val="white"/>
          <w:vertAlign w:val="superscript"/>
        </w:rPr>
        <w:footnoteReference w:customMarkFollows="0" w:id="53"/>
      </w:r>
      <w:r w:rsidDel="00000000" w:rsidR="00000000" w:rsidRPr="00000000">
        <w:rPr>
          <w:sz w:val="24"/>
          <w:szCs w:val="24"/>
          <w:highlight w:val="white"/>
          <w:rtl w:val="0"/>
        </w:rPr>
        <w:t xml:space="preserve"> , among others, 726 civilians were tried by military courts in 2016, as documented by CEPAZ.</w:t>
      </w:r>
    </w:p>
    <w:p w:rsidR="00000000" w:rsidDel="00000000" w:rsidP="00000000" w:rsidRDefault="00000000" w:rsidRPr="00000000" w14:paraId="00000121">
      <w:pPr>
        <w:jc w:val="both"/>
        <w:rPr>
          <w:sz w:val="24"/>
          <w:szCs w:val="24"/>
        </w:rPr>
      </w:pPr>
      <w:r w:rsidDel="00000000" w:rsidR="00000000" w:rsidRPr="00000000">
        <w:rPr>
          <w:rtl w:val="0"/>
        </w:rPr>
      </w:r>
    </w:p>
    <w:p w:rsidR="00000000" w:rsidDel="00000000" w:rsidP="00000000" w:rsidRDefault="00000000" w:rsidRPr="00000000" w14:paraId="00000122">
      <w:pPr>
        <w:jc w:val="both"/>
        <w:rPr>
          <w:b w:val="1"/>
          <w:sz w:val="24"/>
          <w:szCs w:val="24"/>
          <w:highlight w:val="white"/>
        </w:rPr>
      </w:pPr>
      <w:r w:rsidDel="00000000" w:rsidR="00000000" w:rsidRPr="00000000">
        <w:rPr>
          <w:b w:val="1"/>
          <w:sz w:val="24"/>
          <w:szCs w:val="24"/>
          <w:highlight w:val="white"/>
          <w:rtl w:val="0"/>
        </w:rPr>
        <w:t xml:space="preserve">h) Regional electoral process (2017 and 2021).</w:t>
      </w:r>
    </w:p>
    <w:p w:rsidR="00000000" w:rsidDel="00000000" w:rsidP="00000000" w:rsidRDefault="00000000" w:rsidRPr="00000000" w14:paraId="00000123">
      <w:pPr>
        <w:jc w:val="both"/>
        <w:rPr>
          <w:sz w:val="24"/>
          <w:szCs w:val="24"/>
          <w:highlight w:val="white"/>
        </w:rPr>
      </w:pPr>
      <w:r w:rsidDel="00000000" w:rsidR="00000000" w:rsidRPr="00000000">
        <w:rPr>
          <w:rtl w:val="0"/>
        </w:rPr>
      </w:r>
    </w:p>
    <w:p w:rsidR="00000000" w:rsidDel="00000000" w:rsidP="00000000" w:rsidRDefault="00000000" w:rsidRPr="00000000" w14:paraId="00000124">
      <w:pPr>
        <w:jc w:val="both"/>
        <w:rPr>
          <w:sz w:val="24"/>
          <w:szCs w:val="24"/>
          <w:highlight w:val="white"/>
        </w:rPr>
      </w:pPr>
      <w:r w:rsidDel="00000000" w:rsidR="00000000" w:rsidRPr="00000000">
        <w:rPr>
          <w:sz w:val="24"/>
          <w:szCs w:val="24"/>
          <w:highlight w:val="white"/>
          <w:rtl w:val="0"/>
        </w:rPr>
        <w:t xml:space="preserve">59. In 2017, the Comptroller General of the Republic disqualified three outgoing opposition governors, preventing them from running for reelection. Likewise, the PSUV nominated 5 candidates who had been sanctioned for corruption, imposed </w:t>
      </w:r>
      <w:r w:rsidDel="00000000" w:rsidR="00000000" w:rsidRPr="00000000">
        <w:rPr>
          <w:sz w:val="24"/>
          <w:szCs w:val="24"/>
          <w:rtl w:val="0"/>
        </w:rPr>
        <w:t xml:space="preserve">by the Treasury Department of the United States of America and </w:t>
      </w:r>
      <w:r w:rsidDel="00000000" w:rsidR="00000000" w:rsidRPr="00000000">
        <w:rPr>
          <w:sz w:val="24"/>
          <w:szCs w:val="24"/>
          <w:highlight w:val="white"/>
          <w:rtl w:val="0"/>
        </w:rPr>
        <w:t xml:space="preserve">for Human Rights violations.</w:t>
      </w:r>
      <w:r w:rsidDel="00000000" w:rsidR="00000000" w:rsidRPr="00000000">
        <w:rPr>
          <w:sz w:val="24"/>
          <w:szCs w:val="24"/>
          <w:highlight w:val="white"/>
          <w:vertAlign w:val="superscript"/>
        </w:rPr>
        <w:footnoteReference w:customMarkFollows="0" w:id="54"/>
      </w:r>
      <w:r w:rsidDel="00000000" w:rsidR="00000000" w:rsidRPr="00000000">
        <w:rPr>
          <w:rtl w:val="0"/>
        </w:rPr>
      </w:r>
    </w:p>
    <w:p w:rsidR="00000000" w:rsidDel="00000000" w:rsidP="00000000" w:rsidRDefault="00000000" w:rsidRPr="00000000" w14:paraId="00000125">
      <w:pPr>
        <w:jc w:val="both"/>
        <w:rPr>
          <w:sz w:val="24"/>
          <w:szCs w:val="24"/>
          <w:highlight w:val="white"/>
        </w:rPr>
      </w:pPr>
      <w:r w:rsidDel="00000000" w:rsidR="00000000" w:rsidRPr="00000000">
        <w:rPr>
          <w:rtl w:val="0"/>
        </w:rPr>
      </w:r>
    </w:p>
    <w:p w:rsidR="00000000" w:rsidDel="00000000" w:rsidP="00000000" w:rsidRDefault="00000000" w:rsidRPr="00000000" w14:paraId="00000126">
      <w:pPr>
        <w:jc w:val="both"/>
        <w:rPr>
          <w:sz w:val="24"/>
          <w:szCs w:val="24"/>
          <w:highlight w:val="white"/>
        </w:rPr>
      </w:pPr>
      <w:r w:rsidDel="00000000" w:rsidR="00000000" w:rsidRPr="00000000">
        <w:rPr>
          <w:sz w:val="24"/>
          <w:szCs w:val="24"/>
          <w:highlight w:val="white"/>
          <w:rtl w:val="0"/>
        </w:rPr>
        <w:t xml:space="preserve">60. The electoral process was scheduled for October 15, the National Electoral Council established that the registration of nominations would be made on August 8 and 9, and that modifications of candidates would be allowed until August 16, which violates the electoral regulations which establish that changes can be made up to 10 days before the election. Subsequently, the opposition requested the electoral body to modify their candidacies in most of the states, an action that should have been enabled through the Internet by means of the Automated System of nominations but the electoral body kept it disabled, a fact that sought to increase abstention, according to the opposition actors.  </w:t>
      </w:r>
    </w:p>
    <w:p w:rsidR="00000000" w:rsidDel="00000000" w:rsidP="00000000" w:rsidRDefault="00000000" w:rsidRPr="00000000" w14:paraId="00000127">
      <w:pPr>
        <w:jc w:val="both"/>
        <w:rPr>
          <w:sz w:val="24"/>
          <w:szCs w:val="24"/>
          <w:highlight w:val="white"/>
        </w:rPr>
      </w:pPr>
      <w:r w:rsidDel="00000000" w:rsidR="00000000" w:rsidRPr="00000000">
        <w:rPr>
          <w:rtl w:val="0"/>
        </w:rPr>
      </w:r>
    </w:p>
    <w:p w:rsidR="00000000" w:rsidDel="00000000" w:rsidP="00000000" w:rsidRDefault="00000000" w:rsidRPr="00000000" w14:paraId="00000128">
      <w:pPr>
        <w:shd w:fill="ffffff" w:val="clear"/>
        <w:spacing w:after="360" w:lineRule="auto"/>
        <w:jc w:val="both"/>
        <w:rPr>
          <w:sz w:val="24"/>
          <w:szCs w:val="24"/>
        </w:rPr>
      </w:pPr>
      <w:r w:rsidDel="00000000" w:rsidR="00000000" w:rsidRPr="00000000">
        <w:rPr>
          <w:sz w:val="24"/>
          <w:szCs w:val="24"/>
          <w:rtl w:val="0"/>
        </w:rPr>
        <w:t xml:space="preserve">61</w:t>
      </w:r>
      <w:r w:rsidDel="00000000" w:rsidR="00000000" w:rsidRPr="00000000">
        <w:rPr>
          <w:sz w:val="24"/>
          <w:szCs w:val="24"/>
          <w:rtl w:val="0"/>
        </w:rPr>
        <w:t xml:space="preserve">. In view of the resources of interpretation of article 163 of the Organic Law of Electoral Processes due to the right of modification and substitution of candidates, the electoral chamber issued judgment number 165, justifying the displacement and omission of said article, preventing the change in the nominations, action that resulted in the votes cast in favor of the candidates being counted as null and void, demonstrating the bias and lack of autonomy of the entity. </w:t>
      </w:r>
    </w:p>
    <w:p w:rsidR="00000000" w:rsidDel="00000000" w:rsidP="00000000" w:rsidRDefault="00000000" w:rsidRPr="00000000" w14:paraId="00000129">
      <w:pPr>
        <w:shd w:fill="ffffff" w:val="clear"/>
        <w:spacing w:after="360" w:lineRule="auto"/>
        <w:jc w:val="both"/>
        <w:rPr>
          <w:sz w:val="24"/>
          <w:szCs w:val="24"/>
        </w:rPr>
      </w:pPr>
      <w:r w:rsidDel="00000000" w:rsidR="00000000" w:rsidRPr="00000000">
        <w:rPr>
          <w:sz w:val="24"/>
          <w:szCs w:val="24"/>
          <w:rtl w:val="0"/>
        </w:rPr>
        <w:t xml:space="preserve">62. The relocation of 205 voting centers in the states of Anzoátegui, Lara, Mérida, Miranda, Aragua, Monagas and Táchira, five days before the election, was denounced by the coordinator of the Electoral Team of the Democratic Unity, Liliana Hernández, as an action that would affect more than 450,000 voters.</w:t>
      </w:r>
      <w:r w:rsidDel="00000000" w:rsidR="00000000" w:rsidRPr="00000000">
        <w:rPr>
          <w:sz w:val="24"/>
          <w:szCs w:val="24"/>
          <w:vertAlign w:val="superscript"/>
        </w:rPr>
        <w:footnoteReference w:customMarkFollows="0" w:id="55"/>
      </w:r>
      <w:r w:rsidDel="00000000" w:rsidR="00000000" w:rsidRPr="00000000">
        <w:rPr>
          <w:rtl w:val="0"/>
        </w:rPr>
      </w:r>
    </w:p>
    <w:p w:rsidR="00000000" w:rsidDel="00000000" w:rsidP="00000000" w:rsidRDefault="00000000" w:rsidRPr="00000000" w14:paraId="0000012A">
      <w:pPr>
        <w:shd w:fill="ffffff" w:val="clear"/>
        <w:spacing w:after="360" w:lineRule="auto"/>
        <w:jc w:val="both"/>
        <w:rPr>
          <w:b w:val="1"/>
          <w:sz w:val="24"/>
          <w:szCs w:val="24"/>
        </w:rPr>
      </w:pPr>
      <w:r w:rsidDel="00000000" w:rsidR="00000000" w:rsidRPr="00000000">
        <w:rPr>
          <w:sz w:val="24"/>
          <w:szCs w:val="24"/>
          <w:rtl w:val="0"/>
        </w:rPr>
        <w:t xml:space="preserve">63. 48 hours before the election and in some cases, the same day, more than 700,000 citizens had their voting centers changed, due to damaged machines, unjustified delays, polling stations that did not open, likewise, at least 350,000 citizens were violated or intimidated in the voting centers, which prevented them from exercising their right to elect. On the other hand, approximately 90,537 invalid votes should have been awarded to opposition candidates because they could not be substituted due to the unconstitutional imposition of the National Electoral Council of omitting the substitution period.</w:t>
      </w:r>
      <w:r w:rsidDel="00000000" w:rsidR="00000000" w:rsidRPr="00000000">
        <w:rPr>
          <w:sz w:val="24"/>
          <w:szCs w:val="24"/>
          <w:vertAlign w:val="superscript"/>
        </w:rPr>
        <w:footnoteReference w:customMarkFollows="0" w:id="56"/>
      </w:r>
      <w:r w:rsidDel="00000000" w:rsidR="00000000" w:rsidRPr="00000000">
        <w:rPr>
          <w:rtl w:val="0"/>
        </w:rPr>
      </w:r>
    </w:p>
    <w:p w:rsidR="00000000" w:rsidDel="00000000" w:rsidP="00000000" w:rsidRDefault="00000000" w:rsidRPr="00000000" w14:paraId="0000012B">
      <w:pPr>
        <w:shd w:fill="ffffff" w:val="clear"/>
        <w:spacing w:after="360" w:lineRule="auto"/>
        <w:jc w:val="both"/>
        <w:rPr>
          <w:sz w:val="24"/>
          <w:szCs w:val="24"/>
        </w:rPr>
      </w:pPr>
      <w:r w:rsidDel="00000000" w:rsidR="00000000" w:rsidRPr="00000000">
        <w:rPr>
          <w:sz w:val="24"/>
          <w:szCs w:val="24"/>
          <w:rtl w:val="0"/>
        </w:rPr>
        <w:t xml:space="preserve">64. On May 5, 2021, after a negotiation process between the Venezuelan opposition and Chavismo, the National Assembly appointed by qualified majority Alexis Corredor Pérez, Tania D' Amelio, Enrique Márquez, Pedro Calzadilla and Roberto Picón, as rectors of the National Electoral Council (CNE) for the next seven years</w:t>
      </w:r>
      <w:r w:rsidDel="00000000" w:rsidR="00000000" w:rsidRPr="00000000">
        <w:rPr>
          <w:sz w:val="24"/>
          <w:szCs w:val="24"/>
          <w:vertAlign w:val="superscript"/>
        </w:rPr>
        <w:footnoteReference w:customMarkFollows="0" w:id="57"/>
      </w:r>
      <w:r w:rsidDel="00000000" w:rsidR="00000000" w:rsidRPr="00000000">
        <w:rPr>
          <w:sz w:val="24"/>
          <w:szCs w:val="24"/>
          <w:rtl w:val="0"/>
        </w:rPr>
        <w:t xml:space="preserve"> , a fact that was cataloged by opposition leaders and members of the civil society as a victory for the return to institutionality, by having a partial political balance in the new electoral authorities.</w:t>
      </w:r>
    </w:p>
    <w:p w:rsidR="00000000" w:rsidDel="00000000" w:rsidP="00000000" w:rsidRDefault="00000000" w:rsidRPr="00000000" w14:paraId="0000012C">
      <w:pPr>
        <w:shd w:fill="ffffff" w:val="clear"/>
        <w:spacing w:after="360" w:lineRule="auto"/>
        <w:jc w:val="both"/>
        <w:rPr>
          <w:sz w:val="24"/>
          <w:szCs w:val="24"/>
        </w:rPr>
      </w:pPr>
      <w:r w:rsidDel="00000000" w:rsidR="00000000" w:rsidRPr="00000000">
        <w:rPr>
          <w:sz w:val="24"/>
          <w:szCs w:val="24"/>
          <w:rtl w:val="0"/>
        </w:rPr>
        <w:t xml:space="preserve">65. In June 2021, in order to encourage the participation in the regional and municipal elections scheduled for November, President Nicolás Maduro publicly committed to eliminate the protectorates established by the National Constituent Assembly of 2017 by a presidential mandate, in order to establish greater control, supervision and harassment of local authorities and governments, municipal and regional opposition, however, the commitment of this action, was accompanied by the promotion of the Organic Law of Communal Cities, being an aggregation of communes in a given territorial area, denaturalizing decentralization and municipal and state autonomy, which directly violates Articles 2,5,157,158,159 and 184 of the National Constitution.</w:t>
      </w:r>
      <w:r w:rsidDel="00000000" w:rsidR="00000000" w:rsidRPr="00000000">
        <w:rPr>
          <w:sz w:val="24"/>
          <w:szCs w:val="24"/>
          <w:vertAlign w:val="superscript"/>
        </w:rPr>
        <w:footnoteReference w:customMarkFollows="0" w:id="58"/>
      </w:r>
      <w:r w:rsidDel="00000000" w:rsidR="00000000" w:rsidRPr="00000000">
        <w:rPr>
          <w:rtl w:val="0"/>
        </w:rPr>
      </w:r>
    </w:p>
    <w:p w:rsidR="00000000" w:rsidDel="00000000" w:rsidP="00000000" w:rsidRDefault="00000000" w:rsidRPr="00000000" w14:paraId="0000012D">
      <w:pPr>
        <w:shd w:fill="ffffff" w:val="clear"/>
        <w:spacing w:after="360" w:lineRule="auto"/>
        <w:jc w:val="both"/>
        <w:rPr>
          <w:sz w:val="24"/>
          <w:szCs w:val="24"/>
        </w:rPr>
      </w:pPr>
      <w:r w:rsidDel="00000000" w:rsidR="00000000" w:rsidRPr="00000000">
        <w:rPr>
          <w:sz w:val="24"/>
          <w:szCs w:val="24"/>
          <w:rtl w:val="0"/>
        </w:rPr>
        <w:t xml:space="preserve">66. Electoral advantageism was again present in the use of public assets and resources in favor of pro-government candidates, such as the State media where they gave more screen time to pro-government candidates, taking advantage of the censorship of impartial media, transgressing the provisions of the Constitution, the Organic Law of Electoral Processes and art. 13 and 70 of the Law Against Corruption</w:t>
      </w:r>
      <w:r w:rsidDel="00000000" w:rsidR="00000000" w:rsidRPr="00000000">
        <w:rPr>
          <w:sz w:val="24"/>
          <w:szCs w:val="24"/>
          <w:vertAlign w:val="superscript"/>
        </w:rPr>
        <w:footnoteReference w:customMarkFollows="0" w:id="59"/>
      </w:r>
      <w:r w:rsidDel="00000000" w:rsidR="00000000" w:rsidRPr="00000000">
        <w:rPr>
          <w:sz w:val="24"/>
          <w:szCs w:val="24"/>
          <w:rtl w:val="0"/>
        </w:rPr>
        <w:t xml:space="preserve"> and other national laws.</w:t>
      </w:r>
    </w:p>
    <w:p w:rsidR="00000000" w:rsidDel="00000000" w:rsidP="00000000" w:rsidRDefault="00000000" w:rsidRPr="00000000" w14:paraId="0000012E">
      <w:pPr>
        <w:shd w:fill="ffffff" w:val="clear"/>
        <w:spacing w:after="360" w:lineRule="auto"/>
        <w:jc w:val="both"/>
        <w:rPr>
          <w:sz w:val="24"/>
          <w:szCs w:val="24"/>
        </w:rPr>
      </w:pPr>
      <w:r w:rsidDel="00000000" w:rsidR="00000000" w:rsidRPr="00000000">
        <w:rPr>
          <w:sz w:val="24"/>
          <w:szCs w:val="24"/>
          <w:rtl w:val="0"/>
        </w:rPr>
        <w:t xml:space="preserve">67. Coercion in relation to the benefit of food boxes or bags of food for votes in favor of the ruling party was maintained in a large part of the country. </w:t>
      </w:r>
    </w:p>
    <w:p w:rsidR="00000000" w:rsidDel="00000000" w:rsidP="00000000" w:rsidRDefault="00000000" w:rsidRPr="00000000" w14:paraId="0000012F">
      <w:pPr>
        <w:shd w:fill="ffffff" w:val="clear"/>
        <w:spacing w:after="360" w:lineRule="auto"/>
        <w:jc w:val="both"/>
        <w:rPr>
          <w:b w:val="1"/>
          <w:sz w:val="24"/>
          <w:szCs w:val="24"/>
        </w:rPr>
      </w:pPr>
      <w:r w:rsidDel="00000000" w:rsidR="00000000" w:rsidRPr="00000000">
        <w:rPr>
          <w:b w:val="1"/>
          <w:sz w:val="24"/>
          <w:szCs w:val="24"/>
          <w:rtl w:val="0"/>
        </w:rPr>
        <w:t xml:space="preserve">(i) Presidential elections (2018).</w:t>
      </w:r>
    </w:p>
    <w:p w:rsidR="00000000" w:rsidDel="00000000" w:rsidP="00000000" w:rsidRDefault="00000000" w:rsidRPr="00000000" w14:paraId="00000130">
      <w:pPr>
        <w:shd w:fill="ffffff" w:val="clear"/>
        <w:spacing w:after="360" w:lineRule="auto"/>
        <w:jc w:val="both"/>
        <w:rPr>
          <w:sz w:val="24"/>
          <w:szCs w:val="24"/>
        </w:rPr>
      </w:pPr>
      <w:r w:rsidDel="00000000" w:rsidR="00000000" w:rsidRPr="00000000">
        <w:rPr>
          <w:sz w:val="24"/>
          <w:szCs w:val="24"/>
          <w:rtl w:val="0"/>
        </w:rPr>
        <w:t xml:space="preserve">68. On December 27, 2017, the National Constituent Assembly, by decree, ruled that the parties that had not participated in the elections prior to these, corresponding to the municipal and regional elections of 2017, would be unable to nominate candidates in the process, leaving out most of the opposition groups, such as Primero Justicia, Voluntad Popular, Partido Mesa de Unidad Democrática (MUD) and Partido Unión y Entendimiento (Puente), in addition to the continued mandate of political disqualification of opposition leaders. This action reiterated the subordination of the competencies of the National Electoral Council before the National Constituent Assembly, transgressing the independence of public powers and political plurality, as well as the right to association. </w:t>
      </w:r>
    </w:p>
    <w:p w:rsidR="00000000" w:rsidDel="00000000" w:rsidP="00000000" w:rsidRDefault="00000000" w:rsidRPr="00000000" w14:paraId="00000131">
      <w:pPr>
        <w:shd w:fill="ffffff" w:val="clear"/>
        <w:spacing w:after="360" w:lineRule="auto"/>
        <w:jc w:val="both"/>
        <w:rPr>
          <w:sz w:val="24"/>
          <w:szCs w:val="24"/>
        </w:rPr>
      </w:pPr>
      <w:r w:rsidDel="00000000" w:rsidR="00000000" w:rsidRPr="00000000">
        <w:rPr>
          <w:sz w:val="24"/>
          <w:szCs w:val="24"/>
          <w:rtl w:val="0"/>
        </w:rPr>
        <w:t xml:space="preserve">69. The restoration of voting centers irregularly closed in the 2017 process affecting more than 800 thousand voters, occurred without the due campaign and dissemination for its promotion, so many citizens did not know where they should vote. On the other hand, the implementation of technical audits was ineffectively implemented.  Likewise, the time lapses corresponding to the training of polling station members were reduced from 25 days to 15 days, as well as the time lapses for notification, from 133 days to only 28, and the time lapses of the electoral boards were also reduced, from 14 days to only two. </w:t>
      </w:r>
    </w:p>
    <w:p w:rsidR="00000000" w:rsidDel="00000000" w:rsidP="00000000" w:rsidRDefault="00000000" w:rsidRPr="00000000" w14:paraId="00000132">
      <w:pPr>
        <w:shd w:fill="ffffff" w:val="clear"/>
        <w:spacing w:after="360" w:lineRule="auto"/>
        <w:jc w:val="both"/>
        <w:rPr>
          <w:sz w:val="24"/>
          <w:szCs w:val="24"/>
        </w:rPr>
      </w:pPr>
      <w:r w:rsidDel="00000000" w:rsidR="00000000" w:rsidRPr="00000000">
        <w:rPr>
          <w:sz w:val="24"/>
          <w:szCs w:val="24"/>
          <w:rtl w:val="0"/>
        </w:rPr>
        <w:t xml:space="preserve">70. The realization of special days of registration and updating of the electoral registry were also reduced compared to the time provided in 2015, going from 154 days to only 20 days. Likewise, the number of points for the realization of such operations was reduced, from 1300 used nationwide in 2015, to 531 in 2018, without disseminating the location of the same, deepening the lack of transparency and affecting the right to elect. </w:t>
      </w:r>
    </w:p>
    <w:p w:rsidR="00000000" w:rsidDel="00000000" w:rsidP="00000000" w:rsidRDefault="00000000" w:rsidRPr="00000000" w14:paraId="00000133">
      <w:pPr>
        <w:shd w:fill="ffffff" w:val="clear"/>
        <w:spacing w:after="360" w:lineRule="auto"/>
        <w:jc w:val="both"/>
        <w:rPr>
          <w:b w:val="1"/>
          <w:sz w:val="24"/>
          <w:szCs w:val="24"/>
        </w:rPr>
      </w:pPr>
      <w:r w:rsidDel="00000000" w:rsidR="00000000" w:rsidRPr="00000000">
        <w:rPr>
          <w:b w:val="1"/>
          <w:sz w:val="24"/>
          <w:szCs w:val="24"/>
          <w:rtl w:val="0"/>
        </w:rPr>
        <w:t xml:space="preserve">Primary (2023)</w:t>
      </w:r>
    </w:p>
    <w:p w:rsidR="00000000" w:rsidDel="00000000" w:rsidP="00000000" w:rsidRDefault="00000000" w:rsidRPr="00000000" w14:paraId="00000134">
      <w:pPr>
        <w:shd w:fill="ffffff" w:val="clear"/>
        <w:spacing w:after="360" w:lineRule="auto"/>
        <w:jc w:val="both"/>
        <w:rPr>
          <w:sz w:val="24"/>
          <w:szCs w:val="24"/>
        </w:rPr>
      </w:pPr>
      <w:r w:rsidDel="00000000" w:rsidR="00000000" w:rsidRPr="00000000">
        <w:rPr>
          <w:sz w:val="24"/>
          <w:szCs w:val="24"/>
          <w:rtl w:val="0"/>
        </w:rPr>
        <w:t xml:space="preserve">71. On November 22, 2022, the National Commission of Primaries was installed, in charge of governing the primary elections of the Democratic Unity Platform with the purpose of choosing a unitary opposition candidate to run against Chavismo in the electoral process of the presidential elections of 2024. The opposition primaries have been framed by a climate of stigmatization, criminalization and obstruction to prevent them from being carried out correctly. The disqualification of the pre-candidate María Corina Machado for 15 years, the dissolution of the National Electoral Council, the opening of an investigation against the directive of the Commission and the constant threats against anyone who supports the primaries proliferated by Diosdado Cabello, parliamentarian and vice president of the United Socialist Party of Venezuela, are some of the actions that have been developed by the Venezuelan State to dissuade the primaries. </w:t>
      </w:r>
    </w:p>
    <w:p w:rsidR="00000000" w:rsidDel="00000000" w:rsidP="00000000" w:rsidRDefault="00000000" w:rsidRPr="00000000" w14:paraId="00000135">
      <w:pPr>
        <w:shd w:fill="ffffff" w:val="clear"/>
        <w:spacing w:after="360" w:lineRule="auto"/>
        <w:jc w:val="both"/>
        <w:rPr>
          <w:sz w:val="24"/>
          <w:szCs w:val="24"/>
        </w:rPr>
      </w:pPr>
      <w:r w:rsidDel="00000000" w:rsidR="00000000" w:rsidRPr="00000000">
        <w:rPr>
          <w:sz w:val="24"/>
          <w:szCs w:val="24"/>
          <w:rtl w:val="0"/>
        </w:rPr>
        <w:t xml:space="preserve">72. After the approval of operating regulations, the governing body of the opposition primaries began a logistical evaluation to request technical support from the National Electoral Council appointed in 2021 for the development of the primaries, such technical support consisted in using the machines and electoral infrastructure of the National Electoral Council. Technical meetings were initiated in May 2023 to evaluate this possibility.</w:t>
      </w:r>
    </w:p>
    <w:p w:rsidR="00000000" w:rsidDel="00000000" w:rsidP="00000000" w:rsidRDefault="00000000" w:rsidRPr="00000000" w14:paraId="00000136">
      <w:pPr>
        <w:shd w:fill="ffffff" w:val="clear"/>
        <w:spacing w:after="360" w:lineRule="auto"/>
        <w:jc w:val="both"/>
        <w:rPr>
          <w:sz w:val="24"/>
          <w:szCs w:val="24"/>
        </w:rPr>
      </w:pPr>
      <w:r w:rsidDel="00000000" w:rsidR="00000000" w:rsidRPr="00000000">
        <w:rPr>
          <w:sz w:val="24"/>
          <w:szCs w:val="24"/>
          <w:rtl w:val="0"/>
        </w:rPr>
        <w:t xml:space="preserve">73. In June 2023, the National Council of 2021, whose constitutional term was for 7 years, was dissolved and immediately the process for the selection of a new electoral body was called. This fact led the National Primary Commission to omit the technical support that could be provided by the National Electoral Council and to bet on a self-managed process despite the lack of resources and the complexity of consolidating the process, since waiting for a new designation meant a delay in the calendar and the impossibility to carry out the primaries. Currently, they confirm that 98.8% of the municipalities of the territory will be able to vote in October, likewise, the elections will be held in 31 countries, making possible the right to vote of migrants.</w:t>
      </w:r>
    </w:p>
    <w:p w:rsidR="00000000" w:rsidDel="00000000" w:rsidP="00000000" w:rsidRDefault="00000000" w:rsidRPr="00000000" w14:paraId="00000137">
      <w:pPr>
        <w:shd w:fill="ffffff" w:val="clear"/>
        <w:spacing w:after="360" w:lineRule="auto"/>
        <w:jc w:val="both"/>
        <w:rPr>
          <w:sz w:val="24"/>
          <w:szCs w:val="24"/>
        </w:rPr>
      </w:pPr>
      <w:r w:rsidDel="00000000" w:rsidR="00000000" w:rsidRPr="00000000">
        <w:rPr>
          <w:sz w:val="24"/>
          <w:szCs w:val="24"/>
          <w:rtl w:val="0"/>
        </w:rPr>
        <w:t xml:space="preserve">74.  After the dissolution of the National Electoral Council in 2021, on August 24, 2020, the National Assembly of 2020 appointed the new board of directors of the electoral body, where it chose 5 principal and 10 alternate rectors from among 104 candidates. The principal rectors are Elvis Amoroso, Rosalba Gil Pacheco, Aimé Nogal, Carlos Quintero and Juan Carlos Delpino. Among the names of the alternate rectors are: Conrado Pérez, Leonel Párica and Ana Julia Niño. Elvis Amoroso was the Comptroller General of the Republic, a space that promoted the political disqualifications by administrative means, likewise, the Comptroller General of the Republic is part of one of the public powers in charge of nominating candidates for electoral rectors. To date, a new Comptroller General of the Republic has not been appointed. </w:t>
      </w:r>
    </w:p>
    <w:p w:rsidR="00000000" w:rsidDel="00000000" w:rsidP="00000000" w:rsidRDefault="00000000" w:rsidRPr="00000000" w14:paraId="00000138">
      <w:pPr>
        <w:shd w:fill="ffffff" w:val="clear"/>
        <w:spacing w:after="360" w:lineRule="auto"/>
        <w:jc w:val="both"/>
        <w:rPr>
          <w:sz w:val="24"/>
          <w:szCs w:val="24"/>
        </w:rPr>
      </w:pPr>
      <w:r w:rsidDel="00000000" w:rsidR="00000000" w:rsidRPr="00000000">
        <w:rPr>
          <w:sz w:val="24"/>
          <w:szCs w:val="24"/>
          <w:rtl w:val="0"/>
        </w:rPr>
        <w:t xml:space="preserve">75. Among the eligibility requirements to be a rector of the National Electoral Council established by the Organic Law of the Electoral Power are: 1. To be Venezuelan, over 30 years of age and in full enjoyment of civil and political rights; 2. To have obtained a university degree and have at least 10 years of graduation; 3. Of the 5 main rectors selected for the National Electoral Council of 2023, it is worth noting that all of them have or had political party militancy, which seriously violates the balance of the electoral body. It is the responsibility of the Electoral Nominations Committee to guarantee that the list of candidates to be submitted to the National Assembly complies with all the requirements established by Law. </w:t>
      </w:r>
    </w:p>
    <w:p w:rsidR="00000000" w:rsidDel="00000000" w:rsidP="00000000" w:rsidRDefault="00000000" w:rsidRPr="00000000" w14:paraId="00000139">
      <w:pPr>
        <w:shd w:fill="ffffff" w:val="clear"/>
        <w:spacing w:after="360" w:lineRule="auto"/>
        <w:jc w:val="both"/>
        <w:rPr>
          <w:b w:val="1"/>
          <w:sz w:val="24"/>
          <w:szCs w:val="24"/>
        </w:rPr>
      </w:pPr>
      <w:r w:rsidDel="00000000" w:rsidR="00000000" w:rsidRPr="00000000">
        <w:rPr>
          <w:sz w:val="24"/>
          <w:szCs w:val="24"/>
          <w:rtl w:val="0"/>
        </w:rPr>
        <w:t xml:space="preserve">76. The selection process highlights that there were overlapping periods of time related to the publication of the list of those admitted and the possibility of making objections or discharges. This affects the principle of administrative transparency and the possibility of exercising citizen control over the appointment process of the new electoral body. </w:t>
      </w:r>
      <w:r w:rsidDel="00000000" w:rsidR="00000000" w:rsidRPr="00000000">
        <w:rPr>
          <w:rtl w:val="0"/>
        </w:rPr>
      </w:r>
    </w:p>
    <w:p w:rsidR="00000000" w:rsidDel="00000000" w:rsidP="00000000" w:rsidRDefault="00000000" w:rsidRPr="00000000" w14:paraId="0000013A">
      <w:pPr>
        <w:shd w:fill="ffffff" w:val="clear"/>
        <w:spacing w:after="360" w:lineRule="auto"/>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13B">
      <w:pPr>
        <w:numPr>
          <w:ilvl w:val="0"/>
          <w:numId w:val="2"/>
        </w:numPr>
        <w:ind w:left="720" w:hanging="360"/>
        <w:jc w:val="both"/>
        <w:rPr>
          <w:sz w:val="24"/>
          <w:szCs w:val="24"/>
        </w:rPr>
      </w:pPr>
      <w:r w:rsidDel="00000000" w:rsidR="00000000" w:rsidRPr="00000000">
        <w:rPr>
          <w:sz w:val="24"/>
          <w:szCs w:val="24"/>
          <w:rtl w:val="0"/>
        </w:rPr>
        <w:t xml:space="preserve">Strengthen the separation and independence of public powers through the due application of the Organic Law of the Supreme Court of Justice.</w:t>
      </w:r>
    </w:p>
    <w:p w:rsidR="00000000" w:rsidDel="00000000" w:rsidP="00000000" w:rsidRDefault="00000000" w:rsidRPr="00000000" w14:paraId="0000013C">
      <w:pPr>
        <w:numPr>
          <w:ilvl w:val="0"/>
          <w:numId w:val="2"/>
        </w:numPr>
        <w:ind w:left="720" w:hanging="360"/>
        <w:jc w:val="both"/>
        <w:rPr>
          <w:sz w:val="24"/>
          <w:szCs w:val="24"/>
        </w:rPr>
      </w:pPr>
      <w:r w:rsidDel="00000000" w:rsidR="00000000" w:rsidRPr="00000000">
        <w:rPr>
          <w:sz w:val="24"/>
          <w:szCs w:val="24"/>
          <w:rtl w:val="0"/>
        </w:rPr>
        <w:t xml:space="preserve">To Eliminate the prerogative of the Comptroller General's Office to disqualify citizens who wish to run as candidates in electoral processes through an administrative procedure. </w:t>
      </w:r>
    </w:p>
    <w:p w:rsidR="00000000" w:rsidDel="00000000" w:rsidP="00000000" w:rsidRDefault="00000000" w:rsidRPr="00000000" w14:paraId="0000013D">
      <w:pPr>
        <w:numPr>
          <w:ilvl w:val="0"/>
          <w:numId w:val="2"/>
        </w:numPr>
        <w:ind w:left="720" w:hanging="360"/>
        <w:jc w:val="both"/>
        <w:rPr>
          <w:sz w:val="24"/>
          <w:szCs w:val="24"/>
        </w:rPr>
      </w:pPr>
      <w:r w:rsidDel="00000000" w:rsidR="00000000" w:rsidRPr="00000000">
        <w:rPr>
          <w:sz w:val="24"/>
          <w:szCs w:val="24"/>
          <w:rtl w:val="0"/>
        </w:rPr>
        <w:t xml:space="preserve">To Comply with the mandate of the Inter-American Court of Human Rights on disqualifications only as convictions following a judicial proceeding with a final judgment. </w:t>
      </w:r>
    </w:p>
    <w:p w:rsidR="00000000" w:rsidDel="00000000" w:rsidP="00000000" w:rsidRDefault="00000000" w:rsidRPr="00000000" w14:paraId="0000013E">
      <w:pPr>
        <w:numPr>
          <w:ilvl w:val="0"/>
          <w:numId w:val="2"/>
        </w:numPr>
        <w:ind w:left="720" w:hanging="360"/>
        <w:jc w:val="both"/>
        <w:rPr>
          <w:sz w:val="24"/>
          <w:szCs w:val="24"/>
        </w:rPr>
      </w:pPr>
      <w:r w:rsidDel="00000000" w:rsidR="00000000" w:rsidRPr="00000000">
        <w:rPr>
          <w:sz w:val="24"/>
          <w:szCs w:val="24"/>
          <w:rtl w:val="0"/>
        </w:rPr>
        <w:t xml:space="preserve">Return to their original boards of directors the parties judged by the Supreme Court of Justice, allowing them to compete with their electoral card. </w:t>
      </w:r>
    </w:p>
    <w:p w:rsidR="00000000" w:rsidDel="00000000" w:rsidP="00000000" w:rsidRDefault="00000000" w:rsidRPr="00000000" w14:paraId="0000013F">
      <w:pPr>
        <w:numPr>
          <w:ilvl w:val="0"/>
          <w:numId w:val="2"/>
        </w:numPr>
        <w:ind w:left="720" w:hanging="360"/>
        <w:jc w:val="both"/>
        <w:rPr>
          <w:sz w:val="24"/>
          <w:szCs w:val="24"/>
        </w:rPr>
      </w:pPr>
      <w:r w:rsidDel="00000000" w:rsidR="00000000" w:rsidRPr="00000000">
        <w:rPr>
          <w:sz w:val="24"/>
          <w:szCs w:val="24"/>
          <w:rtl w:val="0"/>
        </w:rPr>
        <w:t xml:space="preserve">Approve a special day of registration and updating of data in the Electoral Registry, with sufficient time and territory to reduce the gap of unregistered young people. </w:t>
      </w:r>
    </w:p>
    <w:p w:rsidR="00000000" w:rsidDel="00000000" w:rsidP="00000000" w:rsidRDefault="00000000" w:rsidRPr="00000000" w14:paraId="00000140">
      <w:pPr>
        <w:numPr>
          <w:ilvl w:val="0"/>
          <w:numId w:val="2"/>
        </w:numPr>
        <w:ind w:left="720" w:hanging="360"/>
        <w:jc w:val="both"/>
        <w:rPr>
          <w:sz w:val="24"/>
          <w:szCs w:val="24"/>
        </w:rPr>
      </w:pPr>
      <w:r w:rsidDel="00000000" w:rsidR="00000000" w:rsidRPr="00000000">
        <w:rPr>
          <w:sz w:val="24"/>
          <w:szCs w:val="24"/>
          <w:rtl w:val="0"/>
        </w:rPr>
        <w:t xml:space="preserve">To comply with the continuous nature of the Electoral Registry abroad, opening and allowing Venezuelans outside the country to register or update their data to participate in the next electoral processes, with no other requirements than those established by the Organic Law of Electoral Processes. </w:t>
      </w:r>
    </w:p>
    <w:p w:rsidR="00000000" w:rsidDel="00000000" w:rsidP="00000000" w:rsidRDefault="00000000" w:rsidRPr="00000000" w14:paraId="00000141">
      <w:pPr>
        <w:numPr>
          <w:ilvl w:val="0"/>
          <w:numId w:val="2"/>
        </w:numPr>
        <w:ind w:left="720" w:hanging="360"/>
        <w:jc w:val="both"/>
        <w:rPr>
          <w:sz w:val="24"/>
          <w:szCs w:val="24"/>
        </w:rPr>
      </w:pPr>
      <w:r w:rsidDel="00000000" w:rsidR="00000000" w:rsidRPr="00000000">
        <w:rPr>
          <w:sz w:val="24"/>
          <w:szCs w:val="24"/>
          <w:rtl w:val="0"/>
        </w:rPr>
        <w:t xml:space="preserve">Develop a voter education campaign to inform voters of their political rights and the legal requirements established to exercise them.</w:t>
      </w:r>
    </w:p>
    <w:p w:rsidR="00000000" w:rsidDel="00000000" w:rsidP="00000000" w:rsidRDefault="00000000" w:rsidRPr="00000000" w14:paraId="00000142">
      <w:pPr>
        <w:numPr>
          <w:ilvl w:val="0"/>
          <w:numId w:val="2"/>
        </w:numPr>
        <w:ind w:left="720" w:hanging="360"/>
        <w:jc w:val="both"/>
        <w:rPr>
          <w:sz w:val="24"/>
          <w:szCs w:val="24"/>
        </w:rPr>
      </w:pPr>
      <w:r w:rsidDel="00000000" w:rsidR="00000000" w:rsidRPr="00000000">
        <w:rPr>
          <w:sz w:val="24"/>
          <w:szCs w:val="24"/>
          <w:rtl w:val="0"/>
        </w:rPr>
        <w:t xml:space="preserve">Strengthen the sanctioning powers of the electoral body through a system of control and sanctions, ranging from a reprimand to the imposition of progressive penalties, especially with regard to the use of State resources in campaigns.</w:t>
      </w:r>
    </w:p>
    <w:p w:rsidR="00000000" w:rsidDel="00000000" w:rsidP="00000000" w:rsidRDefault="00000000" w:rsidRPr="00000000" w14:paraId="00000143">
      <w:pPr>
        <w:ind w:left="720" w:firstLine="0"/>
        <w:jc w:val="both"/>
        <w:rPr>
          <w:b w:val="1"/>
          <w:sz w:val="24"/>
          <w:szCs w:val="24"/>
        </w:rPr>
      </w:pP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https://cepaz.org/</w:t>
        </w:r>
      </w:hyperlink>
      <w:r w:rsidDel="00000000" w:rsidR="00000000" w:rsidRPr="00000000">
        <w:rPr>
          <w:rtl w:val="0"/>
        </w:rPr>
      </w:r>
    </w:p>
  </w:footnote>
  <w:footnote w:id="1">
    <w:p w:rsidR="00000000" w:rsidDel="00000000" w:rsidP="00000000" w:rsidRDefault="00000000" w:rsidRPr="00000000" w14:paraId="000001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 https://www.observademocracia.org/</w:t>
        </w:r>
      </w:hyperlink>
      <w:r w:rsidDel="00000000" w:rsidR="00000000" w:rsidRPr="00000000">
        <w:rPr>
          <w:rtl w:val="0"/>
        </w:rPr>
      </w:r>
    </w:p>
  </w:footnote>
  <w:footnote w:id="2">
    <w:p w:rsidR="00000000" w:rsidDel="00000000" w:rsidP="00000000" w:rsidRDefault="00000000" w:rsidRPr="00000000" w14:paraId="000001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https://somosvotojoven.com/</w:t>
        </w:r>
      </w:hyperlink>
      <w:r w:rsidDel="00000000" w:rsidR="00000000" w:rsidRPr="00000000">
        <w:rPr>
          <w:rtl w:val="0"/>
        </w:rPr>
      </w:r>
    </w:p>
  </w:footnote>
  <w:footnote w:id="3">
    <w:p w:rsidR="00000000" w:rsidDel="00000000" w:rsidP="00000000" w:rsidRDefault="00000000" w:rsidRPr="00000000" w14:paraId="000001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highlight w:val="white"/>
          <w:rtl w:val="0"/>
        </w:rPr>
        <w:t xml:space="preserve"> CNE approved resolution on gender parity and alternation in nominations to the National Assembly. </w:t>
      </w:r>
      <w:r w:rsidDel="00000000" w:rsidR="00000000" w:rsidRPr="00000000">
        <w:rPr>
          <w:sz w:val="20"/>
          <w:szCs w:val="20"/>
          <w:rtl w:val="0"/>
        </w:rPr>
        <w:t xml:space="preserve">Available at: </w:t>
      </w:r>
      <w:hyperlink r:id="rId4">
        <w:r w:rsidDel="00000000" w:rsidR="00000000" w:rsidRPr="00000000">
          <w:rPr>
            <w:color w:val="1155cc"/>
            <w:sz w:val="20"/>
            <w:szCs w:val="20"/>
            <w:u w:val="single"/>
            <w:rtl w:val="0"/>
          </w:rPr>
          <w:t xml:space="preserve">https://acortar.link/Yp4L3W</w:t>
        </w:r>
      </w:hyperlink>
      <w:r w:rsidDel="00000000" w:rsidR="00000000" w:rsidRPr="00000000">
        <w:rPr>
          <w:rtl w:val="0"/>
        </w:rPr>
      </w:r>
    </w:p>
    <w:p w:rsidR="00000000" w:rsidDel="00000000" w:rsidP="00000000" w:rsidRDefault="00000000" w:rsidRPr="00000000" w14:paraId="00000149">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1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Special regulations. Available at: https://acortar.link/43BLDF</w:t>
      </w:r>
    </w:p>
  </w:footnote>
  <w:footnote w:id="5">
    <w:p w:rsidR="00000000" w:rsidDel="00000000" w:rsidP="00000000" w:rsidRDefault="00000000" w:rsidRPr="00000000" w14:paraId="000001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 Estado de Excepción en Venezuela, Observatorio Venezolano de Justicia. Available at: https://acortar.link/VPrxvS</w:t>
      </w:r>
    </w:p>
    <w:p w:rsidR="00000000" w:rsidDel="00000000" w:rsidP="00000000" w:rsidRDefault="00000000" w:rsidRPr="00000000" w14:paraId="0000014C">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1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Vidas detenidas, continuas las detenciones arbitrarias como herramienta de control y represión del gobierno, Amnesty International. Available at: https://acortar.link/tqUfHs</w:t>
      </w:r>
    </w:p>
  </w:footnote>
  <w:footnote w:id="7">
    <w:p w:rsidR="00000000" w:rsidDel="00000000" w:rsidP="00000000" w:rsidRDefault="00000000" w:rsidRPr="00000000" w14:paraId="000001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From the State as Communicator to the State of the Media. Fourteen years of communicational hegemony in Venezuela. Available at: </w:t>
      </w:r>
      <w:hyperlink r:id="rId5">
        <w:r w:rsidDel="00000000" w:rsidR="00000000" w:rsidRPr="00000000">
          <w:rPr>
            <w:color w:val="1155cc"/>
            <w:sz w:val="20"/>
            <w:szCs w:val="20"/>
            <w:u w:val="single"/>
            <w:rtl w:val="0"/>
          </w:rPr>
          <w:t xml:space="preserve">https://acortar.link/558CpL</w:t>
        </w:r>
      </w:hyperlink>
      <w:r w:rsidDel="00000000" w:rsidR="00000000" w:rsidRPr="00000000">
        <w:rPr>
          <w:rtl w:val="0"/>
        </w:rPr>
      </w:r>
    </w:p>
    <w:p w:rsidR="00000000" w:rsidDel="00000000" w:rsidP="00000000" w:rsidRDefault="00000000" w:rsidRPr="00000000" w14:paraId="0000014F">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1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Situation of the situation of freedom of expression, Espacio Público. Available at: </w:t>
      </w:r>
      <w:hyperlink r:id="rId6">
        <w:r w:rsidDel="00000000" w:rsidR="00000000" w:rsidRPr="00000000">
          <w:rPr>
            <w:color w:val="1155cc"/>
            <w:sz w:val="20"/>
            <w:szCs w:val="20"/>
            <w:u w:val="single"/>
            <w:rtl w:val="0"/>
          </w:rPr>
          <w:t xml:space="preserve">https://acortar.link/GzdelD</w:t>
        </w:r>
      </w:hyperlink>
      <w:r w:rsidDel="00000000" w:rsidR="00000000" w:rsidRPr="00000000">
        <w:rPr>
          <w:rtl w:val="0"/>
        </w:rPr>
      </w:r>
    </w:p>
    <w:p w:rsidR="00000000" w:rsidDel="00000000" w:rsidP="00000000" w:rsidRDefault="00000000" w:rsidRPr="00000000" w14:paraId="00000151">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1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2016: One violation of freedom of expression per day, Espacio Público. Available at: </w:t>
      </w:r>
      <w:hyperlink r:id="rId7">
        <w:r w:rsidDel="00000000" w:rsidR="00000000" w:rsidRPr="00000000">
          <w:rPr>
            <w:color w:val="1155cc"/>
            <w:sz w:val="20"/>
            <w:szCs w:val="20"/>
            <w:u w:val="single"/>
            <w:rtl w:val="0"/>
          </w:rPr>
          <w:t xml:space="preserve">https://acortar.link/3PPicJ</w:t>
        </w:r>
      </w:hyperlink>
      <w:r w:rsidDel="00000000" w:rsidR="00000000" w:rsidRPr="00000000">
        <w:rPr>
          <w:rtl w:val="0"/>
        </w:rPr>
      </w:r>
    </w:p>
    <w:p w:rsidR="00000000" w:rsidDel="00000000" w:rsidP="00000000" w:rsidRDefault="00000000" w:rsidRPr="00000000" w14:paraId="00000153">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1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highlight w:val="white"/>
          <w:rtl w:val="0"/>
        </w:rPr>
        <w:t xml:space="preserve"> Interview conducted by Espacio Público with Miguel González on 13/04/2016. Available at: </w:t>
      </w:r>
      <w:hyperlink r:id="rId8">
        <w:r w:rsidDel="00000000" w:rsidR="00000000" w:rsidRPr="00000000">
          <w:rPr>
            <w:sz w:val="20"/>
            <w:szCs w:val="20"/>
            <w:highlight w:val="white"/>
            <w:rtl w:val="0"/>
          </w:rPr>
          <w:t xml:space="preserve">http://goo.gl/B2Kobd</w:t>
        </w:r>
      </w:hyperlink>
      <w:r w:rsidDel="00000000" w:rsidR="00000000" w:rsidRPr="00000000">
        <w:rPr>
          <w:rtl w:val="0"/>
        </w:rPr>
      </w:r>
    </w:p>
  </w:footnote>
  <w:footnote w:id="11">
    <w:p w:rsidR="00000000" w:rsidDel="00000000" w:rsidP="00000000" w:rsidRDefault="00000000" w:rsidRPr="00000000" w14:paraId="000001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Anti-Hate Law. Available at: </w:t>
      </w:r>
      <w:hyperlink r:id="rId9">
        <w:r w:rsidDel="00000000" w:rsidR="00000000" w:rsidRPr="00000000">
          <w:rPr>
            <w:color w:val="1155cc"/>
            <w:sz w:val="20"/>
            <w:szCs w:val="20"/>
            <w:u w:val="single"/>
            <w:rtl w:val="0"/>
          </w:rPr>
          <w:t xml:space="preserve">https://acortar.link/CUea5K</w:t>
        </w:r>
      </w:hyperlink>
      <w:r w:rsidDel="00000000" w:rsidR="00000000" w:rsidRPr="00000000">
        <w:rPr>
          <w:rtl w:val="0"/>
        </w:rPr>
      </w:r>
    </w:p>
    <w:p w:rsidR="00000000" w:rsidDel="00000000" w:rsidP="00000000" w:rsidRDefault="00000000" w:rsidRPr="00000000" w14:paraId="00000156">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1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Freedom of expression in Venezuela. Available at: </w:t>
      </w:r>
      <w:hyperlink r:id="rId10">
        <w:r w:rsidDel="00000000" w:rsidR="00000000" w:rsidRPr="00000000">
          <w:rPr>
            <w:color w:val="1155cc"/>
            <w:sz w:val="20"/>
            <w:szCs w:val="20"/>
            <w:u w:val="single"/>
            <w:rtl w:val="0"/>
          </w:rPr>
          <w:t xml:space="preserve">https://acortar.link/gHSyPy</w:t>
        </w:r>
      </w:hyperlink>
      <w:r w:rsidDel="00000000" w:rsidR="00000000" w:rsidRPr="00000000">
        <w:rPr>
          <w:rtl w:val="0"/>
        </w:rPr>
      </w:r>
    </w:p>
    <w:p w:rsidR="00000000" w:rsidDel="00000000" w:rsidP="00000000" w:rsidRDefault="00000000" w:rsidRPr="00000000" w14:paraId="00000158">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1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Espacio Público registers 261 violations of freedom of expression. Available at: </w:t>
      </w:r>
      <w:hyperlink r:id="rId11">
        <w:r w:rsidDel="00000000" w:rsidR="00000000" w:rsidRPr="00000000">
          <w:rPr>
            <w:color w:val="1155cc"/>
            <w:sz w:val="20"/>
            <w:szCs w:val="20"/>
            <w:u w:val="single"/>
            <w:rtl w:val="0"/>
          </w:rPr>
          <w:t xml:space="preserve">https://acortar.link/nkJDW0</w:t>
        </w:r>
      </w:hyperlink>
      <w:r w:rsidDel="00000000" w:rsidR="00000000" w:rsidRPr="00000000">
        <w:rPr>
          <w:rtl w:val="0"/>
        </w:rPr>
      </w:r>
    </w:p>
    <w:p w:rsidR="00000000" w:rsidDel="00000000" w:rsidP="00000000" w:rsidRDefault="00000000" w:rsidRPr="00000000" w14:paraId="0000015A">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1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Art.19 of the International Covenant on Civil and Political Rights: "</w:t>
      </w:r>
      <w:r w:rsidDel="00000000" w:rsidR="00000000" w:rsidRPr="00000000">
        <w:rPr>
          <w:rFonts w:ascii="Roboto" w:cs="Roboto" w:eastAsia="Roboto" w:hAnsi="Roboto"/>
          <w:color w:val="4a4a4a"/>
          <w:sz w:val="20"/>
          <w:szCs w:val="20"/>
          <w:rtl w:val="0"/>
        </w:rPr>
        <w:t xml:space="preserve">Everyone has the right to freedom of expression; this right includes freedom to seek, receive and impart information and ideas of all kinds...°. Available at</w:t>
      </w:r>
      <w:r w:rsidDel="00000000" w:rsidR="00000000" w:rsidRPr="00000000">
        <w:rPr>
          <w:sz w:val="20"/>
          <w:szCs w:val="20"/>
          <w:rtl w:val="0"/>
        </w:rPr>
        <w:t xml:space="preserve">: https://acortar.link/0TvN1J </w:t>
      </w:r>
    </w:p>
    <w:p w:rsidR="00000000" w:rsidDel="00000000" w:rsidP="00000000" w:rsidRDefault="00000000" w:rsidRPr="00000000" w14:paraId="0000015C">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1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Weak electoral register, Global Observatory on Communication and Democracy. See at: https://acortar.link/UflS6c</w:t>
      </w:r>
    </w:p>
    <w:p w:rsidR="00000000" w:rsidDel="00000000" w:rsidP="00000000" w:rsidRDefault="00000000" w:rsidRPr="00000000" w14:paraId="0000015E">
      <w:pPr>
        <w:spacing w:line="240" w:lineRule="auto"/>
        <w:rPr>
          <w:sz w:val="20"/>
          <w:szCs w:val="20"/>
        </w:rPr>
      </w:pPr>
      <w:r w:rsidDel="00000000" w:rsidR="00000000" w:rsidRPr="00000000">
        <w:rPr>
          <w:rtl w:val="0"/>
        </w:rPr>
      </w:r>
    </w:p>
  </w:footnote>
  <w:footnote w:id="16">
    <w:p w:rsidR="00000000" w:rsidDel="00000000" w:rsidP="00000000" w:rsidRDefault="00000000" w:rsidRPr="00000000" w14:paraId="000001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CNE in debt with Venezuelans abroad, Observatorio Electoral Venezolano. Available at: </w:t>
      </w:r>
      <w:hyperlink r:id="rId12">
        <w:r w:rsidDel="00000000" w:rsidR="00000000" w:rsidRPr="00000000">
          <w:rPr>
            <w:color w:val="1155cc"/>
            <w:sz w:val="20"/>
            <w:szCs w:val="20"/>
            <w:u w:val="single"/>
            <w:rtl w:val="0"/>
          </w:rPr>
          <w:t xml:space="preserve">https://acortar.link/yt4Ggx</w:t>
        </w:r>
      </w:hyperlink>
      <w:r w:rsidDel="00000000" w:rsidR="00000000" w:rsidRPr="00000000">
        <w:rPr>
          <w:rtl w:val="0"/>
        </w:rPr>
      </w:r>
    </w:p>
    <w:p w:rsidR="00000000" w:rsidDel="00000000" w:rsidP="00000000" w:rsidRDefault="00000000" w:rsidRPr="00000000" w14:paraId="00000160">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1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Regional Electoral Offices. </w:t>
      </w:r>
    </w:p>
    <w:p w:rsidR="00000000" w:rsidDel="00000000" w:rsidP="00000000" w:rsidRDefault="00000000" w:rsidRPr="00000000" w14:paraId="00000162">
      <w:pPr>
        <w:spacing w:line="240" w:lineRule="auto"/>
        <w:rPr>
          <w:sz w:val="20"/>
          <w:szCs w:val="20"/>
        </w:rPr>
      </w:pPr>
      <w:r w:rsidDel="00000000" w:rsidR="00000000" w:rsidRPr="00000000">
        <w:rPr>
          <w:rtl w:val="0"/>
        </w:rPr>
      </w:r>
    </w:p>
  </w:footnote>
  <w:footnote w:id="18">
    <w:p w:rsidR="00000000" w:rsidDel="00000000" w:rsidP="00000000" w:rsidRDefault="00000000" w:rsidRPr="00000000" w14:paraId="00000163">
      <w:pPr>
        <w:pBdr>
          <w:top w:color="000000" w:space="0" w:sz="0" w:val="none"/>
          <w:left w:color="000000" w:space="0" w:sz="0" w:val="none"/>
          <w:bottom w:color="000000" w:space="0" w:sz="0" w:val="none"/>
          <w:right w:color="000000" w:space="0" w:sz="0" w:val="none"/>
          <w:between w:color="000000" w:space="0" w:sz="0" w:val="none"/>
        </w:pBdr>
        <w:shd w:fill="ffffff" w:val="clear"/>
        <w:spacing w:after="240" w:line="324.00000000000006" w:lineRule="auto"/>
        <w:rPr>
          <w:sz w:val="20"/>
          <w:szCs w:val="20"/>
        </w:rPr>
      </w:pPr>
      <w:bookmarkStart w:colFirst="0" w:colLast="0" w:name="_heading=h.cp0juta97r7q" w:id="0"/>
      <w:bookmarkEnd w:id="0"/>
      <w:r w:rsidDel="00000000" w:rsidR="00000000" w:rsidRPr="00000000">
        <w:rPr>
          <w:rStyle w:val="FootnoteReference"/>
          <w:vertAlign w:val="superscript"/>
        </w:rPr>
        <w:footnoteRef/>
      </w:r>
      <w:r w:rsidDel="00000000" w:rsidR="00000000" w:rsidRPr="00000000">
        <w:rPr>
          <w:color w:val="222f3a"/>
          <w:sz w:val="20"/>
          <w:szCs w:val="20"/>
          <w:rtl w:val="0"/>
        </w:rPr>
        <w:t xml:space="preserve">The "complex" mission of registering millions of voters in only 24 CNE offices in Venezuela. </w:t>
      </w:r>
      <w:r w:rsidDel="00000000" w:rsidR="00000000" w:rsidRPr="00000000">
        <w:rPr>
          <w:sz w:val="20"/>
          <w:szCs w:val="20"/>
          <w:rtl w:val="0"/>
        </w:rPr>
        <w:t xml:space="preserve">Available at: </w:t>
      </w:r>
      <w:r w:rsidDel="00000000" w:rsidR="00000000" w:rsidRPr="00000000">
        <w:rPr>
          <w:sz w:val="20"/>
          <w:szCs w:val="20"/>
          <w:highlight w:val="white"/>
          <w:rtl w:val="0"/>
        </w:rPr>
        <w:t xml:space="preserve">https://acortar.link/aktrwr</w:t>
      </w:r>
      <w:r w:rsidDel="00000000" w:rsidR="00000000" w:rsidRPr="00000000">
        <w:rPr>
          <w:rtl w:val="0"/>
        </w:rPr>
      </w:r>
    </w:p>
  </w:footnote>
  <w:footnote w:id="19">
    <w:p w:rsidR="00000000" w:rsidDel="00000000" w:rsidP="00000000" w:rsidRDefault="00000000" w:rsidRPr="00000000" w14:paraId="00000164">
      <w:pPr>
        <w:spacing w:line="240" w:lineRule="auto"/>
        <w:rPr>
          <w:color w:val="33333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According to Article 30 of the Organic Law of the Electoral Power: "</w:t>
      </w:r>
      <w:r w:rsidDel="00000000" w:rsidR="00000000" w:rsidRPr="00000000">
        <w:rPr>
          <w:color w:val="333333"/>
          <w:sz w:val="20"/>
          <w:szCs w:val="20"/>
          <w:rtl w:val="0"/>
        </w:rPr>
        <w:t xml:space="preserve">The National Assembly, once the lists of candidates have been received by the secretariat, shall appoint the electoral rectors within a period of ten (10) continuous days, in the following manner...". Available at: https://acortar.link/VYvWWM</w:t>
      </w:r>
    </w:p>
    <w:p w:rsidR="00000000" w:rsidDel="00000000" w:rsidP="00000000" w:rsidRDefault="00000000" w:rsidRPr="00000000" w14:paraId="00000165">
      <w:pPr>
        <w:spacing w:line="240" w:lineRule="auto"/>
        <w:rPr>
          <w:color w:val="333333"/>
          <w:sz w:val="20"/>
          <w:szCs w:val="20"/>
        </w:rPr>
      </w:pPr>
      <w:r w:rsidDel="00000000" w:rsidR="00000000" w:rsidRPr="00000000">
        <w:rPr>
          <w:rtl w:val="0"/>
        </w:rPr>
      </w:r>
    </w:p>
  </w:footnote>
  <w:footnote w:id="20">
    <w:p w:rsidR="00000000" w:rsidDel="00000000" w:rsidP="00000000" w:rsidRDefault="00000000" w:rsidRPr="00000000" w14:paraId="000001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Final Observation Report of the parliamentary elections of December 6, 2015, Observatorio Electoral Venezolano. Available at: </w:t>
      </w:r>
      <w:hyperlink r:id="rId13">
        <w:r w:rsidDel="00000000" w:rsidR="00000000" w:rsidRPr="00000000">
          <w:rPr>
            <w:color w:val="1155cc"/>
            <w:sz w:val="20"/>
            <w:szCs w:val="20"/>
            <w:u w:val="single"/>
            <w:rtl w:val="0"/>
          </w:rPr>
          <w:t xml:space="preserve">https://acortar.link/eLCCEP</w:t>
        </w:r>
      </w:hyperlink>
      <w:r w:rsidDel="00000000" w:rsidR="00000000" w:rsidRPr="00000000">
        <w:rPr>
          <w:rtl w:val="0"/>
        </w:rPr>
      </w:r>
    </w:p>
    <w:p w:rsidR="00000000" w:rsidDel="00000000" w:rsidP="00000000" w:rsidRDefault="00000000" w:rsidRPr="00000000" w14:paraId="00000167">
      <w:pPr>
        <w:spacing w:line="240" w:lineRule="auto"/>
        <w:rPr>
          <w:sz w:val="20"/>
          <w:szCs w:val="20"/>
        </w:rPr>
      </w:pPr>
      <w:r w:rsidDel="00000000" w:rsidR="00000000" w:rsidRPr="00000000">
        <w:rPr>
          <w:rtl w:val="0"/>
        </w:rPr>
      </w:r>
    </w:p>
  </w:footnote>
  <w:footnote w:id="21">
    <w:p w:rsidR="00000000" w:rsidDel="00000000" w:rsidP="00000000" w:rsidRDefault="00000000" w:rsidRPr="00000000" w14:paraId="0000016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Monitoreo sobre irregularidades del CNE tras no convocar a elecciones para los miembros del parlatino, Observatorio Venezolano de Justicia. Available at: https://acortar.link/0ddKFG</w:t>
      </w:r>
    </w:p>
    <w:p w:rsidR="00000000" w:rsidDel="00000000" w:rsidP="00000000" w:rsidRDefault="00000000" w:rsidRPr="00000000" w14:paraId="00000169">
      <w:pPr>
        <w:spacing w:line="240" w:lineRule="auto"/>
        <w:rPr>
          <w:sz w:val="20"/>
          <w:szCs w:val="20"/>
        </w:rPr>
      </w:pPr>
      <w:r w:rsidDel="00000000" w:rsidR="00000000" w:rsidRPr="00000000">
        <w:rPr>
          <w:rtl w:val="0"/>
        </w:rPr>
      </w:r>
    </w:p>
  </w:footnote>
  <w:footnote w:id="22">
    <w:p w:rsidR="00000000" w:rsidDel="00000000" w:rsidP="00000000" w:rsidRDefault="00000000" w:rsidRPr="00000000" w14:paraId="0000016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264 of the CRBV "The organs of the Electoral Power are governed by the principles of organic independence, functional and budgetary autonomy, non-partisanship of the electoral bodies, impartiality...". </w:t>
      </w:r>
    </w:p>
    <w:p w:rsidR="00000000" w:rsidDel="00000000" w:rsidP="00000000" w:rsidRDefault="00000000" w:rsidRPr="00000000" w14:paraId="0000016B">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1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New Electoral System for the Parliamentary Elections, Transparencia Venezuela. See at: </w:t>
      </w:r>
      <w:hyperlink r:id="rId14">
        <w:r w:rsidDel="00000000" w:rsidR="00000000" w:rsidRPr="00000000">
          <w:rPr>
            <w:color w:val="1155cc"/>
            <w:sz w:val="20"/>
            <w:szCs w:val="20"/>
            <w:u w:val="single"/>
            <w:rtl w:val="0"/>
          </w:rPr>
          <w:t xml:space="preserve">https://acortar.link/LedOiM</w:t>
        </w:r>
      </w:hyperlink>
      <w:r w:rsidDel="00000000" w:rsidR="00000000" w:rsidRPr="00000000">
        <w:rPr>
          <w:rtl w:val="0"/>
        </w:rPr>
      </w:r>
    </w:p>
    <w:p w:rsidR="00000000" w:rsidDel="00000000" w:rsidP="00000000" w:rsidRDefault="00000000" w:rsidRPr="00000000" w14:paraId="0000016D">
      <w:pPr>
        <w:spacing w:line="240" w:lineRule="auto"/>
        <w:rPr>
          <w:sz w:val="20"/>
          <w:szCs w:val="20"/>
        </w:rPr>
      </w:pPr>
      <w:r w:rsidDel="00000000" w:rsidR="00000000" w:rsidRPr="00000000">
        <w:rPr>
          <w:rtl w:val="0"/>
        </w:rPr>
      </w:r>
    </w:p>
  </w:footnote>
  <w:footnote w:id="24">
    <w:p w:rsidR="00000000" w:rsidDel="00000000" w:rsidP="00000000" w:rsidRDefault="00000000" w:rsidRPr="00000000" w14:paraId="0000016E">
      <w:pPr>
        <w:spacing w:line="240" w:lineRule="auto"/>
        <w:jc w:val="both"/>
        <w:rPr>
          <w:rFonts w:ascii="Roboto" w:cs="Roboto" w:eastAsia="Roboto" w:hAnsi="Roboto"/>
          <w:color w:val="33333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On February 11, 2021, </w:t>
      </w:r>
      <w:r w:rsidDel="00000000" w:rsidR="00000000" w:rsidRPr="00000000">
        <w:rPr>
          <w:rFonts w:ascii="Roboto" w:cs="Roboto" w:eastAsia="Roboto" w:hAnsi="Roboto"/>
          <w:color w:val="333333"/>
          <w:sz w:val="20"/>
          <w:szCs w:val="20"/>
          <w:highlight w:val="white"/>
          <w:rtl w:val="0"/>
        </w:rPr>
        <w:t xml:space="preserve">the Political Administrative Chamber, in its 12th judgment, declared the "tacit dismissal" of the nullity lawsuit filed by Pérez Vivas.  Available at: </w:t>
      </w:r>
      <w:hyperlink r:id="rId15">
        <w:r w:rsidDel="00000000" w:rsidR="00000000" w:rsidRPr="00000000">
          <w:rPr>
            <w:rFonts w:ascii="Roboto" w:cs="Roboto" w:eastAsia="Roboto" w:hAnsi="Roboto"/>
            <w:color w:val="1155cc"/>
            <w:sz w:val="20"/>
            <w:szCs w:val="20"/>
            <w:highlight w:val="white"/>
            <w:u w:val="single"/>
            <w:rtl w:val="0"/>
          </w:rPr>
          <w:t xml:space="preserve">https://acortar.link/FasrCi.</w:t>
        </w:r>
      </w:hyperlink>
      <w:r w:rsidDel="00000000" w:rsidR="00000000" w:rsidRPr="00000000">
        <w:rPr>
          <w:rtl w:val="0"/>
        </w:rPr>
      </w:r>
    </w:p>
    <w:p w:rsidR="00000000" w:rsidDel="00000000" w:rsidP="00000000" w:rsidRDefault="00000000" w:rsidRPr="00000000" w14:paraId="0000016F">
      <w:pPr>
        <w:spacing w:line="240" w:lineRule="auto"/>
        <w:rPr>
          <w:rFonts w:ascii="Roboto" w:cs="Roboto" w:eastAsia="Roboto" w:hAnsi="Roboto"/>
          <w:color w:val="333333"/>
          <w:sz w:val="20"/>
          <w:szCs w:val="20"/>
          <w:highlight w:val="white"/>
        </w:rPr>
      </w:pPr>
      <w:r w:rsidDel="00000000" w:rsidR="00000000" w:rsidRPr="00000000">
        <w:rPr>
          <w:rtl w:val="0"/>
        </w:rPr>
      </w:r>
    </w:p>
  </w:footnote>
  <w:footnote w:id="25">
    <w:p w:rsidR="00000000" w:rsidDel="00000000" w:rsidP="00000000" w:rsidRDefault="00000000" w:rsidRPr="00000000" w14:paraId="0000017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105 of the Organic Law of the Office of the Comptroller General of the Republic: "...The Comptroller General of the Republic shall be exclusively and exclusively responsible, without any other procedure, to decide, in view of the seriousness of the offence committed, the suspension from office without pay for a period not exceeding twenty-four months or the dismissal of the person found responsible...". Available at: https://acortar.link/mdAjGt</w:t>
      </w:r>
    </w:p>
    <w:p w:rsidR="00000000" w:rsidDel="00000000" w:rsidP="00000000" w:rsidRDefault="00000000" w:rsidRPr="00000000" w14:paraId="00000171">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1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Maria Corina Machado is disqualified from holding public office. Available at : </w:t>
      </w:r>
      <w:hyperlink r:id="rId16">
        <w:r w:rsidDel="00000000" w:rsidR="00000000" w:rsidRPr="00000000">
          <w:rPr>
            <w:color w:val="1155cc"/>
            <w:sz w:val="20"/>
            <w:szCs w:val="20"/>
            <w:u w:val="single"/>
            <w:rtl w:val="0"/>
          </w:rPr>
          <w:t xml:space="preserve">https://acortar.link/HcT2O6</w:t>
        </w:r>
      </w:hyperlink>
      <w:r w:rsidDel="00000000" w:rsidR="00000000" w:rsidRPr="00000000">
        <w:rPr>
          <w:rtl w:val="0"/>
        </w:rPr>
      </w:r>
    </w:p>
    <w:p w:rsidR="00000000" w:rsidDel="00000000" w:rsidP="00000000" w:rsidRDefault="00000000" w:rsidRPr="00000000" w14:paraId="00000173">
      <w:pPr>
        <w:spacing w:line="240" w:lineRule="auto"/>
        <w:rPr>
          <w:sz w:val="20"/>
          <w:szCs w:val="20"/>
        </w:rPr>
      </w:pPr>
      <w:r w:rsidDel="00000000" w:rsidR="00000000" w:rsidRPr="00000000">
        <w:rPr>
          <w:rtl w:val="0"/>
        </w:rPr>
      </w:r>
    </w:p>
  </w:footnote>
  <w:footnote w:id="27">
    <w:p w:rsidR="00000000" w:rsidDel="00000000" w:rsidP="00000000" w:rsidRDefault="00000000" w:rsidRPr="00000000" w14:paraId="00000174">
      <w:pPr>
        <w:spacing w:line="240" w:lineRule="auto"/>
        <w:rPr>
          <w:sz w:val="20"/>
          <w:szCs w:val="20"/>
        </w:rPr>
      </w:pPr>
      <w:r w:rsidDel="00000000" w:rsidR="00000000" w:rsidRPr="00000000">
        <w:rPr>
          <w:rStyle w:val="FootnoteReference"/>
          <w:vertAlign w:val="superscript"/>
        </w:rPr>
        <w:footnoteRef/>
      </w:r>
      <w:r w:rsidDel="00000000" w:rsidR="00000000" w:rsidRPr="00000000">
        <w:rPr>
          <w:color w:val="222f3a"/>
          <w:sz w:val="20"/>
          <w:szCs w:val="20"/>
          <w:rtl w:val="0"/>
        </w:rPr>
        <w:t xml:space="preserve"> Capriles bids farewell to the governorship he administered for almost a decade. Available at: </w:t>
      </w:r>
      <w:hyperlink r:id="rId17">
        <w:r w:rsidDel="00000000" w:rsidR="00000000" w:rsidRPr="00000000">
          <w:rPr>
            <w:color w:val="1155cc"/>
            <w:sz w:val="20"/>
            <w:szCs w:val="20"/>
            <w:u w:val="single"/>
            <w:rtl w:val="0"/>
          </w:rPr>
          <w:t xml:space="preserve">https:</w:t>
        </w:r>
      </w:hyperlink>
      <w:r w:rsidDel="00000000" w:rsidR="00000000" w:rsidRPr="00000000">
        <w:rPr>
          <w:color w:val="222f3a"/>
          <w:sz w:val="20"/>
          <w:szCs w:val="20"/>
          <w:rtl w:val="0"/>
        </w:rPr>
        <w:t xml:space="preserve">//acortar.link/0GZuBL  </w:t>
      </w:r>
      <w:r w:rsidDel="00000000" w:rsidR="00000000" w:rsidRPr="00000000">
        <w:rPr>
          <w:rtl w:val="0"/>
        </w:rPr>
      </w:r>
    </w:p>
  </w:footnote>
  <w:footnote w:id="28">
    <w:p w:rsidR="00000000" w:rsidDel="00000000" w:rsidP="00000000" w:rsidRDefault="00000000" w:rsidRPr="00000000" w14:paraId="000001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Disqualifications, warned war against the opposition. Available at: </w:t>
      </w:r>
      <w:hyperlink r:id="rId18">
        <w:r w:rsidDel="00000000" w:rsidR="00000000" w:rsidRPr="00000000">
          <w:rPr>
            <w:color w:val="1155cc"/>
            <w:sz w:val="20"/>
            <w:szCs w:val="20"/>
            <w:u w:val="single"/>
            <w:rtl w:val="0"/>
          </w:rPr>
          <w:t xml:space="preserve">https://acortar.link/0xnZuy</w:t>
        </w:r>
      </w:hyperlink>
      <w:r w:rsidDel="00000000" w:rsidR="00000000" w:rsidRPr="00000000">
        <w:rPr>
          <w:rtl w:val="0"/>
        </w:rPr>
      </w:r>
    </w:p>
    <w:p w:rsidR="00000000" w:rsidDel="00000000" w:rsidP="00000000" w:rsidRDefault="00000000" w:rsidRPr="00000000" w14:paraId="00000176">
      <w:pPr>
        <w:spacing w:line="240" w:lineRule="auto"/>
        <w:rPr>
          <w:sz w:val="20"/>
          <w:szCs w:val="20"/>
        </w:rPr>
      </w:pPr>
      <w:r w:rsidDel="00000000" w:rsidR="00000000" w:rsidRPr="00000000">
        <w:rPr>
          <w:rtl w:val="0"/>
        </w:rPr>
      </w:r>
    </w:p>
  </w:footnote>
  <w:footnote w:id="29">
    <w:p w:rsidR="00000000" w:rsidDel="00000000" w:rsidP="00000000" w:rsidRDefault="00000000" w:rsidRPr="00000000" w14:paraId="000001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Maduro affirms that he will not lift the disqualifications of opposition candidates. Available in: </w:t>
      </w:r>
    </w:p>
    <w:p w:rsidR="00000000" w:rsidDel="00000000" w:rsidP="00000000" w:rsidRDefault="00000000" w:rsidRPr="00000000" w14:paraId="00000178">
      <w:pPr>
        <w:spacing w:line="240" w:lineRule="auto"/>
        <w:rPr>
          <w:sz w:val="20"/>
          <w:szCs w:val="20"/>
        </w:rPr>
      </w:pPr>
      <w:hyperlink r:id="rId19">
        <w:r w:rsidDel="00000000" w:rsidR="00000000" w:rsidRPr="00000000">
          <w:rPr>
            <w:color w:val="1155cc"/>
            <w:sz w:val="20"/>
            <w:szCs w:val="20"/>
            <w:u w:val="single"/>
            <w:rtl w:val="0"/>
          </w:rPr>
          <w:t xml:space="preserve">https://acortar.link/pHasju</w:t>
        </w:r>
      </w:hyperlink>
      <w:r w:rsidDel="00000000" w:rsidR="00000000" w:rsidRPr="00000000">
        <w:rPr>
          <w:rtl w:val="0"/>
        </w:rPr>
      </w:r>
    </w:p>
    <w:p w:rsidR="00000000" w:rsidDel="00000000" w:rsidP="00000000" w:rsidRDefault="00000000" w:rsidRPr="00000000" w14:paraId="00000179">
      <w:pPr>
        <w:spacing w:line="240" w:lineRule="auto"/>
        <w:rPr>
          <w:sz w:val="20"/>
          <w:szCs w:val="20"/>
        </w:rPr>
      </w:pPr>
      <w:r w:rsidDel="00000000" w:rsidR="00000000" w:rsidRPr="00000000">
        <w:rPr>
          <w:rtl w:val="0"/>
        </w:rPr>
      </w:r>
    </w:p>
  </w:footnote>
  <w:footnote w:id="30">
    <w:p w:rsidR="00000000" w:rsidDel="00000000" w:rsidP="00000000" w:rsidRDefault="00000000" w:rsidRPr="00000000" w14:paraId="0000017A">
      <w:pPr>
        <w:spacing w:line="240" w:lineRule="auto"/>
        <w:rPr>
          <w:color w:val="33333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75 of the LOPRE: "</w:t>
      </w:r>
      <w:r w:rsidDel="00000000" w:rsidR="00000000" w:rsidRPr="00000000">
        <w:rPr>
          <w:color w:val="333333"/>
          <w:sz w:val="20"/>
          <w:szCs w:val="20"/>
          <w:rtl w:val="0"/>
        </w:rPr>
        <w:t xml:space="preserve">Electoral propaganda produced outside the electoral campaign period established by the National Electoral Council shall not be allowed...". Available at: https://acortar.link/VYvWWM</w:t>
      </w:r>
    </w:p>
    <w:p w:rsidR="00000000" w:rsidDel="00000000" w:rsidP="00000000" w:rsidRDefault="00000000" w:rsidRPr="00000000" w14:paraId="0000017B">
      <w:pPr>
        <w:spacing w:line="240" w:lineRule="auto"/>
        <w:rPr>
          <w:color w:val="333333"/>
          <w:sz w:val="20"/>
          <w:szCs w:val="20"/>
        </w:rPr>
      </w:pPr>
      <w:r w:rsidDel="00000000" w:rsidR="00000000" w:rsidRPr="00000000">
        <w:rPr>
          <w:rtl w:val="0"/>
        </w:rPr>
      </w:r>
    </w:p>
  </w:footnote>
  <w:footnote w:id="31">
    <w:p w:rsidR="00000000" w:rsidDel="00000000" w:rsidP="00000000" w:rsidRDefault="00000000" w:rsidRPr="00000000" w14:paraId="000001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LOPRE does not regulate the "pre-campaign". Available at: </w:t>
      </w:r>
      <w:hyperlink r:id="rId20">
        <w:r w:rsidDel="00000000" w:rsidR="00000000" w:rsidRPr="00000000">
          <w:rPr>
            <w:color w:val="1155cc"/>
            <w:sz w:val="20"/>
            <w:szCs w:val="20"/>
            <w:u w:val="single"/>
            <w:rtl w:val="0"/>
          </w:rPr>
          <w:t xml:space="preserve">https://acortar.link/VYvWWM</w:t>
        </w:r>
      </w:hyperlink>
      <w:r w:rsidDel="00000000" w:rsidR="00000000" w:rsidRPr="00000000">
        <w:rPr>
          <w:rtl w:val="0"/>
        </w:rPr>
      </w:r>
    </w:p>
    <w:p w:rsidR="00000000" w:rsidDel="00000000" w:rsidP="00000000" w:rsidRDefault="00000000" w:rsidRPr="00000000" w14:paraId="0000017D">
      <w:pPr>
        <w:spacing w:line="240" w:lineRule="auto"/>
        <w:rPr>
          <w:sz w:val="20"/>
          <w:szCs w:val="20"/>
        </w:rPr>
      </w:pPr>
      <w:r w:rsidDel="00000000" w:rsidR="00000000" w:rsidRPr="00000000">
        <w:rPr>
          <w:rtl w:val="0"/>
        </w:rPr>
      </w:r>
    </w:p>
  </w:footnote>
  <w:footnote w:id="32">
    <w:p w:rsidR="00000000" w:rsidDel="00000000" w:rsidP="00000000" w:rsidRDefault="00000000" w:rsidRPr="00000000" w14:paraId="000001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LOPRE. Available at:: </w:t>
      </w:r>
      <w:hyperlink r:id="rId21">
        <w:r w:rsidDel="00000000" w:rsidR="00000000" w:rsidRPr="00000000">
          <w:rPr>
            <w:color w:val="1155cc"/>
            <w:sz w:val="20"/>
            <w:szCs w:val="20"/>
            <w:u w:val="single"/>
            <w:rtl w:val="0"/>
          </w:rPr>
          <w:t xml:space="preserve">https://acortar.link/VYvWWM</w:t>
        </w:r>
      </w:hyperlink>
      <w:r w:rsidDel="00000000" w:rsidR="00000000" w:rsidRPr="00000000">
        <w:rPr>
          <w:rtl w:val="0"/>
        </w:rPr>
      </w:r>
    </w:p>
    <w:p w:rsidR="00000000" w:rsidDel="00000000" w:rsidP="00000000" w:rsidRDefault="00000000" w:rsidRPr="00000000" w14:paraId="0000017F">
      <w:pPr>
        <w:spacing w:line="240" w:lineRule="auto"/>
        <w:rPr>
          <w:sz w:val="20"/>
          <w:szCs w:val="20"/>
        </w:rPr>
      </w:pPr>
      <w:r w:rsidDel="00000000" w:rsidR="00000000" w:rsidRPr="00000000">
        <w:rPr>
          <w:rtl w:val="0"/>
        </w:rPr>
      </w:r>
    </w:p>
  </w:footnote>
  <w:footnote w:id="33">
    <w:p w:rsidR="00000000" w:rsidDel="00000000" w:rsidP="00000000" w:rsidRDefault="00000000" w:rsidRPr="00000000" w14:paraId="000001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EUMM 2021 Final Report VENEZUELA </w:t>
      </w:r>
      <w:hyperlink r:id="rId22">
        <w:r w:rsidDel="00000000" w:rsidR="00000000" w:rsidRPr="00000000">
          <w:rPr>
            <w:color w:val="1155cc"/>
            <w:sz w:val="20"/>
            <w:szCs w:val="20"/>
            <w:u w:val="single"/>
            <w:rtl w:val="0"/>
          </w:rPr>
          <w:t xml:space="preserve">https://www.eeas.europa.eu/eom-venezuela-2021/informe-final-moe-ue-venezuela-2021_es?s=4434</w:t>
        </w:r>
      </w:hyperlink>
      <w:r w:rsidDel="00000000" w:rsidR="00000000" w:rsidRPr="00000000">
        <w:rPr>
          <w:rtl w:val="0"/>
        </w:rPr>
      </w:r>
    </w:p>
  </w:footnote>
  <w:footnote w:id="34">
    <w:p w:rsidR="00000000" w:rsidDel="00000000" w:rsidP="00000000" w:rsidRDefault="00000000" w:rsidRPr="00000000" w14:paraId="000001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Final report on the parliamentary elections of December 6, 2015, Observatorio Electoral Venezolano. Available at: https://acortar.link/udMI4i</w:t>
      </w:r>
    </w:p>
    <w:p w:rsidR="00000000" w:rsidDel="00000000" w:rsidP="00000000" w:rsidRDefault="00000000" w:rsidRPr="00000000" w14:paraId="00000182">
      <w:pPr>
        <w:spacing w:line="240" w:lineRule="auto"/>
        <w:rPr>
          <w:sz w:val="20"/>
          <w:szCs w:val="20"/>
        </w:rPr>
      </w:pPr>
      <w:r w:rsidDel="00000000" w:rsidR="00000000" w:rsidRPr="00000000">
        <w:rPr>
          <w:rtl w:val="0"/>
        </w:rPr>
      </w:r>
    </w:p>
  </w:footnote>
  <w:footnote w:id="35">
    <w:p w:rsidR="00000000" w:rsidDel="00000000" w:rsidP="00000000" w:rsidRDefault="00000000" w:rsidRPr="00000000" w14:paraId="000001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Ruling 71. Available at: </w:t>
      </w:r>
      <w:hyperlink r:id="rId23">
        <w:r w:rsidDel="00000000" w:rsidR="00000000" w:rsidRPr="00000000">
          <w:rPr>
            <w:color w:val="1155cc"/>
            <w:sz w:val="20"/>
            <w:szCs w:val="20"/>
            <w:u w:val="single"/>
            <w:rtl w:val="0"/>
          </w:rPr>
          <w:t xml:space="preserve">https://acortar.link/EKttY8</w:t>
        </w:r>
      </w:hyperlink>
      <w:r w:rsidDel="00000000" w:rsidR="00000000" w:rsidRPr="00000000">
        <w:rPr>
          <w:rtl w:val="0"/>
        </w:rPr>
      </w:r>
    </w:p>
    <w:p w:rsidR="00000000" w:rsidDel="00000000" w:rsidP="00000000" w:rsidRDefault="00000000" w:rsidRPr="00000000" w14:paraId="00000184">
      <w:pPr>
        <w:spacing w:line="240" w:lineRule="auto"/>
        <w:rPr>
          <w:sz w:val="20"/>
          <w:szCs w:val="20"/>
        </w:rPr>
      </w:pPr>
      <w:r w:rsidDel="00000000" w:rsidR="00000000" w:rsidRPr="00000000">
        <w:rPr>
          <w:rtl w:val="0"/>
        </w:rPr>
      </w:r>
    </w:p>
  </w:footnote>
  <w:footnote w:id="36">
    <w:p w:rsidR="00000000" w:rsidDel="00000000" w:rsidP="00000000" w:rsidRDefault="00000000" w:rsidRPr="00000000" w14:paraId="000001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Sentence 72. Available at: </w:t>
      </w:r>
      <w:hyperlink r:id="rId24">
        <w:r w:rsidDel="00000000" w:rsidR="00000000" w:rsidRPr="00000000">
          <w:rPr>
            <w:color w:val="1155cc"/>
            <w:sz w:val="20"/>
            <w:szCs w:val="20"/>
            <w:u w:val="single"/>
            <w:rtl w:val="0"/>
          </w:rPr>
          <w:t xml:space="preserve">https://acortar.link/BbmyMw</w:t>
        </w:r>
      </w:hyperlink>
      <w:r w:rsidDel="00000000" w:rsidR="00000000" w:rsidRPr="00000000">
        <w:rPr>
          <w:rtl w:val="0"/>
        </w:rPr>
      </w:r>
    </w:p>
    <w:p w:rsidR="00000000" w:rsidDel="00000000" w:rsidP="00000000" w:rsidRDefault="00000000" w:rsidRPr="00000000" w14:paraId="00000186">
      <w:pPr>
        <w:spacing w:line="240" w:lineRule="auto"/>
        <w:rPr>
          <w:sz w:val="20"/>
          <w:szCs w:val="20"/>
        </w:rPr>
      </w:pPr>
      <w:r w:rsidDel="00000000" w:rsidR="00000000" w:rsidRPr="00000000">
        <w:rPr>
          <w:rtl w:val="0"/>
        </w:rPr>
      </w:r>
    </w:p>
  </w:footnote>
  <w:footnote w:id="37">
    <w:p w:rsidR="00000000" w:rsidDel="00000000" w:rsidP="00000000" w:rsidRDefault="00000000" w:rsidRPr="00000000" w14:paraId="000001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Ruling 77. Available at: </w:t>
      </w:r>
      <w:hyperlink r:id="rId25">
        <w:r w:rsidDel="00000000" w:rsidR="00000000" w:rsidRPr="00000000">
          <w:rPr>
            <w:color w:val="1155cc"/>
            <w:sz w:val="20"/>
            <w:szCs w:val="20"/>
            <w:u w:val="single"/>
            <w:rtl w:val="0"/>
          </w:rPr>
          <w:t xml:space="preserve">https://acortar.link/sxE3Om</w:t>
        </w:r>
      </w:hyperlink>
      <w:r w:rsidDel="00000000" w:rsidR="00000000" w:rsidRPr="00000000">
        <w:rPr>
          <w:rtl w:val="0"/>
        </w:rPr>
      </w:r>
    </w:p>
    <w:p w:rsidR="00000000" w:rsidDel="00000000" w:rsidP="00000000" w:rsidRDefault="00000000" w:rsidRPr="00000000" w14:paraId="00000188">
      <w:pPr>
        <w:spacing w:line="240" w:lineRule="auto"/>
        <w:rPr>
          <w:sz w:val="20"/>
          <w:szCs w:val="20"/>
        </w:rPr>
      </w:pPr>
      <w:r w:rsidDel="00000000" w:rsidR="00000000" w:rsidRPr="00000000">
        <w:rPr>
          <w:rtl w:val="0"/>
        </w:rPr>
      </w:r>
    </w:p>
  </w:footnote>
  <w:footnote w:id="38">
    <w:p w:rsidR="00000000" w:rsidDel="00000000" w:rsidP="00000000" w:rsidRDefault="00000000" w:rsidRPr="00000000" w14:paraId="000001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Elecciones Parlamentarias de Venezuela 6D 2020, REC and Foro Cívico. Available at: </w:t>
      </w:r>
      <w:hyperlink r:id="rId26">
        <w:r w:rsidDel="00000000" w:rsidR="00000000" w:rsidRPr="00000000">
          <w:rPr>
            <w:color w:val="1155cc"/>
            <w:sz w:val="20"/>
            <w:szCs w:val="20"/>
            <w:u w:val="single"/>
            <w:rtl w:val="0"/>
          </w:rPr>
          <w:t xml:space="preserve">https://acortar.link/tRh5uk</w:t>
        </w:r>
      </w:hyperlink>
      <w:r w:rsidDel="00000000" w:rsidR="00000000" w:rsidRPr="00000000">
        <w:rPr>
          <w:rtl w:val="0"/>
        </w:rPr>
      </w:r>
    </w:p>
    <w:p w:rsidR="00000000" w:rsidDel="00000000" w:rsidP="00000000" w:rsidRDefault="00000000" w:rsidRPr="00000000" w14:paraId="0000018A">
      <w:pPr>
        <w:spacing w:line="240" w:lineRule="auto"/>
        <w:rPr>
          <w:sz w:val="20"/>
          <w:szCs w:val="20"/>
        </w:rPr>
      </w:pPr>
      <w:r w:rsidDel="00000000" w:rsidR="00000000" w:rsidRPr="00000000">
        <w:rPr>
          <w:rtl w:val="0"/>
        </w:rPr>
      </w:r>
    </w:p>
  </w:footnote>
  <w:footnote w:id="39">
    <w:p w:rsidR="00000000" w:rsidDel="00000000" w:rsidP="00000000" w:rsidRDefault="00000000" w:rsidRPr="00000000" w14:paraId="0000018B">
      <w:pPr>
        <w:pBdr>
          <w:top w:color="000000" w:space="0" w:sz="0" w:val="none"/>
          <w:left w:color="000000" w:space="0" w:sz="0" w:val="none"/>
          <w:bottom w:color="000000" w:space="7" w:sz="0" w:val="none"/>
          <w:right w:color="000000" w:space="0" w:sz="0" w:val="none"/>
        </w:pBdr>
        <w:shd w:fill="ffffff" w:val="clear"/>
        <w:spacing w:line="240" w:lineRule="auto"/>
        <w:rPr>
          <w:sz w:val="20"/>
          <w:szCs w:val="20"/>
        </w:rPr>
      </w:pPr>
      <w:bookmarkStart w:colFirst="0" w:colLast="0" w:name="_heading=h.kdwonbfjczxt" w:id="1"/>
      <w:bookmarkEnd w:id="1"/>
      <w:r w:rsidDel="00000000" w:rsidR="00000000" w:rsidRPr="00000000">
        <w:rPr>
          <w:rStyle w:val="FootnoteReference"/>
          <w:vertAlign w:val="superscript"/>
        </w:rPr>
        <w:footnoteRef/>
      </w:r>
      <w:r w:rsidDel="00000000" w:rsidR="00000000" w:rsidRPr="00000000">
        <w:rPr>
          <w:sz w:val="20"/>
          <w:szCs w:val="20"/>
          <w:rtl w:val="0"/>
        </w:rPr>
        <w:t xml:space="preserve"> PCV joins the list of Political Parties intervened by the TSJ. Available at: https://acortar.link/ZhC8fa</w:t>
      </w:r>
    </w:p>
  </w:footnote>
  <w:footnote w:id="40">
    <w:p w:rsidR="00000000" w:rsidDel="00000000" w:rsidP="00000000" w:rsidRDefault="00000000" w:rsidRPr="00000000" w14:paraId="000001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Analysis of the political bias in the distribution of the 20% validation centers announced by the CNE.</w:t>
      </w:r>
    </w:p>
    <w:p w:rsidR="00000000" w:rsidDel="00000000" w:rsidP="00000000" w:rsidRDefault="00000000" w:rsidRPr="00000000" w14:paraId="0000018D">
      <w:pPr>
        <w:spacing w:line="240" w:lineRule="auto"/>
        <w:rPr>
          <w:sz w:val="20"/>
          <w:szCs w:val="20"/>
        </w:rPr>
      </w:pPr>
      <w:r w:rsidDel="00000000" w:rsidR="00000000" w:rsidRPr="00000000">
        <w:rPr>
          <w:sz w:val="20"/>
          <w:szCs w:val="20"/>
          <w:rtl w:val="0"/>
        </w:rPr>
        <w:t xml:space="preserve">Available at: </w:t>
      </w:r>
      <w:hyperlink r:id="rId27">
        <w:r w:rsidDel="00000000" w:rsidR="00000000" w:rsidRPr="00000000">
          <w:rPr>
            <w:color w:val="1155cc"/>
            <w:sz w:val="20"/>
            <w:szCs w:val="20"/>
            <w:u w:val="single"/>
            <w:rtl w:val="0"/>
          </w:rPr>
          <w:t xml:space="preserve">https://acortar.link/oKapql</w:t>
        </w:r>
      </w:hyperlink>
      <w:r w:rsidDel="00000000" w:rsidR="00000000" w:rsidRPr="00000000">
        <w:rPr>
          <w:rtl w:val="0"/>
        </w:rPr>
      </w:r>
    </w:p>
    <w:p w:rsidR="00000000" w:rsidDel="00000000" w:rsidP="00000000" w:rsidRDefault="00000000" w:rsidRPr="00000000" w14:paraId="0000018E">
      <w:pPr>
        <w:spacing w:line="240" w:lineRule="auto"/>
        <w:rPr>
          <w:sz w:val="20"/>
          <w:szCs w:val="20"/>
        </w:rPr>
      </w:pPr>
      <w:r w:rsidDel="00000000" w:rsidR="00000000" w:rsidRPr="00000000">
        <w:rPr>
          <w:rtl w:val="0"/>
        </w:rPr>
      </w:r>
    </w:p>
  </w:footnote>
  <w:footnote w:id="41">
    <w:p w:rsidR="00000000" w:rsidDel="00000000" w:rsidP="00000000" w:rsidRDefault="00000000" w:rsidRPr="00000000" w14:paraId="000001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Follow-up report on the activation of the Presidential Mandate Recall Referendum, Available at: </w:t>
      </w:r>
      <w:hyperlink r:id="rId28">
        <w:r w:rsidDel="00000000" w:rsidR="00000000" w:rsidRPr="00000000">
          <w:rPr>
            <w:color w:val="1155cc"/>
            <w:sz w:val="20"/>
            <w:szCs w:val="20"/>
            <w:u w:val="single"/>
            <w:rtl w:val="0"/>
          </w:rPr>
          <w:t xml:space="preserve">https://acortar.link/JCHhAY</w:t>
        </w:r>
      </w:hyperlink>
      <w:r w:rsidDel="00000000" w:rsidR="00000000" w:rsidRPr="00000000">
        <w:rPr>
          <w:rtl w:val="0"/>
        </w:rPr>
      </w:r>
    </w:p>
    <w:p w:rsidR="00000000" w:rsidDel="00000000" w:rsidP="00000000" w:rsidRDefault="00000000" w:rsidRPr="00000000" w14:paraId="00000190">
      <w:pPr>
        <w:spacing w:line="240" w:lineRule="auto"/>
        <w:rPr>
          <w:sz w:val="20"/>
          <w:szCs w:val="20"/>
        </w:rPr>
      </w:pPr>
      <w:r w:rsidDel="00000000" w:rsidR="00000000" w:rsidRPr="00000000">
        <w:rPr>
          <w:rtl w:val="0"/>
        </w:rPr>
      </w:r>
    </w:p>
  </w:footnote>
  <w:footnote w:id="42">
    <w:p w:rsidR="00000000" w:rsidDel="00000000" w:rsidP="00000000" w:rsidRDefault="00000000" w:rsidRPr="00000000" w14:paraId="00000191">
      <w:pPr>
        <w:spacing w:line="240" w:lineRule="auto"/>
        <w:rPr>
          <w:sz w:val="20"/>
          <w:szCs w:val="20"/>
        </w:rPr>
      </w:pPr>
      <w:r w:rsidDel="00000000" w:rsidR="00000000" w:rsidRPr="00000000">
        <w:rPr>
          <w:rStyle w:val="FootnoteReference"/>
          <w:vertAlign w:val="superscript"/>
        </w:rPr>
        <w:footnoteRef/>
      </w:r>
      <w:r w:rsidDel="00000000" w:rsidR="00000000" w:rsidRPr="00000000">
        <w:rPr>
          <w:color w:val="141414"/>
          <w:sz w:val="20"/>
          <w:szCs w:val="20"/>
          <w:rtl w:val="0"/>
        </w:rPr>
        <w:t xml:space="preserve"> Venezuela's CNE announces new signature collection in October and rules out recall referendum against Nicolás Maduro before 2017. Available: </w:t>
      </w:r>
      <w:hyperlink r:id="rId29">
        <w:r w:rsidDel="00000000" w:rsidR="00000000" w:rsidRPr="00000000">
          <w:rPr>
            <w:color w:val="1155cc"/>
            <w:sz w:val="20"/>
            <w:szCs w:val="20"/>
            <w:u w:val="single"/>
            <w:rtl w:val="0"/>
          </w:rPr>
          <w:t xml:space="preserve">https://acortar.link/HfVB5O</w:t>
        </w:r>
      </w:hyperlink>
      <w:r w:rsidDel="00000000" w:rsidR="00000000" w:rsidRPr="00000000">
        <w:rPr>
          <w:rtl w:val="0"/>
        </w:rPr>
      </w:r>
    </w:p>
    <w:p w:rsidR="00000000" w:rsidDel="00000000" w:rsidP="00000000" w:rsidRDefault="00000000" w:rsidRPr="00000000" w14:paraId="00000192">
      <w:pPr>
        <w:spacing w:line="240" w:lineRule="auto"/>
        <w:rPr>
          <w:sz w:val="20"/>
          <w:szCs w:val="20"/>
        </w:rPr>
      </w:pPr>
      <w:r w:rsidDel="00000000" w:rsidR="00000000" w:rsidRPr="00000000">
        <w:rPr>
          <w:rtl w:val="0"/>
        </w:rPr>
      </w:r>
    </w:p>
  </w:footnote>
  <w:footnote w:id="43">
    <w:p w:rsidR="00000000" w:rsidDel="00000000" w:rsidP="00000000" w:rsidRDefault="00000000" w:rsidRPr="00000000" w14:paraId="00000193">
      <w:pPr>
        <w:shd w:fill="fdfdfd" w:val="clear"/>
        <w:spacing w:line="240" w:lineRule="auto"/>
        <w:rPr>
          <w:sz w:val="20"/>
          <w:szCs w:val="20"/>
        </w:rPr>
      </w:pPr>
      <w:bookmarkStart w:colFirst="0" w:colLast="0" w:name="_heading=h.gjdgxs" w:id="2"/>
      <w:bookmarkEnd w:id="2"/>
      <w:r w:rsidDel="00000000" w:rsidR="00000000" w:rsidRPr="00000000">
        <w:rPr>
          <w:rStyle w:val="FootnoteReference"/>
          <w:vertAlign w:val="superscript"/>
        </w:rPr>
        <w:footnoteRef/>
      </w:r>
      <w:r w:rsidDel="00000000" w:rsidR="00000000" w:rsidRPr="00000000">
        <w:rPr>
          <w:color w:val="141414"/>
          <w:sz w:val="20"/>
          <w:szCs w:val="20"/>
          <w:rtl w:val="0"/>
        </w:rPr>
        <w:t xml:space="preserve">Venezuela: the CNE paralyzes the recall referendum against Nicolás Maduro. Available at: </w:t>
      </w:r>
      <w:hyperlink r:id="rId30">
        <w:r w:rsidDel="00000000" w:rsidR="00000000" w:rsidRPr="00000000">
          <w:rPr>
            <w:color w:val="1155cc"/>
            <w:sz w:val="20"/>
            <w:szCs w:val="20"/>
            <w:u w:val="single"/>
            <w:rtl w:val="0"/>
          </w:rPr>
          <w:t xml:space="preserve">https://acortar.link/ntKMup</w:t>
        </w:r>
      </w:hyperlink>
      <w:r w:rsidDel="00000000" w:rsidR="00000000" w:rsidRPr="00000000">
        <w:rPr>
          <w:rtl w:val="0"/>
        </w:rPr>
      </w:r>
    </w:p>
    <w:p w:rsidR="00000000" w:rsidDel="00000000" w:rsidP="00000000" w:rsidRDefault="00000000" w:rsidRPr="00000000" w14:paraId="00000194">
      <w:pPr>
        <w:spacing w:line="240" w:lineRule="auto"/>
        <w:rPr>
          <w:sz w:val="20"/>
          <w:szCs w:val="20"/>
        </w:rPr>
      </w:pPr>
      <w:r w:rsidDel="00000000" w:rsidR="00000000" w:rsidRPr="00000000">
        <w:rPr>
          <w:rtl w:val="0"/>
        </w:rPr>
      </w:r>
    </w:p>
  </w:footnote>
  <w:footnote w:id="44">
    <w:p w:rsidR="00000000" w:rsidDel="00000000" w:rsidP="00000000" w:rsidRDefault="00000000" w:rsidRPr="00000000" w14:paraId="00000195">
      <w:pPr>
        <w:spacing w:line="240" w:lineRule="auto"/>
        <w:rPr>
          <w:color w:val="666666"/>
          <w:sz w:val="21"/>
          <w:szCs w:val="21"/>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Inter-American Democratic Charter.  Available at: </w:t>
      </w:r>
      <w:r w:rsidDel="00000000" w:rsidR="00000000" w:rsidRPr="00000000">
        <w:rPr>
          <w:color w:val="666666"/>
          <w:sz w:val="21"/>
          <w:szCs w:val="21"/>
          <w:highlight w:val="white"/>
          <w:rtl w:val="0"/>
        </w:rPr>
        <w:t xml:space="preserve">https://acortar.link/0ZgJ1x</w:t>
      </w:r>
    </w:p>
    <w:p w:rsidR="00000000" w:rsidDel="00000000" w:rsidP="00000000" w:rsidRDefault="00000000" w:rsidRPr="00000000" w14:paraId="00000196">
      <w:pPr>
        <w:spacing w:line="240" w:lineRule="auto"/>
        <w:rPr>
          <w:color w:val="666666"/>
          <w:sz w:val="21"/>
          <w:szCs w:val="21"/>
          <w:highlight w:val="white"/>
        </w:rPr>
      </w:pPr>
      <w:r w:rsidDel="00000000" w:rsidR="00000000" w:rsidRPr="00000000">
        <w:rPr>
          <w:rtl w:val="0"/>
        </w:rPr>
      </w:r>
    </w:p>
  </w:footnote>
  <w:footnote w:id="45">
    <w:p w:rsidR="00000000" w:rsidDel="00000000" w:rsidP="00000000" w:rsidRDefault="00000000" w:rsidRPr="00000000" w14:paraId="000001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Nullity Action Interposed. Available at: </w:t>
      </w:r>
      <w:hyperlink r:id="rId31">
        <w:r w:rsidDel="00000000" w:rsidR="00000000" w:rsidRPr="00000000">
          <w:rPr>
            <w:color w:val="1155cc"/>
            <w:sz w:val="20"/>
            <w:szCs w:val="20"/>
            <w:u w:val="single"/>
            <w:rtl w:val="0"/>
          </w:rPr>
          <w:t xml:space="preserve">https://acortar.link/cEtIUe</w:t>
        </w:r>
      </w:hyperlink>
      <w:r w:rsidDel="00000000" w:rsidR="00000000" w:rsidRPr="00000000">
        <w:rPr>
          <w:rtl w:val="0"/>
        </w:rPr>
      </w:r>
    </w:p>
    <w:p w:rsidR="00000000" w:rsidDel="00000000" w:rsidP="00000000" w:rsidRDefault="00000000" w:rsidRPr="00000000" w14:paraId="00000198">
      <w:pPr>
        <w:spacing w:line="240" w:lineRule="auto"/>
        <w:rPr>
          <w:sz w:val="20"/>
          <w:szCs w:val="20"/>
        </w:rPr>
      </w:pPr>
      <w:r w:rsidDel="00000000" w:rsidR="00000000" w:rsidRPr="00000000">
        <w:rPr>
          <w:rtl w:val="0"/>
        </w:rPr>
      </w:r>
    </w:p>
  </w:footnote>
  <w:footnote w:id="46">
    <w:p w:rsidR="00000000" w:rsidDel="00000000" w:rsidP="00000000" w:rsidRDefault="00000000" w:rsidRPr="00000000" w14:paraId="00000199">
      <w:pPr>
        <w:spacing w:line="240" w:lineRule="auto"/>
        <w:rPr>
          <w:sz w:val="20"/>
          <w:szCs w:val="20"/>
        </w:rPr>
      </w:pPr>
      <w:r w:rsidDel="00000000" w:rsidR="00000000" w:rsidRPr="00000000">
        <w:rPr>
          <w:rStyle w:val="FootnoteReference"/>
          <w:vertAlign w:val="superscript"/>
        </w:rPr>
        <w:footnoteRef/>
      </w:r>
      <w:hyperlink r:id="rId32">
        <w:r w:rsidDel="00000000" w:rsidR="00000000" w:rsidRPr="00000000">
          <w:rPr>
            <w:sz w:val="20"/>
            <w:szCs w:val="20"/>
            <w:rtl w:val="0"/>
          </w:rPr>
          <w:t xml:space="preserve"> Analysis of Rulings 155 and 156 of the Constitutional Chamber of the Supreme Court of Justice of Venezuela, their effects and response</w:t>
        </w:r>
      </w:hyperlink>
      <w:r w:rsidDel="00000000" w:rsidR="00000000" w:rsidRPr="00000000">
        <w:rPr>
          <w:sz w:val="20"/>
          <w:szCs w:val="20"/>
          <w:rtl w:val="0"/>
        </w:rPr>
        <w:t xml:space="preserve">. Available at: </w:t>
      </w:r>
      <w:hyperlink r:id="rId33">
        <w:r w:rsidDel="00000000" w:rsidR="00000000" w:rsidRPr="00000000">
          <w:rPr>
            <w:color w:val="1155cc"/>
            <w:sz w:val="20"/>
            <w:szCs w:val="20"/>
            <w:u w:val="single"/>
            <w:rtl w:val="0"/>
          </w:rPr>
          <w:t xml:space="preserve">https://acortar.link/37ano0</w:t>
        </w:r>
      </w:hyperlink>
      <w:r w:rsidDel="00000000" w:rsidR="00000000" w:rsidRPr="00000000">
        <w:rPr>
          <w:rtl w:val="0"/>
        </w:rPr>
      </w:r>
    </w:p>
    <w:p w:rsidR="00000000" w:rsidDel="00000000" w:rsidP="00000000" w:rsidRDefault="00000000" w:rsidRPr="00000000" w14:paraId="0000019A">
      <w:pPr>
        <w:spacing w:line="240" w:lineRule="auto"/>
        <w:rPr>
          <w:sz w:val="20"/>
          <w:szCs w:val="20"/>
        </w:rPr>
      </w:pPr>
      <w:r w:rsidDel="00000000" w:rsidR="00000000" w:rsidRPr="00000000">
        <w:rPr>
          <w:rtl w:val="0"/>
        </w:rPr>
      </w:r>
    </w:p>
  </w:footnote>
  <w:footnote w:id="47">
    <w:p w:rsidR="00000000" w:rsidDel="00000000" w:rsidP="00000000" w:rsidRDefault="00000000" w:rsidRPr="00000000" w14:paraId="000001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348 of the CRBV ".8. The initiative to convene the National Constituent Assembly may be taken by the President of the Republic in Council of Ministers..."; Available at: </w:t>
      </w:r>
      <w:hyperlink r:id="rId34">
        <w:r w:rsidDel="00000000" w:rsidR="00000000" w:rsidRPr="00000000">
          <w:rPr>
            <w:color w:val="1155cc"/>
            <w:sz w:val="20"/>
            <w:szCs w:val="20"/>
            <w:u w:val="single"/>
            <w:rtl w:val="0"/>
          </w:rPr>
          <w:t xml:space="preserve">https://acortar.link/sCT0P4.</w:t>
        </w:r>
      </w:hyperlink>
      <w:r w:rsidDel="00000000" w:rsidR="00000000" w:rsidRPr="00000000">
        <w:rPr>
          <w:rtl w:val="0"/>
        </w:rPr>
      </w:r>
    </w:p>
    <w:p w:rsidR="00000000" w:rsidDel="00000000" w:rsidP="00000000" w:rsidRDefault="00000000" w:rsidRPr="00000000" w14:paraId="0000019C">
      <w:pPr>
        <w:spacing w:line="240" w:lineRule="auto"/>
        <w:rPr>
          <w:sz w:val="20"/>
          <w:szCs w:val="20"/>
        </w:rPr>
      </w:pPr>
      <w:r w:rsidDel="00000000" w:rsidR="00000000" w:rsidRPr="00000000">
        <w:rPr>
          <w:rtl w:val="0"/>
        </w:rPr>
      </w:r>
    </w:p>
  </w:footnote>
  <w:footnote w:id="48">
    <w:p w:rsidR="00000000" w:rsidDel="00000000" w:rsidP="00000000" w:rsidRDefault="00000000" w:rsidRPr="00000000" w14:paraId="000001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347 of the CRBV: "The people of Venezuela is the depositary of the original constituent power. In exercise of such power, it may convene a National Constituent Assembly". Available at: </w:t>
      </w:r>
      <w:hyperlink r:id="rId35">
        <w:r w:rsidDel="00000000" w:rsidR="00000000" w:rsidRPr="00000000">
          <w:rPr>
            <w:color w:val="1155cc"/>
            <w:sz w:val="20"/>
            <w:szCs w:val="20"/>
            <w:u w:val="single"/>
            <w:rtl w:val="0"/>
          </w:rPr>
          <w:t xml:space="preserve">https://acortar.link/sCT0P4</w:t>
        </w:r>
      </w:hyperlink>
      <w:r w:rsidDel="00000000" w:rsidR="00000000" w:rsidRPr="00000000">
        <w:rPr>
          <w:rtl w:val="0"/>
        </w:rPr>
      </w:r>
    </w:p>
    <w:p w:rsidR="00000000" w:rsidDel="00000000" w:rsidP="00000000" w:rsidRDefault="00000000" w:rsidRPr="00000000" w14:paraId="0000019E">
      <w:pPr>
        <w:spacing w:line="240" w:lineRule="auto"/>
        <w:rPr>
          <w:sz w:val="20"/>
          <w:szCs w:val="20"/>
        </w:rPr>
      </w:pPr>
      <w:r w:rsidDel="00000000" w:rsidR="00000000" w:rsidRPr="00000000">
        <w:rPr>
          <w:rtl w:val="0"/>
        </w:rPr>
      </w:r>
    </w:p>
  </w:footnote>
  <w:footnote w:id="49">
    <w:p w:rsidR="00000000" w:rsidDel="00000000" w:rsidP="00000000" w:rsidRDefault="00000000" w:rsidRPr="00000000" w14:paraId="000001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 Rec desconoce y rechaza a los resultados anunciados por el CNE el 30 de julio, Red de activistas ciudadanos por los DDHH, Available in: </w:t>
      </w:r>
      <w:hyperlink r:id="rId36">
        <w:r w:rsidDel="00000000" w:rsidR="00000000" w:rsidRPr="00000000">
          <w:rPr>
            <w:color w:val="1155cc"/>
            <w:sz w:val="20"/>
            <w:szCs w:val="20"/>
            <w:u w:val="single"/>
            <w:rtl w:val="0"/>
          </w:rPr>
          <w:t xml:space="preserve">https://acortar.link/JAYV8V</w:t>
        </w:r>
      </w:hyperlink>
      <w:r w:rsidDel="00000000" w:rsidR="00000000" w:rsidRPr="00000000">
        <w:rPr>
          <w:rtl w:val="0"/>
        </w:rPr>
      </w:r>
    </w:p>
    <w:p w:rsidR="00000000" w:rsidDel="00000000" w:rsidP="00000000" w:rsidRDefault="00000000" w:rsidRPr="00000000" w14:paraId="000001A0">
      <w:pPr>
        <w:spacing w:line="240" w:lineRule="auto"/>
        <w:rPr>
          <w:sz w:val="20"/>
          <w:szCs w:val="20"/>
        </w:rPr>
      </w:pPr>
      <w:r w:rsidDel="00000000" w:rsidR="00000000" w:rsidRPr="00000000">
        <w:rPr>
          <w:rtl w:val="0"/>
        </w:rPr>
      </w:r>
    </w:p>
  </w:footnote>
  <w:footnote w:id="50">
    <w:p w:rsidR="00000000" w:rsidDel="00000000" w:rsidP="00000000" w:rsidRDefault="00000000" w:rsidRPr="00000000" w14:paraId="000001A1">
      <w:pPr>
        <w:shd w:fill="ffffff" w:val="clear"/>
        <w:spacing w:line="288" w:lineRule="auto"/>
        <w:rPr>
          <w:sz w:val="20"/>
          <w:szCs w:val="20"/>
        </w:rPr>
      </w:pPr>
      <w:bookmarkStart w:colFirst="0" w:colLast="0" w:name="_heading=h.30j0zll" w:id="3"/>
      <w:bookmarkEnd w:id="3"/>
      <w:r w:rsidDel="00000000" w:rsidR="00000000" w:rsidRPr="00000000">
        <w:rPr>
          <w:rStyle w:val="FootnoteReference"/>
          <w:vertAlign w:val="superscript"/>
        </w:rPr>
        <w:footnoteRef/>
      </w:r>
      <w:r w:rsidDel="00000000" w:rsidR="00000000" w:rsidRPr="00000000">
        <w:rPr>
          <w:color w:val="111111"/>
          <w:sz w:val="20"/>
          <w:szCs w:val="20"/>
          <w:rtl w:val="0"/>
        </w:rPr>
        <w:t xml:space="preserve"> Smartmatic sued Venezuela for alleged electoral fraud and expropriation of machines. Available at: </w:t>
      </w:r>
      <w:hyperlink r:id="rId37">
        <w:r w:rsidDel="00000000" w:rsidR="00000000" w:rsidRPr="00000000">
          <w:rPr>
            <w:color w:val="1155cc"/>
            <w:sz w:val="20"/>
            <w:szCs w:val="20"/>
            <w:u w:val="single"/>
            <w:rtl w:val="0"/>
          </w:rPr>
          <w:t xml:space="preserve">https://acortar.link/fvjql1</w:t>
        </w:r>
      </w:hyperlink>
      <w:r w:rsidDel="00000000" w:rsidR="00000000" w:rsidRPr="00000000">
        <w:rPr>
          <w:rtl w:val="0"/>
        </w:rPr>
      </w:r>
    </w:p>
    <w:p w:rsidR="00000000" w:rsidDel="00000000" w:rsidP="00000000" w:rsidRDefault="00000000" w:rsidRPr="00000000" w14:paraId="000001A2">
      <w:pPr>
        <w:spacing w:line="240" w:lineRule="auto"/>
        <w:rPr>
          <w:sz w:val="20"/>
          <w:szCs w:val="20"/>
        </w:rPr>
      </w:pPr>
      <w:r w:rsidDel="00000000" w:rsidR="00000000" w:rsidRPr="00000000">
        <w:rPr>
          <w:rtl w:val="0"/>
        </w:rPr>
      </w:r>
    </w:p>
  </w:footnote>
  <w:footnote w:id="51">
    <w:p w:rsidR="00000000" w:rsidDel="00000000" w:rsidP="00000000" w:rsidRDefault="00000000" w:rsidRPr="00000000" w14:paraId="000001A3">
      <w:pPr>
        <w:spacing w:line="240" w:lineRule="auto"/>
        <w:rPr>
          <w:sz w:val="20"/>
          <w:szCs w:val="20"/>
          <w:highlight w:val="white"/>
        </w:rPr>
      </w:pPr>
      <w:r w:rsidDel="00000000" w:rsidR="00000000" w:rsidRPr="00000000">
        <w:rPr>
          <w:rStyle w:val="FootnoteReference"/>
          <w:vertAlign w:val="superscript"/>
        </w:rPr>
        <w:footnoteRef/>
      </w:r>
      <w:r w:rsidDel="00000000" w:rsidR="00000000" w:rsidRPr="00000000">
        <w:rPr>
          <w:sz w:val="20"/>
          <w:szCs w:val="20"/>
          <w:highlight w:val="white"/>
          <w:rtl w:val="0"/>
        </w:rPr>
        <w:t xml:space="preserve">  Persecución Política en Venezuela, Sistematización de patrones de persecución a la disidencia política venezolana, CEPAZ. Available at: </w:t>
      </w:r>
    </w:p>
    <w:p w:rsidR="00000000" w:rsidDel="00000000" w:rsidP="00000000" w:rsidRDefault="00000000" w:rsidRPr="00000000" w14:paraId="000001A4">
      <w:pPr>
        <w:spacing w:line="240" w:lineRule="auto"/>
        <w:rPr>
          <w:sz w:val="20"/>
          <w:szCs w:val="20"/>
          <w:highlight w:val="white"/>
        </w:rPr>
      </w:pPr>
      <w:r w:rsidDel="00000000" w:rsidR="00000000" w:rsidRPr="00000000">
        <w:rPr>
          <w:rtl w:val="0"/>
        </w:rPr>
      </w:r>
    </w:p>
  </w:footnote>
  <w:footnote w:id="52">
    <w:p w:rsidR="00000000" w:rsidDel="00000000" w:rsidP="00000000" w:rsidRDefault="00000000" w:rsidRPr="00000000" w14:paraId="000001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38">
        <w:r w:rsidDel="00000000" w:rsidR="00000000" w:rsidRPr="00000000">
          <w:rPr>
            <w:color w:val="1155cc"/>
            <w:sz w:val="20"/>
            <w:szCs w:val="20"/>
            <w:u w:val="single"/>
            <w:rtl w:val="0"/>
          </w:rPr>
          <w:t xml:space="preserve">https://acortar.link/yqM7Se</w:t>
        </w:r>
      </w:hyperlink>
      <w:r w:rsidDel="00000000" w:rsidR="00000000" w:rsidRPr="00000000">
        <w:rPr>
          <w:rtl w:val="0"/>
        </w:rPr>
      </w:r>
    </w:p>
    <w:p w:rsidR="00000000" w:rsidDel="00000000" w:rsidP="00000000" w:rsidRDefault="00000000" w:rsidRPr="00000000" w14:paraId="000001A6">
      <w:pPr>
        <w:spacing w:line="240" w:lineRule="auto"/>
        <w:rPr>
          <w:sz w:val="20"/>
          <w:szCs w:val="20"/>
        </w:rPr>
      </w:pPr>
      <w:r w:rsidDel="00000000" w:rsidR="00000000" w:rsidRPr="00000000">
        <w:rPr>
          <w:rtl w:val="0"/>
        </w:rPr>
      </w:r>
    </w:p>
  </w:footnote>
  <w:footnote w:id="53">
    <w:p w:rsidR="00000000" w:rsidDel="00000000" w:rsidP="00000000" w:rsidRDefault="00000000" w:rsidRPr="00000000" w14:paraId="000001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 Convention on Human Rights. Available at: </w:t>
      </w:r>
      <w:hyperlink r:id="rId39">
        <w:r w:rsidDel="00000000" w:rsidR="00000000" w:rsidRPr="00000000">
          <w:rPr>
            <w:color w:val="1155cc"/>
            <w:sz w:val="20"/>
            <w:szCs w:val="20"/>
            <w:u w:val="single"/>
            <w:rtl w:val="0"/>
          </w:rPr>
          <w:t xml:space="preserve">https://acortar.link/evQVR9</w:t>
        </w:r>
      </w:hyperlink>
      <w:r w:rsidDel="00000000" w:rsidR="00000000" w:rsidRPr="00000000">
        <w:rPr>
          <w:rtl w:val="0"/>
        </w:rPr>
      </w:r>
    </w:p>
    <w:p w:rsidR="00000000" w:rsidDel="00000000" w:rsidP="00000000" w:rsidRDefault="00000000" w:rsidRPr="00000000" w14:paraId="000001A8">
      <w:pPr>
        <w:spacing w:line="240" w:lineRule="auto"/>
        <w:rPr>
          <w:sz w:val="20"/>
          <w:szCs w:val="20"/>
        </w:rPr>
      </w:pPr>
      <w:r w:rsidDel="00000000" w:rsidR="00000000" w:rsidRPr="00000000">
        <w:rPr>
          <w:rtl w:val="0"/>
        </w:rPr>
      </w:r>
    </w:p>
  </w:footnote>
  <w:footnote w:id="54">
    <w:p w:rsidR="00000000" w:rsidDel="00000000" w:rsidP="00000000" w:rsidRDefault="00000000" w:rsidRPr="00000000" w14:paraId="000001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Corruption Report 2017, Transparencia Venezuela. See at: </w:t>
      </w:r>
      <w:hyperlink r:id="rId40">
        <w:r w:rsidDel="00000000" w:rsidR="00000000" w:rsidRPr="00000000">
          <w:rPr>
            <w:color w:val="1155cc"/>
            <w:sz w:val="20"/>
            <w:szCs w:val="20"/>
            <w:u w:val="single"/>
            <w:rtl w:val="0"/>
          </w:rPr>
          <w:t xml:space="preserve">https://acortar.link/vgQZxv</w:t>
        </w:r>
      </w:hyperlink>
      <w:r w:rsidDel="00000000" w:rsidR="00000000" w:rsidRPr="00000000">
        <w:rPr>
          <w:rtl w:val="0"/>
        </w:rPr>
      </w:r>
    </w:p>
    <w:p w:rsidR="00000000" w:rsidDel="00000000" w:rsidP="00000000" w:rsidRDefault="00000000" w:rsidRPr="00000000" w14:paraId="000001AA">
      <w:pPr>
        <w:spacing w:line="240" w:lineRule="auto"/>
        <w:rPr>
          <w:sz w:val="20"/>
          <w:szCs w:val="20"/>
        </w:rPr>
      </w:pPr>
      <w:r w:rsidDel="00000000" w:rsidR="00000000" w:rsidRPr="00000000">
        <w:rPr>
          <w:rtl w:val="0"/>
        </w:rPr>
      </w:r>
    </w:p>
  </w:footnote>
  <w:footnote w:id="55">
    <w:p w:rsidR="00000000" w:rsidDel="00000000" w:rsidP="00000000" w:rsidRDefault="00000000" w:rsidRPr="00000000" w14:paraId="000001AB">
      <w:pPr>
        <w:spacing w:after="80" w:line="280" w:lineRule="auto"/>
        <w:rPr>
          <w:sz w:val="20"/>
          <w:szCs w:val="20"/>
        </w:rPr>
      </w:pPr>
      <w:bookmarkStart w:colFirst="0" w:colLast="0" w:name="_heading=h.1fob9te" w:id="4"/>
      <w:bookmarkEnd w:id="4"/>
      <w:r w:rsidDel="00000000" w:rsidR="00000000" w:rsidRPr="00000000">
        <w:rPr>
          <w:rStyle w:val="FootnoteReference"/>
          <w:vertAlign w:val="superscript"/>
        </w:rPr>
        <w:footnoteRef/>
      </w:r>
      <w:r w:rsidDel="00000000" w:rsidR="00000000" w:rsidRPr="00000000">
        <w:rPr>
          <w:sz w:val="20"/>
          <w:szCs w:val="20"/>
          <w:rtl w:val="0"/>
        </w:rPr>
        <w:t xml:space="preserve"> Change of 205 polling places would affect 312,000 voters. Available at: https://acortar.link/cr2Cz8</w:t>
      </w:r>
    </w:p>
  </w:footnote>
  <w:footnote w:id="56">
    <w:p w:rsidR="00000000" w:rsidDel="00000000" w:rsidP="00000000" w:rsidRDefault="00000000" w:rsidRPr="00000000" w14:paraId="000001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Final report on the 2017 regional elections, Observatorio Electoral Venezolano. See at: </w:t>
      </w:r>
      <w:hyperlink r:id="rId41">
        <w:r w:rsidDel="00000000" w:rsidR="00000000" w:rsidRPr="00000000">
          <w:rPr>
            <w:color w:val="1155cc"/>
            <w:sz w:val="20"/>
            <w:szCs w:val="20"/>
            <w:u w:val="single"/>
            <w:rtl w:val="0"/>
          </w:rPr>
          <w:t xml:space="preserve">https://acortar.link/mVUGKD</w:t>
        </w:r>
      </w:hyperlink>
      <w:r w:rsidDel="00000000" w:rsidR="00000000" w:rsidRPr="00000000">
        <w:rPr>
          <w:rtl w:val="0"/>
        </w:rPr>
      </w:r>
    </w:p>
    <w:p w:rsidR="00000000" w:rsidDel="00000000" w:rsidP="00000000" w:rsidRDefault="00000000" w:rsidRPr="00000000" w14:paraId="000001AD">
      <w:pPr>
        <w:spacing w:line="240" w:lineRule="auto"/>
        <w:rPr>
          <w:sz w:val="20"/>
          <w:szCs w:val="20"/>
        </w:rPr>
      </w:pPr>
      <w:r w:rsidDel="00000000" w:rsidR="00000000" w:rsidRPr="00000000">
        <w:rPr>
          <w:rtl w:val="0"/>
        </w:rPr>
      </w:r>
    </w:p>
  </w:footnote>
  <w:footnote w:id="57">
    <w:p w:rsidR="00000000" w:rsidDel="00000000" w:rsidP="00000000" w:rsidRDefault="00000000" w:rsidRPr="00000000" w14:paraId="000001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National Assembly appointed new CNE rectors. Available at: https://acortar.link/lj0OCR</w:t>
      </w:r>
    </w:p>
    <w:p w:rsidR="00000000" w:rsidDel="00000000" w:rsidP="00000000" w:rsidRDefault="00000000" w:rsidRPr="00000000" w14:paraId="000001AF">
      <w:pPr>
        <w:spacing w:line="240" w:lineRule="auto"/>
        <w:rPr>
          <w:sz w:val="20"/>
          <w:szCs w:val="20"/>
        </w:rPr>
      </w:pPr>
      <w:r w:rsidDel="00000000" w:rsidR="00000000" w:rsidRPr="00000000">
        <w:rPr>
          <w:rtl w:val="0"/>
        </w:rPr>
      </w:r>
    </w:p>
  </w:footnote>
  <w:footnote w:id="58">
    <w:p w:rsidR="00000000" w:rsidDel="00000000" w:rsidP="00000000" w:rsidRDefault="00000000" w:rsidRPr="00000000" w14:paraId="000001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at: </w:t>
      </w:r>
      <w:hyperlink r:id="rId42">
        <w:r w:rsidDel="00000000" w:rsidR="00000000" w:rsidRPr="00000000">
          <w:rPr>
            <w:color w:val="1155cc"/>
            <w:sz w:val="20"/>
            <w:szCs w:val="20"/>
            <w:u w:val="single"/>
            <w:rtl w:val="0"/>
          </w:rPr>
          <w:t xml:space="preserve">https://acortar.link/eojbey</w:t>
        </w:r>
      </w:hyperlink>
      <w:r w:rsidDel="00000000" w:rsidR="00000000" w:rsidRPr="00000000">
        <w:rPr>
          <w:rtl w:val="0"/>
        </w:rPr>
      </w:r>
    </w:p>
    <w:p w:rsidR="00000000" w:rsidDel="00000000" w:rsidP="00000000" w:rsidRDefault="00000000" w:rsidRPr="00000000" w14:paraId="000001B1">
      <w:pPr>
        <w:spacing w:line="240" w:lineRule="auto"/>
        <w:rPr>
          <w:sz w:val="20"/>
          <w:szCs w:val="20"/>
        </w:rPr>
      </w:pPr>
      <w:r w:rsidDel="00000000" w:rsidR="00000000" w:rsidRPr="00000000">
        <w:rPr>
          <w:rtl w:val="0"/>
        </w:rPr>
      </w:r>
    </w:p>
  </w:footnote>
  <w:footnote w:id="59">
    <w:p w:rsidR="00000000" w:rsidDel="00000000" w:rsidP="00000000" w:rsidRDefault="00000000" w:rsidRPr="00000000" w14:paraId="000001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Law Against Corruption. Available at: </w:t>
      </w:r>
      <w:hyperlink r:id="rId43">
        <w:r w:rsidDel="00000000" w:rsidR="00000000" w:rsidRPr="00000000">
          <w:rPr>
            <w:color w:val="1155cc"/>
            <w:sz w:val="20"/>
            <w:szCs w:val="20"/>
            <w:u w:val="single"/>
            <w:rtl w:val="0"/>
          </w:rPr>
          <w:t xml:space="preserve">https://acortar.link/p02WZZ</w:t>
        </w:r>
      </w:hyperlink>
      <w:r w:rsidDel="00000000" w:rsidR="00000000" w:rsidRPr="00000000">
        <w:rPr>
          <w:rtl w:val="0"/>
        </w:rPr>
      </w:r>
    </w:p>
    <w:p w:rsidR="00000000" w:rsidDel="00000000" w:rsidP="00000000" w:rsidRDefault="00000000" w:rsidRPr="00000000" w14:paraId="000001B3">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11" Type="http://schemas.openxmlformats.org/officeDocument/2006/relationships/image" Target="media/image4.png"/><Relationship Id="rId10" Type="http://schemas.openxmlformats.org/officeDocument/2006/relationships/image" Target="media/image2.png"/><Relationship Id="rId12"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acortar.link/vgQZxv" TargetMode="External"/><Relationship Id="rId20" Type="http://schemas.openxmlformats.org/officeDocument/2006/relationships/hyperlink" Target="https://acortar.link/VYvWWM" TargetMode="External"/><Relationship Id="rId42" Type="http://schemas.openxmlformats.org/officeDocument/2006/relationships/hyperlink" Target="https://acortar.link/eojbey" TargetMode="External"/><Relationship Id="rId41" Type="http://schemas.openxmlformats.org/officeDocument/2006/relationships/hyperlink" Target="https://acortar.link/mVUGKD" TargetMode="External"/><Relationship Id="rId22" Type="http://schemas.openxmlformats.org/officeDocument/2006/relationships/hyperlink" Target="https://www.eeas.europa.eu/eom-venezuela-2021/informe-final-moe-ue-venezuela-2021_es?s=4434" TargetMode="External"/><Relationship Id="rId21" Type="http://schemas.openxmlformats.org/officeDocument/2006/relationships/hyperlink" Target="https://acortar.link/VYvWWM" TargetMode="External"/><Relationship Id="rId43" Type="http://schemas.openxmlformats.org/officeDocument/2006/relationships/hyperlink" Target="https://acortar.link/p02WZZ" TargetMode="External"/><Relationship Id="rId24" Type="http://schemas.openxmlformats.org/officeDocument/2006/relationships/hyperlink" Target="https://acortar.link/BbmyMw" TargetMode="External"/><Relationship Id="rId23" Type="http://schemas.openxmlformats.org/officeDocument/2006/relationships/hyperlink" Target="https://acortar.link/EKttY8" TargetMode="External"/><Relationship Id="rId1" Type="http://schemas.openxmlformats.org/officeDocument/2006/relationships/hyperlink" Target="https://cepaz.org/" TargetMode="External"/><Relationship Id="rId2" Type="http://schemas.openxmlformats.org/officeDocument/2006/relationships/hyperlink" Target="https://www.observademocracia.org/" TargetMode="External"/><Relationship Id="rId3" Type="http://schemas.openxmlformats.org/officeDocument/2006/relationships/hyperlink" Target="https://somosvotojoven.com/" TargetMode="External"/><Relationship Id="rId4" Type="http://schemas.openxmlformats.org/officeDocument/2006/relationships/hyperlink" Target="https://acortar.link/Yp4L3W" TargetMode="External"/><Relationship Id="rId9" Type="http://schemas.openxmlformats.org/officeDocument/2006/relationships/hyperlink" Target="https://acortar.link/CUea5K" TargetMode="External"/><Relationship Id="rId26" Type="http://schemas.openxmlformats.org/officeDocument/2006/relationships/hyperlink" Target="https://acortar.link/tRh5uk" TargetMode="External"/><Relationship Id="rId25" Type="http://schemas.openxmlformats.org/officeDocument/2006/relationships/hyperlink" Target="https://acortar.link/sxE3Om" TargetMode="External"/><Relationship Id="rId28" Type="http://schemas.openxmlformats.org/officeDocument/2006/relationships/hyperlink" Target="https://acortar.link/JCHhAY" TargetMode="External"/><Relationship Id="rId27" Type="http://schemas.openxmlformats.org/officeDocument/2006/relationships/hyperlink" Target="https://acortar.link/oKapql" TargetMode="External"/><Relationship Id="rId5" Type="http://schemas.openxmlformats.org/officeDocument/2006/relationships/hyperlink" Target="https://acortar.link/558CpL" TargetMode="External"/><Relationship Id="rId6" Type="http://schemas.openxmlformats.org/officeDocument/2006/relationships/hyperlink" Target="https://acortar.link/GzdelD" TargetMode="External"/><Relationship Id="rId29" Type="http://schemas.openxmlformats.org/officeDocument/2006/relationships/hyperlink" Target="https://acortar.link/HfVB5O" TargetMode="External"/><Relationship Id="rId7" Type="http://schemas.openxmlformats.org/officeDocument/2006/relationships/hyperlink" Target="https://acortar.link/3PPicJ" TargetMode="External"/><Relationship Id="rId8" Type="http://schemas.openxmlformats.org/officeDocument/2006/relationships/hyperlink" Target="http://goo.gl/B2Kobd" TargetMode="External"/><Relationship Id="rId31" Type="http://schemas.openxmlformats.org/officeDocument/2006/relationships/hyperlink" Target="https://acortar.link/cEtIUe" TargetMode="External"/><Relationship Id="rId30" Type="http://schemas.openxmlformats.org/officeDocument/2006/relationships/hyperlink" Target="https://acortar.link/ntKMup" TargetMode="External"/><Relationship Id="rId11" Type="http://schemas.openxmlformats.org/officeDocument/2006/relationships/hyperlink" Target="https://acortar.link/nkJDW0" TargetMode="External"/><Relationship Id="rId33" Type="http://schemas.openxmlformats.org/officeDocument/2006/relationships/hyperlink" Target="https://acortar.link/37ano0" TargetMode="External"/><Relationship Id="rId10" Type="http://schemas.openxmlformats.org/officeDocument/2006/relationships/hyperlink" Target="https://acortar.link/gHSyPy" TargetMode="External"/><Relationship Id="rId32" Type="http://schemas.openxmlformats.org/officeDocument/2006/relationships/hyperlink" Target="https://blog-iacl-aidc.org/test-3/2018/5/26/anlisis-de-las-sentencias-155-y-156-de-la-sala-constitucional-del-tribunal-supremo-de-justicia-de-venezuela-sus-efectos-y-respuesta" TargetMode="External"/><Relationship Id="rId13" Type="http://schemas.openxmlformats.org/officeDocument/2006/relationships/hyperlink" Target="https://acortar.link/eLCCEP" TargetMode="External"/><Relationship Id="rId35" Type="http://schemas.openxmlformats.org/officeDocument/2006/relationships/hyperlink" Target="https://acortar.link/sCT0P4" TargetMode="External"/><Relationship Id="rId12" Type="http://schemas.openxmlformats.org/officeDocument/2006/relationships/hyperlink" Target="https://acortar.link/yt4Ggx" TargetMode="External"/><Relationship Id="rId34" Type="http://schemas.openxmlformats.org/officeDocument/2006/relationships/hyperlink" Target="https://acortar.link/sCT0P4" TargetMode="External"/><Relationship Id="rId15" Type="http://schemas.openxmlformats.org/officeDocument/2006/relationships/hyperlink" Target="https://acortar.link/FasrCi" TargetMode="External"/><Relationship Id="rId37" Type="http://schemas.openxmlformats.org/officeDocument/2006/relationships/hyperlink" Target="https://acortar.link/fvjql1" TargetMode="External"/><Relationship Id="rId14" Type="http://schemas.openxmlformats.org/officeDocument/2006/relationships/hyperlink" Target="https://acortar.link/LedOiM" TargetMode="External"/><Relationship Id="rId36" Type="http://schemas.openxmlformats.org/officeDocument/2006/relationships/hyperlink" Target="https://acortar.link/JAYV8V" TargetMode="External"/><Relationship Id="rId17" Type="http://schemas.openxmlformats.org/officeDocument/2006/relationships/hyperlink" Target="https://acortar.link/0GZuBL" TargetMode="External"/><Relationship Id="rId39" Type="http://schemas.openxmlformats.org/officeDocument/2006/relationships/hyperlink" Target="https://acortar.link/evQVR9" TargetMode="External"/><Relationship Id="rId16" Type="http://schemas.openxmlformats.org/officeDocument/2006/relationships/hyperlink" Target="https://acortar.link/HcT2O6" TargetMode="External"/><Relationship Id="rId38" Type="http://schemas.openxmlformats.org/officeDocument/2006/relationships/hyperlink" Target="https://acortar.link/yqM7Se" TargetMode="External"/><Relationship Id="rId19" Type="http://schemas.openxmlformats.org/officeDocument/2006/relationships/hyperlink" Target="https://acortar.link/pHasju" TargetMode="External"/><Relationship Id="rId18" Type="http://schemas.openxmlformats.org/officeDocument/2006/relationships/hyperlink" Target="https://acortar.link/0xnZ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fFsMBvSg24zusxIs3/tLU8sg3g==">CgMxLjAyDmguY3AwanV0YTk3cjdxMg5oLmtkd29uYmZqY3p4dDIIaC5namRneHMyCWguMzBqMHpsbDIJaC4xZm9iOXRlOAByITFmalVmMGo2MURJUWtfb1RiYmRLNmNmX1VmdTdEQURpVw==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2023-09-05T13:02:00Z</dcterms:created>
</cp:coreProperties>
</file>