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65FA7" w14:textId="3F838BD6" w:rsidR="00DD2D11" w:rsidRPr="00361325" w:rsidRDefault="0061526B" w:rsidP="00C54BF5">
      <w:pPr>
        <w:spacing w:after="0" w:line="240" w:lineRule="auto"/>
        <w:jc w:val="center"/>
        <w:rPr>
          <w:rFonts w:ascii="MetaPro-Norm" w:hAnsi="MetaPro-Norm"/>
        </w:rPr>
      </w:pPr>
      <w:r w:rsidRPr="00361325">
        <w:rPr>
          <w:rFonts w:ascii="MetaPro-Norm" w:hAnsi="MetaPro-Norm"/>
          <w:noProof/>
          <w:color w:val="2B579A"/>
          <w:shd w:val="clear" w:color="auto" w:fill="E6E6E6"/>
        </w:rPr>
        <w:drawing>
          <wp:inline distT="0" distB="0" distL="0" distR="0" wp14:anchorId="418CEA8A" wp14:editId="34F6D177">
            <wp:extent cx="998806" cy="998806"/>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8806" cy="998806"/>
                    </a:xfrm>
                    <a:prstGeom prst="rect">
                      <a:avLst/>
                    </a:prstGeom>
                    <a:noFill/>
                    <a:ln>
                      <a:noFill/>
                    </a:ln>
                  </pic:spPr>
                </pic:pic>
              </a:graphicData>
            </a:graphic>
          </wp:inline>
        </w:drawing>
      </w:r>
    </w:p>
    <w:p w14:paraId="7286AC53" w14:textId="77777777" w:rsidR="0027031F" w:rsidRPr="00361325" w:rsidRDefault="00D31A26" w:rsidP="00C5656B">
      <w:pPr>
        <w:spacing w:after="0" w:line="240" w:lineRule="auto"/>
        <w:jc w:val="center"/>
        <w:rPr>
          <w:rFonts w:ascii="MetaPro-Norm" w:hAnsi="MetaPro-Norm"/>
          <w:b/>
          <w:bCs/>
        </w:rPr>
      </w:pPr>
      <w:r w:rsidRPr="00361325">
        <w:rPr>
          <w:rFonts w:ascii="MetaPro-Norm" w:hAnsi="MetaPro-Norm"/>
          <w:b/>
          <w:bCs/>
        </w:rPr>
        <w:t xml:space="preserve">Human Rights Watch </w:t>
      </w:r>
    </w:p>
    <w:p w14:paraId="0A4C597A" w14:textId="78CA64DD" w:rsidR="000B57F0" w:rsidRPr="00361325" w:rsidRDefault="00933D16" w:rsidP="00C5656B">
      <w:pPr>
        <w:spacing w:after="0" w:line="240" w:lineRule="auto"/>
        <w:jc w:val="center"/>
        <w:rPr>
          <w:rFonts w:ascii="MetaPro-Norm" w:hAnsi="MetaPro-Norm"/>
          <w:b/>
          <w:bCs/>
        </w:rPr>
      </w:pPr>
      <w:r w:rsidRPr="00361325">
        <w:rPr>
          <w:rFonts w:ascii="MetaPro-Norm" w:hAnsi="MetaPro-Norm"/>
          <w:b/>
          <w:bCs/>
        </w:rPr>
        <w:t>Submission</w:t>
      </w:r>
      <w:r w:rsidR="0027031F" w:rsidRPr="00361325">
        <w:rPr>
          <w:rFonts w:ascii="MetaPro-Norm" w:hAnsi="MetaPro-Norm"/>
          <w:b/>
          <w:bCs/>
        </w:rPr>
        <w:t xml:space="preserve"> </w:t>
      </w:r>
      <w:r w:rsidRPr="00361325">
        <w:rPr>
          <w:rFonts w:ascii="MetaPro-Norm" w:hAnsi="MetaPro-Norm"/>
          <w:b/>
          <w:bCs/>
        </w:rPr>
        <w:t>to the Committee on Economic, Social and Cultural Rights</w:t>
      </w:r>
    </w:p>
    <w:p w14:paraId="3AD9DBF3" w14:textId="0D09D57D" w:rsidR="00933D16" w:rsidRPr="00361325" w:rsidRDefault="000B57F0" w:rsidP="00C5656B">
      <w:pPr>
        <w:spacing w:after="0" w:line="240" w:lineRule="auto"/>
        <w:jc w:val="center"/>
        <w:rPr>
          <w:rFonts w:ascii="MetaPro-Norm" w:hAnsi="MetaPro-Norm"/>
          <w:b/>
          <w:bCs/>
        </w:rPr>
      </w:pPr>
      <w:r w:rsidRPr="00361325">
        <w:rPr>
          <w:rFonts w:ascii="MetaPro-Norm" w:hAnsi="MetaPro-Norm"/>
          <w:b/>
          <w:bCs/>
        </w:rPr>
        <w:t xml:space="preserve">Review of </w:t>
      </w:r>
      <w:r w:rsidR="00D31A26" w:rsidRPr="00361325">
        <w:rPr>
          <w:rFonts w:ascii="MetaPro-Norm" w:hAnsi="MetaPro-Norm"/>
          <w:b/>
          <w:bCs/>
        </w:rPr>
        <w:t>the United Kingdom</w:t>
      </w:r>
      <w:r w:rsidR="00B57F2F" w:rsidRPr="00361325">
        <w:rPr>
          <w:rFonts w:ascii="MetaPro-Norm" w:hAnsi="MetaPro-Norm"/>
          <w:b/>
          <w:bCs/>
        </w:rPr>
        <w:t xml:space="preserve"> of </w:t>
      </w:r>
      <w:r w:rsidR="009465AA" w:rsidRPr="00361325">
        <w:rPr>
          <w:rFonts w:ascii="MetaPro-Norm" w:hAnsi="MetaPro-Norm"/>
          <w:b/>
          <w:bCs/>
        </w:rPr>
        <w:t>Great Britain</w:t>
      </w:r>
      <w:r w:rsidR="00B57F2F" w:rsidRPr="00361325">
        <w:rPr>
          <w:rFonts w:ascii="MetaPro-Norm" w:hAnsi="MetaPro-Norm"/>
          <w:b/>
          <w:bCs/>
        </w:rPr>
        <w:t xml:space="preserve"> </w:t>
      </w:r>
      <w:r w:rsidR="009465AA" w:rsidRPr="00361325">
        <w:rPr>
          <w:rFonts w:ascii="MetaPro-Norm" w:hAnsi="MetaPro-Norm"/>
          <w:b/>
          <w:bCs/>
        </w:rPr>
        <w:t>and Northern Ireland</w:t>
      </w:r>
    </w:p>
    <w:p w14:paraId="3DA32BAD" w14:textId="23D8DFD5" w:rsidR="00316310" w:rsidRPr="00361325" w:rsidRDefault="009465AA" w:rsidP="00C5656B">
      <w:pPr>
        <w:spacing w:after="0" w:line="240" w:lineRule="auto"/>
        <w:jc w:val="center"/>
        <w:rPr>
          <w:rFonts w:ascii="MetaPro-Norm" w:hAnsi="MetaPro-Norm"/>
          <w:b/>
          <w:bCs/>
        </w:rPr>
      </w:pPr>
      <w:r w:rsidRPr="00361325">
        <w:rPr>
          <w:rFonts w:ascii="MetaPro-Norm" w:hAnsi="MetaPro-Norm"/>
          <w:b/>
          <w:bCs/>
        </w:rPr>
        <w:t>72nd</w:t>
      </w:r>
      <w:r w:rsidR="008679D1" w:rsidRPr="00361325">
        <w:rPr>
          <w:rFonts w:ascii="MetaPro-Norm" w:hAnsi="MetaPro-Norm"/>
          <w:b/>
          <w:bCs/>
        </w:rPr>
        <w:t xml:space="preserve"> </w:t>
      </w:r>
      <w:r w:rsidR="00316310" w:rsidRPr="00361325">
        <w:rPr>
          <w:rFonts w:ascii="MetaPro-Norm" w:hAnsi="MetaPro-Norm"/>
          <w:b/>
          <w:bCs/>
        </w:rPr>
        <w:t>Pre-Session</w:t>
      </w:r>
    </w:p>
    <w:p w14:paraId="7580E069" w14:textId="13D769A9" w:rsidR="00933D16" w:rsidRPr="00361325" w:rsidRDefault="009465AA" w:rsidP="00C5656B">
      <w:pPr>
        <w:spacing w:after="0" w:line="240" w:lineRule="auto"/>
        <w:jc w:val="center"/>
        <w:rPr>
          <w:rFonts w:ascii="MetaPro-Norm" w:hAnsi="MetaPro-Norm"/>
          <w:b/>
          <w:bCs/>
        </w:rPr>
      </w:pPr>
      <w:r w:rsidRPr="00361325">
        <w:rPr>
          <w:rFonts w:ascii="MetaPro-Norm" w:hAnsi="MetaPro-Norm"/>
          <w:b/>
          <w:bCs/>
        </w:rPr>
        <w:t>January 2023</w:t>
      </w:r>
    </w:p>
    <w:p w14:paraId="0CF4D9FB" w14:textId="555D5F51" w:rsidR="00933D16" w:rsidRPr="00361325" w:rsidRDefault="00933D16" w:rsidP="00C5656B">
      <w:pPr>
        <w:spacing w:after="0" w:line="240" w:lineRule="auto"/>
        <w:rPr>
          <w:rFonts w:ascii="MetaPro-Norm" w:hAnsi="MetaPro-Norm"/>
        </w:rPr>
      </w:pPr>
    </w:p>
    <w:p w14:paraId="7A1E9923" w14:textId="14DCEF97" w:rsidR="00BF7D6F" w:rsidRPr="00361325" w:rsidRDefault="00BF7D6F" w:rsidP="001A2C2B">
      <w:pPr>
        <w:spacing w:after="0" w:line="240" w:lineRule="auto"/>
        <w:rPr>
          <w:rFonts w:ascii="MetaPro-Norm" w:hAnsi="MetaPro-Norm"/>
        </w:rPr>
      </w:pPr>
      <w:r w:rsidRPr="00361325">
        <w:rPr>
          <w:rFonts w:ascii="MetaPro-Norm" w:hAnsi="MetaPro-Norm"/>
        </w:rPr>
        <w:t>We write in advance of the 7</w:t>
      </w:r>
      <w:r w:rsidR="009465AA" w:rsidRPr="00361325">
        <w:rPr>
          <w:rFonts w:ascii="MetaPro-Norm" w:hAnsi="MetaPro-Norm"/>
        </w:rPr>
        <w:t>2nd</w:t>
      </w:r>
      <w:r w:rsidRPr="00361325">
        <w:rPr>
          <w:rFonts w:ascii="MetaPro-Norm" w:hAnsi="MetaPro-Norm"/>
        </w:rPr>
        <w:t xml:space="preserve"> pre-session of the Committee on Economic, Social and Cultural Rights </w:t>
      </w:r>
      <w:r w:rsidR="009465AA" w:rsidRPr="00361325">
        <w:rPr>
          <w:rFonts w:ascii="MetaPro-Norm" w:hAnsi="MetaPro-Norm"/>
        </w:rPr>
        <w:t xml:space="preserve">regarding </w:t>
      </w:r>
      <w:r w:rsidR="00155A78" w:rsidRPr="00361325">
        <w:rPr>
          <w:rFonts w:ascii="MetaPro-Norm" w:hAnsi="MetaPro-Norm"/>
        </w:rPr>
        <w:t>its review of</w:t>
      </w:r>
      <w:r w:rsidRPr="00361325">
        <w:rPr>
          <w:rFonts w:ascii="MetaPro-Norm" w:hAnsi="MetaPro-Norm"/>
        </w:rPr>
        <w:t xml:space="preserve"> </w:t>
      </w:r>
      <w:r w:rsidR="009465AA" w:rsidRPr="00361325">
        <w:rPr>
          <w:rFonts w:ascii="MetaPro-Norm" w:hAnsi="MetaPro-Norm"/>
        </w:rPr>
        <w:t>the United Kingdom</w:t>
      </w:r>
      <w:r w:rsidR="00DE356E" w:rsidRPr="00361325">
        <w:rPr>
          <w:rFonts w:ascii="MetaPro-Norm" w:hAnsi="MetaPro-Norm"/>
        </w:rPr>
        <w:t xml:space="preserve"> of </w:t>
      </w:r>
      <w:r w:rsidR="009465AA" w:rsidRPr="00361325">
        <w:rPr>
          <w:rFonts w:ascii="MetaPro-Norm" w:hAnsi="MetaPro-Norm"/>
        </w:rPr>
        <w:t>Great Britain and Northern Ireland’s</w:t>
      </w:r>
      <w:r w:rsidRPr="00361325">
        <w:rPr>
          <w:rFonts w:ascii="MetaPro-Norm" w:hAnsi="MetaPro-Norm"/>
        </w:rPr>
        <w:t xml:space="preserve"> compliance with the International Covenant on Economic, Social and Cultural Rights</w:t>
      </w:r>
      <w:r w:rsidR="003212E2">
        <w:rPr>
          <w:rFonts w:ascii="MetaPro-Norm" w:hAnsi="MetaPro-Norm"/>
        </w:rPr>
        <w:t xml:space="preserve"> (ICESCR)</w:t>
      </w:r>
      <w:r w:rsidRPr="00361325">
        <w:rPr>
          <w:rFonts w:ascii="MetaPro-Norm" w:hAnsi="MetaPro-Norm"/>
        </w:rPr>
        <w:t>. This submission</w:t>
      </w:r>
      <w:r w:rsidR="00EC3823" w:rsidRPr="00361325">
        <w:rPr>
          <w:rFonts w:ascii="MetaPro-Norm" w:hAnsi="MetaPro-Norm"/>
        </w:rPr>
        <w:t xml:space="preserve"> </w:t>
      </w:r>
      <w:r w:rsidRPr="00361325">
        <w:rPr>
          <w:rFonts w:ascii="MetaPro-Norm" w:hAnsi="MetaPro-Norm"/>
        </w:rPr>
        <w:t>includes information on</w:t>
      </w:r>
      <w:r w:rsidR="003C1A47" w:rsidRPr="00361325">
        <w:rPr>
          <w:rFonts w:ascii="MetaPro-Norm" w:hAnsi="MetaPro-Norm"/>
        </w:rPr>
        <w:t xml:space="preserve"> </w:t>
      </w:r>
      <w:r w:rsidR="00A1686C" w:rsidRPr="00361325">
        <w:rPr>
          <w:rFonts w:ascii="MetaPro-Norm" w:hAnsi="MetaPro-Norm"/>
        </w:rPr>
        <w:t xml:space="preserve">the </w:t>
      </w:r>
      <w:r w:rsidR="15704412" w:rsidRPr="00361325">
        <w:rPr>
          <w:rFonts w:ascii="MetaPro-Norm" w:hAnsi="MetaPro-Norm"/>
        </w:rPr>
        <w:t xml:space="preserve">situation of </w:t>
      </w:r>
      <w:r w:rsidR="00A1686C" w:rsidRPr="00361325">
        <w:rPr>
          <w:rFonts w:ascii="MetaPro-Norm" w:hAnsi="MetaPro-Norm"/>
        </w:rPr>
        <w:t>low-income families</w:t>
      </w:r>
      <w:r w:rsidR="1142E187" w:rsidRPr="00361325">
        <w:rPr>
          <w:rFonts w:ascii="MetaPro-Norm" w:hAnsi="MetaPro-Norm"/>
        </w:rPr>
        <w:t xml:space="preserve"> in temporary accommodation</w:t>
      </w:r>
      <w:r w:rsidR="00A1686C" w:rsidRPr="00361325">
        <w:rPr>
          <w:rFonts w:ascii="MetaPro-Norm" w:hAnsi="MetaPro-Norm"/>
        </w:rPr>
        <w:t>,</w:t>
      </w:r>
      <w:r w:rsidR="00EC3823" w:rsidRPr="00361325">
        <w:rPr>
          <w:rFonts w:ascii="MetaPro-Norm" w:hAnsi="MetaPro-Norm"/>
        </w:rPr>
        <w:t xml:space="preserve"> protection of education from attack, access to education during Covid-19 school closures, </w:t>
      </w:r>
      <w:r w:rsidR="31BAE1BD" w:rsidRPr="00361325">
        <w:rPr>
          <w:rFonts w:ascii="MetaPro-Norm" w:hAnsi="MetaPro-Norm"/>
        </w:rPr>
        <w:t xml:space="preserve">inadequate social security protection, </w:t>
      </w:r>
      <w:r w:rsidR="00EC3823" w:rsidRPr="00361325">
        <w:rPr>
          <w:rFonts w:ascii="MetaPro-Norm" w:hAnsi="MetaPro-Norm"/>
        </w:rPr>
        <w:t>the right to food</w:t>
      </w:r>
      <w:r w:rsidR="4B183D66" w:rsidRPr="00361325">
        <w:rPr>
          <w:rFonts w:ascii="MetaPro-Norm" w:hAnsi="MetaPro-Norm"/>
        </w:rPr>
        <w:t>, and an overarching failure to give ICESCR protections meaningful application in domestic law.</w:t>
      </w:r>
    </w:p>
    <w:p w14:paraId="02CE20C3" w14:textId="770B8110" w:rsidR="006D6D8D" w:rsidRPr="00361325" w:rsidRDefault="006D6D8D" w:rsidP="009465AA">
      <w:pPr>
        <w:spacing w:after="0" w:line="240" w:lineRule="auto"/>
        <w:rPr>
          <w:rFonts w:ascii="MetaPro-Norm" w:hAnsi="MetaPro-Norm"/>
        </w:rPr>
      </w:pPr>
    </w:p>
    <w:p w14:paraId="727534D4" w14:textId="2E5AE53B" w:rsidR="00830179" w:rsidRPr="00361325" w:rsidRDefault="00830179" w:rsidP="00830179">
      <w:pPr>
        <w:pStyle w:val="ListParagraph"/>
        <w:spacing w:after="0"/>
        <w:ind w:left="0"/>
        <w:rPr>
          <w:rFonts w:ascii="MetaPro-Norm" w:hAnsi="MetaPro-Norm"/>
          <w:b/>
          <w:bCs/>
        </w:rPr>
      </w:pPr>
      <w:r w:rsidRPr="00361325">
        <w:rPr>
          <w:rFonts w:ascii="MetaPro-Norm" w:hAnsi="MetaPro-Norm"/>
          <w:b/>
          <w:bCs/>
        </w:rPr>
        <w:t>Failure to fully incorporate social, economic</w:t>
      </w:r>
      <w:r w:rsidR="00BB7FA6" w:rsidRPr="00361325">
        <w:rPr>
          <w:rFonts w:ascii="MetaPro-Norm" w:hAnsi="MetaPro-Norm"/>
          <w:b/>
          <w:bCs/>
        </w:rPr>
        <w:t>,</w:t>
      </w:r>
      <w:r w:rsidRPr="00361325">
        <w:rPr>
          <w:rFonts w:ascii="MetaPro-Norm" w:hAnsi="MetaPro-Norm"/>
          <w:b/>
          <w:bCs/>
        </w:rPr>
        <w:t xml:space="preserve"> and cultural rights protections into domestic legal framework (article 2)</w:t>
      </w:r>
    </w:p>
    <w:p w14:paraId="4F123155" w14:textId="77777777" w:rsidR="00830179" w:rsidRPr="00361325" w:rsidRDefault="00830179" w:rsidP="00C54BF5">
      <w:pPr>
        <w:pStyle w:val="ListParagraph"/>
        <w:numPr>
          <w:ilvl w:val="0"/>
          <w:numId w:val="17"/>
        </w:numPr>
        <w:spacing w:after="0"/>
        <w:ind w:left="0"/>
        <w:rPr>
          <w:rStyle w:val="eop"/>
          <w:rFonts w:ascii="MetaPro-Norm" w:hAnsi="MetaPro-Norm"/>
        </w:rPr>
      </w:pPr>
      <w:r w:rsidRPr="00361325">
        <w:rPr>
          <w:rStyle w:val="eop"/>
          <w:rFonts w:ascii="MetaPro-Norm" w:hAnsi="MetaPro-Norm"/>
        </w:rPr>
        <w:t xml:space="preserve">The UK government has not incorporated the Covenant rights into its domestic legal framework in a manner in which people who assert a violation of a Covenant right can seek legal remedy. </w:t>
      </w:r>
    </w:p>
    <w:p w14:paraId="2C19C354" w14:textId="77777777" w:rsidR="00830179" w:rsidRPr="00361325" w:rsidRDefault="00830179" w:rsidP="00C54BF5">
      <w:pPr>
        <w:pStyle w:val="ListParagraph"/>
        <w:spacing w:after="0"/>
        <w:ind w:left="0"/>
        <w:rPr>
          <w:rStyle w:val="eop"/>
          <w:rFonts w:ascii="MetaPro-Norm" w:hAnsi="MetaPro-Norm"/>
        </w:rPr>
      </w:pPr>
    </w:p>
    <w:p w14:paraId="64672386" w14:textId="3E1DA6EF" w:rsidR="00211EE7" w:rsidRPr="004F4677" w:rsidRDefault="00830179" w:rsidP="00C54BF5">
      <w:pPr>
        <w:pStyle w:val="ListParagraph"/>
        <w:numPr>
          <w:ilvl w:val="0"/>
          <w:numId w:val="17"/>
        </w:numPr>
        <w:spacing w:after="0"/>
        <w:ind w:left="0"/>
        <w:rPr>
          <w:rStyle w:val="eop"/>
          <w:rFonts w:ascii="MetaPro-Norm" w:hAnsi="MetaPro-Norm"/>
        </w:rPr>
      </w:pPr>
      <w:r w:rsidRPr="00361325">
        <w:rPr>
          <w:rStyle w:val="eop"/>
          <w:rFonts w:ascii="MetaPro-Norm" w:hAnsi="MetaPro-Norm"/>
        </w:rPr>
        <w:t>In the State Party Report, the government asserts that “It is possible for an individual to challenge any government decision in the domestic courts if their rights have been breached.”</w:t>
      </w:r>
      <w:r w:rsidRPr="00361325">
        <w:rPr>
          <w:rStyle w:val="FootnoteReference"/>
          <w:rFonts w:ascii="MetaPro-Norm" w:hAnsi="MetaPro-Norm"/>
        </w:rPr>
        <w:footnoteReference w:id="2"/>
      </w:r>
      <w:r w:rsidRPr="00361325">
        <w:rPr>
          <w:rStyle w:val="eop"/>
          <w:rFonts w:ascii="MetaPro-Norm" w:hAnsi="MetaPro-Norm"/>
        </w:rPr>
        <w:t xml:space="preserve"> However, recent jurisprudence from the UK Supreme Court—in litigation asserting violations of the UN C</w:t>
      </w:r>
      <w:r w:rsidR="0021550F">
        <w:rPr>
          <w:rStyle w:val="eop"/>
          <w:rFonts w:ascii="MetaPro-Norm" w:hAnsi="MetaPro-Norm"/>
        </w:rPr>
        <w:t xml:space="preserve">onvention on the </w:t>
      </w:r>
      <w:r w:rsidRPr="00361325">
        <w:rPr>
          <w:rStyle w:val="eop"/>
          <w:rFonts w:ascii="MetaPro-Norm" w:hAnsi="MetaPro-Norm"/>
        </w:rPr>
        <w:t>R</w:t>
      </w:r>
      <w:r w:rsidR="0021550F">
        <w:rPr>
          <w:rStyle w:val="eop"/>
          <w:rFonts w:ascii="MetaPro-Norm" w:hAnsi="MetaPro-Norm"/>
        </w:rPr>
        <w:t xml:space="preserve">ights of the </w:t>
      </w:r>
      <w:r w:rsidRPr="00361325">
        <w:rPr>
          <w:rStyle w:val="eop"/>
          <w:rFonts w:ascii="MetaPro-Norm" w:hAnsi="MetaPro-Norm"/>
        </w:rPr>
        <w:t>C</w:t>
      </w:r>
      <w:r w:rsidR="0021550F">
        <w:rPr>
          <w:rStyle w:val="eop"/>
          <w:rFonts w:ascii="MetaPro-Norm" w:hAnsi="MetaPro-Norm"/>
        </w:rPr>
        <w:t>hild</w:t>
      </w:r>
      <w:r w:rsidR="003212E2">
        <w:rPr>
          <w:rStyle w:val="eop"/>
          <w:rFonts w:ascii="MetaPro-Norm" w:hAnsi="MetaPro-Norm"/>
        </w:rPr>
        <w:t xml:space="preserve"> (CRC)</w:t>
      </w:r>
      <w:r w:rsidRPr="00361325">
        <w:rPr>
          <w:rStyle w:val="eop"/>
          <w:rFonts w:ascii="MetaPro-Norm" w:hAnsi="MetaPro-Norm"/>
        </w:rPr>
        <w:t xml:space="preserve"> in the context of social security policy—makes it unambiguously clear unincorporated international treaties do not form part of the domestic law of the </w:t>
      </w:r>
      <w:r w:rsidR="00F147EE">
        <w:rPr>
          <w:rStyle w:val="eop"/>
          <w:rFonts w:ascii="MetaPro-Norm" w:hAnsi="MetaPro-Norm"/>
        </w:rPr>
        <w:t>UK</w:t>
      </w:r>
      <w:r w:rsidRPr="00361325">
        <w:rPr>
          <w:rStyle w:val="eop"/>
          <w:rFonts w:ascii="MetaPro-Norm" w:hAnsi="MetaPro-Norm"/>
        </w:rPr>
        <w:t xml:space="preserve"> and that there is “no basis […] for any departure from the rule that our domestic courts cannot determine whether this country has violated its obligations under unincorporated international law.”</w:t>
      </w:r>
      <w:r w:rsidRPr="00361325">
        <w:rPr>
          <w:rStyle w:val="FootnoteReference"/>
          <w:rFonts w:ascii="MetaPro-Norm" w:hAnsi="MetaPro-Norm"/>
        </w:rPr>
        <w:footnoteReference w:id="3"/>
      </w:r>
      <w:r w:rsidRPr="00361325">
        <w:rPr>
          <w:rStyle w:val="eop"/>
          <w:rFonts w:ascii="MetaPro-Norm" w:hAnsi="MetaPro-Norm"/>
        </w:rPr>
        <w:t xml:space="preserve"> The failure to incorporate the ICESCR, as is the case with the UN CRC, into domestic law leaves people alleging violations of those rights without a domestic recourse to remedy.</w:t>
      </w:r>
    </w:p>
    <w:p w14:paraId="55E4D0B5" w14:textId="4CF230B3" w:rsidR="00830179" w:rsidRPr="00361325" w:rsidRDefault="00830179" w:rsidP="00830179">
      <w:pPr>
        <w:pStyle w:val="ListParagraph"/>
        <w:numPr>
          <w:ilvl w:val="0"/>
          <w:numId w:val="17"/>
        </w:numPr>
        <w:ind w:left="0"/>
        <w:rPr>
          <w:rStyle w:val="eop"/>
          <w:rFonts w:ascii="MetaPro-Norm" w:hAnsi="MetaPro-Norm"/>
        </w:rPr>
      </w:pPr>
      <w:r w:rsidRPr="00361325">
        <w:rPr>
          <w:rStyle w:val="eop"/>
          <w:rFonts w:ascii="MetaPro-Norm" w:hAnsi="MetaPro-Norm"/>
        </w:rPr>
        <w:t>In addition to the absence of enforceable remedies in domestic courts, the UK government’s failure to ratify the Optional Protocol leaves people who allege violations of rights under the Covenant without the avenue of petitioning the Committee.</w:t>
      </w:r>
    </w:p>
    <w:p w14:paraId="3B4BC58E" w14:textId="77777777" w:rsidR="00830179" w:rsidRPr="00361325" w:rsidRDefault="00830179" w:rsidP="004D3D84">
      <w:pPr>
        <w:pStyle w:val="ListParagraph"/>
        <w:spacing w:after="0"/>
        <w:ind w:left="0"/>
        <w:rPr>
          <w:rStyle w:val="eop"/>
          <w:rFonts w:ascii="MetaPro-Norm" w:hAnsi="MetaPro-Norm"/>
        </w:rPr>
      </w:pPr>
    </w:p>
    <w:p w14:paraId="46279A27" w14:textId="7D902E7C" w:rsidR="00830179" w:rsidRPr="00361325" w:rsidRDefault="00830179" w:rsidP="00830179">
      <w:pPr>
        <w:pStyle w:val="ListParagraph"/>
        <w:numPr>
          <w:ilvl w:val="0"/>
          <w:numId w:val="17"/>
        </w:numPr>
        <w:ind w:left="0"/>
        <w:rPr>
          <w:rFonts w:ascii="MetaPro-Norm" w:hAnsi="MetaPro-Norm"/>
        </w:rPr>
      </w:pPr>
      <w:r w:rsidRPr="00361325">
        <w:rPr>
          <w:rStyle w:val="eop"/>
          <w:rFonts w:ascii="MetaPro-Norm" w:hAnsi="MetaPro-Norm"/>
        </w:rPr>
        <w:t>Since its passage in 2010, the Equality Act’s opening section on the “socioeconomic duty” remains unrealized</w:t>
      </w:r>
      <w:r w:rsidR="29A7FDB2" w:rsidRPr="00361325">
        <w:rPr>
          <w:rStyle w:val="eop"/>
          <w:rFonts w:ascii="MetaPro-Norm" w:hAnsi="MetaPro-Norm"/>
        </w:rPr>
        <w:t xml:space="preserve"> until secondary legislation is passed, bringing it into force</w:t>
      </w:r>
      <w:r w:rsidRPr="00361325">
        <w:rPr>
          <w:rStyle w:val="eop"/>
          <w:rFonts w:ascii="MetaPro-Norm" w:hAnsi="MetaPro-Norm"/>
        </w:rPr>
        <w:t xml:space="preserve">. The duty, if </w:t>
      </w:r>
      <w:r w:rsidR="447D14BB" w:rsidRPr="00361325">
        <w:rPr>
          <w:rStyle w:val="eop"/>
          <w:rFonts w:ascii="MetaPro-Norm" w:hAnsi="MetaPro-Norm"/>
        </w:rPr>
        <w:t xml:space="preserve">the government brings it </w:t>
      </w:r>
      <w:r w:rsidRPr="00361325">
        <w:rPr>
          <w:rStyle w:val="eop"/>
          <w:rFonts w:ascii="MetaPro-Norm" w:hAnsi="MetaPro-Norm"/>
        </w:rPr>
        <w:t xml:space="preserve">into force, could potentially require all public bodies to “have due regard to the desirability of exercising [decisions] in a way that is designed to reduce the inequalities of outcome which result from </w:t>
      </w:r>
      <w:r w:rsidRPr="00361325">
        <w:rPr>
          <w:rStyle w:val="eop"/>
          <w:rFonts w:ascii="MetaPro-Norm" w:hAnsi="MetaPro-Norm"/>
        </w:rPr>
        <w:lastRenderedPageBreak/>
        <w:t>socioeconomic disadvantage.”</w:t>
      </w:r>
      <w:r w:rsidRPr="00361325">
        <w:rPr>
          <w:rStyle w:val="FootnoteReference"/>
          <w:rFonts w:ascii="MetaPro-Norm" w:hAnsi="MetaPro-Norm"/>
        </w:rPr>
        <w:footnoteReference w:id="4"/>
      </w:r>
      <w:r w:rsidRPr="00361325">
        <w:rPr>
          <w:rStyle w:val="eop"/>
          <w:rFonts w:ascii="MetaPro-Norm" w:hAnsi="MetaPro-Norm"/>
        </w:rPr>
        <w:t xml:space="preserve"> Examples from devolved administrations in Scotland</w:t>
      </w:r>
      <w:r w:rsidRPr="00361325">
        <w:rPr>
          <w:rStyle w:val="FootnoteReference"/>
          <w:rFonts w:ascii="MetaPro-Norm" w:hAnsi="MetaPro-Norm"/>
        </w:rPr>
        <w:footnoteReference w:id="5"/>
      </w:r>
      <w:r w:rsidRPr="00361325">
        <w:rPr>
          <w:rStyle w:val="eop"/>
          <w:rFonts w:ascii="MetaPro-Norm" w:hAnsi="MetaPro-Norm"/>
        </w:rPr>
        <w:t xml:space="preserve"> and Wales</w:t>
      </w:r>
      <w:r w:rsidRPr="00361325">
        <w:rPr>
          <w:rStyle w:val="FootnoteReference"/>
          <w:rFonts w:ascii="MetaPro-Norm" w:hAnsi="MetaPro-Norm"/>
        </w:rPr>
        <w:footnoteReference w:id="6"/>
      </w:r>
      <w:r w:rsidRPr="00361325">
        <w:rPr>
          <w:rStyle w:val="eop"/>
          <w:rFonts w:ascii="MetaPro-Norm" w:hAnsi="MetaPro-Norm"/>
        </w:rPr>
        <w:t>, where Section 1 has been brought into force for some public bodies, suggest that such a duty can be useful in improving practice in public decision-making.</w:t>
      </w:r>
      <w:r w:rsidRPr="00361325">
        <w:rPr>
          <w:rStyle w:val="FootnoteReference"/>
          <w:rFonts w:ascii="MetaPro-Norm" w:hAnsi="MetaPro-Norm"/>
        </w:rPr>
        <w:footnoteReference w:id="7"/>
      </w:r>
    </w:p>
    <w:p w14:paraId="4C5C3725" w14:textId="77777777" w:rsidR="00830179" w:rsidRPr="00361325" w:rsidRDefault="00830179" w:rsidP="00830179">
      <w:pPr>
        <w:pStyle w:val="ListParagraph"/>
        <w:spacing w:after="0" w:line="252" w:lineRule="auto"/>
        <w:ind w:left="0"/>
        <w:rPr>
          <w:rFonts w:ascii="MetaPro-Norm" w:hAnsi="MetaPro-Norm"/>
          <w:i/>
          <w:iCs/>
        </w:rPr>
      </w:pPr>
    </w:p>
    <w:p w14:paraId="7851A14E" w14:textId="35DFFAB6" w:rsidR="00830179" w:rsidRPr="00361325" w:rsidRDefault="00830179" w:rsidP="00830179">
      <w:pPr>
        <w:pStyle w:val="ListParagraph"/>
        <w:numPr>
          <w:ilvl w:val="0"/>
          <w:numId w:val="17"/>
        </w:numPr>
        <w:spacing w:after="0" w:line="252" w:lineRule="auto"/>
        <w:ind w:left="0"/>
        <w:rPr>
          <w:rFonts w:ascii="MetaPro-Norm" w:hAnsi="MetaPro-Norm"/>
          <w:i/>
          <w:iCs/>
        </w:rPr>
      </w:pPr>
      <w:r w:rsidRPr="00361325">
        <w:rPr>
          <w:rFonts w:ascii="MetaPro-Norm" w:hAnsi="MetaPro-Norm"/>
          <w:i/>
          <w:iCs/>
        </w:rPr>
        <w:t xml:space="preserve">Human Rights Watch recommends that the </w:t>
      </w:r>
      <w:r w:rsidR="004F4677">
        <w:rPr>
          <w:rFonts w:ascii="MetaPro-Norm" w:hAnsi="MetaPro-Norm"/>
          <w:i/>
          <w:iCs/>
        </w:rPr>
        <w:t>C</w:t>
      </w:r>
      <w:r w:rsidRPr="00361325">
        <w:rPr>
          <w:rFonts w:ascii="MetaPro-Norm" w:hAnsi="MetaPro-Norm"/>
          <w:i/>
          <w:iCs/>
        </w:rPr>
        <w:t>ommittee ask the UK government:</w:t>
      </w:r>
    </w:p>
    <w:p w14:paraId="6EA6370D" w14:textId="77777777" w:rsidR="00830179" w:rsidRPr="00361325" w:rsidRDefault="00830179" w:rsidP="00830179">
      <w:pPr>
        <w:pStyle w:val="ListParagraph"/>
        <w:numPr>
          <w:ilvl w:val="0"/>
          <w:numId w:val="18"/>
        </w:numPr>
        <w:spacing w:after="0" w:line="252" w:lineRule="auto"/>
        <w:rPr>
          <w:rFonts w:ascii="MetaPro-Norm" w:hAnsi="MetaPro-Norm"/>
        </w:rPr>
      </w:pPr>
      <w:r w:rsidRPr="00361325">
        <w:rPr>
          <w:rFonts w:ascii="MetaPro-Norm" w:hAnsi="MetaPro-Norm"/>
        </w:rPr>
        <w:t>To set out precisely what route exists for a person alleging a violation of a right under ICESCR to bring a justiciable legal claim in the domestic courts.</w:t>
      </w:r>
    </w:p>
    <w:p w14:paraId="799AE887" w14:textId="42ECEE58" w:rsidR="00830179" w:rsidRPr="00361325" w:rsidRDefault="00830179" w:rsidP="00830179">
      <w:pPr>
        <w:pStyle w:val="ListParagraph"/>
        <w:numPr>
          <w:ilvl w:val="0"/>
          <w:numId w:val="18"/>
        </w:numPr>
        <w:spacing w:after="0" w:line="252" w:lineRule="auto"/>
        <w:rPr>
          <w:rFonts w:ascii="MetaPro-Norm" w:hAnsi="MetaPro-Norm"/>
        </w:rPr>
      </w:pPr>
      <w:r w:rsidRPr="00361325">
        <w:rPr>
          <w:rFonts w:ascii="MetaPro-Norm" w:hAnsi="MetaPro-Norm"/>
        </w:rPr>
        <w:t xml:space="preserve">Provide further explanation of its refusal to ratify the Optional Protocol in light of the difficulties </w:t>
      </w:r>
      <w:r w:rsidR="00643B6F">
        <w:rPr>
          <w:rFonts w:ascii="MetaPro-Norm" w:hAnsi="MetaPro-Norm"/>
        </w:rPr>
        <w:t xml:space="preserve">of </w:t>
      </w:r>
      <w:r w:rsidRPr="00361325">
        <w:rPr>
          <w:rFonts w:ascii="MetaPro-Norm" w:hAnsi="MetaPro-Norm"/>
        </w:rPr>
        <w:t>enforcing rights under “unincorporated international law” through domestic courts.</w:t>
      </w:r>
    </w:p>
    <w:p w14:paraId="46D77828" w14:textId="7C1D9CA6" w:rsidR="00830179" w:rsidRPr="00361325" w:rsidRDefault="00830179" w:rsidP="00830179">
      <w:pPr>
        <w:pStyle w:val="ListParagraph"/>
        <w:numPr>
          <w:ilvl w:val="0"/>
          <w:numId w:val="18"/>
        </w:numPr>
        <w:spacing w:after="0" w:line="252" w:lineRule="auto"/>
        <w:rPr>
          <w:rFonts w:ascii="MetaPro-Norm" w:hAnsi="MetaPro-Norm"/>
        </w:rPr>
      </w:pPr>
      <w:r w:rsidRPr="00361325">
        <w:rPr>
          <w:rFonts w:ascii="MetaPro-Norm" w:hAnsi="MetaPro-Norm"/>
        </w:rPr>
        <w:t>Explain its delay in bringing into force across the UK the socioeconomic duty contained in Section 1 of the Equality Act 2010</w:t>
      </w:r>
      <w:r w:rsidR="00643B6F">
        <w:rPr>
          <w:rFonts w:ascii="MetaPro-Norm" w:hAnsi="MetaPro-Norm"/>
        </w:rPr>
        <w:t>.</w:t>
      </w:r>
    </w:p>
    <w:p w14:paraId="3A22BA5C" w14:textId="77777777" w:rsidR="00A56517" w:rsidRPr="00361325" w:rsidRDefault="00A56517" w:rsidP="001A2C2B">
      <w:pPr>
        <w:spacing w:after="0" w:line="240" w:lineRule="auto"/>
        <w:rPr>
          <w:rFonts w:ascii="MetaPro-Norm" w:hAnsi="MetaPro-Norm"/>
          <w:b/>
          <w:bCs/>
        </w:rPr>
      </w:pPr>
    </w:p>
    <w:p w14:paraId="0F633A40" w14:textId="534985C3" w:rsidR="009465AA" w:rsidRPr="00361325" w:rsidRDefault="05FB1AC7" w:rsidP="001A2C2B">
      <w:pPr>
        <w:spacing w:after="0" w:line="240" w:lineRule="auto"/>
        <w:rPr>
          <w:rFonts w:ascii="MetaPro-Norm" w:hAnsi="MetaPro-Norm"/>
          <w:b/>
          <w:bCs/>
        </w:rPr>
      </w:pPr>
      <w:r w:rsidRPr="00361325">
        <w:rPr>
          <w:rFonts w:ascii="MetaPro-Norm" w:hAnsi="MetaPro-Norm"/>
          <w:b/>
          <w:bCs/>
        </w:rPr>
        <w:t xml:space="preserve">Low-income families in </w:t>
      </w:r>
      <w:r w:rsidR="00923EDD">
        <w:rPr>
          <w:rFonts w:ascii="MetaPro-Norm" w:hAnsi="MetaPro-Norm"/>
          <w:b/>
          <w:bCs/>
        </w:rPr>
        <w:t>“</w:t>
      </w:r>
      <w:r w:rsidRPr="00361325">
        <w:rPr>
          <w:rFonts w:ascii="MetaPro-Norm" w:hAnsi="MetaPro-Norm"/>
          <w:b/>
          <w:bCs/>
        </w:rPr>
        <w:t>temporary accommodation</w:t>
      </w:r>
      <w:r w:rsidR="00923EDD">
        <w:rPr>
          <w:rFonts w:ascii="MetaPro-Norm" w:hAnsi="MetaPro-Norm"/>
          <w:b/>
          <w:bCs/>
        </w:rPr>
        <w:t>”</w:t>
      </w:r>
      <w:r w:rsidR="003F5DD5" w:rsidRPr="00361325">
        <w:rPr>
          <w:rFonts w:ascii="MetaPro-Norm" w:hAnsi="MetaPro-Norm"/>
          <w:b/>
          <w:bCs/>
        </w:rPr>
        <w:t xml:space="preserve"> (article</w:t>
      </w:r>
      <w:r w:rsidR="00C5440B" w:rsidRPr="00361325">
        <w:rPr>
          <w:rFonts w:ascii="MetaPro-Norm" w:hAnsi="MetaPro-Norm"/>
          <w:b/>
          <w:bCs/>
        </w:rPr>
        <w:t xml:space="preserve">s </w:t>
      </w:r>
      <w:r w:rsidR="1A5FAD88" w:rsidRPr="00361325">
        <w:rPr>
          <w:rFonts w:ascii="MetaPro-Norm" w:hAnsi="MetaPro-Norm"/>
          <w:b/>
          <w:bCs/>
        </w:rPr>
        <w:t xml:space="preserve">2, 9, </w:t>
      </w:r>
      <w:r w:rsidR="00C5440B" w:rsidRPr="00361325">
        <w:rPr>
          <w:rFonts w:ascii="MetaPro-Norm" w:hAnsi="MetaPro-Norm"/>
          <w:b/>
          <w:bCs/>
        </w:rPr>
        <w:t xml:space="preserve">11, </w:t>
      </w:r>
      <w:r w:rsidR="6AC3B389" w:rsidRPr="00361325">
        <w:rPr>
          <w:rFonts w:ascii="MetaPro-Norm" w:hAnsi="MetaPro-Norm"/>
          <w:b/>
          <w:bCs/>
        </w:rPr>
        <w:t xml:space="preserve">12, </w:t>
      </w:r>
      <w:r w:rsidR="00C5440B" w:rsidRPr="00361325">
        <w:rPr>
          <w:rFonts w:ascii="MetaPro-Norm" w:hAnsi="MetaPro-Norm"/>
          <w:b/>
          <w:bCs/>
        </w:rPr>
        <w:t>13</w:t>
      </w:r>
      <w:r w:rsidR="003F5DD5" w:rsidRPr="00361325">
        <w:rPr>
          <w:rFonts w:ascii="MetaPro-Norm" w:hAnsi="MetaPro-Norm"/>
          <w:b/>
          <w:bCs/>
        </w:rPr>
        <w:t>)</w:t>
      </w:r>
    </w:p>
    <w:p w14:paraId="42A13AF2" w14:textId="1D79F750" w:rsidR="00390039" w:rsidRPr="00361325" w:rsidRDefault="00BE32B4" w:rsidP="00A56517">
      <w:pPr>
        <w:pStyle w:val="ListParagraph"/>
        <w:numPr>
          <w:ilvl w:val="0"/>
          <w:numId w:val="17"/>
        </w:numPr>
        <w:spacing w:after="0" w:line="240" w:lineRule="auto"/>
        <w:ind w:left="0"/>
        <w:rPr>
          <w:rFonts w:ascii="MetaPro-Norm" w:hAnsi="MetaPro-Norm"/>
        </w:rPr>
      </w:pPr>
      <w:r w:rsidRPr="00361325">
        <w:rPr>
          <w:rFonts w:ascii="MetaPro-Norm" w:hAnsi="MetaPro-Norm"/>
        </w:rPr>
        <w:t>Over the last decade, there has been a 65 percent increase in the number of families living in temporary accommodation in England, from 36,640 households in 2011 to 60,490 households in 2021.</w:t>
      </w:r>
      <w:r w:rsidR="00ED2BF4" w:rsidRPr="00361325">
        <w:rPr>
          <w:rStyle w:val="FootnoteReference"/>
          <w:rFonts w:ascii="MetaPro-Norm" w:hAnsi="MetaPro-Norm"/>
        </w:rPr>
        <w:footnoteReference w:id="8"/>
      </w:r>
      <w:r w:rsidRPr="00361325">
        <w:rPr>
          <w:rFonts w:ascii="MetaPro-Norm" w:hAnsi="MetaPro-Norm"/>
        </w:rPr>
        <w:t> The majority of these families live in London. Official data from October 2021 estimated that there were 42,290 households with children in temporary accommodation in London, including</w:t>
      </w:r>
      <w:r w:rsidR="00550A17">
        <w:rPr>
          <w:rFonts w:ascii="MetaPro-Norm" w:hAnsi="MetaPro-Norm"/>
        </w:rPr>
        <w:t xml:space="preserve"> </w:t>
      </w:r>
      <w:r w:rsidRPr="00361325">
        <w:rPr>
          <w:rFonts w:ascii="MetaPro-Norm" w:hAnsi="MetaPro-Norm"/>
        </w:rPr>
        <w:t>86,450 children.</w:t>
      </w:r>
      <w:r w:rsidR="00ED2BF4" w:rsidRPr="00361325">
        <w:rPr>
          <w:rStyle w:val="FootnoteReference"/>
          <w:rFonts w:ascii="MetaPro-Norm" w:hAnsi="MetaPro-Norm"/>
        </w:rPr>
        <w:footnoteReference w:id="9"/>
      </w:r>
      <w:r w:rsidRPr="00361325">
        <w:rPr>
          <w:rFonts w:ascii="MetaPro-Norm" w:hAnsi="MetaPro-Norm"/>
        </w:rPr>
        <w:t> This means that approximately 70 percent of all families in temporary accommodation are living in the capital.</w:t>
      </w:r>
    </w:p>
    <w:p w14:paraId="4F3242CD" w14:textId="77777777" w:rsidR="00BE32B4" w:rsidRPr="00361325" w:rsidRDefault="00BE32B4" w:rsidP="00A56517">
      <w:pPr>
        <w:spacing w:after="0" w:line="240" w:lineRule="auto"/>
        <w:rPr>
          <w:rFonts w:ascii="MetaPro-Norm" w:hAnsi="MetaPro-Norm"/>
        </w:rPr>
      </w:pPr>
    </w:p>
    <w:p w14:paraId="3445694C" w14:textId="260C9FB8" w:rsidR="003F5DD5" w:rsidRPr="00361325" w:rsidRDefault="000A087A" w:rsidP="00A56517">
      <w:pPr>
        <w:pStyle w:val="ListParagraph"/>
        <w:numPr>
          <w:ilvl w:val="0"/>
          <w:numId w:val="17"/>
        </w:numPr>
        <w:spacing w:after="0" w:line="240" w:lineRule="auto"/>
        <w:ind w:left="0"/>
        <w:rPr>
          <w:rFonts w:ascii="MetaPro-Norm" w:hAnsi="MetaPro-Norm"/>
        </w:rPr>
      </w:pPr>
      <w:r w:rsidRPr="00361325">
        <w:rPr>
          <w:rFonts w:ascii="MetaPro-Norm" w:hAnsi="MetaPro-Norm"/>
        </w:rPr>
        <w:t>In a January 202</w:t>
      </w:r>
      <w:r w:rsidR="00B417C2" w:rsidRPr="00361325">
        <w:rPr>
          <w:rFonts w:ascii="MetaPro-Norm" w:hAnsi="MetaPro-Norm"/>
        </w:rPr>
        <w:t>2</w:t>
      </w:r>
      <w:r w:rsidRPr="00361325">
        <w:rPr>
          <w:rFonts w:ascii="MetaPro-Norm" w:hAnsi="MetaPro-Norm"/>
        </w:rPr>
        <w:t xml:space="preserve"> report, Human Rights Watch found that </w:t>
      </w:r>
      <w:r w:rsidR="00F86229" w:rsidRPr="00361325">
        <w:rPr>
          <w:rFonts w:ascii="MetaPro-Norm" w:hAnsi="MetaPro-Norm"/>
        </w:rPr>
        <w:t>children in London are growing up in substandard and uninhabitable “temporary accommodation” as a result of persistent policy failures by central and local government</w:t>
      </w:r>
      <w:r w:rsidR="00B81F8B" w:rsidRPr="00361325">
        <w:rPr>
          <w:rFonts w:ascii="MetaPro-Norm" w:hAnsi="MetaPro-Norm"/>
        </w:rPr>
        <w:t>, and that the UK government is failing in its duty to ensure the right to adequate housing for homeless families</w:t>
      </w:r>
      <w:r w:rsidR="00F86229" w:rsidRPr="00361325">
        <w:rPr>
          <w:rFonts w:ascii="MetaPro-Norm" w:hAnsi="MetaPro-Norm"/>
        </w:rPr>
        <w:t>.</w:t>
      </w:r>
      <w:r w:rsidR="00F86229" w:rsidRPr="00361325">
        <w:rPr>
          <w:rStyle w:val="FootnoteReference"/>
          <w:rFonts w:ascii="MetaPro-Norm" w:hAnsi="MetaPro-Norm"/>
        </w:rPr>
        <w:footnoteReference w:id="10"/>
      </w:r>
    </w:p>
    <w:p w14:paraId="4D582292" w14:textId="493314E1" w:rsidR="00B81F8B" w:rsidRPr="00361325" w:rsidRDefault="00B81F8B" w:rsidP="00A56517">
      <w:pPr>
        <w:spacing w:after="0" w:line="240" w:lineRule="auto"/>
        <w:rPr>
          <w:rFonts w:ascii="MetaPro-Norm" w:hAnsi="MetaPro-Norm"/>
        </w:rPr>
      </w:pPr>
    </w:p>
    <w:p w14:paraId="2DDC77ED" w14:textId="77777777" w:rsidR="00F010A0" w:rsidRDefault="002A25E8" w:rsidP="00090852">
      <w:pPr>
        <w:pStyle w:val="ListParagraph"/>
        <w:numPr>
          <w:ilvl w:val="0"/>
          <w:numId w:val="17"/>
        </w:numPr>
        <w:spacing w:after="0" w:line="240" w:lineRule="auto"/>
        <w:ind w:left="0"/>
        <w:rPr>
          <w:rFonts w:ascii="MetaPro-Norm" w:hAnsi="MetaPro-Norm"/>
        </w:rPr>
      </w:pPr>
      <w:r w:rsidRPr="00361325">
        <w:rPr>
          <w:rFonts w:ascii="MetaPro-Norm" w:hAnsi="MetaPro-Norm"/>
        </w:rPr>
        <w:t>Between May 2021 and October 2021, Human Rights Watch interviewed 75 people, including 33 who were either currently living in, or had recently left, temporary accommodation in various boroughs across London.</w:t>
      </w:r>
      <w:r w:rsidR="00090852">
        <w:rPr>
          <w:rFonts w:ascii="MetaPro-Norm" w:hAnsi="MetaPro-Norm"/>
        </w:rPr>
        <w:t xml:space="preserve"> </w:t>
      </w:r>
    </w:p>
    <w:p w14:paraId="7DF187ED" w14:textId="77777777" w:rsidR="00F010A0" w:rsidRPr="00F010A0" w:rsidRDefault="00F010A0" w:rsidP="00F010A0">
      <w:pPr>
        <w:pStyle w:val="ListParagraph"/>
        <w:rPr>
          <w:rFonts w:ascii="MetaPro-Norm" w:hAnsi="MetaPro-Norm"/>
        </w:rPr>
      </w:pPr>
    </w:p>
    <w:p w14:paraId="579A0DEC" w14:textId="1A2C3AE7" w:rsidR="00EA7D87" w:rsidRPr="00090852" w:rsidRDefault="001C601E" w:rsidP="00090852">
      <w:pPr>
        <w:pStyle w:val="ListParagraph"/>
        <w:numPr>
          <w:ilvl w:val="0"/>
          <w:numId w:val="17"/>
        </w:numPr>
        <w:spacing w:after="0" w:line="240" w:lineRule="auto"/>
        <w:ind w:left="0"/>
        <w:rPr>
          <w:rFonts w:ascii="MetaPro-Norm" w:hAnsi="MetaPro-Norm"/>
        </w:rPr>
      </w:pPr>
      <w:r w:rsidRPr="00090852">
        <w:rPr>
          <w:rFonts w:ascii="MetaPro-Norm" w:hAnsi="MetaPro-Norm"/>
        </w:rPr>
        <w:t>People interviewed described conditions including toxic mold, cold temperatures, and a lack of adequate space in their temporary accommodation</w:t>
      </w:r>
      <w:r w:rsidR="24135B1F" w:rsidRPr="00090852">
        <w:rPr>
          <w:rFonts w:ascii="MetaPro-Norm" w:hAnsi="MetaPro-Norm"/>
        </w:rPr>
        <w:t>, affecting the right to health</w:t>
      </w:r>
      <w:r w:rsidRPr="00090852">
        <w:rPr>
          <w:rFonts w:ascii="MetaPro-Norm" w:hAnsi="MetaPro-Norm"/>
        </w:rPr>
        <w:t>. The situation is worsened by the fact that some families live in “temporary” accommodation for several years.</w:t>
      </w:r>
      <w:r w:rsidR="00E95996" w:rsidRPr="00090852">
        <w:rPr>
          <w:rFonts w:ascii="MetaPro-Norm" w:hAnsi="MetaPro-Norm"/>
        </w:rPr>
        <w:t xml:space="preserve"> </w:t>
      </w:r>
    </w:p>
    <w:p w14:paraId="2E852701" w14:textId="77777777" w:rsidR="00EA7D87" w:rsidRPr="00361325" w:rsidRDefault="00EA7D87" w:rsidP="00A56517">
      <w:pPr>
        <w:spacing w:after="0" w:line="240" w:lineRule="auto"/>
        <w:rPr>
          <w:rFonts w:ascii="MetaPro-Norm" w:hAnsi="MetaPro-Norm"/>
        </w:rPr>
      </w:pPr>
    </w:p>
    <w:p w14:paraId="3AD2C976" w14:textId="3B4DFD8A" w:rsidR="00E95996" w:rsidRPr="00361325" w:rsidRDefault="00EA7D87" w:rsidP="00A56517">
      <w:pPr>
        <w:pStyle w:val="ListParagraph"/>
        <w:numPr>
          <w:ilvl w:val="0"/>
          <w:numId w:val="17"/>
        </w:numPr>
        <w:spacing w:after="0" w:line="240" w:lineRule="auto"/>
        <w:ind w:left="0"/>
        <w:rPr>
          <w:rFonts w:ascii="MetaPro-Norm" w:hAnsi="MetaPro-Norm"/>
        </w:rPr>
      </w:pPr>
      <w:r w:rsidRPr="00361325">
        <w:rPr>
          <w:rFonts w:ascii="MetaPro-Norm" w:hAnsi="MetaPro-Norm"/>
        </w:rPr>
        <w:t xml:space="preserve">As a part of austerity-driven cuts to </w:t>
      </w:r>
      <w:r w:rsidR="52AB3AE1" w:rsidRPr="00361325">
        <w:rPr>
          <w:rFonts w:ascii="MetaPro-Norm" w:hAnsi="MetaPro-Norm"/>
        </w:rPr>
        <w:t>social security support</w:t>
      </w:r>
      <w:r w:rsidRPr="00361325">
        <w:rPr>
          <w:rFonts w:ascii="MetaPro-Norm" w:hAnsi="MetaPro-Norm"/>
        </w:rPr>
        <w:t xml:space="preserve">, the government decreased the amount of housing benefits privately renting tenants can receive by reforming a calculation method known as Local </w:t>
      </w:r>
      <w:r w:rsidRPr="00361325">
        <w:rPr>
          <w:rFonts w:ascii="MetaPro-Norm" w:hAnsi="MetaPro-Norm"/>
        </w:rPr>
        <w:lastRenderedPageBreak/>
        <w:t xml:space="preserve">Housing Allowance. In 2011, the government altered the amount from covering 50 </w:t>
      </w:r>
      <w:r w:rsidR="00A30B25">
        <w:rPr>
          <w:rFonts w:ascii="MetaPro-Norm" w:hAnsi="MetaPro-Norm"/>
        </w:rPr>
        <w:t xml:space="preserve">to 30 </w:t>
      </w:r>
      <w:r w:rsidRPr="00361325">
        <w:rPr>
          <w:rFonts w:ascii="MetaPro-Norm" w:hAnsi="MetaPro-Norm"/>
        </w:rPr>
        <w:t>percent of local rents. Meanwhile, the cost of private renting rose. </w:t>
      </w:r>
      <w:r w:rsidR="00E95996" w:rsidRPr="00361325">
        <w:rPr>
          <w:rFonts w:ascii="MetaPro-Norm" w:hAnsi="MetaPro-Norm"/>
        </w:rPr>
        <w:t>The number of families living in temporary accommodation in England has increased by 65 percent since April 2011, when Local Housing Allowance rates were first changed.</w:t>
      </w:r>
    </w:p>
    <w:p w14:paraId="6493E6A4" w14:textId="1903FD5E" w:rsidR="00C3177C" w:rsidRPr="00361325" w:rsidRDefault="00C3177C" w:rsidP="00A56517">
      <w:pPr>
        <w:spacing w:after="0" w:line="240" w:lineRule="auto"/>
        <w:rPr>
          <w:rFonts w:ascii="MetaPro-Norm" w:hAnsi="MetaPro-Norm"/>
        </w:rPr>
      </w:pPr>
    </w:p>
    <w:p w14:paraId="6E28F73A" w14:textId="2DBBB96C" w:rsidR="004F4677" w:rsidRPr="00550A17" w:rsidRDefault="000B5860" w:rsidP="00550A17">
      <w:pPr>
        <w:pStyle w:val="ListParagraph"/>
        <w:numPr>
          <w:ilvl w:val="0"/>
          <w:numId w:val="17"/>
        </w:numPr>
        <w:spacing w:after="0" w:line="240" w:lineRule="auto"/>
        <w:ind w:left="0"/>
        <w:rPr>
          <w:rFonts w:ascii="MetaPro-Norm" w:hAnsi="MetaPro-Norm"/>
        </w:rPr>
      </w:pPr>
      <w:r w:rsidRPr="00361325">
        <w:rPr>
          <w:rFonts w:ascii="MetaPro-Norm" w:hAnsi="MetaPro-Norm"/>
        </w:rPr>
        <w:t>Human Rights Watch also documented how temporary accommodation can interfere with children’s right to education. The effects of inadequate housing were even more pronounced during the Covid-19 pandemic school closures. The lack of physical space means it is difficult for children to concentrate or find a quiet environment to do their work. Learning also requires access to capable devices and reliable, affordable, and accessible internet—however, most people interviewed said their temporary accommodation lacked Wi-Fi.</w:t>
      </w:r>
    </w:p>
    <w:p w14:paraId="2C4E3303" w14:textId="77777777" w:rsidR="004F4677" w:rsidRPr="00361325" w:rsidRDefault="004F4677" w:rsidP="00A56517">
      <w:pPr>
        <w:spacing w:after="0" w:line="240" w:lineRule="auto"/>
        <w:rPr>
          <w:rFonts w:ascii="MetaPro-Norm" w:hAnsi="MetaPro-Norm"/>
        </w:rPr>
      </w:pPr>
    </w:p>
    <w:p w14:paraId="16E4680B" w14:textId="593273AB" w:rsidR="0071155E" w:rsidRPr="00361325" w:rsidRDefault="0071155E" w:rsidP="00A56517">
      <w:pPr>
        <w:pStyle w:val="ListParagraph"/>
        <w:numPr>
          <w:ilvl w:val="0"/>
          <w:numId w:val="17"/>
        </w:numPr>
        <w:spacing w:after="0" w:line="264" w:lineRule="auto"/>
        <w:ind w:left="0"/>
        <w:rPr>
          <w:rFonts w:ascii="MetaPro-Norm" w:hAnsi="MetaPro-Norm"/>
          <w:i/>
          <w:iCs/>
        </w:rPr>
      </w:pPr>
      <w:r w:rsidRPr="00361325">
        <w:rPr>
          <w:rFonts w:ascii="MetaPro-Norm" w:hAnsi="MetaPro-Norm"/>
          <w:i/>
          <w:iCs/>
        </w:rPr>
        <w:t xml:space="preserve">Human Rights Watch recommends that the Committee ask the government of </w:t>
      </w:r>
      <w:r w:rsidR="00851B61" w:rsidRPr="00361325">
        <w:rPr>
          <w:rFonts w:ascii="MetaPro-Norm" w:hAnsi="MetaPro-Norm"/>
          <w:i/>
          <w:iCs/>
        </w:rPr>
        <w:t>the UK</w:t>
      </w:r>
      <w:r w:rsidRPr="00361325">
        <w:rPr>
          <w:rFonts w:ascii="MetaPro-Norm" w:hAnsi="MetaPro-Norm"/>
          <w:i/>
          <w:iCs/>
        </w:rPr>
        <w:t>:</w:t>
      </w:r>
    </w:p>
    <w:p w14:paraId="22D88C0D" w14:textId="25A93324" w:rsidR="00830179" w:rsidRPr="002B479B" w:rsidRDefault="00211B08" w:rsidP="002B479B">
      <w:pPr>
        <w:pStyle w:val="ListParagraph"/>
        <w:numPr>
          <w:ilvl w:val="0"/>
          <w:numId w:val="19"/>
        </w:numPr>
        <w:spacing w:after="0" w:line="264" w:lineRule="auto"/>
        <w:rPr>
          <w:rFonts w:ascii="MetaPro-Norm" w:hAnsi="MetaPro-Norm"/>
        </w:rPr>
      </w:pPr>
      <w:r w:rsidRPr="00361325">
        <w:rPr>
          <w:rFonts w:ascii="MetaPro-Norm" w:hAnsi="MetaPro-Norm"/>
        </w:rPr>
        <w:t xml:space="preserve">What measures is the government taking or planning to take to reduce the number of children and families in temporary accommodation and </w:t>
      </w:r>
      <w:r w:rsidR="003F7F78" w:rsidRPr="00361325">
        <w:rPr>
          <w:rFonts w:ascii="MetaPro-Norm" w:hAnsi="MetaPro-Norm"/>
        </w:rPr>
        <w:t>help them secure</w:t>
      </w:r>
      <w:r w:rsidRPr="00361325">
        <w:rPr>
          <w:rFonts w:ascii="MetaPro-Norm" w:hAnsi="MetaPro-Norm"/>
        </w:rPr>
        <w:t xml:space="preserve"> permanent </w:t>
      </w:r>
      <w:r w:rsidR="003F7F78" w:rsidRPr="00361325">
        <w:rPr>
          <w:rFonts w:ascii="MetaPro-Norm" w:hAnsi="MetaPro-Norm"/>
        </w:rPr>
        <w:t xml:space="preserve">and affordable </w:t>
      </w:r>
      <w:r w:rsidRPr="00361325">
        <w:rPr>
          <w:rFonts w:ascii="MetaPro-Norm" w:hAnsi="MetaPro-Norm"/>
        </w:rPr>
        <w:t>housing?</w:t>
      </w:r>
    </w:p>
    <w:p w14:paraId="69552CE8" w14:textId="73C9E163" w:rsidR="00211B08" w:rsidRPr="00361325" w:rsidRDefault="00856B4B" w:rsidP="00830179">
      <w:pPr>
        <w:pStyle w:val="ListParagraph"/>
        <w:numPr>
          <w:ilvl w:val="0"/>
          <w:numId w:val="19"/>
        </w:numPr>
        <w:spacing w:after="0" w:line="264" w:lineRule="auto"/>
        <w:rPr>
          <w:rFonts w:ascii="MetaPro-Norm" w:hAnsi="MetaPro-Norm"/>
        </w:rPr>
      </w:pPr>
      <w:r w:rsidRPr="00361325">
        <w:rPr>
          <w:rFonts w:ascii="MetaPro-Norm" w:hAnsi="MetaPro-Norm"/>
        </w:rPr>
        <w:t xml:space="preserve">What measures is the government taking or planning to take to allocate educational resources to vulnerable and low-income groups, including </w:t>
      </w:r>
      <w:r w:rsidR="002B68F7" w:rsidRPr="00361325">
        <w:rPr>
          <w:rFonts w:ascii="MetaPro-Norm" w:hAnsi="MetaPro-Norm"/>
        </w:rPr>
        <w:t>children living in temporary accommodation or other forms of substandard housing?</w:t>
      </w:r>
    </w:p>
    <w:p w14:paraId="68643053" w14:textId="77777777" w:rsidR="003F7F78" w:rsidRPr="00361325" w:rsidRDefault="003F7F78" w:rsidP="00A56517">
      <w:pPr>
        <w:spacing w:after="0" w:line="264" w:lineRule="auto"/>
        <w:rPr>
          <w:rFonts w:ascii="MetaPro-Norm" w:hAnsi="MetaPro-Norm"/>
        </w:rPr>
      </w:pPr>
    </w:p>
    <w:p w14:paraId="0BE24198" w14:textId="26CB1D5E" w:rsidR="00D878F3" w:rsidRPr="00361325" w:rsidRDefault="00D878F3" w:rsidP="00A56517">
      <w:pPr>
        <w:pStyle w:val="ListParagraph"/>
        <w:numPr>
          <w:ilvl w:val="0"/>
          <w:numId w:val="17"/>
        </w:numPr>
        <w:spacing w:after="0" w:line="240" w:lineRule="auto"/>
        <w:ind w:left="0"/>
        <w:rPr>
          <w:rFonts w:ascii="MetaPro-Norm" w:hAnsi="MetaPro-Norm"/>
        </w:rPr>
      </w:pPr>
      <w:r w:rsidRPr="00361325">
        <w:rPr>
          <w:rFonts w:ascii="MetaPro-Norm" w:hAnsi="MetaPro-Norm"/>
          <w:i/>
          <w:iCs/>
        </w:rPr>
        <w:t xml:space="preserve">Human Rights Watch recommends that the Committee call on the government of </w:t>
      </w:r>
      <w:r w:rsidR="00851B61" w:rsidRPr="00361325">
        <w:rPr>
          <w:rFonts w:ascii="MetaPro-Norm" w:hAnsi="MetaPro-Norm"/>
          <w:i/>
          <w:iCs/>
        </w:rPr>
        <w:t>the UK</w:t>
      </w:r>
      <w:r w:rsidRPr="00361325">
        <w:rPr>
          <w:rFonts w:ascii="MetaPro-Norm" w:hAnsi="MetaPro-Norm"/>
          <w:i/>
          <w:iCs/>
        </w:rPr>
        <w:t xml:space="preserve"> to:</w:t>
      </w:r>
    </w:p>
    <w:p w14:paraId="73BF3D80" w14:textId="405C249B" w:rsidR="00396A88" w:rsidRPr="00361325" w:rsidRDefault="00396A88" w:rsidP="00A06540">
      <w:pPr>
        <w:pStyle w:val="ListParagraph"/>
        <w:numPr>
          <w:ilvl w:val="0"/>
          <w:numId w:val="20"/>
        </w:numPr>
        <w:spacing w:after="0" w:line="240" w:lineRule="auto"/>
        <w:rPr>
          <w:rFonts w:ascii="MetaPro-Norm" w:hAnsi="MetaPro-Norm"/>
        </w:rPr>
      </w:pPr>
      <w:r w:rsidRPr="00361325">
        <w:rPr>
          <w:rFonts w:ascii="MetaPro-Norm" w:hAnsi="MetaPro-Norm"/>
        </w:rPr>
        <w:t xml:space="preserve">Enshrine the right to housing in domestic law as a basic human right, </w:t>
      </w:r>
      <w:r w:rsidR="00537C72" w:rsidRPr="00361325">
        <w:rPr>
          <w:rFonts w:ascii="MetaPro-Norm" w:hAnsi="MetaPro-Norm"/>
        </w:rPr>
        <w:t>e</w:t>
      </w:r>
      <w:r w:rsidRPr="00361325">
        <w:rPr>
          <w:rFonts w:ascii="MetaPro-Norm" w:hAnsi="MetaPro-Norm"/>
        </w:rPr>
        <w:t>nsuring that all who experience a violation of this right, by being denied adequate housing, have access to speedy and effective remedies.</w:t>
      </w:r>
    </w:p>
    <w:p w14:paraId="0AA74653" w14:textId="5945773F" w:rsidR="00396A88" w:rsidRPr="00361325" w:rsidRDefault="00396A88" w:rsidP="00A06540">
      <w:pPr>
        <w:pStyle w:val="ListParagraph"/>
        <w:numPr>
          <w:ilvl w:val="0"/>
          <w:numId w:val="20"/>
        </w:numPr>
        <w:spacing w:after="0" w:line="240" w:lineRule="auto"/>
        <w:rPr>
          <w:rFonts w:ascii="MetaPro-Norm" w:hAnsi="MetaPro-Norm"/>
        </w:rPr>
      </w:pPr>
      <w:r w:rsidRPr="00361325">
        <w:rPr>
          <w:rFonts w:ascii="MetaPro-Norm" w:hAnsi="MetaPro-Norm"/>
        </w:rPr>
        <w:t>Ratify the Optional Protocol to the International Covenant on Economic, Social and Cultural Rights.</w:t>
      </w:r>
    </w:p>
    <w:p w14:paraId="4E0D9035" w14:textId="1E066557" w:rsidR="00B31085" w:rsidRPr="00361325" w:rsidRDefault="00B31085" w:rsidP="00A06540">
      <w:pPr>
        <w:pStyle w:val="ListParagraph"/>
        <w:numPr>
          <w:ilvl w:val="0"/>
          <w:numId w:val="20"/>
        </w:numPr>
        <w:rPr>
          <w:rFonts w:ascii="MetaPro-Norm" w:hAnsi="MetaPro-Norm"/>
        </w:rPr>
      </w:pPr>
      <w:r w:rsidRPr="00361325">
        <w:rPr>
          <w:rFonts w:ascii="MetaPro-Norm" w:hAnsi="MetaPro-Norm"/>
        </w:rPr>
        <w:t>Ensure a sufficient supply of housing, in particular by increasing the amount of affordable social housing with long-term tenancies</w:t>
      </w:r>
      <w:r w:rsidR="003466F1" w:rsidRPr="00361325">
        <w:rPr>
          <w:rFonts w:ascii="MetaPro-Norm" w:hAnsi="MetaPro-Norm"/>
        </w:rPr>
        <w:t>.</w:t>
      </w:r>
    </w:p>
    <w:p w14:paraId="5D2733C6" w14:textId="25420A5F" w:rsidR="002B68F7" w:rsidRPr="00361325" w:rsidRDefault="002B68F7" w:rsidP="00A06540">
      <w:pPr>
        <w:pStyle w:val="ListParagraph"/>
        <w:numPr>
          <w:ilvl w:val="0"/>
          <w:numId w:val="20"/>
        </w:numPr>
        <w:rPr>
          <w:rFonts w:ascii="MetaPro-Norm" w:hAnsi="MetaPro-Norm"/>
        </w:rPr>
      </w:pPr>
      <w:r w:rsidRPr="00361325">
        <w:rPr>
          <w:rFonts w:ascii="MetaPro-Norm" w:hAnsi="MetaPro-Norm"/>
        </w:rPr>
        <w:t>Create an internal quality standards framework that covers potential issues including toxic mold, protection from the cold, adequate space, and other habitability concerns</w:t>
      </w:r>
      <w:r w:rsidR="003466F1" w:rsidRPr="00361325">
        <w:rPr>
          <w:rFonts w:ascii="MetaPro-Norm" w:hAnsi="MetaPro-Norm"/>
        </w:rPr>
        <w:t>.</w:t>
      </w:r>
    </w:p>
    <w:p w14:paraId="38E0273B" w14:textId="37ED9A6C" w:rsidR="001C601E" w:rsidRPr="00361325" w:rsidRDefault="00A73CF7" w:rsidP="00A06540">
      <w:pPr>
        <w:pStyle w:val="ListParagraph"/>
        <w:numPr>
          <w:ilvl w:val="0"/>
          <w:numId w:val="20"/>
        </w:numPr>
        <w:spacing w:after="0" w:line="240" w:lineRule="auto"/>
        <w:rPr>
          <w:rFonts w:ascii="MetaPro-Norm" w:hAnsi="MetaPro-Norm"/>
        </w:rPr>
      </w:pPr>
      <w:r w:rsidRPr="00361325">
        <w:rPr>
          <w:rFonts w:ascii="MetaPro-Norm" w:hAnsi="MetaPro-Norm"/>
        </w:rPr>
        <w:t>Provide free, equitable access to quality internet for households living in temporary accommodation with children in primary, secondary or tertiary education, including through Wi-Fi installations, data voucher plans, and zero-rating educational websites.</w:t>
      </w:r>
    </w:p>
    <w:p w14:paraId="34F38540" w14:textId="77777777" w:rsidR="00993BC1" w:rsidRPr="00361325" w:rsidRDefault="00993BC1" w:rsidP="00A56517">
      <w:pPr>
        <w:spacing w:after="0" w:line="264" w:lineRule="auto"/>
        <w:rPr>
          <w:rFonts w:ascii="MetaPro-Norm" w:hAnsi="MetaPro-Norm"/>
          <w:color w:val="000000" w:themeColor="text1"/>
        </w:rPr>
      </w:pPr>
    </w:p>
    <w:p w14:paraId="6C1B3F8F" w14:textId="6FC1EA66" w:rsidR="0033314D" w:rsidRPr="00361325" w:rsidRDefault="00CE746F" w:rsidP="00D5614B">
      <w:pPr>
        <w:pStyle w:val="ListParagraph"/>
        <w:spacing w:after="0" w:line="240" w:lineRule="auto"/>
        <w:ind w:left="0"/>
        <w:rPr>
          <w:rFonts w:ascii="MetaPro-Norm" w:eastAsia="Calibri" w:hAnsi="MetaPro-Norm" w:cs="Calibri"/>
          <w:b/>
          <w:bCs/>
          <w:color w:val="000000" w:themeColor="text1"/>
        </w:rPr>
      </w:pPr>
      <w:r w:rsidRPr="00361325">
        <w:rPr>
          <w:rFonts w:ascii="MetaPro-Norm" w:hAnsi="MetaPro-Norm"/>
          <w:b/>
          <w:bCs/>
        </w:rPr>
        <w:t xml:space="preserve">Access to </w:t>
      </w:r>
      <w:r w:rsidR="009E75DF">
        <w:rPr>
          <w:rFonts w:ascii="MetaPro-Norm" w:hAnsi="MetaPro-Norm"/>
          <w:b/>
          <w:bCs/>
        </w:rPr>
        <w:t>e</w:t>
      </w:r>
      <w:r w:rsidRPr="00361325">
        <w:rPr>
          <w:rFonts w:ascii="MetaPro-Norm" w:hAnsi="MetaPro-Norm"/>
          <w:b/>
          <w:bCs/>
        </w:rPr>
        <w:t>ducation during Covid-19-</w:t>
      </w:r>
      <w:r w:rsidR="009E75DF">
        <w:rPr>
          <w:rFonts w:ascii="MetaPro-Norm" w:hAnsi="MetaPro-Norm"/>
          <w:b/>
          <w:bCs/>
        </w:rPr>
        <w:t>r</w:t>
      </w:r>
      <w:r w:rsidRPr="00361325">
        <w:rPr>
          <w:rFonts w:ascii="MetaPro-Norm" w:hAnsi="MetaPro-Norm"/>
          <w:b/>
          <w:bCs/>
        </w:rPr>
        <w:t xml:space="preserve">elated </w:t>
      </w:r>
      <w:r w:rsidR="009E75DF">
        <w:rPr>
          <w:rFonts w:ascii="MetaPro-Norm" w:hAnsi="MetaPro-Norm"/>
          <w:b/>
          <w:bCs/>
        </w:rPr>
        <w:t>s</w:t>
      </w:r>
      <w:r w:rsidRPr="00361325">
        <w:rPr>
          <w:rFonts w:ascii="MetaPro-Norm" w:hAnsi="MetaPro-Norm"/>
          <w:b/>
          <w:bCs/>
        </w:rPr>
        <w:t xml:space="preserve">chool </w:t>
      </w:r>
      <w:r w:rsidR="009E75DF">
        <w:rPr>
          <w:rFonts w:ascii="MetaPro-Norm" w:hAnsi="MetaPro-Norm"/>
          <w:b/>
          <w:bCs/>
        </w:rPr>
        <w:t>c</w:t>
      </w:r>
      <w:r w:rsidRPr="00361325">
        <w:rPr>
          <w:rFonts w:ascii="MetaPro-Norm" w:hAnsi="MetaPro-Norm"/>
          <w:b/>
          <w:bCs/>
        </w:rPr>
        <w:t xml:space="preserve">losures </w:t>
      </w:r>
      <w:r w:rsidRPr="00361325">
        <w:rPr>
          <w:rFonts w:ascii="MetaPro-Norm" w:eastAsia="Calibri" w:hAnsi="MetaPro-Norm" w:cs="Calibri"/>
          <w:b/>
          <w:bCs/>
          <w:color w:val="000000" w:themeColor="text1"/>
        </w:rPr>
        <w:t>(article 13)</w:t>
      </w:r>
    </w:p>
    <w:p w14:paraId="73B905B8" w14:textId="6BDA9982" w:rsidR="001060BE" w:rsidRDefault="00AD7268" w:rsidP="009A328F">
      <w:pPr>
        <w:pStyle w:val="ListParagraph"/>
        <w:numPr>
          <w:ilvl w:val="0"/>
          <w:numId w:val="17"/>
        </w:numPr>
        <w:spacing w:after="0" w:line="240" w:lineRule="auto"/>
        <w:ind w:left="0"/>
        <w:rPr>
          <w:rFonts w:ascii="MetaPro-Norm" w:hAnsi="MetaPro-Norm"/>
        </w:rPr>
      </w:pPr>
      <w:r w:rsidRPr="00361325">
        <w:rPr>
          <w:rFonts w:ascii="MetaPro-Norm" w:eastAsia="MetaPro-Norm" w:hAnsi="MetaPro-Norm" w:cs="MetaPro-Norm"/>
        </w:rPr>
        <w:t xml:space="preserve">In response to the Covid-19 pandemic, </w:t>
      </w:r>
      <w:r w:rsidR="005A784F" w:rsidRPr="00361325">
        <w:rPr>
          <w:rFonts w:ascii="MetaPro-Norm" w:eastAsia="MetaPro-Norm" w:hAnsi="MetaPro-Norm" w:cs="MetaPro-Norm"/>
        </w:rPr>
        <w:t xml:space="preserve">UK </w:t>
      </w:r>
      <w:r w:rsidRPr="00361325">
        <w:rPr>
          <w:rFonts w:ascii="MetaPro-Norm" w:eastAsia="MetaPro-Norm" w:hAnsi="MetaPro-Norm" w:cs="MetaPro-Norm"/>
        </w:rPr>
        <w:t>schools</w:t>
      </w:r>
      <w:r w:rsidR="005A784F" w:rsidRPr="00361325">
        <w:rPr>
          <w:rFonts w:ascii="MetaPro-Norm" w:eastAsia="MetaPro-Norm" w:hAnsi="MetaPro-Norm" w:cs="MetaPro-Norm"/>
        </w:rPr>
        <w:t xml:space="preserve"> </w:t>
      </w:r>
      <w:r w:rsidRPr="00361325">
        <w:rPr>
          <w:rFonts w:ascii="MetaPro-Norm" w:eastAsia="MetaPro-Norm" w:hAnsi="MetaPro-Norm" w:cs="MetaPro-Norm"/>
        </w:rPr>
        <w:t>were fully closed for 1</w:t>
      </w:r>
      <w:r w:rsidR="005A784F" w:rsidRPr="00361325">
        <w:rPr>
          <w:rFonts w:ascii="MetaPro-Norm" w:eastAsia="MetaPro-Norm" w:hAnsi="MetaPro-Norm" w:cs="MetaPro-Norm"/>
        </w:rPr>
        <w:t>6</w:t>
      </w:r>
      <w:r w:rsidRPr="00361325">
        <w:rPr>
          <w:rFonts w:ascii="MetaPro-Norm" w:eastAsia="MetaPro-Norm" w:hAnsi="MetaPro-Norm" w:cs="MetaPro-Norm"/>
        </w:rPr>
        <w:t xml:space="preserve"> weeks and</w:t>
      </w:r>
      <w:r w:rsidR="0030399A" w:rsidRPr="00361325">
        <w:rPr>
          <w:rFonts w:ascii="MetaPro-Norm" w:eastAsia="MetaPro-Norm" w:hAnsi="MetaPro-Norm" w:cs="MetaPro-Norm"/>
        </w:rPr>
        <w:t xml:space="preserve"> </w:t>
      </w:r>
      <w:r w:rsidRPr="00361325">
        <w:rPr>
          <w:rFonts w:ascii="MetaPro-Norm" w:eastAsia="MetaPro-Norm" w:hAnsi="MetaPro-Norm" w:cs="MetaPro-Norm"/>
        </w:rPr>
        <w:t>partially open for 1</w:t>
      </w:r>
      <w:r w:rsidR="00A374C6" w:rsidRPr="00361325">
        <w:rPr>
          <w:rFonts w:ascii="MetaPro-Norm" w:eastAsia="MetaPro-Norm" w:hAnsi="MetaPro-Norm" w:cs="MetaPro-Norm"/>
        </w:rPr>
        <w:t>1</w:t>
      </w:r>
      <w:r w:rsidRPr="00361325">
        <w:rPr>
          <w:rFonts w:ascii="MetaPro-Norm" w:eastAsia="MetaPro-Norm" w:hAnsi="MetaPro-Norm" w:cs="MetaPro-Norm"/>
        </w:rPr>
        <w:t xml:space="preserve"> weeks</w:t>
      </w:r>
      <w:r w:rsidR="0045130E" w:rsidRPr="00361325">
        <w:rPr>
          <w:rFonts w:ascii="MetaPro-Norm" w:eastAsia="MetaPro-Norm" w:hAnsi="MetaPro-Norm" w:cs="MetaPro-Norm"/>
        </w:rPr>
        <w:t>, affecting the nation-wide school population of 11.8 million students</w:t>
      </w:r>
      <w:r w:rsidRPr="00361325">
        <w:rPr>
          <w:rFonts w:ascii="MetaPro-Norm" w:eastAsia="MetaPro-Norm" w:hAnsi="MetaPro-Norm" w:cs="MetaPro-Norm"/>
        </w:rPr>
        <w:t>.</w:t>
      </w:r>
      <w:r w:rsidRPr="00361325">
        <w:rPr>
          <w:rFonts w:ascii="MetaPro-Norm" w:hAnsi="MetaPro-Norm"/>
          <w:vertAlign w:val="superscript"/>
        </w:rPr>
        <w:footnoteReference w:id="11"/>
      </w:r>
      <w:r w:rsidRPr="00361325">
        <w:rPr>
          <w:rFonts w:ascii="MetaPro-Norm" w:eastAsia="MetaPro-Norm" w:hAnsi="MetaPro-Norm" w:cs="MetaPro-Norm"/>
        </w:rPr>
        <w:t xml:space="preserve"> </w:t>
      </w:r>
      <w:r w:rsidR="00A374C6" w:rsidRPr="00361325">
        <w:rPr>
          <w:rFonts w:ascii="MetaPro-Norm" w:eastAsia="MetaPro-Norm" w:hAnsi="MetaPro-Norm" w:cs="MetaPro-Norm"/>
        </w:rPr>
        <w:t>S</w:t>
      </w:r>
      <w:r w:rsidRPr="00361325">
        <w:rPr>
          <w:rFonts w:ascii="MetaPro-Norm" w:eastAsia="MetaPro-Norm" w:hAnsi="MetaPro-Norm" w:cs="MetaPro-Norm"/>
        </w:rPr>
        <w:t xml:space="preserve">chools fully opened by </w:t>
      </w:r>
      <w:r w:rsidR="00C04DA5" w:rsidRPr="00361325">
        <w:rPr>
          <w:rFonts w:ascii="MetaPro-Norm" w:eastAsia="MetaPro-Norm" w:hAnsi="MetaPro-Norm" w:cs="MetaPro-Norm"/>
        </w:rPr>
        <w:t>April 2021</w:t>
      </w:r>
      <w:r w:rsidRPr="00361325">
        <w:rPr>
          <w:rFonts w:ascii="MetaPro-Norm" w:eastAsia="MetaPro-Norm" w:hAnsi="MetaPro-Norm" w:cs="MetaPro-Norm"/>
        </w:rPr>
        <w:t>.</w:t>
      </w:r>
      <w:r w:rsidR="00470580" w:rsidRPr="00361325">
        <w:rPr>
          <w:rFonts w:ascii="MetaPro-Norm" w:eastAsia="MetaPro-Norm" w:hAnsi="MetaPro-Norm" w:cs="MetaPro-Norm"/>
        </w:rPr>
        <w:t xml:space="preserve"> </w:t>
      </w:r>
      <w:r w:rsidR="0016265E" w:rsidRPr="00361325">
        <w:rPr>
          <w:rFonts w:ascii="MetaPro-Norm" w:hAnsi="MetaPro-Norm"/>
        </w:rPr>
        <w:t>Some of the s</w:t>
      </w:r>
      <w:r w:rsidR="001060BE" w:rsidRPr="00361325">
        <w:rPr>
          <w:rFonts w:ascii="MetaPro-Norm" w:hAnsi="MetaPro-Norm"/>
        </w:rPr>
        <w:t xml:space="preserve">tudents, teachers, and parents we interviewed reported </w:t>
      </w:r>
      <w:r w:rsidR="0016265E" w:rsidRPr="00361325">
        <w:rPr>
          <w:rFonts w:ascii="MetaPro-Norm" w:hAnsi="MetaPro-Norm"/>
        </w:rPr>
        <w:t xml:space="preserve">that many students were left to </w:t>
      </w:r>
      <w:r w:rsidR="00610BD2" w:rsidRPr="00361325">
        <w:rPr>
          <w:rFonts w:ascii="MetaPro-Norm" w:hAnsi="MetaPro-Norm"/>
        </w:rPr>
        <w:t>learn</w:t>
      </w:r>
      <w:r w:rsidR="0016265E" w:rsidRPr="00361325">
        <w:rPr>
          <w:rFonts w:ascii="MetaPro-Norm" w:hAnsi="MetaPro-Norm"/>
        </w:rPr>
        <w:t xml:space="preserve"> on their own</w:t>
      </w:r>
      <w:r w:rsidR="00610BD2" w:rsidRPr="00361325">
        <w:rPr>
          <w:rFonts w:ascii="MetaPro-Norm" w:hAnsi="MetaPro-Norm"/>
        </w:rPr>
        <w:t xml:space="preserve">, </w:t>
      </w:r>
      <w:r w:rsidR="00115CE2" w:rsidRPr="00361325">
        <w:rPr>
          <w:rFonts w:ascii="MetaPro-Norm" w:hAnsi="MetaPro-Norm"/>
        </w:rPr>
        <w:t xml:space="preserve">had fewer hours of instruction or fewer subjects because of teaching conditions, or needed </w:t>
      </w:r>
      <w:r w:rsidR="00FC41DF" w:rsidRPr="00361325">
        <w:rPr>
          <w:rFonts w:ascii="MetaPro-Norm" w:hAnsi="MetaPro-Norm"/>
        </w:rPr>
        <w:t xml:space="preserve">their </w:t>
      </w:r>
      <w:r w:rsidR="00115CE2" w:rsidRPr="00361325">
        <w:rPr>
          <w:rFonts w:ascii="MetaPro-Norm" w:hAnsi="MetaPro-Norm"/>
        </w:rPr>
        <w:t>parents’ assistance to learn</w:t>
      </w:r>
      <w:r w:rsidR="00FC41DF" w:rsidRPr="00361325">
        <w:rPr>
          <w:rFonts w:ascii="MetaPro-Norm" w:hAnsi="MetaPro-Norm"/>
        </w:rPr>
        <w:t xml:space="preserve"> when their parents reported not having the capability to do so</w:t>
      </w:r>
      <w:r w:rsidR="0030399A" w:rsidRPr="00361325">
        <w:rPr>
          <w:rFonts w:ascii="MetaPro-Norm" w:hAnsi="MetaPro-Norm"/>
        </w:rPr>
        <w:t>—</w:t>
      </w:r>
      <w:r w:rsidR="00FC41DF" w:rsidRPr="00361325">
        <w:rPr>
          <w:rFonts w:ascii="MetaPro-Norm" w:hAnsi="MetaPro-Norm"/>
        </w:rPr>
        <w:t>leading to a diminished quality of education.</w:t>
      </w:r>
      <w:r w:rsidR="00F77D53" w:rsidRPr="00361325">
        <w:rPr>
          <w:rStyle w:val="FootnoteReference"/>
          <w:rFonts w:ascii="MetaPro-Norm" w:hAnsi="MetaPro-Norm"/>
        </w:rPr>
        <w:footnoteReference w:id="12"/>
      </w:r>
      <w:r w:rsidR="00221D19" w:rsidRPr="00361325">
        <w:rPr>
          <w:rFonts w:ascii="MetaPro-Norm" w:hAnsi="MetaPro-Norm"/>
        </w:rPr>
        <w:t xml:space="preserve"> </w:t>
      </w:r>
    </w:p>
    <w:p w14:paraId="3C3FF083" w14:textId="77777777" w:rsidR="004D3D84" w:rsidRPr="004D3D84" w:rsidRDefault="004D3D84" w:rsidP="004D3D84">
      <w:pPr>
        <w:spacing w:after="0" w:line="240" w:lineRule="auto"/>
        <w:rPr>
          <w:rFonts w:ascii="MetaPro-Norm" w:hAnsi="MetaPro-Norm"/>
        </w:rPr>
      </w:pPr>
    </w:p>
    <w:p w14:paraId="09CFDC2E" w14:textId="21661F74" w:rsidR="00C00A74" w:rsidRPr="00361325" w:rsidRDefault="004F0447" w:rsidP="00A56517">
      <w:pPr>
        <w:pStyle w:val="ListParagraph"/>
        <w:numPr>
          <w:ilvl w:val="0"/>
          <w:numId w:val="17"/>
        </w:numPr>
        <w:spacing w:after="0" w:line="240" w:lineRule="auto"/>
        <w:ind w:left="0"/>
        <w:rPr>
          <w:rFonts w:ascii="MetaPro-Norm" w:hAnsi="MetaPro-Norm"/>
        </w:rPr>
      </w:pPr>
      <w:r w:rsidRPr="00361325">
        <w:rPr>
          <w:rFonts w:ascii="MetaPro-Norm" w:hAnsi="MetaPro-Norm"/>
        </w:rPr>
        <w:t>School closures due to the pandemic all too frequently resulted in alternatives that were not accessible for children with disabilities, risking their exclusion from education.</w:t>
      </w:r>
      <w:r w:rsidRPr="00361325">
        <w:rPr>
          <w:rStyle w:val="FootnoteReference"/>
          <w:rFonts w:ascii="MetaPro-Norm" w:hAnsi="MetaPro-Norm"/>
        </w:rPr>
        <w:footnoteReference w:id="13"/>
      </w:r>
      <w:r w:rsidRPr="00361325">
        <w:rPr>
          <w:rFonts w:ascii="MetaPro-Norm" w:hAnsi="MetaPro-Norm"/>
        </w:rPr>
        <w:t xml:space="preserve"> </w:t>
      </w:r>
      <w:r w:rsidR="00956A32" w:rsidRPr="00361325">
        <w:rPr>
          <w:rFonts w:ascii="MetaPro-Norm" w:hAnsi="MetaPro-Norm"/>
        </w:rPr>
        <w:t>The switch to learning using internet-connected devices often created access</w:t>
      </w:r>
      <w:r w:rsidR="00767863">
        <w:rPr>
          <w:rFonts w:ascii="MetaPro-Norm" w:hAnsi="MetaPro-Norm"/>
        </w:rPr>
        <w:t>ibility</w:t>
      </w:r>
      <w:r w:rsidR="00956A32" w:rsidRPr="00361325">
        <w:rPr>
          <w:rFonts w:ascii="MetaPro-Norm" w:hAnsi="MetaPro-Norm"/>
        </w:rPr>
        <w:t xml:space="preserve"> issues for children if the technology was not suited to their disability</w:t>
      </w:r>
      <w:r w:rsidR="00C46CDC" w:rsidRPr="00361325">
        <w:rPr>
          <w:rFonts w:ascii="MetaPro-Norm" w:hAnsi="MetaPro-Norm"/>
        </w:rPr>
        <w:t>.</w:t>
      </w:r>
    </w:p>
    <w:p w14:paraId="713B98AB" w14:textId="165CD554" w:rsidR="00D60A54" w:rsidRPr="00361325" w:rsidRDefault="00D60A54" w:rsidP="00A56517">
      <w:pPr>
        <w:spacing w:after="0" w:line="240" w:lineRule="auto"/>
        <w:rPr>
          <w:rFonts w:ascii="MetaPro-Norm" w:hAnsi="MetaPro-Norm"/>
        </w:rPr>
      </w:pPr>
    </w:p>
    <w:p w14:paraId="7EFFD146" w14:textId="33A7A35B" w:rsidR="00245A09" w:rsidRPr="00361325" w:rsidRDefault="00D51889" w:rsidP="00A56517">
      <w:pPr>
        <w:pStyle w:val="ListParagraph"/>
        <w:numPr>
          <w:ilvl w:val="0"/>
          <w:numId w:val="17"/>
        </w:numPr>
        <w:spacing w:after="0" w:line="240" w:lineRule="auto"/>
        <w:ind w:left="0"/>
        <w:rPr>
          <w:rFonts w:ascii="MetaPro-Norm" w:hAnsi="MetaPro-Norm"/>
          <w:b/>
          <w:bCs/>
        </w:rPr>
      </w:pPr>
      <w:r w:rsidRPr="00361325">
        <w:rPr>
          <w:rFonts w:ascii="MetaPro-Norm" w:hAnsi="MetaPro-Norm"/>
        </w:rPr>
        <w:t xml:space="preserve">Barriers to access distance learning opportunities also tended to be particularly high for students from groups who were more likely to face exclusion from education even before the pandemic, including children </w:t>
      </w:r>
      <w:r w:rsidR="00F95541" w:rsidRPr="00361325">
        <w:rPr>
          <w:rFonts w:ascii="MetaPro-Norm" w:hAnsi="MetaPro-Norm"/>
        </w:rPr>
        <w:t xml:space="preserve">who come </w:t>
      </w:r>
      <w:r w:rsidRPr="00361325">
        <w:rPr>
          <w:rFonts w:ascii="MetaPro-Norm" w:hAnsi="MetaPro-Norm"/>
        </w:rPr>
        <w:t>from low-income groups.</w:t>
      </w:r>
      <w:r w:rsidR="00221B51" w:rsidRPr="00361325">
        <w:rPr>
          <w:rFonts w:ascii="MetaPro-Norm" w:hAnsi="MetaPro-Norm"/>
        </w:rPr>
        <w:t xml:space="preserve"> Some students may have </w:t>
      </w:r>
      <w:r w:rsidR="0099768D" w:rsidRPr="00361325">
        <w:rPr>
          <w:rFonts w:ascii="MetaPro-Norm" w:hAnsi="MetaPro-Norm"/>
        </w:rPr>
        <w:t>un</w:t>
      </w:r>
      <w:r w:rsidR="00221B51" w:rsidRPr="00361325">
        <w:rPr>
          <w:rFonts w:ascii="MetaPro-Norm" w:hAnsi="MetaPro-Norm"/>
        </w:rPr>
        <w:t>reliable internet</w:t>
      </w:r>
      <w:r w:rsidR="0099768D" w:rsidRPr="00361325">
        <w:rPr>
          <w:rFonts w:ascii="MetaPro-Norm" w:hAnsi="MetaPro-Norm"/>
        </w:rPr>
        <w:t xml:space="preserve">, </w:t>
      </w:r>
      <w:r w:rsidR="00221B51" w:rsidRPr="00361325">
        <w:rPr>
          <w:rFonts w:ascii="MetaPro-Norm" w:hAnsi="MetaPro-Norm"/>
        </w:rPr>
        <w:t>limited access to devices</w:t>
      </w:r>
      <w:r w:rsidR="0099768D" w:rsidRPr="00361325">
        <w:rPr>
          <w:rFonts w:ascii="MetaPro-Norm" w:hAnsi="MetaPro-Norm"/>
        </w:rPr>
        <w:t>, or no access at all</w:t>
      </w:r>
      <w:r w:rsidR="00FC0CD9" w:rsidRPr="00361325">
        <w:rPr>
          <w:rFonts w:ascii="MetaPro-Norm" w:hAnsi="MetaPro-Norm"/>
        </w:rPr>
        <w:t>.</w:t>
      </w:r>
      <w:r w:rsidR="00802035" w:rsidRPr="00361325">
        <w:rPr>
          <w:rFonts w:ascii="MetaPro-Norm" w:hAnsi="MetaPro-Norm"/>
        </w:rPr>
        <w:t xml:space="preserve"> Statistics published in 2020 by the UK’s Office of National Statistics reflect that most households only have access to broadband internet that would struggle to handle the internet needed to receive live synchronous teaching over video—the kind of teaching that was adopted or attempted by many schools in the U</w:t>
      </w:r>
      <w:r w:rsidR="00144C45">
        <w:rPr>
          <w:rFonts w:ascii="MetaPro-Norm" w:hAnsi="MetaPro-Norm"/>
        </w:rPr>
        <w:t>K</w:t>
      </w:r>
      <w:r w:rsidR="00802035" w:rsidRPr="00361325">
        <w:rPr>
          <w:rFonts w:ascii="MetaPro-Norm" w:hAnsi="MetaPro-Norm"/>
        </w:rPr>
        <w:t>.</w:t>
      </w:r>
      <w:r w:rsidR="00802035" w:rsidRPr="00361325">
        <w:rPr>
          <w:rFonts w:ascii="MetaPro-Norm" w:hAnsi="MetaPro-Norm"/>
          <w:vertAlign w:val="superscript"/>
        </w:rPr>
        <w:footnoteReference w:id="14"/>
      </w:r>
      <w:r w:rsidR="00820F54" w:rsidRPr="00361325">
        <w:rPr>
          <w:rFonts w:ascii="MetaPro-Norm" w:hAnsi="MetaPro-Norm"/>
        </w:rPr>
        <w:t xml:space="preserve"> </w:t>
      </w:r>
    </w:p>
    <w:p w14:paraId="41338751" w14:textId="42F9005E" w:rsidR="00211A3E" w:rsidRPr="00361325" w:rsidRDefault="00211A3E" w:rsidP="00A56517">
      <w:pPr>
        <w:spacing w:after="0" w:line="240" w:lineRule="auto"/>
        <w:rPr>
          <w:rFonts w:ascii="MetaPro-Norm" w:hAnsi="MetaPro-Norm"/>
        </w:rPr>
      </w:pPr>
    </w:p>
    <w:p w14:paraId="658FE592" w14:textId="1B85FACB" w:rsidR="00B61500" w:rsidRPr="00361325" w:rsidRDefault="0076628E" w:rsidP="00A56517">
      <w:pPr>
        <w:pStyle w:val="ListParagraph"/>
        <w:numPr>
          <w:ilvl w:val="0"/>
          <w:numId w:val="17"/>
        </w:numPr>
        <w:spacing w:after="0" w:line="240" w:lineRule="auto"/>
        <w:ind w:left="0"/>
        <w:rPr>
          <w:rFonts w:ascii="MetaPro-Norm" w:hAnsi="MetaPro-Norm"/>
          <w:b/>
          <w:bCs/>
        </w:rPr>
      </w:pPr>
      <w:r w:rsidRPr="00361325">
        <w:rPr>
          <w:rFonts w:ascii="MetaPro-Norm" w:hAnsi="MetaPro-Norm"/>
        </w:rPr>
        <w:t>Many teachers were expected to continue teaching during school closures, but their own access to adequate devices and connectivity varied</w:t>
      </w:r>
      <w:r w:rsidR="00A07090" w:rsidRPr="00361325">
        <w:rPr>
          <w:rFonts w:ascii="MetaPro-Norm" w:hAnsi="MetaPro-Norm"/>
        </w:rPr>
        <w:t>.</w:t>
      </w:r>
      <w:r w:rsidRPr="00361325">
        <w:rPr>
          <w:rFonts w:ascii="MetaPro-Norm" w:hAnsi="MetaPro-Norm"/>
        </w:rPr>
        <w:t xml:space="preserve"> </w:t>
      </w:r>
      <w:r w:rsidR="005411C7" w:rsidRPr="00361325">
        <w:rPr>
          <w:rFonts w:ascii="MetaPro-Norm" w:hAnsi="MetaPro-Norm"/>
        </w:rPr>
        <w:t xml:space="preserve">Many teachers were not provided with </w:t>
      </w:r>
      <w:r w:rsidR="00A07090" w:rsidRPr="00361325">
        <w:rPr>
          <w:rFonts w:ascii="MetaPro-Norm" w:hAnsi="MetaPro-Norm"/>
        </w:rPr>
        <w:t>the training</w:t>
      </w:r>
      <w:r w:rsidR="005411C7" w:rsidRPr="00361325">
        <w:rPr>
          <w:rFonts w:ascii="MetaPro-Norm" w:hAnsi="MetaPro-Norm"/>
        </w:rPr>
        <w:t xml:space="preserve"> to deliver remote learning.</w:t>
      </w:r>
    </w:p>
    <w:p w14:paraId="4488F21A" w14:textId="77777777" w:rsidR="00E84BCC" w:rsidRPr="00361325" w:rsidRDefault="00E84BCC" w:rsidP="00A56517">
      <w:pPr>
        <w:spacing w:after="0" w:line="240" w:lineRule="auto"/>
        <w:rPr>
          <w:rFonts w:ascii="MetaPro-Norm" w:hAnsi="MetaPro-Norm"/>
        </w:rPr>
      </w:pPr>
    </w:p>
    <w:p w14:paraId="55A98A71" w14:textId="7612F467" w:rsidR="00817B0B" w:rsidRPr="00361325" w:rsidRDefault="00817B0B" w:rsidP="00A56517">
      <w:pPr>
        <w:pStyle w:val="ListParagraph"/>
        <w:numPr>
          <w:ilvl w:val="0"/>
          <w:numId w:val="17"/>
        </w:numPr>
        <w:spacing w:after="0" w:line="252" w:lineRule="auto"/>
        <w:ind w:left="0"/>
        <w:rPr>
          <w:rFonts w:ascii="MetaPro-Norm" w:hAnsi="MetaPro-Norm"/>
          <w:i/>
          <w:iCs/>
        </w:rPr>
      </w:pPr>
      <w:r w:rsidRPr="00361325">
        <w:rPr>
          <w:rFonts w:ascii="MetaPro-Norm" w:hAnsi="MetaPro-Norm"/>
          <w:i/>
          <w:iCs/>
        </w:rPr>
        <w:t xml:space="preserve">Human Rights Watch recommends that the </w:t>
      </w:r>
      <w:r w:rsidR="004F4677">
        <w:rPr>
          <w:rFonts w:ascii="MetaPro-Norm" w:hAnsi="MetaPro-Norm"/>
          <w:i/>
          <w:iCs/>
        </w:rPr>
        <w:t>C</w:t>
      </w:r>
      <w:r w:rsidRPr="00361325">
        <w:rPr>
          <w:rFonts w:ascii="MetaPro-Norm" w:hAnsi="MetaPro-Norm"/>
          <w:i/>
          <w:iCs/>
        </w:rPr>
        <w:t>ommittee ask the UK government:</w:t>
      </w:r>
    </w:p>
    <w:p w14:paraId="42936B4E" w14:textId="07D98F01" w:rsidR="00817B0B" w:rsidRPr="00361325" w:rsidRDefault="00817B0B" w:rsidP="002F7D2C">
      <w:pPr>
        <w:pStyle w:val="ListParagraph"/>
        <w:numPr>
          <w:ilvl w:val="0"/>
          <w:numId w:val="22"/>
        </w:numPr>
        <w:spacing w:after="0" w:line="240" w:lineRule="auto"/>
        <w:rPr>
          <w:rFonts w:ascii="MetaPro-Norm" w:hAnsi="MetaPro-Norm"/>
        </w:rPr>
      </w:pPr>
      <w:r w:rsidRPr="00361325">
        <w:rPr>
          <w:rFonts w:ascii="MetaPro-Norm" w:hAnsi="MetaPro-Norm"/>
        </w:rPr>
        <w:t>What specific measures has the government taken or plan</w:t>
      </w:r>
      <w:r w:rsidR="00A10504">
        <w:rPr>
          <w:rFonts w:ascii="MetaPro-Norm" w:hAnsi="MetaPro-Norm"/>
        </w:rPr>
        <w:t>s</w:t>
      </w:r>
      <w:r w:rsidRPr="00361325">
        <w:rPr>
          <w:rFonts w:ascii="MetaPro-Norm" w:hAnsi="MetaPro-Norm"/>
        </w:rPr>
        <w:t xml:space="preserve"> to take to remedy lost learning time of all children, including children with disabilities</w:t>
      </w:r>
      <w:r w:rsidR="001B2225" w:rsidRPr="00361325">
        <w:rPr>
          <w:rFonts w:ascii="MetaPro-Norm" w:hAnsi="MetaPro-Norm"/>
        </w:rPr>
        <w:t xml:space="preserve"> and</w:t>
      </w:r>
      <w:r w:rsidR="00950CFC" w:rsidRPr="00361325">
        <w:rPr>
          <w:rFonts w:ascii="MetaPro-Norm" w:hAnsi="MetaPro-Norm"/>
        </w:rPr>
        <w:t xml:space="preserve"> children from</w:t>
      </w:r>
      <w:r w:rsidR="001B2225" w:rsidRPr="00361325">
        <w:rPr>
          <w:rFonts w:ascii="MetaPro-Norm" w:hAnsi="MetaPro-Norm"/>
        </w:rPr>
        <w:t xml:space="preserve"> vulnerable and</w:t>
      </w:r>
      <w:r w:rsidR="00950CFC" w:rsidRPr="00361325">
        <w:rPr>
          <w:rFonts w:ascii="MetaPro-Norm" w:hAnsi="MetaPro-Norm"/>
        </w:rPr>
        <w:t xml:space="preserve"> low-income households</w:t>
      </w:r>
      <w:r w:rsidRPr="00361325">
        <w:rPr>
          <w:rFonts w:ascii="MetaPro-Norm" w:hAnsi="MetaPro-Norm"/>
        </w:rPr>
        <w:t>?</w:t>
      </w:r>
    </w:p>
    <w:p w14:paraId="060CEDFC" w14:textId="3E592EC3" w:rsidR="00817B0B" w:rsidRPr="00361325" w:rsidRDefault="001A2686" w:rsidP="002F7D2C">
      <w:pPr>
        <w:pStyle w:val="ListParagraph"/>
        <w:numPr>
          <w:ilvl w:val="0"/>
          <w:numId w:val="22"/>
        </w:numPr>
        <w:spacing w:after="0" w:line="252" w:lineRule="auto"/>
        <w:rPr>
          <w:rFonts w:ascii="MetaPro-Norm" w:hAnsi="MetaPro-Norm"/>
        </w:rPr>
      </w:pPr>
      <w:r w:rsidRPr="00361325">
        <w:rPr>
          <w:rFonts w:ascii="MetaPro-Norm" w:hAnsi="MetaPro-Norm"/>
        </w:rPr>
        <w:t xml:space="preserve">How does the government plan to mitigate the </w:t>
      </w:r>
      <w:r w:rsidR="008A7565" w:rsidRPr="00361325">
        <w:rPr>
          <w:rFonts w:ascii="MetaPro-Norm" w:hAnsi="MetaPro-Norm"/>
        </w:rPr>
        <w:t>ongoing</w:t>
      </w:r>
      <w:r w:rsidRPr="00361325">
        <w:rPr>
          <w:rFonts w:ascii="MetaPro-Norm" w:hAnsi="MetaPro-Norm"/>
        </w:rPr>
        <w:t xml:space="preserve"> learning inequities that resulted from disparate access to devices and internet between children from low-income and higher-income households?</w:t>
      </w:r>
    </w:p>
    <w:p w14:paraId="4D34582C" w14:textId="77777777" w:rsidR="002F7D2C" w:rsidRPr="00361325" w:rsidRDefault="002F7D2C" w:rsidP="002F7D2C">
      <w:pPr>
        <w:pStyle w:val="ListParagraph"/>
        <w:spacing w:after="0" w:line="252" w:lineRule="auto"/>
        <w:ind w:left="0"/>
        <w:rPr>
          <w:rFonts w:ascii="MetaPro-Norm" w:hAnsi="MetaPro-Norm"/>
          <w:i/>
          <w:iCs/>
        </w:rPr>
      </w:pPr>
    </w:p>
    <w:p w14:paraId="3912854F" w14:textId="6B7CF1FE" w:rsidR="00817B0B" w:rsidRPr="00361325" w:rsidRDefault="00817B0B" w:rsidP="00A56517">
      <w:pPr>
        <w:pStyle w:val="ListParagraph"/>
        <w:numPr>
          <w:ilvl w:val="0"/>
          <w:numId w:val="17"/>
        </w:numPr>
        <w:spacing w:after="0" w:line="252" w:lineRule="auto"/>
        <w:ind w:left="0"/>
        <w:rPr>
          <w:rFonts w:ascii="MetaPro-Norm" w:hAnsi="MetaPro-Norm"/>
          <w:i/>
          <w:iCs/>
        </w:rPr>
      </w:pPr>
      <w:r w:rsidRPr="00361325">
        <w:rPr>
          <w:rFonts w:ascii="MetaPro-Norm" w:hAnsi="MetaPro-Norm"/>
          <w:i/>
          <w:iCs/>
        </w:rPr>
        <w:t xml:space="preserve">Human Rights Watch recommends that the </w:t>
      </w:r>
      <w:r w:rsidR="004F4677">
        <w:rPr>
          <w:rFonts w:ascii="MetaPro-Norm" w:hAnsi="MetaPro-Norm"/>
          <w:i/>
          <w:iCs/>
        </w:rPr>
        <w:t>C</w:t>
      </w:r>
      <w:r w:rsidRPr="00361325">
        <w:rPr>
          <w:rFonts w:ascii="MetaPro-Norm" w:hAnsi="MetaPro-Norm"/>
          <w:i/>
          <w:iCs/>
        </w:rPr>
        <w:t>ommittee call on the UK government to:</w:t>
      </w:r>
    </w:p>
    <w:p w14:paraId="4E349C3E" w14:textId="18A23880" w:rsidR="00950CFC" w:rsidRPr="00361325" w:rsidRDefault="00817B0B" w:rsidP="002F7D2C">
      <w:pPr>
        <w:pStyle w:val="ListParagraph"/>
        <w:numPr>
          <w:ilvl w:val="0"/>
          <w:numId w:val="23"/>
        </w:numPr>
        <w:spacing w:after="0"/>
        <w:rPr>
          <w:rFonts w:ascii="MetaPro-Norm" w:hAnsi="MetaPro-Norm"/>
        </w:rPr>
      </w:pPr>
      <w:r w:rsidRPr="00361325">
        <w:rPr>
          <w:rFonts w:ascii="MetaPro-Norm" w:hAnsi="MetaPro-Norm"/>
        </w:rPr>
        <w:t xml:space="preserve">Explicitly allocate educational resources strategically to low-income groups, children traditionally at risk of exclusion from education, </w:t>
      </w:r>
      <w:r w:rsidR="002565BF" w:rsidRPr="00361325">
        <w:rPr>
          <w:rFonts w:ascii="MetaPro-Norm" w:hAnsi="MetaPro-Norm"/>
        </w:rPr>
        <w:t xml:space="preserve">including children with disabilities, </w:t>
      </w:r>
      <w:r w:rsidRPr="00361325">
        <w:rPr>
          <w:rFonts w:ascii="MetaPro-Norm" w:hAnsi="MetaPro-Norm"/>
        </w:rPr>
        <w:t>and those shown to have been particularly affected in their education during the pandemic.</w:t>
      </w:r>
    </w:p>
    <w:p w14:paraId="465F18E1" w14:textId="5B4DC1CF" w:rsidR="00DD6820" w:rsidRPr="00361325" w:rsidRDefault="00DD6820" w:rsidP="002F7D2C">
      <w:pPr>
        <w:pStyle w:val="ListParagraph"/>
        <w:numPr>
          <w:ilvl w:val="0"/>
          <w:numId w:val="23"/>
        </w:numPr>
        <w:spacing w:after="0"/>
        <w:rPr>
          <w:rFonts w:ascii="MetaPro-Norm" w:hAnsi="MetaPro-Norm"/>
        </w:rPr>
      </w:pPr>
      <w:r w:rsidRPr="00361325">
        <w:rPr>
          <w:rFonts w:ascii="MetaPro-Norm" w:hAnsi="MetaPro-Norm"/>
        </w:rPr>
        <w:t>Provide supplementary funding for teachers and school officials in historically under-resourced areas and schools and school districts that have indicated the need for additional resources.</w:t>
      </w:r>
    </w:p>
    <w:p w14:paraId="5111004F" w14:textId="7D5AAD58" w:rsidR="00CD1C89" w:rsidRPr="00361325" w:rsidRDefault="00CD1C89" w:rsidP="002F7D2C">
      <w:pPr>
        <w:pStyle w:val="ListParagraph"/>
        <w:numPr>
          <w:ilvl w:val="0"/>
          <w:numId w:val="23"/>
        </w:numPr>
        <w:rPr>
          <w:rFonts w:ascii="MetaPro-Norm" w:hAnsi="MetaPro-Norm"/>
        </w:rPr>
      </w:pPr>
      <w:r w:rsidRPr="00361325">
        <w:rPr>
          <w:rFonts w:ascii="MetaPro-Norm" w:hAnsi="MetaPro-Norm"/>
        </w:rPr>
        <w:t>Provide ongoing training and support programs for teachers in online education.</w:t>
      </w:r>
    </w:p>
    <w:p w14:paraId="466A846F" w14:textId="744694D6" w:rsidR="00550A17" w:rsidRDefault="007735DC" w:rsidP="004D3D84">
      <w:pPr>
        <w:pStyle w:val="ListParagraph"/>
        <w:numPr>
          <w:ilvl w:val="0"/>
          <w:numId w:val="23"/>
        </w:numPr>
        <w:spacing w:after="0"/>
        <w:rPr>
          <w:rFonts w:ascii="MetaPro-Norm" w:hAnsi="MetaPro-Norm"/>
        </w:rPr>
      </w:pPr>
      <w:r w:rsidRPr="00361325">
        <w:rPr>
          <w:rFonts w:ascii="MetaPro-Norm" w:hAnsi="MetaPro-Norm"/>
        </w:rPr>
        <w:t>Provide teachers, assistants, and school officials with guidelines and tools to report concerns related to their students’ well-being.</w:t>
      </w:r>
    </w:p>
    <w:p w14:paraId="52C8C576" w14:textId="77777777" w:rsidR="004D3D84" w:rsidRPr="004D3D84" w:rsidRDefault="004D3D84" w:rsidP="004D3D84">
      <w:pPr>
        <w:pStyle w:val="ListParagraph"/>
        <w:spacing w:after="0"/>
        <w:rPr>
          <w:rFonts w:ascii="MetaPro-Norm" w:hAnsi="MetaPro-Norm"/>
        </w:rPr>
      </w:pPr>
    </w:p>
    <w:p w14:paraId="39BE19A5" w14:textId="77777777" w:rsidR="0076350D" w:rsidRDefault="0076350D" w:rsidP="002F7D2C">
      <w:pPr>
        <w:pStyle w:val="ListParagraph"/>
        <w:spacing w:after="0"/>
        <w:ind w:left="0"/>
        <w:rPr>
          <w:rFonts w:ascii="MetaPro-Norm" w:hAnsi="MetaPro-Norm"/>
          <w:b/>
          <w:bCs/>
        </w:rPr>
      </w:pPr>
    </w:p>
    <w:p w14:paraId="4B680839" w14:textId="74353EFB" w:rsidR="00A05E01" w:rsidRPr="00361325" w:rsidRDefault="00A527BC" w:rsidP="002F7D2C">
      <w:pPr>
        <w:pStyle w:val="ListParagraph"/>
        <w:spacing w:after="0"/>
        <w:ind w:left="0"/>
        <w:rPr>
          <w:rFonts w:ascii="MetaPro-Norm" w:hAnsi="MetaPro-Norm"/>
          <w:b/>
          <w:bCs/>
        </w:rPr>
      </w:pPr>
      <w:r w:rsidRPr="00361325">
        <w:rPr>
          <w:rFonts w:ascii="MetaPro-Norm" w:hAnsi="MetaPro-Norm"/>
          <w:b/>
          <w:bCs/>
        </w:rPr>
        <w:t>Poverty</w:t>
      </w:r>
      <w:r w:rsidR="148FF8BA" w:rsidRPr="00361325">
        <w:rPr>
          <w:rFonts w:ascii="MetaPro-Norm" w:hAnsi="MetaPro-Norm"/>
          <w:b/>
          <w:bCs/>
        </w:rPr>
        <w:t xml:space="preserve"> and </w:t>
      </w:r>
      <w:r w:rsidR="5334DDEB" w:rsidRPr="00361325">
        <w:rPr>
          <w:rFonts w:ascii="MetaPro-Norm" w:hAnsi="MetaPro-Norm"/>
          <w:b/>
          <w:bCs/>
        </w:rPr>
        <w:t>food insecurity</w:t>
      </w:r>
      <w:r w:rsidR="148FF8BA" w:rsidRPr="00361325">
        <w:rPr>
          <w:rFonts w:ascii="MetaPro-Norm" w:hAnsi="MetaPro-Norm"/>
          <w:b/>
          <w:bCs/>
        </w:rPr>
        <w:t xml:space="preserve"> </w:t>
      </w:r>
      <w:r w:rsidR="00A05E01" w:rsidRPr="00361325">
        <w:rPr>
          <w:rFonts w:ascii="MetaPro-Norm" w:hAnsi="MetaPro-Norm"/>
          <w:b/>
          <w:bCs/>
        </w:rPr>
        <w:t>(article</w:t>
      </w:r>
      <w:r w:rsidR="420AB2E9" w:rsidRPr="00361325">
        <w:rPr>
          <w:rFonts w:ascii="MetaPro-Norm" w:hAnsi="MetaPro-Norm"/>
          <w:b/>
          <w:bCs/>
        </w:rPr>
        <w:t>s 2, 9 &amp;</w:t>
      </w:r>
      <w:r w:rsidR="00A05E01" w:rsidRPr="00361325">
        <w:rPr>
          <w:rFonts w:ascii="MetaPro-Norm" w:hAnsi="MetaPro-Norm"/>
          <w:b/>
          <w:bCs/>
        </w:rPr>
        <w:t xml:space="preserve"> 11)</w:t>
      </w:r>
    </w:p>
    <w:p w14:paraId="0D0B5C49" w14:textId="4F18C6EC" w:rsidR="00E56E73" w:rsidRPr="00361325" w:rsidRDefault="00E56E73" w:rsidP="00A56517">
      <w:pPr>
        <w:pStyle w:val="ListParagraph"/>
        <w:numPr>
          <w:ilvl w:val="0"/>
          <w:numId w:val="17"/>
        </w:numPr>
        <w:spacing w:after="0"/>
        <w:ind w:left="0"/>
        <w:rPr>
          <w:rFonts w:ascii="MetaPro-Norm" w:hAnsi="MetaPro-Norm"/>
        </w:rPr>
      </w:pPr>
      <w:r w:rsidRPr="00361325">
        <w:rPr>
          <w:rFonts w:ascii="MetaPro-Norm" w:hAnsi="MetaPro-Norm"/>
        </w:rPr>
        <w:t xml:space="preserve">Official data published in March 2021 showed </w:t>
      </w:r>
      <w:r w:rsidR="00DB7965">
        <w:rPr>
          <w:rFonts w:ascii="MetaPro-Norm" w:hAnsi="MetaPro-Norm"/>
        </w:rPr>
        <w:t xml:space="preserve">that </w:t>
      </w:r>
      <w:r w:rsidRPr="00361325">
        <w:rPr>
          <w:rFonts w:ascii="MetaPro-Norm" w:hAnsi="MetaPro-Norm"/>
        </w:rPr>
        <w:t>43 percent of households receiving Universal Credit</w:t>
      </w:r>
      <w:r w:rsidR="62907544" w:rsidRPr="00361325">
        <w:rPr>
          <w:rFonts w:ascii="MetaPro-Norm" w:hAnsi="MetaPro-Norm"/>
        </w:rPr>
        <w:t>, the UK’s social security program,</w:t>
      </w:r>
      <w:r w:rsidRPr="00361325">
        <w:rPr>
          <w:rFonts w:ascii="MetaPro-Norm" w:hAnsi="MetaPro-Norm"/>
        </w:rPr>
        <w:t xml:space="preserve"> were experiencing food insecurity</w:t>
      </w:r>
      <w:r w:rsidR="00645CCD" w:rsidRPr="00361325">
        <w:rPr>
          <w:rFonts w:ascii="MetaPro-Norm" w:hAnsi="MetaPro-Norm"/>
        </w:rPr>
        <w:t xml:space="preserve"> prior to the pandemic</w:t>
      </w:r>
      <w:r w:rsidRPr="00361325">
        <w:rPr>
          <w:rFonts w:ascii="MetaPro-Norm" w:hAnsi="MetaPro-Norm"/>
        </w:rPr>
        <w:t>.</w:t>
      </w:r>
      <w:r w:rsidR="007E1D69" w:rsidRPr="00361325">
        <w:rPr>
          <w:rStyle w:val="FootnoteReference"/>
          <w:rFonts w:ascii="MetaPro-Norm" w:hAnsi="MetaPro-Norm"/>
        </w:rPr>
        <w:footnoteReference w:id="15"/>
      </w:r>
      <w:r w:rsidRPr="00361325">
        <w:rPr>
          <w:rFonts w:ascii="MetaPro-Norm" w:hAnsi="MetaPro-Norm"/>
        </w:rPr>
        <w:t xml:space="preserve"> The data showed the disproportionate impact of food insecurity on families headed by a single adult (predominantly women) or a Black person, families living on less than £200 (</w:t>
      </w:r>
      <w:r w:rsidR="006D3FF7" w:rsidRPr="00361325">
        <w:rPr>
          <w:rFonts w:ascii="MetaPro-Norm" w:hAnsi="MetaPro-Norm"/>
        </w:rPr>
        <w:t>US</w:t>
      </w:r>
      <w:r w:rsidRPr="00361325">
        <w:rPr>
          <w:rFonts w:ascii="MetaPro-Norm" w:hAnsi="MetaPro-Norm"/>
        </w:rPr>
        <w:t>$276) per week, and people with disabilities.</w:t>
      </w:r>
      <w:r w:rsidR="00E17F9E" w:rsidRPr="00361325">
        <w:rPr>
          <w:rStyle w:val="FootnoteReference"/>
          <w:rFonts w:ascii="MetaPro-Norm" w:hAnsi="MetaPro-Norm"/>
        </w:rPr>
        <w:footnoteReference w:id="16"/>
      </w:r>
    </w:p>
    <w:p w14:paraId="15131CA2" w14:textId="77777777" w:rsidR="00D8281A" w:rsidRPr="00361325" w:rsidRDefault="00D8281A" w:rsidP="00A56517">
      <w:pPr>
        <w:spacing w:after="0"/>
        <w:rPr>
          <w:rFonts w:ascii="MetaPro-Norm" w:hAnsi="MetaPro-Norm"/>
        </w:rPr>
      </w:pPr>
    </w:p>
    <w:p w14:paraId="07E003C9" w14:textId="5EE58AED" w:rsidR="00E56E73" w:rsidRPr="00361325" w:rsidRDefault="00E56E73" w:rsidP="00A56517">
      <w:pPr>
        <w:pStyle w:val="ListParagraph"/>
        <w:numPr>
          <w:ilvl w:val="0"/>
          <w:numId w:val="17"/>
        </w:numPr>
        <w:spacing w:after="0"/>
        <w:ind w:left="0"/>
        <w:rPr>
          <w:rFonts w:ascii="MetaPro-Norm" w:hAnsi="MetaPro-Norm"/>
        </w:rPr>
      </w:pPr>
      <w:r w:rsidRPr="00361325">
        <w:rPr>
          <w:rFonts w:ascii="MetaPro-Norm" w:hAnsi="MetaPro-Norm"/>
        </w:rPr>
        <w:t>Demand for food banks grew as the number of Universal Credit claimants increased to 6 million by March</w:t>
      </w:r>
      <w:r w:rsidR="00E33058" w:rsidRPr="00361325">
        <w:rPr>
          <w:rFonts w:ascii="MetaPro-Norm" w:hAnsi="MetaPro-Norm"/>
        </w:rPr>
        <w:t xml:space="preserve"> 2021</w:t>
      </w:r>
      <w:r w:rsidRPr="00361325">
        <w:rPr>
          <w:rFonts w:ascii="MetaPro-Norm" w:hAnsi="MetaPro-Norm"/>
        </w:rPr>
        <w:t>, doubling since the onset of the pandemic.</w:t>
      </w:r>
    </w:p>
    <w:p w14:paraId="535B860F" w14:textId="77777777" w:rsidR="00E56E73" w:rsidRPr="00361325" w:rsidRDefault="00E56E73" w:rsidP="00A56517">
      <w:pPr>
        <w:spacing w:after="0"/>
        <w:rPr>
          <w:rFonts w:ascii="MetaPro-Norm" w:hAnsi="MetaPro-Norm"/>
        </w:rPr>
      </w:pPr>
    </w:p>
    <w:p w14:paraId="37FDF064" w14:textId="4583CD0D" w:rsidR="00E56E73" w:rsidRPr="00361325" w:rsidRDefault="00E56E73" w:rsidP="00A56517">
      <w:pPr>
        <w:pStyle w:val="ListParagraph"/>
        <w:numPr>
          <w:ilvl w:val="0"/>
          <w:numId w:val="17"/>
        </w:numPr>
        <w:spacing w:after="0"/>
        <w:ind w:left="0"/>
        <w:rPr>
          <w:rFonts w:ascii="MetaPro-Norm" w:hAnsi="MetaPro-Norm"/>
        </w:rPr>
      </w:pPr>
      <w:r w:rsidRPr="00361325">
        <w:rPr>
          <w:rFonts w:ascii="MetaPro-Norm" w:hAnsi="MetaPro-Norm"/>
        </w:rPr>
        <w:t>The country’s largest food bank network reported that it had given out 2.5 million emergency food aid packages between April 2020 and March 2021, up 33 percent compared to the prior year, and its data showed lack of income and inadequate social security support as the main drivers.</w:t>
      </w:r>
      <w:r w:rsidR="009A2A32" w:rsidRPr="00361325">
        <w:rPr>
          <w:rStyle w:val="FootnoteReference"/>
          <w:rFonts w:ascii="MetaPro-Norm" w:hAnsi="MetaPro-Norm"/>
        </w:rPr>
        <w:footnoteReference w:id="17"/>
      </w:r>
    </w:p>
    <w:p w14:paraId="3002464B" w14:textId="293FD32F" w:rsidR="00E56E73" w:rsidRPr="00361325" w:rsidRDefault="00E56E73" w:rsidP="00A56517">
      <w:pPr>
        <w:spacing w:after="0"/>
        <w:rPr>
          <w:rFonts w:ascii="MetaPro-Norm" w:hAnsi="MetaPro-Norm"/>
        </w:rPr>
      </w:pPr>
    </w:p>
    <w:p w14:paraId="6721A110" w14:textId="443EC611" w:rsidR="007F0814" w:rsidRPr="009A328F" w:rsidRDefault="00007E37" w:rsidP="009A328F">
      <w:pPr>
        <w:pStyle w:val="ListParagraph"/>
        <w:numPr>
          <w:ilvl w:val="0"/>
          <w:numId w:val="17"/>
        </w:numPr>
        <w:spacing w:after="0"/>
        <w:ind w:left="0"/>
        <w:rPr>
          <w:rFonts w:ascii="MetaPro-Norm" w:hAnsi="MetaPro-Norm"/>
        </w:rPr>
      </w:pPr>
      <w:r w:rsidRPr="00361325">
        <w:rPr>
          <w:rFonts w:ascii="MetaPro-Norm" w:hAnsi="MetaPro-Norm"/>
        </w:rPr>
        <w:t>After schools closed in March 2020 across the United Kingdom, the central government adopted a supermarket voucher system offering £15 (US$20) of vouchers per week per child to replace free school meals in England.</w:t>
      </w:r>
      <w:r w:rsidRPr="00361325">
        <w:rPr>
          <w:rFonts w:ascii="MetaPro-Norm" w:hAnsi="MetaPro-Norm"/>
          <w:vertAlign w:val="superscript"/>
        </w:rPr>
        <w:footnoteReference w:id="18"/>
      </w:r>
      <w:r w:rsidRPr="00361325">
        <w:rPr>
          <w:rFonts w:ascii="MetaPro-Norm" w:hAnsi="MetaPro-Norm"/>
        </w:rPr>
        <w:t xml:space="preserve"> The voucher system, administered by a private multinational company, was criticized for technical glitches, inadequate preparation, understaffing, difficulties and delays for school administrators using the online portal, delays in families receiving them, inability to redeem them at supermarkets preferred by low-income families, and some supermarkets being unable to process them.</w:t>
      </w:r>
      <w:r w:rsidRPr="00361325">
        <w:rPr>
          <w:rFonts w:ascii="MetaPro-Norm" w:hAnsi="MetaPro-Norm"/>
          <w:vertAlign w:val="superscript"/>
        </w:rPr>
        <w:footnoteReference w:id="19"/>
      </w:r>
    </w:p>
    <w:p w14:paraId="118D1155" w14:textId="1A8E786D" w:rsidR="00A05E01" w:rsidRPr="00361325" w:rsidRDefault="00E56E73" w:rsidP="00A56517">
      <w:pPr>
        <w:pStyle w:val="ListParagraph"/>
        <w:numPr>
          <w:ilvl w:val="0"/>
          <w:numId w:val="17"/>
        </w:numPr>
        <w:spacing w:after="0"/>
        <w:ind w:left="0"/>
        <w:rPr>
          <w:rFonts w:ascii="MetaPro-Norm" w:hAnsi="MetaPro-Norm"/>
        </w:rPr>
      </w:pPr>
      <w:r w:rsidRPr="00361325">
        <w:rPr>
          <w:rFonts w:ascii="MetaPro-Norm" w:hAnsi="MetaPro-Norm"/>
        </w:rPr>
        <w:t>In July</w:t>
      </w:r>
      <w:r w:rsidR="007B2166" w:rsidRPr="00361325">
        <w:rPr>
          <w:rFonts w:ascii="MetaPro-Norm" w:hAnsi="MetaPro-Norm"/>
        </w:rPr>
        <w:t xml:space="preserve"> 2021</w:t>
      </w:r>
      <w:r w:rsidRPr="00361325">
        <w:rPr>
          <w:rFonts w:ascii="MetaPro-Norm" w:hAnsi="MetaPro-Norm"/>
        </w:rPr>
        <w:t>, the National Food Strategy,</w:t>
      </w:r>
      <w:r w:rsidR="007D45A7" w:rsidRPr="00361325">
        <w:rPr>
          <w:rStyle w:val="FootnoteReference"/>
          <w:rFonts w:ascii="MetaPro-Norm" w:hAnsi="MetaPro-Norm"/>
        </w:rPr>
        <w:footnoteReference w:id="20"/>
      </w:r>
      <w:r w:rsidRPr="00361325">
        <w:rPr>
          <w:rFonts w:ascii="MetaPro-Norm" w:hAnsi="MetaPro-Norm"/>
        </w:rPr>
        <w:t xml:space="preserve"> an independent review into the country’s food systems,</w:t>
      </w:r>
      <w:r w:rsidR="0058098F" w:rsidRPr="00361325">
        <w:rPr>
          <w:rFonts w:ascii="MetaPro-Norm" w:hAnsi="MetaPro-Norm"/>
        </w:rPr>
        <w:t xml:space="preserve"> </w:t>
      </w:r>
      <w:r w:rsidRPr="00361325">
        <w:rPr>
          <w:rFonts w:ascii="MetaPro-Norm" w:hAnsi="MetaPro-Norm"/>
        </w:rPr>
        <w:t>recommended removing obstacles for families seeking free school meals for children;</w:t>
      </w:r>
      <w:r w:rsidR="003F5252" w:rsidRPr="00361325">
        <w:rPr>
          <w:rStyle w:val="FootnoteReference"/>
          <w:rFonts w:ascii="MetaPro-Norm" w:hAnsi="MetaPro-Norm"/>
        </w:rPr>
        <w:footnoteReference w:id="21"/>
      </w:r>
      <w:r w:rsidRPr="00361325">
        <w:rPr>
          <w:rFonts w:ascii="MetaPro-Norm" w:hAnsi="MetaPro-Norm"/>
        </w:rPr>
        <w:t xml:space="preserve"> ensuring long-term food provision for children during school vacations; and extending an existing food subsidy program for pregnant people and families with young children.</w:t>
      </w:r>
      <w:r w:rsidR="3B126A9F" w:rsidRPr="00361325">
        <w:rPr>
          <w:rFonts w:ascii="MetaPro-Norm" w:hAnsi="MetaPro-Norm"/>
        </w:rPr>
        <w:t xml:space="preserve"> At present, however, it is not clear whether the government intends to take forward any of the suggestions of the National Food Strategy.</w:t>
      </w:r>
    </w:p>
    <w:p w14:paraId="0E7F251B" w14:textId="3EBF42A4" w:rsidR="00454E17" w:rsidRPr="00361325" w:rsidRDefault="00454E17" w:rsidP="00A56517">
      <w:pPr>
        <w:spacing w:after="0"/>
        <w:rPr>
          <w:rFonts w:ascii="MetaPro-Norm" w:hAnsi="MetaPro-Norm"/>
        </w:rPr>
      </w:pPr>
    </w:p>
    <w:p w14:paraId="3D71B267" w14:textId="17151696" w:rsidR="00454E17" w:rsidRPr="00361325" w:rsidRDefault="00454E17" w:rsidP="00A56517">
      <w:pPr>
        <w:pStyle w:val="ListParagraph"/>
        <w:numPr>
          <w:ilvl w:val="0"/>
          <w:numId w:val="17"/>
        </w:numPr>
        <w:spacing w:after="0" w:line="252" w:lineRule="auto"/>
        <w:ind w:left="0"/>
        <w:rPr>
          <w:rFonts w:ascii="MetaPro-Norm" w:hAnsi="MetaPro-Norm"/>
          <w:i/>
          <w:iCs/>
        </w:rPr>
      </w:pPr>
      <w:r w:rsidRPr="00361325">
        <w:rPr>
          <w:rFonts w:ascii="MetaPro-Norm" w:hAnsi="MetaPro-Norm"/>
          <w:i/>
          <w:iCs/>
        </w:rPr>
        <w:t xml:space="preserve">Human Rights Watch recommends that the </w:t>
      </w:r>
      <w:r w:rsidR="004C3B9E">
        <w:rPr>
          <w:rFonts w:ascii="MetaPro-Norm" w:hAnsi="MetaPro-Norm"/>
          <w:i/>
          <w:iCs/>
        </w:rPr>
        <w:t>C</w:t>
      </w:r>
      <w:r w:rsidRPr="00361325">
        <w:rPr>
          <w:rFonts w:ascii="MetaPro-Norm" w:hAnsi="MetaPro-Norm"/>
          <w:i/>
          <w:iCs/>
        </w:rPr>
        <w:t>ommittee ask the UK government:</w:t>
      </w:r>
    </w:p>
    <w:p w14:paraId="10CB9CF8" w14:textId="27965C40" w:rsidR="00007E37" w:rsidRPr="00361325" w:rsidRDefault="2D146E42" w:rsidP="002F7D2C">
      <w:pPr>
        <w:pStyle w:val="ListParagraph"/>
        <w:numPr>
          <w:ilvl w:val="0"/>
          <w:numId w:val="24"/>
        </w:numPr>
        <w:spacing w:after="0" w:line="252" w:lineRule="auto"/>
        <w:rPr>
          <w:rFonts w:ascii="MetaPro-Norm" w:hAnsi="MetaPro-Norm"/>
        </w:rPr>
      </w:pPr>
      <w:r w:rsidRPr="00361325">
        <w:rPr>
          <w:rFonts w:ascii="MetaPro-Norm" w:hAnsi="MetaPro-Norm"/>
        </w:rPr>
        <w:t xml:space="preserve">What concrete steps is the UK government </w:t>
      </w:r>
      <w:r w:rsidR="001467A7">
        <w:rPr>
          <w:rFonts w:ascii="MetaPro-Norm" w:hAnsi="MetaPro-Norm"/>
        </w:rPr>
        <w:t>taking</w:t>
      </w:r>
      <w:r w:rsidRPr="00361325">
        <w:rPr>
          <w:rFonts w:ascii="MetaPro-Norm" w:hAnsi="MetaPro-Norm"/>
        </w:rPr>
        <w:t xml:space="preserve"> to address increasing food insecurity, in particular for households on low incomes?</w:t>
      </w:r>
    </w:p>
    <w:p w14:paraId="4A261BFD" w14:textId="0312C982" w:rsidR="2D146E42" w:rsidRPr="00361325" w:rsidRDefault="2D146E42" w:rsidP="002F7D2C">
      <w:pPr>
        <w:pStyle w:val="ListParagraph"/>
        <w:numPr>
          <w:ilvl w:val="0"/>
          <w:numId w:val="24"/>
        </w:numPr>
        <w:spacing w:after="0" w:line="252" w:lineRule="auto"/>
        <w:rPr>
          <w:rFonts w:ascii="MetaPro-Norm" w:hAnsi="MetaPro-Norm"/>
        </w:rPr>
      </w:pPr>
      <w:r w:rsidRPr="00361325">
        <w:rPr>
          <w:rFonts w:ascii="MetaPro-Norm" w:hAnsi="MetaPro-Norm"/>
        </w:rPr>
        <w:t>What steps is the UK government taking to ensure that access to free school meals is not interrupted again in an unprecedented situation of systemwide closure, to ensure</w:t>
      </w:r>
      <w:r w:rsidR="1BDC0A26" w:rsidRPr="00361325">
        <w:rPr>
          <w:rFonts w:ascii="MetaPro-Norm" w:hAnsi="MetaPro-Norm"/>
        </w:rPr>
        <w:t xml:space="preserve"> </w:t>
      </w:r>
      <w:r w:rsidRPr="00361325">
        <w:rPr>
          <w:rFonts w:ascii="MetaPro-Norm" w:hAnsi="MetaPro-Norm"/>
        </w:rPr>
        <w:t xml:space="preserve">children’s right to food is guaranteed? </w:t>
      </w:r>
    </w:p>
    <w:p w14:paraId="54F1CD57" w14:textId="0C395CE2" w:rsidR="00D50E8B" w:rsidRPr="00361325" w:rsidRDefault="00D50E8B" w:rsidP="002F7D2C">
      <w:pPr>
        <w:pStyle w:val="ListParagraph"/>
        <w:numPr>
          <w:ilvl w:val="0"/>
          <w:numId w:val="24"/>
        </w:numPr>
        <w:spacing w:after="0" w:line="252" w:lineRule="auto"/>
        <w:rPr>
          <w:rFonts w:ascii="MetaPro-Norm" w:hAnsi="MetaPro-Norm"/>
        </w:rPr>
      </w:pPr>
      <w:r w:rsidRPr="00361325">
        <w:rPr>
          <w:rFonts w:ascii="MetaPro-Norm" w:hAnsi="MetaPro-Norm"/>
        </w:rPr>
        <w:t xml:space="preserve">What plans </w:t>
      </w:r>
      <w:r w:rsidR="00A27F99">
        <w:rPr>
          <w:rFonts w:ascii="MetaPro-Norm" w:hAnsi="MetaPro-Norm"/>
        </w:rPr>
        <w:t xml:space="preserve">does </w:t>
      </w:r>
      <w:r w:rsidRPr="00361325">
        <w:rPr>
          <w:rFonts w:ascii="MetaPro-Norm" w:hAnsi="MetaPro-Norm"/>
        </w:rPr>
        <w:t>the UK government ha</w:t>
      </w:r>
      <w:r w:rsidR="00A27F99">
        <w:rPr>
          <w:rFonts w:ascii="MetaPro-Norm" w:hAnsi="MetaPro-Norm"/>
        </w:rPr>
        <w:t>ve</w:t>
      </w:r>
      <w:r w:rsidRPr="00361325">
        <w:rPr>
          <w:rFonts w:ascii="MetaPro-Norm" w:hAnsi="MetaPro-Norm"/>
        </w:rPr>
        <w:t xml:space="preserve"> to implement the recommendations of the National Food Strategy</w:t>
      </w:r>
      <w:r w:rsidR="007F36FD" w:rsidRPr="00361325">
        <w:rPr>
          <w:rFonts w:ascii="MetaPro-Norm" w:hAnsi="MetaPro-Norm"/>
        </w:rPr>
        <w:t>?</w:t>
      </w:r>
    </w:p>
    <w:p w14:paraId="7EA2E1D7" w14:textId="77777777" w:rsidR="00635E3E" w:rsidRPr="00361325" w:rsidRDefault="00635E3E" w:rsidP="00A56517">
      <w:pPr>
        <w:spacing w:after="0" w:line="252" w:lineRule="auto"/>
        <w:rPr>
          <w:rFonts w:ascii="MetaPro-Norm" w:hAnsi="MetaPro-Norm"/>
        </w:rPr>
      </w:pPr>
    </w:p>
    <w:p w14:paraId="272EFD4B" w14:textId="4A3FDD18" w:rsidR="00454E17" w:rsidRPr="00361325" w:rsidRDefault="00454E17" w:rsidP="00A56517">
      <w:pPr>
        <w:pStyle w:val="ListParagraph"/>
        <w:numPr>
          <w:ilvl w:val="0"/>
          <w:numId w:val="17"/>
        </w:numPr>
        <w:spacing w:after="0" w:line="252" w:lineRule="auto"/>
        <w:ind w:left="0"/>
        <w:rPr>
          <w:rFonts w:ascii="MetaPro-Norm" w:hAnsi="MetaPro-Norm"/>
          <w:i/>
          <w:iCs/>
        </w:rPr>
      </w:pPr>
      <w:r w:rsidRPr="00361325">
        <w:rPr>
          <w:rFonts w:ascii="MetaPro-Norm" w:hAnsi="MetaPro-Norm"/>
          <w:i/>
          <w:iCs/>
        </w:rPr>
        <w:t xml:space="preserve">Human Rights Watch recommends that the </w:t>
      </w:r>
      <w:r w:rsidR="004C3B9E">
        <w:rPr>
          <w:rFonts w:ascii="MetaPro-Norm" w:hAnsi="MetaPro-Norm"/>
          <w:i/>
          <w:iCs/>
        </w:rPr>
        <w:t>C</w:t>
      </w:r>
      <w:r w:rsidRPr="00361325">
        <w:rPr>
          <w:rFonts w:ascii="MetaPro-Norm" w:hAnsi="MetaPro-Norm"/>
          <w:i/>
          <w:iCs/>
        </w:rPr>
        <w:t>ommittee call on the UK government to:</w:t>
      </w:r>
    </w:p>
    <w:p w14:paraId="65F139EC" w14:textId="77777777" w:rsidR="004C3B9E" w:rsidRDefault="00CD5919" w:rsidP="00BF39E8">
      <w:pPr>
        <w:pStyle w:val="ListParagraph"/>
        <w:numPr>
          <w:ilvl w:val="0"/>
          <w:numId w:val="25"/>
        </w:numPr>
        <w:spacing w:before="240"/>
        <w:rPr>
          <w:rFonts w:ascii="MetaPro-Norm" w:hAnsi="MetaPro-Norm"/>
        </w:rPr>
      </w:pPr>
      <w:r w:rsidRPr="00361325">
        <w:rPr>
          <w:rFonts w:ascii="MetaPro-Norm" w:hAnsi="MetaPro-Norm"/>
        </w:rPr>
        <w:t xml:space="preserve">Announce publicly that it accepts the right to food as a basic human right, and </w:t>
      </w:r>
      <w:r w:rsidR="52C74078" w:rsidRPr="00361325">
        <w:rPr>
          <w:rFonts w:ascii="MetaPro-Norm" w:hAnsi="MetaPro-Norm"/>
        </w:rPr>
        <w:t xml:space="preserve">also as </w:t>
      </w:r>
      <w:r w:rsidRPr="00361325">
        <w:rPr>
          <w:rFonts w:ascii="MetaPro-Norm" w:hAnsi="MetaPro-Norm"/>
        </w:rPr>
        <w:t xml:space="preserve">part of the human right to an adequate standard of living, and accept its duty to ensure that no one in the </w:t>
      </w:r>
      <w:r w:rsidR="00EC12BB">
        <w:rPr>
          <w:rFonts w:ascii="MetaPro-Norm" w:hAnsi="MetaPro-Norm"/>
        </w:rPr>
        <w:t>UK</w:t>
      </w:r>
      <w:r w:rsidRPr="00361325">
        <w:rPr>
          <w:rFonts w:ascii="MetaPro-Norm" w:hAnsi="MetaPro-Norm"/>
        </w:rPr>
        <w:t xml:space="preserve"> goes hungry. The government should ensure an effective remedy (including legal protection) for those whose right to food has been violated by state action or inaction, so that they can effectively challenge government policy and laws to ensure that everyone has access to adequate food, and that those who do not receive compensation.</w:t>
      </w:r>
    </w:p>
    <w:p w14:paraId="402DCF94" w14:textId="055340FF" w:rsidR="005A408A" w:rsidRPr="004C3B9E" w:rsidRDefault="002A0ECD" w:rsidP="00BF39E8">
      <w:pPr>
        <w:spacing w:before="240" w:after="0"/>
        <w:rPr>
          <w:rFonts w:ascii="MetaPro-Norm" w:hAnsi="MetaPro-Norm"/>
        </w:rPr>
      </w:pPr>
      <w:r w:rsidRPr="004C3B9E">
        <w:rPr>
          <w:rFonts w:ascii="MetaPro-Norm" w:hAnsi="MetaPro-Norm"/>
          <w:b/>
          <w:bCs/>
        </w:rPr>
        <w:t>Inadequate social security support</w:t>
      </w:r>
      <w:r w:rsidR="2DE20AE1" w:rsidRPr="004C3B9E">
        <w:rPr>
          <w:rFonts w:ascii="MetaPro-Norm" w:hAnsi="MetaPro-Norm"/>
          <w:b/>
          <w:bCs/>
        </w:rPr>
        <w:t xml:space="preserve"> (articles 9 &amp; 11)</w:t>
      </w:r>
    </w:p>
    <w:p w14:paraId="60FF6722" w14:textId="2FE20E23" w:rsidR="00C47A24" w:rsidRPr="00361325" w:rsidRDefault="005A408A" w:rsidP="00550A17">
      <w:pPr>
        <w:pStyle w:val="ListParagraph"/>
        <w:numPr>
          <w:ilvl w:val="0"/>
          <w:numId w:val="17"/>
        </w:numPr>
        <w:spacing w:after="0"/>
        <w:ind w:left="0"/>
        <w:rPr>
          <w:rStyle w:val="eop"/>
          <w:rFonts w:ascii="MetaPro-Norm" w:hAnsi="MetaPro-Norm"/>
        </w:rPr>
      </w:pPr>
      <w:r w:rsidRPr="00361325">
        <w:rPr>
          <w:rStyle w:val="eop"/>
          <w:rFonts w:ascii="MetaPro-Norm" w:hAnsi="MetaPro-Norm"/>
        </w:rPr>
        <w:t xml:space="preserve">In </w:t>
      </w:r>
      <w:r w:rsidR="00EB3050" w:rsidRPr="00361325">
        <w:rPr>
          <w:rStyle w:val="eop"/>
          <w:rFonts w:ascii="MetaPro-Norm" w:hAnsi="MetaPro-Norm"/>
        </w:rPr>
        <w:t xml:space="preserve">October 2021, the government refused to reverse a real-terms social security cut, when it ended </w:t>
      </w:r>
      <w:r w:rsidR="00F67CDF" w:rsidRPr="00361325">
        <w:rPr>
          <w:rStyle w:val="eop"/>
          <w:rFonts w:ascii="MetaPro-Norm" w:hAnsi="MetaPro-Norm"/>
        </w:rPr>
        <w:t xml:space="preserve">its £20 weekly “uplift” </w:t>
      </w:r>
      <w:r w:rsidR="00726CE9" w:rsidRPr="00361325">
        <w:rPr>
          <w:rStyle w:val="eop"/>
          <w:rFonts w:ascii="MetaPro-Norm" w:hAnsi="MetaPro-Norm"/>
        </w:rPr>
        <w:t xml:space="preserve">to Universal Credit </w:t>
      </w:r>
      <w:r w:rsidR="00F67CDF" w:rsidRPr="00361325">
        <w:rPr>
          <w:rStyle w:val="eop"/>
          <w:rFonts w:ascii="MetaPro-Norm" w:hAnsi="MetaPro-Norm"/>
        </w:rPr>
        <w:t xml:space="preserve">announced </w:t>
      </w:r>
      <w:r w:rsidR="00726CE9" w:rsidRPr="00361325">
        <w:rPr>
          <w:rStyle w:val="eop"/>
          <w:rFonts w:ascii="MetaPro-Norm" w:hAnsi="MetaPro-Norm"/>
        </w:rPr>
        <w:t xml:space="preserve">in April 2020, </w:t>
      </w:r>
      <w:r w:rsidR="00F67CDF" w:rsidRPr="00361325">
        <w:rPr>
          <w:rStyle w:val="eop"/>
          <w:rFonts w:ascii="MetaPro-Norm" w:hAnsi="MetaPro-Norm"/>
        </w:rPr>
        <w:t>shortly after the onset of the Covid-19 pandemic</w:t>
      </w:r>
      <w:r w:rsidR="006B78BD" w:rsidRPr="00361325">
        <w:rPr>
          <w:rStyle w:val="eop"/>
          <w:rFonts w:ascii="MetaPro-Norm" w:hAnsi="MetaPro-Norm"/>
        </w:rPr>
        <w:t>.</w:t>
      </w:r>
      <w:r w:rsidR="00A54AC1" w:rsidRPr="00361325">
        <w:rPr>
          <w:rStyle w:val="FootnoteReference"/>
          <w:rFonts w:ascii="MetaPro-Norm" w:hAnsi="MetaPro-Norm"/>
        </w:rPr>
        <w:footnoteReference w:id="22"/>
      </w:r>
      <w:r w:rsidR="006B78BD" w:rsidRPr="00361325">
        <w:rPr>
          <w:rStyle w:val="eop"/>
          <w:rFonts w:ascii="MetaPro-Norm" w:hAnsi="MetaPro-Norm"/>
        </w:rPr>
        <w:t xml:space="preserve"> The </w:t>
      </w:r>
      <w:r w:rsidR="00B74EC2" w:rsidRPr="00361325">
        <w:rPr>
          <w:rStyle w:val="eop"/>
          <w:rFonts w:ascii="MetaPro-Norm" w:hAnsi="MetaPro-Norm"/>
        </w:rPr>
        <w:t xml:space="preserve">cut to the basic rate of support to recipients of social security amounted to </w:t>
      </w:r>
      <w:r w:rsidR="00A54AC1" w:rsidRPr="00361325">
        <w:rPr>
          <w:rStyle w:val="eop"/>
          <w:rFonts w:ascii="MetaPro-Norm" w:hAnsi="MetaPro-Norm"/>
        </w:rPr>
        <w:t xml:space="preserve">£1,040 per year, which expert analysts assessed as </w:t>
      </w:r>
      <w:r w:rsidR="009B4278" w:rsidRPr="00361325">
        <w:rPr>
          <w:rStyle w:val="eop"/>
          <w:rFonts w:ascii="MetaPro-Norm" w:hAnsi="MetaPro-Norm"/>
        </w:rPr>
        <w:t xml:space="preserve">the UK’s “biggest overnight cut to the rate of social security since </w:t>
      </w:r>
      <w:r w:rsidR="00B34368" w:rsidRPr="00361325">
        <w:rPr>
          <w:rStyle w:val="eop"/>
          <w:rFonts w:ascii="MetaPro-Norm" w:hAnsi="MetaPro-Norm"/>
        </w:rPr>
        <w:t>World War II.”</w:t>
      </w:r>
      <w:r w:rsidR="00B34368" w:rsidRPr="00361325">
        <w:rPr>
          <w:rStyle w:val="FootnoteReference"/>
          <w:rFonts w:ascii="MetaPro-Norm" w:hAnsi="MetaPro-Norm"/>
        </w:rPr>
        <w:footnoteReference w:id="23"/>
      </w:r>
      <w:r w:rsidR="00B34368" w:rsidRPr="00361325">
        <w:rPr>
          <w:rStyle w:val="eop"/>
          <w:rFonts w:ascii="MetaPro-Norm" w:hAnsi="MetaPro-Norm"/>
        </w:rPr>
        <w:t xml:space="preserve"> </w:t>
      </w:r>
      <w:r w:rsidR="00BC4C45" w:rsidRPr="00361325">
        <w:rPr>
          <w:rStyle w:val="eop"/>
          <w:rFonts w:ascii="MetaPro-Norm" w:hAnsi="MetaPro-Norm"/>
        </w:rPr>
        <w:t>Six months prior to</w:t>
      </w:r>
      <w:r w:rsidR="001133E7" w:rsidRPr="00361325">
        <w:rPr>
          <w:rStyle w:val="eop"/>
          <w:rFonts w:ascii="MetaPro-Norm" w:hAnsi="MetaPro-Norm"/>
        </w:rPr>
        <w:t xml:space="preserve"> the cut, according to official data, there were</w:t>
      </w:r>
      <w:r w:rsidR="00C47A24" w:rsidRPr="00361325">
        <w:rPr>
          <w:rStyle w:val="eop"/>
          <w:rFonts w:ascii="MetaPro-Norm" w:hAnsi="MetaPro-Norm"/>
        </w:rPr>
        <w:t xml:space="preserve"> 6 million people in receipt of Universal Credit, although that number has since decreased</w:t>
      </w:r>
      <w:r w:rsidR="00331E4A" w:rsidRPr="00361325">
        <w:rPr>
          <w:rStyle w:val="eop"/>
          <w:rFonts w:ascii="MetaPro-Norm" w:hAnsi="MetaPro-Norm"/>
        </w:rPr>
        <w:t xml:space="preserve"> to 5.6 million</w:t>
      </w:r>
      <w:r w:rsidR="00C47A24" w:rsidRPr="00361325">
        <w:rPr>
          <w:rStyle w:val="eop"/>
          <w:rFonts w:ascii="MetaPro-Norm" w:hAnsi="MetaPro-Norm"/>
        </w:rPr>
        <w:t>.</w:t>
      </w:r>
      <w:r w:rsidR="005B5D54" w:rsidRPr="00361325">
        <w:rPr>
          <w:rStyle w:val="FootnoteReference"/>
          <w:rFonts w:ascii="MetaPro-Norm" w:hAnsi="MetaPro-Norm"/>
        </w:rPr>
        <w:footnoteReference w:id="24"/>
      </w:r>
      <w:r w:rsidR="001133E7" w:rsidRPr="00361325">
        <w:rPr>
          <w:rStyle w:val="eop"/>
          <w:rFonts w:ascii="MetaPro-Norm" w:hAnsi="MetaPro-Norm"/>
        </w:rPr>
        <w:t xml:space="preserve"> </w:t>
      </w:r>
    </w:p>
    <w:p w14:paraId="7CDA9734" w14:textId="77777777" w:rsidR="002F7D2C" w:rsidRPr="00361325" w:rsidRDefault="002F7D2C" w:rsidP="002F7D2C">
      <w:pPr>
        <w:pStyle w:val="ListParagraph"/>
        <w:ind w:left="0"/>
        <w:rPr>
          <w:rStyle w:val="eop"/>
          <w:rFonts w:ascii="MetaPro-Norm" w:hAnsi="MetaPro-Norm"/>
        </w:rPr>
      </w:pPr>
    </w:p>
    <w:p w14:paraId="20E7CD42" w14:textId="646F2F3B" w:rsidR="009B4278" w:rsidRPr="00361325" w:rsidRDefault="00B34368" w:rsidP="00A56517">
      <w:pPr>
        <w:pStyle w:val="ListParagraph"/>
        <w:numPr>
          <w:ilvl w:val="0"/>
          <w:numId w:val="17"/>
        </w:numPr>
        <w:ind w:left="0"/>
        <w:rPr>
          <w:rStyle w:val="eop"/>
          <w:rFonts w:ascii="MetaPro-Norm" w:hAnsi="MetaPro-Norm"/>
        </w:rPr>
      </w:pPr>
      <w:r w:rsidRPr="00361325">
        <w:rPr>
          <w:rStyle w:val="eop"/>
          <w:rFonts w:ascii="MetaPro-Norm" w:hAnsi="MetaPro-Norm"/>
        </w:rPr>
        <w:t xml:space="preserve">It is worth noting </w:t>
      </w:r>
      <w:r w:rsidR="00243778" w:rsidRPr="00361325">
        <w:rPr>
          <w:rStyle w:val="eop"/>
          <w:rFonts w:ascii="MetaPro-Norm" w:hAnsi="MetaPro-Norm"/>
        </w:rPr>
        <w:t xml:space="preserve">that the £20 weekly </w:t>
      </w:r>
      <w:r w:rsidR="006B0DE7" w:rsidRPr="00361325">
        <w:rPr>
          <w:rStyle w:val="eop"/>
          <w:rFonts w:ascii="MetaPro-Norm" w:hAnsi="MetaPro-Norm"/>
        </w:rPr>
        <w:t>increase</w:t>
      </w:r>
      <w:r w:rsidR="00243778" w:rsidRPr="00361325">
        <w:rPr>
          <w:rStyle w:val="eop"/>
          <w:rFonts w:ascii="MetaPro-Norm" w:hAnsi="MetaPro-Norm"/>
        </w:rPr>
        <w:t xml:space="preserve"> </w:t>
      </w:r>
      <w:r w:rsidR="00FF7FA3" w:rsidRPr="00361325">
        <w:rPr>
          <w:rStyle w:val="eop"/>
          <w:rFonts w:ascii="MetaPro-Norm" w:hAnsi="MetaPro-Norm"/>
        </w:rPr>
        <w:t xml:space="preserve">was </w:t>
      </w:r>
      <w:r w:rsidR="0089340F" w:rsidRPr="00361325">
        <w:rPr>
          <w:rStyle w:val="eop"/>
          <w:rFonts w:ascii="MetaPro-Norm" w:hAnsi="MetaPro-Norm"/>
        </w:rPr>
        <w:t>never</w:t>
      </w:r>
      <w:r w:rsidR="00FF7FA3" w:rsidRPr="00361325">
        <w:rPr>
          <w:rStyle w:val="eop"/>
          <w:rFonts w:ascii="MetaPro-Norm" w:hAnsi="MetaPro-Norm"/>
        </w:rPr>
        <w:t xml:space="preserve"> applied </w:t>
      </w:r>
      <w:r w:rsidR="00726CE9" w:rsidRPr="00361325">
        <w:rPr>
          <w:rStyle w:val="eop"/>
          <w:rFonts w:ascii="MetaPro-Norm" w:hAnsi="MetaPro-Norm"/>
        </w:rPr>
        <w:t xml:space="preserve">to an estimated 2 million people on “legacy” benefits, who were still waiting to transition to the Universal Credit system, </w:t>
      </w:r>
      <w:r w:rsidR="00B73DD9" w:rsidRPr="00361325">
        <w:rPr>
          <w:rStyle w:val="eop"/>
          <w:rFonts w:ascii="MetaPro-Norm" w:hAnsi="MetaPro-Norm"/>
        </w:rPr>
        <w:t>including many people with disabilities and long-term health conditions</w:t>
      </w:r>
      <w:r w:rsidR="00C40CEF" w:rsidRPr="00361325">
        <w:rPr>
          <w:rStyle w:val="eop"/>
          <w:rFonts w:ascii="MetaPro-Norm" w:hAnsi="MetaPro-Norm"/>
        </w:rPr>
        <w:t xml:space="preserve">. </w:t>
      </w:r>
    </w:p>
    <w:p w14:paraId="1901424C" w14:textId="77777777" w:rsidR="002F7D2C" w:rsidRPr="00361325" w:rsidRDefault="002F7D2C" w:rsidP="002F7D2C">
      <w:pPr>
        <w:pStyle w:val="ListParagraph"/>
        <w:ind w:left="0"/>
        <w:rPr>
          <w:rStyle w:val="eop"/>
          <w:rFonts w:ascii="MetaPro-Norm" w:hAnsi="MetaPro-Norm"/>
        </w:rPr>
      </w:pPr>
    </w:p>
    <w:p w14:paraId="3FBD29C6" w14:textId="3956661A" w:rsidR="000223B8" w:rsidRPr="00361325" w:rsidRDefault="007158A5" w:rsidP="00A56517">
      <w:pPr>
        <w:pStyle w:val="ListParagraph"/>
        <w:numPr>
          <w:ilvl w:val="0"/>
          <w:numId w:val="17"/>
        </w:numPr>
        <w:ind w:left="0"/>
        <w:rPr>
          <w:rStyle w:val="eop"/>
          <w:rFonts w:ascii="MetaPro-Norm" w:hAnsi="MetaPro-Norm"/>
        </w:rPr>
      </w:pPr>
      <w:r w:rsidRPr="00361325">
        <w:rPr>
          <w:rStyle w:val="eop"/>
          <w:rFonts w:ascii="MetaPro-Norm" w:hAnsi="MetaPro-Norm"/>
        </w:rPr>
        <w:t xml:space="preserve">The </w:t>
      </w:r>
      <w:r w:rsidR="006D1532" w:rsidRPr="00361325">
        <w:rPr>
          <w:rStyle w:val="eop"/>
          <w:rFonts w:ascii="MetaPro-Norm" w:hAnsi="MetaPro-Norm"/>
        </w:rPr>
        <w:t xml:space="preserve">deepening </w:t>
      </w:r>
      <w:r w:rsidRPr="00361325">
        <w:rPr>
          <w:rStyle w:val="eop"/>
          <w:rFonts w:ascii="MetaPro-Norm" w:hAnsi="MetaPro-Norm"/>
        </w:rPr>
        <w:t>cost</w:t>
      </w:r>
      <w:r w:rsidR="006D1532" w:rsidRPr="00361325">
        <w:rPr>
          <w:rStyle w:val="eop"/>
          <w:rFonts w:ascii="MetaPro-Norm" w:hAnsi="MetaPro-Norm"/>
        </w:rPr>
        <w:t>-</w:t>
      </w:r>
      <w:r w:rsidRPr="00361325">
        <w:rPr>
          <w:rStyle w:val="eop"/>
          <w:rFonts w:ascii="MetaPro-Norm" w:hAnsi="MetaPro-Norm"/>
        </w:rPr>
        <w:t>of</w:t>
      </w:r>
      <w:r w:rsidR="006D1532" w:rsidRPr="00361325">
        <w:rPr>
          <w:rStyle w:val="eop"/>
          <w:rFonts w:ascii="MetaPro-Norm" w:hAnsi="MetaPro-Norm"/>
        </w:rPr>
        <w:t>-</w:t>
      </w:r>
      <w:r w:rsidRPr="00361325">
        <w:rPr>
          <w:rStyle w:val="eop"/>
          <w:rFonts w:ascii="MetaPro-Norm" w:hAnsi="MetaPro-Norm"/>
        </w:rPr>
        <w:t xml:space="preserve">living crisis </w:t>
      </w:r>
      <w:r w:rsidR="006D1532" w:rsidRPr="00361325">
        <w:rPr>
          <w:rStyle w:val="eop"/>
          <w:rFonts w:ascii="MetaPro-Norm" w:hAnsi="MetaPro-Norm"/>
        </w:rPr>
        <w:t>in</w:t>
      </w:r>
      <w:r w:rsidRPr="00361325">
        <w:rPr>
          <w:rStyle w:val="eop"/>
          <w:rFonts w:ascii="MetaPro-Norm" w:hAnsi="MetaPro-Norm"/>
        </w:rPr>
        <w:t xml:space="preserve"> 2022</w:t>
      </w:r>
      <w:r w:rsidR="006D1532" w:rsidRPr="00361325">
        <w:rPr>
          <w:rStyle w:val="eop"/>
          <w:rFonts w:ascii="MetaPro-Norm" w:hAnsi="MetaPro-Norm"/>
        </w:rPr>
        <w:t xml:space="preserve"> </w:t>
      </w:r>
      <w:r w:rsidR="00D22C7E" w:rsidRPr="00361325">
        <w:rPr>
          <w:rStyle w:val="eop"/>
          <w:rFonts w:ascii="MetaPro-Norm" w:hAnsi="MetaPro-Norm"/>
        </w:rPr>
        <w:t>affected low income households in the UK</w:t>
      </w:r>
      <w:r w:rsidR="00BD326E" w:rsidRPr="00361325">
        <w:rPr>
          <w:rStyle w:val="eop"/>
          <w:rFonts w:ascii="MetaPro-Norm" w:hAnsi="MetaPro-Norm"/>
        </w:rPr>
        <w:t>. Official data on inflation showed the highest rates in four decades, with consum</w:t>
      </w:r>
      <w:r w:rsidR="003870B0" w:rsidRPr="00361325">
        <w:rPr>
          <w:rStyle w:val="eop"/>
          <w:rFonts w:ascii="MetaPro-Norm" w:hAnsi="MetaPro-Norm"/>
        </w:rPr>
        <w:t>er price index reaching 11.1</w:t>
      </w:r>
      <w:r w:rsidR="00D512AF">
        <w:rPr>
          <w:rStyle w:val="eop"/>
          <w:rFonts w:ascii="MetaPro-Norm" w:hAnsi="MetaPro-Norm"/>
        </w:rPr>
        <w:t xml:space="preserve">% </w:t>
      </w:r>
      <w:r w:rsidR="003870B0" w:rsidRPr="00361325">
        <w:rPr>
          <w:rStyle w:val="eop"/>
          <w:rFonts w:ascii="MetaPro-Norm" w:hAnsi="MetaPro-Norm"/>
        </w:rPr>
        <w:t>in October 2022</w:t>
      </w:r>
      <w:r w:rsidR="0046529B" w:rsidRPr="00361325">
        <w:rPr>
          <w:rStyle w:val="eop"/>
          <w:rFonts w:ascii="MetaPro-Norm" w:hAnsi="MetaPro-Norm"/>
        </w:rPr>
        <w:t>.</w:t>
      </w:r>
      <w:r w:rsidR="005B5D54" w:rsidRPr="00361325">
        <w:rPr>
          <w:rStyle w:val="FootnoteReference"/>
          <w:rFonts w:ascii="MetaPro-Norm" w:hAnsi="MetaPro-Norm"/>
        </w:rPr>
        <w:footnoteReference w:id="25"/>
      </w:r>
      <w:r w:rsidR="0046529B" w:rsidRPr="00361325">
        <w:rPr>
          <w:rStyle w:val="eop"/>
          <w:rFonts w:ascii="MetaPro-Norm" w:hAnsi="MetaPro-Norm"/>
        </w:rPr>
        <w:t xml:space="preserve"> Retail associations in early 2023 estimated that food price inflation was in excess of 13.3%</w:t>
      </w:r>
      <w:r w:rsidR="00EE203E" w:rsidRPr="00361325">
        <w:rPr>
          <w:rStyle w:val="eop"/>
          <w:rFonts w:ascii="MetaPro-Norm" w:hAnsi="MetaPro-Norm"/>
        </w:rPr>
        <w:t>, with food prices, along with energy, being a main contributor to the cost of living.</w:t>
      </w:r>
      <w:r w:rsidR="005B5D54" w:rsidRPr="00361325">
        <w:rPr>
          <w:rStyle w:val="FootnoteReference"/>
          <w:rFonts w:ascii="MetaPro-Norm" w:hAnsi="MetaPro-Norm"/>
        </w:rPr>
        <w:footnoteReference w:id="26"/>
      </w:r>
    </w:p>
    <w:p w14:paraId="5A926BE9" w14:textId="77777777" w:rsidR="002F7D2C" w:rsidRPr="00361325" w:rsidRDefault="002F7D2C" w:rsidP="002F7D2C">
      <w:pPr>
        <w:pStyle w:val="ListParagraph"/>
        <w:ind w:left="0"/>
        <w:rPr>
          <w:rStyle w:val="eop"/>
          <w:rFonts w:ascii="MetaPro-Norm" w:hAnsi="MetaPro-Norm"/>
        </w:rPr>
      </w:pPr>
    </w:p>
    <w:p w14:paraId="1383B4F9" w14:textId="085861BD" w:rsidR="000223B8" w:rsidRPr="00361325" w:rsidRDefault="00C40CEF" w:rsidP="00A56517">
      <w:pPr>
        <w:pStyle w:val="ListParagraph"/>
        <w:numPr>
          <w:ilvl w:val="0"/>
          <w:numId w:val="17"/>
        </w:numPr>
        <w:ind w:left="0"/>
        <w:rPr>
          <w:rStyle w:val="eop"/>
          <w:rFonts w:ascii="MetaPro-Norm" w:hAnsi="MetaPro-Norm"/>
        </w:rPr>
      </w:pPr>
      <w:r w:rsidRPr="00361325">
        <w:rPr>
          <w:rStyle w:val="eop"/>
          <w:rFonts w:ascii="MetaPro-Norm" w:hAnsi="MetaPro-Norm"/>
        </w:rPr>
        <w:t xml:space="preserve">In November 2022, the government announced that </w:t>
      </w:r>
      <w:r w:rsidR="00F00D94" w:rsidRPr="00361325">
        <w:rPr>
          <w:rStyle w:val="eop"/>
          <w:rFonts w:ascii="MetaPro-Norm" w:hAnsi="MetaPro-Norm"/>
        </w:rPr>
        <w:t xml:space="preserve">working-age benefits in social security support would rise </w:t>
      </w:r>
      <w:r w:rsidR="00D37C22" w:rsidRPr="00361325">
        <w:rPr>
          <w:rStyle w:val="eop"/>
          <w:rFonts w:ascii="MetaPro-Norm" w:hAnsi="MetaPro-Norm"/>
        </w:rPr>
        <w:t>by 10.1% to help meet the pressures of inflation on low-income households.</w:t>
      </w:r>
      <w:r w:rsidR="00D37C22" w:rsidRPr="00361325">
        <w:rPr>
          <w:rStyle w:val="FootnoteReference"/>
          <w:rFonts w:ascii="MetaPro-Norm" w:hAnsi="MetaPro-Norm"/>
        </w:rPr>
        <w:footnoteReference w:id="27"/>
      </w:r>
      <w:r w:rsidRPr="00361325">
        <w:rPr>
          <w:rStyle w:val="eop"/>
          <w:rFonts w:ascii="MetaPro-Norm" w:hAnsi="MetaPro-Norm"/>
        </w:rPr>
        <w:t xml:space="preserve"> </w:t>
      </w:r>
      <w:r w:rsidR="006921B7" w:rsidRPr="00361325">
        <w:rPr>
          <w:rStyle w:val="eop"/>
          <w:rFonts w:ascii="MetaPro-Norm" w:hAnsi="MetaPro-Norm"/>
        </w:rPr>
        <w:t>While the proposed increase was a welcome change from a long period of frozen social security levels, the increase</w:t>
      </w:r>
      <w:r w:rsidR="00D37C22" w:rsidRPr="00361325">
        <w:rPr>
          <w:rStyle w:val="eop"/>
          <w:rFonts w:ascii="MetaPro-Norm" w:hAnsi="MetaPro-Norm"/>
        </w:rPr>
        <w:t xml:space="preserve"> </w:t>
      </w:r>
      <w:r w:rsidR="006D1532" w:rsidRPr="00361325">
        <w:rPr>
          <w:rStyle w:val="eop"/>
          <w:rFonts w:ascii="MetaPro-Norm" w:hAnsi="MetaPro-Norm"/>
        </w:rPr>
        <w:t>does not take effect</w:t>
      </w:r>
      <w:r w:rsidR="00D37C22" w:rsidRPr="00361325">
        <w:rPr>
          <w:rStyle w:val="eop"/>
          <w:rFonts w:ascii="MetaPro-Norm" w:hAnsi="MetaPro-Norm"/>
        </w:rPr>
        <w:t xml:space="preserve"> until April 2023</w:t>
      </w:r>
      <w:r w:rsidR="0030355E" w:rsidRPr="00361325">
        <w:rPr>
          <w:rStyle w:val="eop"/>
          <w:rFonts w:ascii="MetaPro-Norm" w:hAnsi="MetaPro-Norm"/>
        </w:rPr>
        <w:t xml:space="preserve">, leaving low-income households without adequate support in the interim, and once implemented will still fall below </w:t>
      </w:r>
      <w:r w:rsidR="00B71AB1" w:rsidRPr="00361325">
        <w:rPr>
          <w:rStyle w:val="eop"/>
          <w:rFonts w:ascii="MetaPro-Norm" w:hAnsi="MetaPro-Norm"/>
        </w:rPr>
        <w:t>inflation-matching figures, resulting in a real-term cut</w:t>
      </w:r>
      <w:r w:rsidR="0086507D">
        <w:rPr>
          <w:rStyle w:val="eop"/>
          <w:rFonts w:ascii="MetaPro-Norm" w:hAnsi="MetaPro-Norm"/>
        </w:rPr>
        <w:t>s</w:t>
      </w:r>
      <w:r w:rsidR="00B71AB1" w:rsidRPr="00361325">
        <w:rPr>
          <w:rStyle w:val="eop"/>
          <w:rFonts w:ascii="MetaPro-Norm" w:hAnsi="MetaPro-Norm"/>
        </w:rPr>
        <w:t xml:space="preserve"> to social security support.</w:t>
      </w:r>
    </w:p>
    <w:p w14:paraId="1EB47024" w14:textId="77777777" w:rsidR="002F7D2C" w:rsidRPr="00361325" w:rsidRDefault="002F7D2C" w:rsidP="002F7D2C">
      <w:pPr>
        <w:pStyle w:val="ListParagraph"/>
        <w:ind w:left="0"/>
        <w:rPr>
          <w:rStyle w:val="eop"/>
          <w:rFonts w:ascii="MetaPro-Norm" w:hAnsi="MetaPro-Norm"/>
        </w:rPr>
      </w:pPr>
    </w:p>
    <w:p w14:paraId="00AC033E" w14:textId="61F163A4" w:rsidR="00CB01B2" w:rsidRPr="00361325" w:rsidRDefault="002B489F" w:rsidP="00A56517">
      <w:pPr>
        <w:pStyle w:val="ListParagraph"/>
        <w:numPr>
          <w:ilvl w:val="0"/>
          <w:numId w:val="17"/>
        </w:numPr>
        <w:ind w:left="0"/>
        <w:rPr>
          <w:rStyle w:val="eop"/>
          <w:rFonts w:ascii="MetaPro-Norm" w:hAnsi="MetaPro-Norm"/>
        </w:rPr>
      </w:pPr>
      <w:r w:rsidRPr="00361325">
        <w:rPr>
          <w:rStyle w:val="eop"/>
          <w:rFonts w:ascii="MetaPro-Norm" w:hAnsi="MetaPro-Norm"/>
        </w:rPr>
        <w:t xml:space="preserve">The UK government continues to retain in place </w:t>
      </w:r>
      <w:r w:rsidR="00977D0D" w:rsidRPr="00361325">
        <w:rPr>
          <w:rStyle w:val="eop"/>
          <w:rFonts w:ascii="MetaPro-Norm" w:hAnsi="MetaPro-Norm"/>
        </w:rPr>
        <w:t>its</w:t>
      </w:r>
      <w:r w:rsidR="00EB05DB" w:rsidRPr="00361325">
        <w:rPr>
          <w:rStyle w:val="eop"/>
          <w:rFonts w:ascii="MetaPro-Norm" w:hAnsi="MetaPro-Norm"/>
        </w:rPr>
        <w:t xml:space="preserve"> April 2017</w:t>
      </w:r>
      <w:r w:rsidR="00977D0D" w:rsidRPr="00361325">
        <w:rPr>
          <w:rStyle w:val="eop"/>
          <w:rFonts w:ascii="MetaPro-Norm" w:hAnsi="MetaPro-Norm"/>
        </w:rPr>
        <w:t xml:space="preserve"> “two-child limit” policy in </w:t>
      </w:r>
      <w:r w:rsidR="00F43836" w:rsidRPr="00361325">
        <w:rPr>
          <w:rStyle w:val="eop"/>
          <w:rFonts w:ascii="MetaPro-Norm" w:hAnsi="MetaPro-Norm"/>
        </w:rPr>
        <w:t>the tax credit aspect of its social security provision</w:t>
      </w:r>
      <w:r w:rsidR="005F325A" w:rsidRPr="00361325">
        <w:rPr>
          <w:rStyle w:val="eop"/>
          <w:rFonts w:ascii="MetaPro-Norm" w:hAnsi="MetaPro-Norm"/>
        </w:rPr>
        <w:t xml:space="preserve"> through tax relief</w:t>
      </w:r>
      <w:r w:rsidR="00977D0D" w:rsidRPr="00361325">
        <w:rPr>
          <w:rStyle w:val="eop"/>
          <w:rFonts w:ascii="MetaPro-Norm" w:hAnsi="MetaPro-Norm"/>
        </w:rPr>
        <w:t>.</w:t>
      </w:r>
      <w:r w:rsidR="00BF6A0D" w:rsidRPr="00361325">
        <w:rPr>
          <w:rStyle w:val="eop"/>
          <w:rFonts w:ascii="MetaPro-Norm" w:hAnsi="MetaPro-Norm"/>
        </w:rPr>
        <w:t xml:space="preserve"> The policy</w:t>
      </w:r>
      <w:r w:rsidR="0090634E" w:rsidRPr="00361325">
        <w:rPr>
          <w:rStyle w:val="eop"/>
          <w:rFonts w:ascii="MetaPro-Norm" w:hAnsi="MetaPro-Norm"/>
        </w:rPr>
        <w:t xml:space="preserve">, legislated for in the Welfare and Work Reform Act 2016, stops </w:t>
      </w:r>
      <w:r w:rsidR="00EB05DB" w:rsidRPr="00361325">
        <w:rPr>
          <w:rStyle w:val="eop"/>
          <w:rFonts w:ascii="MetaPro-Norm" w:hAnsi="MetaPro-Norm"/>
        </w:rPr>
        <w:t>families on low incomes to claim child-related tax credit for any child after the first two children, where the child was born after April 2017.</w:t>
      </w:r>
      <w:r w:rsidR="00D239A7" w:rsidRPr="00361325">
        <w:rPr>
          <w:rStyle w:val="eop"/>
          <w:rFonts w:ascii="MetaPro-Norm" w:hAnsi="MetaPro-Norm"/>
        </w:rPr>
        <w:t xml:space="preserve"> In effect, this tax credit policy financially penalizes large numbers of children and their families</w:t>
      </w:r>
      <w:r w:rsidR="001D4098" w:rsidRPr="00361325">
        <w:rPr>
          <w:rStyle w:val="eop"/>
          <w:rFonts w:ascii="MetaPro-Norm" w:hAnsi="MetaPro-Norm"/>
        </w:rPr>
        <w:t xml:space="preserve">, and </w:t>
      </w:r>
      <w:r w:rsidR="00EA75EA">
        <w:rPr>
          <w:rStyle w:val="eop"/>
          <w:rFonts w:ascii="MetaPro-Norm" w:hAnsi="MetaPro-Norm"/>
        </w:rPr>
        <w:t xml:space="preserve">negatively </w:t>
      </w:r>
      <w:r w:rsidR="001D4098" w:rsidRPr="00361325">
        <w:rPr>
          <w:rStyle w:val="eop"/>
          <w:rFonts w:ascii="MetaPro-Norm" w:hAnsi="MetaPro-Norm"/>
        </w:rPr>
        <w:t>impacts all children raised in low-income households</w:t>
      </w:r>
      <w:r w:rsidR="00FA7DC7" w:rsidRPr="00361325">
        <w:rPr>
          <w:rStyle w:val="eop"/>
          <w:rFonts w:ascii="MetaPro-Norm" w:hAnsi="MetaPro-Norm"/>
        </w:rPr>
        <w:t xml:space="preserve"> with a parent or parents who claim benefits. It is also a policy that punishes parents if they want to have more than two children, </w:t>
      </w:r>
      <w:r w:rsidR="00857FF3" w:rsidRPr="00361325">
        <w:rPr>
          <w:rStyle w:val="eop"/>
          <w:rFonts w:ascii="MetaPro-Norm" w:hAnsi="MetaPro-Norm"/>
        </w:rPr>
        <w:t>including through blending families (</w:t>
      </w:r>
      <w:r w:rsidR="003915EA">
        <w:rPr>
          <w:rStyle w:val="eop"/>
          <w:rFonts w:ascii="MetaPro-Norm" w:hAnsi="MetaPro-Norm"/>
        </w:rPr>
        <w:t xml:space="preserve">that is </w:t>
      </w:r>
      <w:r w:rsidR="00857FF3" w:rsidRPr="00361325">
        <w:rPr>
          <w:rStyle w:val="eop"/>
          <w:rFonts w:ascii="MetaPro-Norm" w:hAnsi="MetaPro-Norm"/>
        </w:rPr>
        <w:t xml:space="preserve">a family in which two adults may have children from previous relationships </w:t>
      </w:r>
      <w:r w:rsidR="00BE3417" w:rsidRPr="00361325">
        <w:rPr>
          <w:rStyle w:val="eop"/>
          <w:rFonts w:ascii="MetaPro-Norm" w:hAnsi="MetaPro-Norm"/>
        </w:rPr>
        <w:t>and bring them to live together as one household).</w:t>
      </w:r>
      <w:r w:rsidR="002858E3" w:rsidRPr="00361325">
        <w:rPr>
          <w:rStyle w:val="FootnoteReference"/>
          <w:rFonts w:ascii="MetaPro-Norm" w:hAnsi="MetaPro-Norm"/>
        </w:rPr>
        <w:footnoteReference w:id="28"/>
      </w:r>
    </w:p>
    <w:p w14:paraId="06B43251" w14:textId="77777777" w:rsidR="002F7D2C" w:rsidRPr="00361325" w:rsidRDefault="002F7D2C" w:rsidP="002F7D2C">
      <w:pPr>
        <w:pStyle w:val="ListParagraph"/>
        <w:spacing w:after="0" w:line="252" w:lineRule="auto"/>
        <w:ind w:left="0"/>
        <w:rPr>
          <w:rFonts w:ascii="MetaPro-Norm" w:hAnsi="MetaPro-Norm"/>
          <w:i/>
          <w:iCs/>
        </w:rPr>
      </w:pPr>
    </w:p>
    <w:p w14:paraId="3F1BF8AB" w14:textId="0B3EE3C2" w:rsidR="0089558C" w:rsidRPr="00361325" w:rsidRDefault="0089558C" w:rsidP="00A56517">
      <w:pPr>
        <w:pStyle w:val="ListParagraph"/>
        <w:numPr>
          <w:ilvl w:val="0"/>
          <w:numId w:val="17"/>
        </w:numPr>
        <w:spacing w:after="0" w:line="252" w:lineRule="auto"/>
        <w:ind w:left="0"/>
        <w:rPr>
          <w:rFonts w:ascii="MetaPro-Norm" w:hAnsi="MetaPro-Norm"/>
          <w:i/>
          <w:iCs/>
        </w:rPr>
      </w:pPr>
      <w:r w:rsidRPr="00361325">
        <w:rPr>
          <w:rFonts w:ascii="MetaPro-Norm" w:hAnsi="MetaPro-Norm"/>
          <w:i/>
          <w:iCs/>
        </w:rPr>
        <w:t>Human Rights Watch recommends that the committee ask the UK government:</w:t>
      </w:r>
    </w:p>
    <w:p w14:paraId="43E27157" w14:textId="5FD4473E" w:rsidR="006861C3" w:rsidRPr="00361325" w:rsidRDefault="0089558C" w:rsidP="002F7D2C">
      <w:pPr>
        <w:pStyle w:val="ListParagraph"/>
        <w:numPr>
          <w:ilvl w:val="0"/>
          <w:numId w:val="26"/>
        </w:numPr>
        <w:spacing w:after="0" w:line="252" w:lineRule="auto"/>
        <w:rPr>
          <w:rFonts w:ascii="MetaPro-Norm" w:hAnsi="MetaPro-Norm"/>
        </w:rPr>
      </w:pPr>
      <w:r w:rsidRPr="00361325">
        <w:rPr>
          <w:rFonts w:ascii="MetaPro-Norm" w:hAnsi="MetaPro-Norm"/>
        </w:rPr>
        <w:t xml:space="preserve">What specific steps does the UK government take to ensure that its provision of social security support is compliant with </w:t>
      </w:r>
      <w:r w:rsidR="00EC1569" w:rsidRPr="00361325">
        <w:rPr>
          <w:rFonts w:ascii="MetaPro-Norm" w:hAnsi="MetaPro-Norm"/>
        </w:rPr>
        <w:t>I</w:t>
      </w:r>
      <w:r w:rsidRPr="00361325">
        <w:rPr>
          <w:rFonts w:ascii="MetaPro-Norm" w:hAnsi="MetaPro-Norm"/>
        </w:rPr>
        <w:t xml:space="preserve">CESCR </w:t>
      </w:r>
      <w:r w:rsidR="007C1B88" w:rsidRPr="00361325">
        <w:rPr>
          <w:rFonts w:ascii="MetaPro-Norm" w:hAnsi="MetaPro-Norm"/>
        </w:rPr>
        <w:t>A</w:t>
      </w:r>
      <w:r w:rsidRPr="00361325">
        <w:rPr>
          <w:rFonts w:ascii="MetaPro-Norm" w:hAnsi="MetaPro-Norm"/>
        </w:rPr>
        <w:t xml:space="preserve">rticles 9 </w:t>
      </w:r>
      <w:r w:rsidR="008F179E">
        <w:rPr>
          <w:rFonts w:ascii="MetaPro-Norm" w:hAnsi="MetaPro-Norm"/>
        </w:rPr>
        <w:t>and</w:t>
      </w:r>
      <w:r w:rsidRPr="00361325">
        <w:rPr>
          <w:rFonts w:ascii="MetaPro-Norm" w:hAnsi="MetaPro-Norm"/>
        </w:rPr>
        <w:t xml:space="preserve"> 11</w:t>
      </w:r>
      <w:r w:rsidR="007C1B88" w:rsidRPr="00361325">
        <w:rPr>
          <w:rFonts w:ascii="MetaPro-Norm" w:hAnsi="MetaPro-Norm"/>
        </w:rPr>
        <w:t xml:space="preserve">? And, if the UK government does not explicitly </w:t>
      </w:r>
      <w:r w:rsidR="00EC1569" w:rsidRPr="00361325">
        <w:rPr>
          <w:rFonts w:ascii="MetaPro-Norm" w:hAnsi="MetaPro-Norm"/>
        </w:rPr>
        <w:t>use the terms in ICESCR in its assessment, how does it ensure that the levels of social security support are sufficient to gu</w:t>
      </w:r>
      <w:r w:rsidR="002B489F" w:rsidRPr="00361325">
        <w:rPr>
          <w:rFonts w:ascii="MetaPro-Norm" w:hAnsi="MetaPro-Norm"/>
        </w:rPr>
        <w:t>arantee an adequate standard of living?</w:t>
      </w:r>
    </w:p>
    <w:p w14:paraId="712E2E07" w14:textId="54460DB8" w:rsidR="00DF4C76" w:rsidRPr="00361325" w:rsidRDefault="00DF4C76" w:rsidP="002F7D2C">
      <w:pPr>
        <w:pStyle w:val="ListParagraph"/>
        <w:numPr>
          <w:ilvl w:val="0"/>
          <w:numId w:val="26"/>
        </w:numPr>
        <w:spacing w:after="0" w:line="252" w:lineRule="auto"/>
        <w:rPr>
          <w:rFonts w:ascii="MetaPro-Norm" w:hAnsi="MetaPro-Norm"/>
        </w:rPr>
      </w:pPr>
      <w:r w:rsidRPr="00361325">
        <w:rPr>
          <w:rFonts w:ascii="MetaPro-Norm" w:hAnsi="MetaPro-Norm"/>
        </w:rPr>
        <w:t>To embark on a detailed impact assessment of the relationship thus far between the two-limit pol</w:t>
      </w:r>
      <w:r w:rsidR="00C82D89" w:rsidRPr="00361325">
        <w:rPr>
          <w:rFonts w:ascii="MetaPro-Norm" w:hAnsi="MetaPro-Norm"/>
        </w:rPr>
        <w:t>icy and</w:t>
      </w:r>
      <w:r w:rsidR="00CC176F" w:rsidRPr="00361325">
        <w:rPr>
          <w:rFonts w:ascii="MetaPro-Norm" w:hAnsi="MetaPro-Norm"/>
        </w:rPr>
        <w:t xml:space="preserve"> child poverty.</w:t>
      </w:r>
    </w:p>
    <w:p w14:paraId="5D76783B" w14:textId="77777777" w:rsidR="0089558C" w:rsidRPr="00361325" w:rsidRDefault="0089558C" w:rsidP="004C3B9E">
      <w:pPr>
        <w:spacing w:after="0"/>
        <w:rPr>
          <w:rStyle w:val="eop"/>
          <w:rFonts w:ascii="MetaPro-Norm" w:hAnsi="MetaPro-Norm"/>
        </w:rPr>
      </w:pPr>
    </w:p>
    <w:p w14:paraId="064094B4" w14:textId="0FCCDEAB" w:rsidR="00805F9D" w:rsidRPr="00361325" w:rsidRDefault="00805F9D" w:rsidP="00805F9D">
      <w:pPr>
        <w:pStyle w:val="ListParagraph"/>
        <w:spacing w:after="0" w:line="264" w:lineRule="auto"/>
        <w:ind w:left="0"/>
        <w:rPr>
          <w:rFonts w:ascii="MetaPro-Norm" w:eastAsia="Calibri" w:hAnsi="MetaPro-Norm" w:cs="Calibri"/>
          <w:b/>
          <w:bCs/>
          <w:color w:val="000000" w:themeColor="text1"/>
        </w:rPr>
      </w:pPr>
      <w:r w:rsidRPr="00361325">
        <w:rPr>
          <w:rFonts w:ascii="MetaPro-Norm" w:eastAsia="Calibri" w:hAnsi="MetaPro-Norm" w:cs="Calibri"/>
          <w:b/>
          <w:bCs/>
          <w:color w:val="000000" w:themeColor="text1"/>
        </w:rPr>
        <w:t xml:space="preserve">Protection of </w:t>
      </w:r>
      <w:r w:rsidR="00870827">
        <w:rPr>
          <w:rFonts w:ascii="MetaPro-Norm" w:eastAsia="Calibri" w:hAnsi="MetaPro-Norm" w:cs="Calibri"/>
          <w:b/>
          <w:bCs/>
          <w:color w:val="000000" w:themeColor="text1"/>
        </w:rPr>
        <w:t>e</w:t>
      </w:r>
      <w:r w:rsidRPr="00361325">
        <w:rPr>
          <w:rFonts w:ascii="MetaPro-Norm" w:eastAsia="Calibri" w:hAnsi="MetaPro-Norm" w:cs="Calibri"/>
          <w:b/>
          <w:bCs/>
          <w:color w:val="000000" w:themeColor="text1"/>
        </w:rPr>
        <w:t xml:space="preserve">ducation from </w:t>
      </w:r>
      <w:r w:rsidR="00870827">
        <w:rPr>
          <w:rFonts w:ascii="MetaPro-Norm" w:eastAsia="Calibri" w:hAnsi="MetaPro-Norm" w:cs="Calibri"/>
          <w:b/>
          <w:bCs/>
          <w:color w:val="000000" w:themeColor="text1"/>
        </w:rPr>
        <w:t>a</w:t>
      </w:r>
      <w:r w:rsidRPr="00361325">
        <w:rPr>
          <w:rFonts w:ascii="MetaPro-Norm" w:eastAsia="Calibri" w:hAnsi="MetaPro-Norm" w:cs="Calibri"/>
          <w:b/>
          <w:bCs/>
          <w:color w:val="000000" w:themeColor="text1"/>
        </w:rPr>
        <w:t>ttack (article 13)</w:t>
      </w:r>
    </w:p>
    <w:p w14:paraId="76957F40" w14:textId="77777777" w:rsidR="00805F9D" w:rsidRPr="00361325" w:rsidRDefault="00805F9D" w:rsidP="00805F9D">
      <w:pPr>
        <w:pStyle w:val="ListParagraph"/>
        <w:numPr>
          <w:ilvl w:val="0"/>
          <w:numId w:val="17"/>
        </w:numPr>
        <w:spacing w:after="0" w:line="264" w:lineRule="auto"/>
        <w:ind w:left="0"/>
        <w:rPr>
          <w:rFonts w:ascii="MetaPro-Norm" w:hAnsi="MetaPro-Norm"/>
          <w:color w:val="000000" w:themeColor="text1"/>
        </w:rPr>
      </w:pPr>
      <w:r w:rsidRPr="00361325">
        <w:rPr>
          <w:rFonts w:ascii="MetaPro-Norm" w:hAnsi="MetaPro-Norm"/>
          <w:color w:val="000000" w:themeColor="text1"/>
        </w:rPr>
        <w:t>The UK has both legislation and military policies protecting schools from military use. For example, the UK’s 1958 Manoeuvres Act states:</w:t>
      </w:r>
    </w:p>
    <w:p w14:paraId="05EF7C57" w14:textId="77777777" w:rsidR="00805F9D" w:rsidRPr="00361325" w:rsidRDefault="00805F9D" w:rsidP="00805F9D">
      <w:pPr>
        <w:pStyle w:val="ListParagraph"/>
        <w:numPr>
          <w:ilvl w:val="1"/>
          <w:numId w:val="17"/>
        </w:numPr>
        <w:spacing w:after="0" w:line="264" w:lineRule="auto"/>
        <w:ind w:left="720" w:right="720"/>
        <w:rPr>
          <w:rFonts w:ascii="MetaPro-Norm" w:hAnsi="MetaPro-Norm"/>
          <w:color w:val="000000" w:themeColor="text1"/>
        </w:rPr>
      </w:pPr>
      <w:r w:rsidRPr="00361325">
        <w:rPr>
          <w:rFonts w:ascii="MetaPro-Norm" w:hAnsi="MetaPro-Norm"/>
          <w:color w:val="000000" w:themeColor="text1"/>
        </w:rPr>
        <w:t xml:space="preserve">Subject to the provisions of this Act, any persons taking part with the authority of Her Majesty in the manoeuvres authorised by a manoeuvres Order … may, under the direction of the Secretary of State, within the manoeuvres area and during the manoeuvres period—pass over, and encamp, construct works not of a permanent character and execute defence manoeuvres on, any land; … </w:t>
      </w:r>
    </w:p>
    <w:p w14:paraId="40AD2092" w14:textId="77777777" w:rsidR="00805F9D" w:rsidRPr="00361325" w:rsidRDefault="00805F9D" w:rsidP="00805F9D">
      <w:pPr>
        <w:pStyle w:val="ListParagraph"/>
        <w:numPr>
          <w:ilvl w:val="1"/>
          <w:numId w:val="17"/>
        </w:numPr>
        <w:spacing w:after="0" w:line="264" w:lineRule="auto"/>
        <w:ind w:left="720" w:right="720"/>
        <w:rPr>
          <w:rFonts w:ascii="MetaPro-Norm" w:hAnsi="MetaPro-Norm"/>
          <w:color w:val="000000" w:themeColor="text1"/>
        </w:rPr>
      </w:pPr>
      <w:r w:rsidRPr="00361325">
        <w:rPr>
          <w:rFonts w:ascii="MetaPro-Norm" w:hAnsi="MetaPro-Norm"/>
          <w:color w:val="000000" w:themeColor="text1"/>
        </w:rPr>
        <w:t>The foregoing subsection shall not authorise entry on or interference with … any school or ground attached thereto…</w:t>
      </w:r>
      <w:r w:rsidRPr="00361325">
        <w:rPr>
          <w:rStyle w:val="FootnoteReference"/>
          <w:rFonts w:ascii="MetaPro-Norm" w:hAnsi="MetaPro-Norm"/>
          <w:color w:val="000000" w:themeColor="text1"/>
        </w:rPr>
        <w:footnoteReference w:id="29"/>
      </w:r>
      <w:r w:rsidRPr="00361325">
        <w:rPr>
          <w:rFonts w:ascii="MetaPro-Norm" w:hAnsi="MetaPro-Norm"/>
          <w:color w:val="000000" w:themeColor="text1"/>
        </w:rPr>
        <w:t xml:space="preserve"> </w:t>
      </w:r>
    </w:p>
    <w:p w14:paraId="4CC748F8" w14:textId="77777777" w:rsidR="00805F9D" w:rsidRPr="00361325" w:rsidRDefault="00805F9D" w:rsidP="00805F9D">
      <w:pPr>
        <w:spacing w:after="0" w:line="264" w:lineRule="auto"/>
        <w:rPr>
          <w:rFonts w:ascii="MetaPro-Norm" w:hAnsi="MetaPro-Norm"/>
          <w:color w:val="000000" w:themeColor="text1"/>
        </w:rPr>
      </w:pPr>
    </w:p>
    <w:p w14:paraId="14473A52" w14:textId="77777777" w:rsidR="00805F9D" w:rsidRPr="00361325" w:rsidRDefault="00805F9D" w:rsidP="00805F9D">
      <w:pPr>
        <w:pStyle w:val="ListParagraph"/>
        <w:numPr>
          <w:ilvl w:val="0"/>
          <w:numId w:val="17"/>
        </w:numPr>
        <w:spacing w:after="0" w:line="264" w:lineRule="auto"/>
        <w:ind w:left="0"/>
        <w:rPr>
          <w:rFonts w:ascii="MetaPro-Norm" w:hAnsi="MetaPro-Norm"/>
          <w:color w:val="000000" w:themeColor="text1"/>
        </w:rPr>
      </w:pPr>
      <w:r w:rsidRPr="00361325">
        <w:rPr>
          <w:rFonts w:ascii="MetaPro-Norm" w:hAnsi="MetaPro-Norm"/>
          <w:color w:val="000000" w:themeColor="text1"/>
        </w:rPr>
        <w:t>In a debate before the House of Commons in 1991, the Minister of State for the Armed Forces clarified that when considering the applicability of this act: “There is no statutory definition of the term “military manoeuvre,” but in common service usage the term would be used to describe the strategic or tactical movement of a military force.”</w:t>
      </w:r>
      <w:r w:rsidRPr="00361325">
        <w:rPr>
          <w:rStyle w:val="FootnoteReference"/>
          <w:rFonts w:ascii="MetaPro-Norm" w:hAnsi="MetaPro-Norm"/>
          <w:color w:val="000000" w:themeColor="text1"/>
        </w:rPr>
        <w:footnoteReference w:id="30"/>
      </w:r>
    </w:p>
    <w:p w14:paraId="0B9528AB" w14:textId="77777777" w:rsidR="00805F9D" w:rsidRPr="00361325" w:rsidRDefault="00805F9D" w:rsidP="00805F9D">
      <w:pPr>
        <w:spacing w:after="0" w:line="264" w:lineRule="auto"/>
        <w:rPr>
          <w:rFonts w:ascii="MetaPro-Norm" w:hAnsi="MetaPro-Norm"/>
          <w:color w:val="000000" w:themeColor="text1"/>
        </w:rPr>
      </w:pPr>
    </w:p>
    <w:p w14:paraId="7445E988" w14:textId="77777777" w:rsidR="00805F9D" w:rsidRPr="00361325" w:rsidRDefault="00805F9D" w:rsidP="00805F9D">
      <w:pPr>
        <w:pStyle w:val="ListParagraph"/>
        <w:numPr>
          <w:ilvl w:val="0"/>
          <w:numId w:val="17"/>
        </w:numPr>
        <w:spacing w:after="0" w:line="264" w:lineRule="auto"/>
        <w:ind w:left="0"/>
        <w:rPr>
          <w:rFonts w:ascii="MetaPro-Norm" w:hAnsi="MetaPro-Norm"/>
          <w:color w:val="000000" w:themeColor="text1"/>
        </w:rPr>
      </w:pPr>
      <w:r w:rsidRPr="00361325">
        <w:rPr>
          <w:rFonts w:ascii="MetaPro-Norm" w:hAnsi="MetaPro-Norm"/>
          <w:color w:val="000000" w:themeColor="text1"/>
        </w:rPr>
        <w:t>The UK’s 2004 Manual of the Law of Armed Conflict states that:</w:t>
      </w:r>
    </w:p>
    <w:p w14:paraId="271DDCAB" w14:textId="77777777" w:rsidR="00805F9D" w:rsidRPr="00361325" w:rsidRDefault="00805F9D" w:rsidP="00805F9D">
      <w:pPr>
        <w:pStyle w:val="ListParagraph"/>
        <w:numPr>
          <w:ilvl w:val="1"/>
          <w:numId w:val="17"/>
        </w:numPr>
        <w:spacing w:after="0" w:line="264" w:lineRule="auto"/>
        <w:ind w:left="720" w:right="720"/>
        <w:rPr>
          <w:rFonts w:ascii="MetaPro-Norm" w:hAnsi="MetaPro-Norm"/>
          <w:color w:val="000000" w:themeColor="text1"/>
        </w:rPr>
      </w:pPr>
      <w:r w:rsidRPr="00361325">
        <w:rPr>
          <w:rFonts w:ascii="MetaPro-Norm" w:hAnsi="MetaPro-Norm"/>
          <w:color w:val="000000" w:themeColor="text1"/>
        </w:rPr>
        <w:t>It is prohibited: (a) to commit any act of hostilities against cultural property, so long as it is not being used for military purposes…</w:t>
      </w:r>
    </w:p>
    <w:p w14:paraId="1133A03F" w14:textId="77777777" w:rsidR="00805F9D" w:rsidRPr="00361325" w:rsidRDefault="00805F9D" w:rsidP="00805F9D">
      <w:pPr>
        <w:pStyle w:val="ListParagraph"/>
        <w:numPr>
          <w:ilvl w:val="1"/>
          <w:numId w:val="17"/>
        </w:numPr>
        <w:spacing w:after="0" w:line="264" w:lineRule="auto"/>
        <w:ind w:left="720" w:right="720"/>
        <w:rPr>
          <w:rFonts w:ascii="MetaPro-Norm" w:hAnsi="MetaPro-Norm"/>
          <w:color w:val="000000" w:themeColor="text1"/>
        </w:rPr>
      </w:pPr>
      <w:r w:rsidRPr="00361325">
        <w:rPr>
          <w:rFonts w:ascii="MetaPro-Norm" w:hAnsi="MetaPro-Norm"/>
          <w:color w:val="000000" w:themeColor="text1"/>
        </w:rPr>
        <w:t xml:space="preserve">As a corollary, the better view is that the law also prohibits:… (b) the use of cultural property for purposes which are likely to expose it to destruction or damage in armed conflict, unless there is no feasible alternative to such use… </w:t>
      </w:r>
    </w:p>
    <w:p w14:paraId="38A266EB" w14:textId="77777777" w:rsidR="00805F9D" w:rsidRPr="00361325" w:rsidRDefault="00805F9D" w:rsidP="00805F9D">
      <w:pPr>
        <w:pStyle w:val="ListParagraph"/>
        <w:numPr>
          <w:ilvl w:val="1"/>
          <w:numId w:val="17"/>
        </w:numPr>
        <w:spacing w:after="0" w:line="264" w:lineRule="auto"/>
        <w:ind w:left="720" w:right="720"/>
        <w:rPr>
          <w:rFonts w:ascii="MetaPro-Norm" w:hAnsi="MetaPro-Norm"/>
          <w:color w:val="000000" w:themeColor="text1"/>
        </w:rPr>
      </w:pPr>
      <w:r w:rsidRPr="00361325">
        <w:rPr>
          <w:rFonts w:ascii="MetaPro-Norm" w:hAnsi="MetaPro-Norm"/>
          <w:color w:val="000000" w:themeColor="text1"/>
        </w:rPr>
        <w:t>Cultural property includes … institutions dedicated to … education…</w:t>
      </w:r>
      <w:r w:rsidRPr="00361325">
        <w:rPr>
          <w:rStyle w:val="FootnoteReference"/>
          <w:rFonts w:ascii="MetaPro-Norm" w:hAnsi="MetaPro-Norm"/>
          <w:color w:val="000000" w:themeColor="text1"/>
        </w:rPr>
        <w:footnoteReference w:id="31"/>
      </w:r>
    </w:p>
    <w:p w14:paraId="49530BA7" w14:textId="77777777" w:rsidR="00805F9D" w:rsidRPr="00361325" w:rsidRDefault="00805F9D" w:rsidP="00805F9D">
      <w:pPr>
        <w:spacing w:after="0" w:line="264" w:lineRule="auto"/>
        <w:rPr>
          <w:rFonts w:ascii="MetaPro-Norm" w:hAnsi="MetaPro-Norm"/>
          <w:color w:val="000000" w:themeColor="text1"/>
        </w:rPr>
      </w:pPr>
    </w:p>
    <w:p w14:paraId="11F2EE0C" w14:textId="77777777" w:rsidR="00805F9D" w:rsidRPr="00361325" w:rsidRDefault="00805F9D" w:rsidP="00805F9D">
      <w:pPr>
        <w:pStyle w:val="ListParagraph"/>
        <w:numPr>
          <w:ilvl w:val="0"/>
          <w:numId w:val="17"/>
        </w:numPr>
        <w:spacing w:after="0" w:line="264" w:lineRule="auto"/>
        <w:ind w:left="0"/>
        <w:rPr>
          <w:rFonts w:ascii="MetaPro-Norm" w:hAnsi="MetaPro-Norm"/>
          <w:color w:val="000000" w:themeColor="text1"/>
        </w:rPr>
      </w:pPr>
      <w:r w:rsidRPr="00361325">
        <w:rPr>
          <w:rFonts w:ascii="MetaPro-Norm" w:hAnsi="MetaPro-Norm"/>
          <w:color w:val="000000" w:themeColor="text1"/>
        </w:rPr>
        <w:t>In a 2016 Army Doctrine Note on Human Security, the UK Army made the following observations about schools and the law of armed conflict:</w:t>
      </w:r>
    </w:p>
    <w:p w14:paraId="19E342BC" w14:textId="77777777" w:rsidR="00805F9D" w:rsidRPr="00361325" w:rsidRDefault="00805F9D" w:rsidP="00805F9D">
      <w:pPr>
        <w:pStyle w:val="ListParagraph"/>
        <w:numPr>
          <w:ilvl w:val="1"/>
          <w:numId w:val="17"/>
        </w:numPr>
        <w:spacing w:after="0" w:line="264" w:lineRule="auto"/>
        <w:ind w:left="720" w:right="720"/>
        <w:rPr>
          <w:rFonts w:ascii="MetaPro-Norm" w:hAnsi="MetaPro-Norm"/>
          <w:color w:val="000000" w:themeColor="text1"/>
        </w:rPr>
      </w:pPr>
      <w:r w:rsidRPr="00361325">
        <w:rPr>
          <w:rFonts w:ascii="MetaPro-Norm" w:hAnsi="MetaPro-Norm"/>
          <w:color w:val="000000" w:themeColor="text1"/>
        </w:rPr>
        <w:t xml:space="preserve">Schools and other educational establishments must be permitted to continue their ordinary activities. Any occupying power must, with the cooperation of the national and local education authorities, facilitate the proper working of schools and other institutions devoted to the care and education of children. In certain circumstances an occupying power may be within its rights in temporarily closing educational institutions, but only when there are very strong reasons for doing so, these reasons are made public, and there is a serious prospect that the closure will achieve important and worthwhile results… </w:t>
      </w:r>
    </w:p>
    <w:p w14:paraId="66AD4B6A" w14:textId="77777777" w:rsidR="00805F9D" w:rsidRPr="00361325" w:rsidRDefault="00805F9D" w:rsidP="00805F9D">
      <w:pPr>
        <w:pStyle w:val="ListParagraph"/>
        <w:numPr>
          <w:ilvl w:val="1"/>
          <w:numId w:val="17"/>
        </w:numPr>
        <w:spacing w:after="0" w:line="264" w:lineRule="auto"/>
        <w:ind w:left="720" w:right="720"/>
        <w:rPr>
          <w:rFonts w:ascii="MetaPro-Norm" w:hAnsi="MetaPro-Norm"/>
          <w:color w:val="000000" w:themeColor="text1"/>
        </w:rPr>
      </w:pPr>
      <w:r w:rsidRPr="00361325">
        <w:rPr>
          <w:rFonts w:ascii="MetaPro-Norm" w:hAnsi="MetaPro-Norm"/>
          <w:color w:val="000000" w:themeColor="text1"/>
        </w:rPr>
        <w:t xml:space="preserve">Targeting… [A]ttacks on schools are prohibited unless they are being used for </w:t>
      </w:r>
    </w:p>
    <w:p w14:paraId="21330C35" w14:textId="77777777" w:rsidR="00805F9D" w:rsidRPr="00361325" w:rsidRDefault="00805F9D" w:rsidP="00805F9D">
      <w:pPr>
        <w:pStyle w:val="ListParagraph"/>
        <w:spacing w:after="0" w:line="264" w:lineRule="auto"/>
        <w:ind w:right="720"/>
        <w:rPr>
          <w:rFonts w:ascii="MetaPro-Norm" w:hAnsi="MetaPro-Norm"/>
          <w:color w:val="000000" w:themeColor="text1"/>
        </w:rPr>
      </w:pPr>
      <w:r w:rsidRPr="00361325">
        <w:rPr>
          <w:rFonts w:ascii="MetaPro-Norm" w:hAnsi="MetaPro-Norm"/>
          <w:color w:val="000000" w:themeColor="text1"/>
        </w:rPr>
        <w:t>military purposes and even then considerable care would have to be taken.</w:t>
      </w:r>
      <w:r w:rsidRPr="00361325">
        <w:rPr>
          <w:rStyle w:val="FootnoteReference"/>
          <w:rFonts w:ascii="MetaPro-Norm" w:hAnsi="MetaPro-Norm"/>
          <w:color w:val="000000" w:themeColor="text1"/>
        </w:rPr>
        <w:footnoteReference w:id="32"/>
      </w:r>
    </w:p>
    <w:p w14:paraId="3E6819E8" w14:textId="77777777" w:rsidR="00805F9D" w:rsidRPr="00361325" w:rsidRDefault="00805F9D" w:rsidP="00805F9D">
      <w:pPr>
        <w:spacing w:after="0" w:line="264" w:lineRule="auto"/>
        <w:rPr>
          <w:rFonts w:ascii="MetaPro-Norm" w:hAnsi="MetaPro-Norm"/>
          <w:color w:val="000000" w:themeColor="text1"/>
        </w:rPr>
      </w:pPr>
    </w:p>
    <w:p w14:paraId="3AB6AC27" w14:textId="240C283B" w:rsidR="00805F9D" w:rsidRPr="00361325" w:rsidRDefault="00805F9D" w:rsidP="00805F9D">
      <w:pPr>
        <w:pStyle w:val="ListParagraph"/>
        <w:numPr>
          <w:ilvl w:val="0"/>
          <w:numId w:val="17"/>
        </w:numPr>
        <w:spacing w:after="0" w:line="264" w:lineRule="auto"/>
        <w:ind w:left="0"/>
        <w:rPr>
          <w:rFonts w:ascii="MetaPro-Norm" w:hAnsi="MetaPro-Norm"/>
          <w:color w:val="000000" w:themeColor="text1"/>
        </w:rPr>
      </w:pPr>
      <w:r w:rsidRPr="00361325">
        <w:rPr>
          <w:rFonts w:ascii="MetaPro-Norm" w:hAnsi="MetaPro-Norm"/>
          <w:color w:val="000000" w:themeColor="text1"/>
        </w:rPr>
        <w:t>The UK endorsed the Safe Schools Declaration</w:t>
      </w:r>
      <w:r w:rsidRPr="00361325">
        <w:rPr>
          <w:rStyle w:val="FootnoteReference"/>
          <w:rFonts w:ascii="MetaPro-Norm" w:hAnsi="MetaPro-Norm"/>
          <w:color w:val="000000" w:themeColor="text1"/>
        </w:rPr>
        <w:footnoteReference w:id="33"/>
      </w:r>
      <w:r w:rsidRPr="00361325">
        <w:rPr>
          <w:rFonts w:ascii="MetaPro-Norm" w:hAnsi="MetaPro-Norm"/>
          <w:color w:val="000000" w:themeColor="text1"/>
        </w:rPr>
        <w:t xml:space="preserve"> and its related Guidelines for Protecting Schools and Universities from Military Use during Armed Conflict in April 2018. It has subsequently noted its endorsement of the declaration and outlined ways that its commitments can be implemented through the Ministry of Defence’s 2019 Human Security in Military Operations Directive,</w:t>
      </w:r>
      <w:r w:rsidRPr="00361325">
        <w:rPr>
          <w:rStyle w:val="FootnoteReference"/>
          <w:rFonts w:ascii="MetaPro-Norm" w:hAnsi="MetaPro-Norm"/>
          <w:color w:val="000000" w:themeColor="text1"/>
        </w:rPr>
        <w:footnoteReference w:id="34"/>
      </w:r>
      <w:r w:rsidRPr="00361325">
        <w:rPr>
          <w:rFonts w:ascii="MetaPro-Norm" w:hAnsi="MetaPro-Norm"/>
          <w:color w:val="000000" w:themeColor="text1"/>
        </w:rPr>
        <w:t xml:space="preserve"> a</w:t>
      </w:r>
      <w:r w:rsidR="000C7A78">
        <w:rPr>
          <w:rFonts w:ascii="MetaPro-Norm" w:hAnsi="MetaPro-Norm"/>
          <w:color w:val="000000" w:themeColor="text1"/>
        </w:rPr>
        <w:t>s well as</w:t>
      </w:r>
      <w:r w:rsidRPr="00361325">
        <w:rPr>
          <w:rFonts w:ascii="MetaPro-Norm" w:hAnsi="MetaPro-Norm"/>
          <w:color w:val="000000" w:themeColor="text1"/>
        </w:rPr>
        <w:t xml:space="preserve"> the Foreign and Commonwealth Office’s 2019 Voluntary Report on the Implementation of International Humanitarian Law at Domestic Level.</w:t>
      </w:r>
      <w:r w:rsidRPr="00361325">
        <w:rPr>
          <w:rStyle w:val="FootnoteReference"/>
          <w:rFonts w:ascii="MetaPro-Norm" w:hAnsi="MetaPro-Norm"/>
          <w:color w:val="000000" w:themeColor="text1"/>
        </w:rPr>
        <w:footnoteReference w:id="35"/>
      </w:r>
    </w:p>
    <w:p w14:paraId="0CF729F7" w14:textId="77777777" w:rsidR="00805F9D" w:rsidRPr="00361325" w:rsidRDefault="00805F9D" w:rsidP="00805F9D">
      <w:pPr>
        <w:spacing w:after="0" w:line="264" w:lineRule="auto"/>
        <w:rPr>
          <w:rFonts w:ascii="MetaPro-Norm" w:hAnsi="MetaPro-Norm"/>
          <w:color w:val="000000" w:themeColor="text1"/>
        </w:rPr>
      </w:pPr>
    </w:p>
    <w:p w14:paraId="01119B63" w14:textId="46276892" w:rsidR="00805F9D" w:rsidRPr="00361325" w:rsidRDefault="00805F9D" w:rsidP="00805F9D">
      <w:pPr>
        <w:pStyle w:val="ListParagraph"/>
        <w:numPr>
          <w:ilvl w:val="0"/>
          <w:numId w:val="17"/>
        </w:numPr>
        <w:spacing w:after="0" w:line="264" w:lineRule="auto"/>
        <w:ind w:left="0"/>
        <w:rPr>
          <w:rFonts w:ascii="MetaPro-Norm" w:hAnsi="MetaPro-Norm"/>
          <w:i/>
          <w:iCs/>
        </w:rPr>
      </w:pPr>
      <w:r w:rsidRPr="00361325">
        <w:rPr>
          <w:rFonts w:ascii="MetaPro-Norm" w:hAnsi="MetaPro-Norm"/>
          <w:i/>
          <w:iCs/>
        </w:rPr>
        <w:t xml:space="preserve">Human Rights Watch recommends that the </w:t>
      </w:r>
      <w:r w:rsidR="000C7A78">
        <w:rPr>
          <w:rFonts w:ascii="MetaPro-Norm" w:hAnsi="MetaPro-Norm"/>
          <w:i/>
          <w:iCs/>
        </w:rPr>
        <w:t>C</w:t>
      </w:r>
      <w:r w:rsidRPr="00361325">
        <w:rPr>
          <w:rFonts w:ascii="MetaPro-Norm" w:hAnsi="MetaPro-Norm"/>
          <w:i/>
          <w:iCs/>
        </w:rPr>
        <w:t>ommittee ask the government of the UK:</w:t>
      </w:r>
    </w:p>
    <w:p w14:paraId="64BEBC40" w14:textId="3F4314E2" w:rsidR="000C7A78" w:rsidRPr="00912D1E" w:rsidRDefault="00805F9D" w:rsidP="00912D1E">
      <w:pPr>
        <w:pStyle w:val="ListParagraph"/>
        <w:numPr>
          <w:ilvl w:val="0"/>
          <w:numId w:val="21"/>
        </w:numPr>
        <w:spacing w:after="0" w:line="264" w:lineRule="auto"/>
        <w:rPr>
          <w:rFonts w:ascii="MetaPro-Norm" w:hAnsi="MetaPro-Norm"/>
        </w:rPr>
      </w:pPr>
      <w:r w:rsidRPr="00361325">
        <w:rPr>
          <w:rFonts w:ascii="MetaPro-Norm" w:hAnsi="MetaPro-Norm"/>
        </w:rPr>
        <w:t xml:space="preserve">Are UK armed forces instructed and trained to adhere to the “better view of the law,” as outlined in the </w:t>
      </w:r>
      <w:r w:rsidRPr="00361325">
        <w:rPr>
          <w:rFonts w:ascii="MetaPro-Norm" w:hAnsi="MetaPro-Norm"/>
          <w:color w:val="000000" w:themeColor="text1"/>
        </w:rPr>
        <w:t>2004 Manual of the Law of Armed Conflict?</w:t>
      </w:r>
    </w:p>
    <w:p w14:paraId="34F649E8" w14:textId="77777777" w:rsidR="00805F9D" w:rsidRPr="00361325" w:rsidRDefault="00805F9D" w:rsidP="00805F9D">
      <w:pPr>
        <w:pStyle w:val="ListParagraph"/>
        <w:numPr>
          <w:ilvl w:val="0"/>
          <w:numId w:val="17"/>
        </w:numPr>
        <w:spacing w:after="0" w:line="264" w:lineRule="auto"/>
        <w:ind w:left="0"/>
        <w:rPr>
          <w:rFonts w:ascii="MetaPro-Norm" w:eastAsia="MetaPro-Norm" w:hAnsi="MetaPro-Norm" w:cs="MetaPro-Norm"/>
        </w:rPr>
      </w:pPr>
      <w:r w:rsidRPr="00361325">
        <w:rPr>
          <w:rFonts w:ascii="MetaPro-Norm" w:eastAsia="MetaPro-Norm" w:hAnsi="MetaPro-Norm" w:cs="MetaPro-Norm"/>
          <w:i/>
          <w:iCs/>
        </w:rPr>
        <w:t>Human Rights Watch recommends that the Committee:</w:t>
      </w:r>
    </w:p>
    <w:p w14:paraId="677E240E" w14:textId="77777777" w:rsidR="00805F9D" w:rsidRPr="00361325" w:rsidRDefault="00805F9D" w:rsidP="0029322C">
      <w:pPr>
        <w:pStyle w:val="ListParagraph"/>
        <w:numPr>
          <w:ilvl w:val="0"/>
          <w:numId w:val="21"/>
        </w:numPr>
        <w:spacing w:after="0" w:line="264" w:lineRule="auto"/>
        <w:rPr>
          <w:rFonts w:ascii="MetaPro-Norm" w:eastAsia="MetaPro-Norm" w:hAnsi="MetaPro-Norm" w:cs="MetaPro-Norm"/>
        </w:rPr>
      </w:pPr>
      <w:r w:rsidRPr="00361325">
        <w:rPr>
          <w:rFonts w:ascii="MetaPro-Norm" w:eastAsia="MetaPro-Norm" w:hAnsi="MetaPro-Norm" w:cs="MetaPro-Norm"/>
        </w:rPr>
        <w:t>Congratulate the UK on endorsing the Safe Schools Declaration.</w:t>
      </w:r>
    </w:p>
    <w:p w14:paraId="6D3A1C51" w14:textId="77777777" w:rsidR="00805F9D" w:rsidRPr="00361325" w:rsidRDefault="00805F9D" w:rsidP="0029322C">
      <w:pPr>
        <w:pStyle w:val="ListParagraph"/>
        <w:numPr>
          <w:ilvl w:val="0"/>
          <w:numId w:val="21"/>
        </w:numPr>
        <w:spacing w:after="0" w:line="264" w:lineRule="auto"/>
        <w:rPr>
          <w:rFonts w:ascii="MetaPro-Norm" w:eastAsia="MetaPro-Norm" w:hAnsi="MetaPro-Norm" w:cs="MetaPro-Norm"/>
        </w:rPr>
      </w:pPr>
      <w:r w:rsidRPr="00361325">
        <w:rPr>
          <w:rFonts w:ascii="MetaPro-Norm" w:eastAsia="MetaPro-Norm" w:hAnsi="MetaPro-Norm" w:cs="MetaPro-Norm"/>
        </w:rPr>
        <w:t>Encourage the UK to continue to encourage other countries, especially those in NATO and the Commonwealth, to endorse the Safe Schools Declaration; and continue to develop and share examples of its laws, policies, and other forms of implementation of the declaration’s commitments with this Committee and with other countries that have endorsed the declaration.</w:t>
      </w:r>
    </w:p>
    <w:p w14:paraId="59A4F5FE" w14:textId="77777777" w:rsidR="00805F9D" w:rsidRPr="00361325" w:rsidRDefault="00805F9D" w:rsidP="00A56517">
      <w:pPr>
        <w:rPr>
          <w:rStyle w:val="eop"/>
          <w:rFonts w:ascii="MetaPro-Norm" w:hAnsi="MetaPro-Norm"/>
        </w:rPr>
      </w:pPr>
    </w:p>
    <w:sectPr w:rsidR="00805F9D" w:rsidRPr="00361325" w:rsidSect="00751B3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40BA9" w14:textId="77777777" w:rsidR="00B1215A" w:rsidRDefault="00B1215A" w:rsidP="00BB06AE">
      <w:pPr>
        <w:spacing w:after="0" w:line="240" w:lineRule="auto"/>
      </w:pPr>
      <w:r>
        <w:separator/>
      </w:r>
    </w:p>
  </w:endnote>
  <w:endnote w:type="continuationSeparator" w:id="0">
    <w:p w14:paraId="0D7F9DC8" w14:textId="77777777" w:rsidR="00B1215A" w:rsidRDefault="00B1215A" w:rsidP="00BB06AE">
      <w:pPr>
        <w:spacing w:after="0" w:line="240" w:lineRule="auto"/>
      </w:pPr>
      <w:r>
        <w:continuationSeparator/>
      </w:r>
    </w:p>
  </w:endnote>
  <w:endnote w:type="continuationNotice" w:id="1">
    <w:p w14:paraId="40EB19E5" w14:textId="77777777" w:rsidR="00B1215A" w:rsidRDefault="00B121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etaPro-Norm">
    <w:altName w:val="Calibri"/>
    <w:panose1 w:val="00000000000000000000"/>
    <w:charset w:val="00"/>
    <w:family w:val="swiss"/>
    <w:notTrueType/>
    <w:pitch w:val="variable"/>
    <w:sig w:usb0="A00002FF" w:usb1="4000207B" w:usb2="00000000" w:usb3="00000000" w:csb0="0000009F" w:csb1="00000000"/>
  </w:font>
  <w:font w:name="MetaPro-Medi">
    <w:altName w:val="Calibri"/>
    <w:panose1 w:val="00000000000000000000"/>
    <w:charset w:val="00"/>
    <w:family w:val="swiss"/>
    <w:notTrueType/>
    <w:pitch w:val="variable"/>
    <w:sig w:usb0="A00002F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MetaPro-Bold">
    <w:altName w:val="Calibri"/>
    <w:panose1 w:val="00000000000000000000"/>
    <w:charset w:val="00"/>
    <w:family w:val="swiss"/>
    <w:notTrueType/>
    <w:pitch w:val="variable"/>
    <w:sig w:usb0="A00002FF" w:usb1="4000207B"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236665"/>
      <w:docPartObj>
        <w:docPartGallery w:val="Page Numbers (Bottom of Page)"/>
        <w:docPartUnique/>
      </w:docPartObj>
    </w:sdtPr>
    <w:sdtEndPr>
      <w:rPr>
        <w:noProof/>
      </w:rPr>
    </w:sdtEndPr>
    <w:sdtContent>
      <w:p w14:paraId="46144254" w14:textId="003943C3" w:rsidR="00626B2C" w:rsidRDefault="00751B3E" w:rsidP="00751B3E">
        <w:pPr>
          <w:pStyle w:val="Footer"/>
          <w:jc w:val="center"/>
        </w:pPr>
        <w:r w:rsidRPr="00751B3E">
          <w:rPr>
            <w:rFonts w:ascii="MetaPro-Bold" w:hAnsi="MetaPro-Bold"/>
            <w:sz w:val="20"/>
            <w:szCs w:val="20"/>
          </w:rPr>
          <w:fldChar w:fldCharType="begin"/>
        </w:r>
        <w:r w:rsidRPr="00751B3E">
          <w:rPr>
            <w:rFonts w:ascii="MetaPro-Bold" w:hAnsi="MetaPro-Bold"/>
            <w:sz w:val="20"/>
            <w:szCs w:val="20"/>
          </w:rPr>
          <w:instrText xml:space="preserve"> PAGE   \* MERGEFORMAT </w:instrText>
        </w:r>
        <w:r w:rsidRPr="00751B3E">
          <w:rPr>
            <w:rFonts w:ascii="MetaPro-Bold" w:hAnsi="MetaPro-Bold"/>
            <w:sz w:val="20"/>
            <w:szCs w:val="20"/>
          </w:rPr>
          <w:fldChar w:fldCharType="separate"/>
        </w:r>
        <w:r w:rsidRPr="00751B3E">
          <w:rPr>
            <w:rFonts w:ascii="MetaPro-Bold" w:hAnsi="MetaPro-Bold"/>
            <w:noProof/>
            <w:sz w:val="20"/>
            <w:szCs w:val="20"/>
          </w:rPr>
          <w:t>2</w:t>
        </w:r>
        <w:r w:rsidRPr="00751B3E">
          <w:rPr>
            <w:rFonts w:ascii="MetaPro-Bold" w:hAnsi="MetaPro-Bold"/>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BBBEC" w14:textId="77777777" w:rsidR="00B1215A" w:rsidRDefault="00B1215A" w:rsidP="00BB06AE">
      <w:pPr>
        <w:spacing w:after="0" w:line="240" w:lineRule="auto"/>
      </w:pPr>
      <w:r>
        <w:separator/>
      </w:r>
    </w:p>
  </w:footnote>
  <w:footnote w:type="continuationSeparator" w:id="0">
    <w:p w14:paraId="567B6CF7" w14:textId="77777777" w:rsidR="00B1215A" w:rsidRDefault="00B1215A" w:rsidP="00BB06AE">
      <w:pPr>
        <w:spacing w:after="0" w:line="240" w:lineRule="auto"/>
      </w:pPr>
      <w:r>
        <w:continuationSeparator/>
      </w:r>
    </w:p>
  </w:footnote>
  <w:footnote w:type="continuationNotice" w:id="1">
    <w:p w14:paraId="7F5B090F" w14:textId="77777777" w:rsidR="00B1215A" w:rsidRDefault="00B1215A">
      <w:pPr>
        <w:spacing w:after="0" w:line="240" w:lineRule="auto"/>
      </w:pPr>
    </w:p>
  </w:footnote>
  <w:footnote w:id="2">
    <w:p w14:paraId="773EC463" w14:textId="1FD5AB4D" w:rsidR="00830179" w:rsidRPr="00D5614B" w:rsidRDefault="00830179" w:rsidP="3428158D">
      <w:pPr>
        <w:pStyle w:val="FootnoteText"/>
      </w:pPr>
      <w:r w:rsidRPr="3428158D">
        <w:rPr>
          <w:rStyle w:val="FootnoteReference"/>
        </w:rPr>
        <w:footnoteRef/>
      </w:r>
      <w:r w:rsidR="3428158D" w:rsidRPr="3428158D">
        <w:t xml:space="preserve"> </w:t>
      </w:r>
      <w:r w:rsidR="3428158D" w:rsidRPr="00032217">
        <w:t>State Party Report, para 182.</w:t>
      </w:r>
    </w:p>
  </w:footnote>
  <w:footnote w:id="3">
    <w:p w14:paraId="3E010FB6" w14:textId="16AB7FBE" w:rsidR="00830179" w:rsidRPr="00D5614B" w:rsidRDefault="00830179" w:rsidP="00830179">
      <w:pPr>
        <w:pStyle w:val="FootnoteText"/>
        <w:rPr>
          <w:rFonts w:cstheme="minorHAnsi"/>
        </w:rPr>
      </w:pPr>
      <w:r w:rsidRPr="00D5614B">
        <w:rPr>
          <w:rStyle w:val="FootnoteReference"/>
          <w:rFonts w:cstheme="minorHAnsi"/>
        </w:rPr>
        <w:footnoteRef/>
      </w:r>
      <w:r w:rsidRPr="00D5614B">
        <w:rPr>
          <w:rFonts w:cstheme="minorHAnsi"/>
        </w:rPr>
        <w:t xml:space="preserve"> R (SC &amp; Ors) v Secretary of State for Work and Pensions, [2021], UKSC 26, 74-96, citation to paragraph 85.</w:t>
      </w:r>
    </w:p>
  </w:footnote>
  <w:footnote w:id="4">
    <w:p w14:paraId="49C49BCC" w14:textId="372712D6" w:rsidR="00830179" w:rsidRPr="00D5614B" w:rsidRDefault="00830179" w:rsidP="00830179">
      <w:pPr>
        <w:pStyle w:val="FootnoteText"/>
        <w:rPr>
          <w:rFonts w:cstheme="minorHAnsi"/>
        </w:rPr>
      </w:pPr>
      <w:r w:rsidRPr="00D5614B">
        <w:rPr>
          <w:rStyle w:val="FootnoteReference"/>
          <w:rFonts w:cstheme="minorHAnsi"/>
        </w:rPr>
        <w:footnoteRef/>
      </w:r>
      <w:r w:rsidRPr="00D5614B">
        <w:rPr>
          <w:rFonts w:cstheme="minorHAnsi"/>
        </w:rPr>
        <w:t xml:space="preserve"> </w:t>
      </w:r>
      <w:r w:rsidRPr="00D866F5">
        <w:rPr>
          <w:rFonts w:cstheme="minorHAnsi"/>
          <w:shd w:val="clear" w:color="auto" w:fill="FFFFFF"/>
        </w:rPr>
        <w:t>Equality Act 2010, Part 1, section 1,</w:t>
      </w:r>
      <w:r w:rsidR="00D5614B" w:rsidRPr="00D866F5">
        <w:rPr>
          <w:rFonts w:cstheme="minorHAnsi"/>
          <w:shd w:val="clear" w:color="auto" w:fill="FFFFFF"/>
        </w:rPr>
        <w:t xml:space="preserve"> </w:t>
      </w:r>
      <w:r w:rsidR="00EB276C">
        <w:rPr>
          <w:rFonts w:cstheme="minorHAnsi"/>
          <w:shd w:val="clear" w:color="auto" w:fill="FFFFFF"/>
        </w:rPr>
        <w:t xml:space="preserve">available at </w:t>
      </w:r>
      <w:r w:rsidR="00D5614B" w:rsidRPr="00D866F5">
        <w:rPr>
          <w:rFonts w:cstheme="minorHAnsi"/>
          <w:shd w:val="clear" w:color="auto" w:fill="FFFFFF"/>
        </w:rPr>
        <w:t>http://www.legislation.gov.uk/ukpga/2010/15/section/1</w:t>
      </w:r>
      <w:r w:rsidRPr="00D866F5">
        <w:rPr>
          <w:rFonts w:cstheme="minorHAnsi"/>
          <w:shd w:val="clear" w:color="auto" w:fill="FFFFFF"/>
        </w:rPr>
        <w:t>.</w:t>
      </w:r>
    </w:p>
  </w:footnote>
  <w:footnote w:id="5">
    <w:p w14:paraId="1699C36B" w14:textId="664CEEDB" w:rsidR="00830179" w:rsidRPr="00D5614B" w:rsidRDefault="00830179" w:rsidP="00830179">
      <w:pPr>
        <w:pStyle w:val="FootnoteText"/>
        <w:rPr>
          <w:rFonts w:cstheme="minorHAnsi"/>
        </w:rPr>
      </w:pPr>
      <w:r w:rsidRPr="00D5614B">
        <w:rPr>
          <w:rStyle w:val="FootnoteReference"/>
          <w:rFonts w:cstheme="minorHAnsi"/>
        </w:rPr>
        <w:footnoteRef/>
      </w:r>
      <w:r w:rsidRPr="00D5614B">
        <w:rPr>
          <w:rFonts w:cstheme="minorHAnsi"/>
        </w:rPr>
        <w:t xml:space="preserve"> </w:t>
      </w:r>
      <w:r w:rsidR="009B1930">
        <w:rPr>
          <w:rFonts w:cstheme="minorHAnsi"/>
        </w:rPr>
        <w:t>Scottish Government, “</w:t>
      </w:r>
      <w:r w:rsidR="009B1930" w:rsidRPr="009B1930">
        <w:rPr>
          <w:rFonts w:cstheme="minorHAnsi"/>
        </w:rPr>
        <w:t>Fairer Scotland Duty: guidance for public bodies</w:t>
      </w:r>
      <w:r w:rsidR="009B1930">
        <w:rPr>
          <w:rFonts w:cstheme="minorHAnsi"/>
        </w:rPr>
        <w:t xml:space="preserve">,” </w:t>
      </w:r>
      <w:r w:rsidR="003E35B2" w:rsidRPr="003E35B2">
        <w:rPr>
          <w:rFonts w:cstheme="minorHAnsi"/>
        </w:rPr>
        <w:t>https://www.gov.scot/publications/fairer-scotland-duty-guidance-public-bodies/pages/2/</w:t>
      </w:r>
      <w:r w:rsidR="003E35B2">
        <w:rPr>
          <w:rFonts w:cstheme="minorHAnsi"/>
        </w:rPr>
        <w:t xml:space="preserve">. </w:t>
      </w:r>
    </w:p>
  </w:footnote>
  <w:footnote w:id="6">
    <w:p w14:paraId="23EA9F56" w14:textId="3C21F54F" w:rsidR="00830179" w:rsidRPr="00D5614B" w:rsidRDefault="00830179" w:rsidP="00830179">
      <w:pPr>
        <w:pStyle w:val="FootnoteText"/>
        <w:rPr>
          <w:rFonts w:cstheme="minorHAnsi"/>
        </w:rPr>
      </w:pPr>
      <w:r w:rsidRPr="00D5614B">
        <w:rPr>
          <w:rStyle w:val="FootnoteReference"/>
          <w:rFonts w:cstheme="minorHAnsi"/>
        </w:rPr>
        <w:footnoteRef/>
      </w:r>
      <w:r w:rsidRPr="00D5614B">
        <w:rPr>
          <w:rFonts w:cstheme="minorHAnsi"/>
        </w:rPr>
        <w:t xml:space="preserve"> </w:t>
      </w:r>
      <w:r w:rsidR="003E35B2">
        <w:rPr>
          <w:rFonts w:cstheme="minorHAnsi"/>
        </w:rPr>
        <w:t>Welsh Government, “</w:t>
      </w:r>
      <w:r w:rsidR="003E35B2" w:rsidRPr="003E35B2">
        <w:rPr>
          <w:rFonts w:cstheme="minorHAnsi"/>
        </w:rPr>
        <w:t>Socio-economic Duty: an overview</w:t>
      </w:r>
      <w:r w:rsidR="003E35B2">
        <w:rPr>
          <w:rFonts w:cstheme="minorHAnsi"/>
        </w:rPr>
        <w:t xml:space="preserve">,” </w:t>
      </w:r>
      <w:r w:rsidR="003E35B2" w:rsidRPr="003E35B2">
        <w:rPr>
          <w:rFonts w:cstheme="minorHAnsi"/>
        </w:rPr>
        <w:t>https://www.gov.wales/socio-economic-duty-overview</w:t>
      </w:r>
      <w:r w:rsidR="003E35B2">
        <w:rPr>
          <w:rFonts w:cstheme="minorHAnsi"/>
        </w:rPr>
        <w:t xml:space="preserve">. </w:t>
      </w:r>
    </w:p>
  </w:footnote>
  <w:footnote w:id="7">
    <w:p w14:paraId="7AEF7A4F" w14:textId="4E4D3356" w:rsidR="00830179" w:rsidRPr="00D5614B" w:rsidRDefault="00830179" w:rsidP="00830179">
      <w:pPr>
        <w:pStyle w:val="FootnoteText"/>
        <w:rPr>
          <w:rFonts w:cstheme="minorHAnsi"/>
        </w:rPr>
      </w:pPr>
      <w:r w:rsidRPr="00D5614B">
        <w:rPr>
          <w:rStyle w:val="FootnoteReference"/>
          <w:rFonts w:cstheme="minorHAnsi"/>
        </w:rPr>
        <w:footnoteRef/>
      </w:r>
      <w:r w:rsidRPr="00D5614B">
        <w:rPr>
          <w:rFonts w:cstheme="minorHAnsi"/>
        </w:rPr>
        <w:t xml:space="preserve"> </w:t>
      </w:r>
      <w:r w:rsidR="00442C81">
        <w:rPr>
          <w:rFonts w:cstheme="minorHAnsi"/>
        </w:rPr>
        <w:t>“</w:t>
      </w:r>
      <w:r w:rsidR="00442C81" w:rsidRPr="00442C81">
        <w:rPr>
          <w:rFonts w:cstheme="minorHAnsi"/>
        </w:rPr>
        <w:t>Evaluating the socio-economic duty in Scotland and Wales</w:t>
      </w:r>
      <w:r w:rsidR="00442C81">
        <w:rPr>
          <w:rFonts w:cstheme="minorHAnsi"/>
        </w:rPr>
        <w:t xml:space="preserve">,” </w:t>
      </w:r>
      <w:r w:rsidR="004234D8">
        <w:rPr>
          <w:rFonts w:cstheme="minorHAnsi"/>
        </w:rPr>
        <w:t>Equality and Human Rights Commission, March 2, 2021,</w:t>
      </w:r>
      <w:r w:rsidR="00442C81" w:rsidRPr="00442C81">
        <w:rPr>
          <w:rFonts w:cstheme="minorHAnsi"/>
        </w:rPr>
        <w:t xml:space="preserve"> </w:t>
      </w:r>
      <w:r w:rsidRPr="00D5614B">
        <w:rPr>
          <w:rFonts w:cstheme="minorHAnsi"/>
        </w:rPr>
        <w:t>https://www.equalityhumanrights.com/en/publication-download/evaluating-socio-economic-duty-scotland-and-wales</w:t>
      </w:r>
      <w:r w:rsidR="004234D8">
        <w:rPr>
          <w:rFonts w:cstheme="minorHAnsi"/>
        </w:rPr>
        <w:t>.</w:t>
      </w:r>
    </w:p>
  </w:footnote>
  <w:footnote w:id="8">
    <w:p w14:paraId="0C65C7F3" w14:textId="3EE75276" w:rsidR="00ED2BF4" w:rsidRPr="00D5614B" w:rsidRDefault="00ED2BF4">
      <w:pPr>
        <w:pStyle w:val="FootnoteText"/>
        <w:rPr>
          <w:rFonts w:cstheme="minorHAnsi"/>
        </w:rPr>
      </w:pPr>
      <w:r w:rsidRPr="00D5614B">
        <w:rPr>
          <w:rStyle w:val="FootnoteReference"/>
          <w:rFonts w:cstheme="minorHAnsi"/>
        </w:rPr>
        <w:footnoteRef/>
      </w:r>
      <w:r w:rsidRPr="00D5614B">
        <w:rPr>
          <w:rFonts w:cstheme="minorHAnsi"/>
        </w:rPr>
        <w:t xml:space="preserve"> Department for Levelling Up, Housing and Communities, “Statutory Homelessness Live Tables,” last updated September 9, 2021, https://www.gov.uk/government/statistical-data-sets/live-tables-on-homelessness (accessed September 23, 2021).</w:t>
      </w:r>
    </w:p>
  </w:footnote>
  <w:footnote w:id="9">
    <w:p w14:paraId="41701BF0" w14:textId="00C39FA5" w:rsidR="00ED2BF4" w:rsidRPr="00D5614B" w:rsidRDefault="00ED2BF4">
      <w:pPr>
        <w:pStyle w:val="FootnoteText"/>
        <w:rPr>
          <w:rFonts w:cstheme="minorHAnsi"/>
        </w:rPr>
      </w:pPr>
      <w:r w:rsidRPr="00D5614B">
        <w:rPr>
          <w:rStyle w:val="FootnoteReference"/>
          <w:rFonts w:cstheme="minorHAnsi"/>
        </w:rPr>
        <w:footnoteRef/>
      </w:r>
      <w:r w:rsidRPr="00D5614B">
        <w:rPr>
          <w:rFonts w:cstheme="minorHAnsi"/>
        </w:rPr>
        <w:t xml:space="preserve"> </w:t>
      </w:r>
      <w:r w:rsidR="00891262">
        <w:rPr>
          <w:rFonts w:cstheme="minorHAnsi"/>
        </w:rPr>
        <w:t>Ibid.</w:t>
      </w:r>
      <w:r w:rsidRPr="00D5614B">
        <w:rPr>
          <w:rFonts w:cstheme="minorHAnsi"/>
        </w:rPr>
        <w:t>, “Detailed local authority level tables: April to June 2021,” October 28, 2021, https://assets.publishing.service.gov.uk/government/uploads/system/uploads/attachment_data/file/1029002/DetailedLA_202106.ods (accessed October 28, 2021).</w:t>
      </w:r>
    </w:p>
  </w:footnote>
  <w:footnote w:id="10">
    <w:p w14:paraId="39F1724A" w14:textId="0DD9946D" w:rsidR="00F86229" w:rsidRPr="00D5614B" w:rsidRDefault="00F86229" w:rsidP="00F86229">
      <w:pPr>
        <w:pStyle w:val="FootnoteText"/>
        <w:rPr>
          <w:rFonts w:cstheme="minorHAnsi"/>
        </w:rPr>
      </w:pPr>
      <w:r w:rsidRPr="00D5614B">
        <w:rPr>
          <w:rStyle w:val="FootnoteReference"/>
          <w:rFonts w:cstheme="minorHAnsi"/>
        </w:rPr>
        <w:footnoteRef/>
      </w:r>
      <w:r w:rsidRPr="00D5614B">
        <w:rPr>
          <w:rFonts w:cstheme="minorHAnsi"/>
        </w:rPr>
        <w:t xml:space="preserve"> Human Rights Watch,</w:t>
      </w:r>
      <w:r w:rsidRPr="00D5614B">
        <w:rPr>
          <w:rFonts w:cstheme="minorHAnsi"/>
          <w:i/>
          <w:iCs/>
        </w:rPr>
        <w:t xml:space="preserve"> “I Want Us to Live Like Humans Again”: Families in Temporary Accommodation in London, UK,</w:t>
      </w:r>
      <w:r w:rsidRPr="00D5614B">
        <w:rPr>
          <w:rFonts w:cstheme="minorHAnsi"/>
        </w:rPr>
        <w:t xml:space="preserve"> </w:t>
      </w:r>
      <w:r w:rsidR="00B417C2" w:rsidRPr="00D5614B">
        <w:rPr>
          <w:rFonts w:cstheme="minorHAnsi"/>
        </w:rPr>
        <w:t>(New York: Human Rights Watch, 2022), https://www.hrw.org/report/2022/01/17/i-want-us-live-humans-again/families-temporary-accommodation-london-uk.</w:t>
      </w:r>
    </w:p>
  </w:footnote>
  <w:footnote w:id="11">
    <w:p w14:paraId="4E094283" w14:textId="67F07E21" w:rsidR="00AD7268" w:rsidRPr="00D5614B" w:rsidRDefault="00AD7268" w:rsidP="00AD7268">
      <w:pPr>
        <w:pStyle w:val="FootnoteText"/>
        <w:rPr>
          <w:rFonts w:cstheme="minorHAnsi"/>
        </w:rPr>
      </w:pPr>
      <w:r w:rsidRPr="00D5614B">
        <w:rPr>
          <w:rStyle w:val="FootnoteReference"/>
          <w:rFonts w:cstheme="minorHAnsi"/>
        </w:rPr>
        <w:footnoteRef/>
      </w:r>
      <w:r w:rsidRPr="00D5614B">
        <w:rPr>
          <w:rFonts w:cstheme="minorHAnsi"/>
        </w:rPr>
        <w:t xml:space="preserve"> UNESCO, “Country Dashboard: </w:t>
      </w:r>
      <w:r w:rsidR="00C04DA5" w:rsidRPr="00D5614B">
        <w:rPr>
          <w:rFonts w:cstheme="minorHAnsi"/>
        </w:rPr>
        <w:t>United Kingdom of Great Britain and Northern Ireland</w:t>
      </w:r>
      <w:r w:rsidRPr="00D5614B">
        <w:rPr>
          <w:rFonts w:cstheme="minorHAnsi"/>
        </w:rPr>
        <w:t xml:space="preserve">,” March </w:t>
      </w:r>
      <w:r w:rsidR="00C04DA5" w:rsidRPr="00D5614B">
        <w:rPr>
          <w:rFonts w:cstheme="minorHAnsi"/>
        </w:rPr>
        <w:t xml:space="preserve">31, </w:t>
      </w:r>
      <w:r w:rsidRPr="00D5614B">
        <w:rPr>
          <w:rFonts w:cstheme="minorHAnsi"/>
        </w:rPr>
        <w:t xml:space="preserve">2022, https://covid19.uis.unesco.org/global-monitoring-school-closures-covid19/country-dashboard/ (accessed </w:t>
      </w:r>
      <w:r w:rsidR="00C04DA5" w:rsidRPr="00D5614B">
        <w:rPr>
          <w:rFonts w:cstheme="minorHAnsi"/>
        </w:rPr>
        <w:t>January</w:t>
      </w:r>
      <w:r w:rsidRPr="00D5614B">
        <w:rPr>
          <w:rFonts w:cstheme="minorHAnsi"/>
        </w:rPr>
        <w:t xml:space="preserve"> 3, 202</w:t>
      </w:r>
      <w:r w:rsidR="00C04DA5" w:rsidRPr="00D5614B">
        <w:rPr>
          <w:rFonts w:cstheme="minorHAnsi"/>
        </w:rPr>
        <w:t>3</w:t>
      </w:r>
      <w:r w:rsidRPr="00D5614B">
        <w:rPr>
          <w:rFonts w:cstheme="minorHAnsi"/>
        </w:rPr>
        <w:t>).</w:t>
      </w:r>
    </w:p>
  </w:footnote>
  <w:footnote w:id="12">
    <w:p w14:paraId="2D9D6F46" w14:textId="4F303D29" w:rsidR="00F77D53" w:rsidRPr="00D5614B" w:rsidRDefault="00F77D53">
      <w:pPr>
        <w:pStyle w:val="FootnoteText"/>
        <w:rPr>
          <w:rFonts w:cstheme="minorHAnsi"/>
        </w:rPr>
      </w:pPr>
      <w:r w:rsidRPr="00D5614B">
        <w:rPr>
          <w:rStyle w:val="FootnoteReference"/>
          <w:rFonts w:cstheme="minorHAnsi"/>
        </w:rPr>
        <w:footnoteRef/>
      </w:r>
      <w:r w:rsidRPr="00D5614B">
        <w:rPr>
          <w:rFonts w:cstheme="minorHAnsi"/>
        </w:rPr>
        <w:t xml:space="preserve"> Human Rights Watch, </w:t>
      </w:r>
      <w:r w:rsidRPr="00D5614B">
        <w:rPr>
          <w:rFonts w:cstheme="minorHAnsi"/>
          <w:i/>
          <w:iCs/>
        </w:rPr>
        <w:t>“Years Don’t Wait for Them”: Increased Inequalities in Children’s Right to Education Due to the Covid-19 Pandemic</w:t>
      </w:r>
      <w:r w:rsidRPr="00D5614B">
        <w:rPr>
          <w:rFonts w:cstheme="minorHAnsi"/>
        </w:rPr>
        <w:t xml:space="preserve"> (New York: Human Rights Watch, 2022), https://www.hrw.org/report/2021/05/17/years-dont-wait-them/increased-inequalities-childrens-right-education-due-covid.</w:t>
      </w:r>
    </w:p>
  </w:footnote>
  <w:footnote w:id="13">
    <w:p w14:paraId="768F27DF" w14:textId="78D2FB2D" w:rsidR="004F0447" w:rsidRPr="00D5614B" w:rsidRDefault="004F0447">
      <w:pPr>
        <w:pStyle w:val="FootnoteText"/>
        <w:rPr>
          <w:rFonts w:cstheme="minorHAnsi"/>
        </w:rPr>
      </w:pPr>
      <w:r w:rsidRPr="00D5614B">
        <w:rPr>
          <w:rStyle w:val="FootnoteReference"/>
          <w:rFonts w:cstheme="minorHAnsi"/>
        </w:rPr>
        <w:footnoteRef/>
      </w:r>
      <w:r w:rsidRPr="00D5614B">
        <w:rPr>
          <w:rFonts w:cstheme="minorHAnsi"/>
        </w:rPr>
        <w:t xml:space="preserve"> </w:t>
      </w:r>
      <w:r w:rsidR="00912D1E">
        <w:rPr>
          <w:rFonts w:cstheme="minorHAnsi"/>
        </w:rPr>
        <w:t>UN</w:t>
      </w:r>
      <w:r w:rsidR="00702BAD" w:rsidRPr="00D5614B">
        <w:rPr>
          <w:rFonts w:cstheme="minorHAnsi"/>
        </w:rPr>
        <w:t>, “Policy Brief: A Disability-Inclusive Response to COVID-19,” May 2020,</w:t>
      </w:r>
      <w:r w:rsidR="00935388" w:rsidRPr="00D5614B">
        <w:rPr>
          <w:rFonts w:cstheme="minorHAnsi"/>
        </w:rPr>
        <w:t xml:space="preserve"> </w:t>
      </w:r>
      <w:r w:rsidR="00702BAD" w:rsidRPr="00D5614B">
        <w:rPr>
          <w:rFonts w:cstheme="minorHAnsi"/>
        </w:rPr>
        <w:t xml:space="preserve">https://unsdg.un.org/sites/default/files/2020-05/Policy-Brief-A-Disability-Inclusive-Response-to-COVID-19.pdf (accessed January 3, 2022), p. 6; </w:t>
      </w:r>
      <w:r w:rsidR="002E2B28">
        <w:rPr>
          <w:rFonts w:cstheme="minorHAnsi"/>
        </w:rPr>
        <w:t>and</w:t>
      </w:r>
      <w:r w:rsidR="00702BAD" w:rsidRPr="00D5614B">
        <w:rPr>
          <w:rFonts w:cstheme="minorHAnsi"/>
        </w:rPr>
        <w:t xml:space="preserve"> United Nations, “Policy Brief: The Impact of COVID-19 on Children,” April 15, 2020, https://unsdg.un.org/resources/policy-brief-impact-covid-19-children, p.</w:t>
      </w:r>
      <w:r w:rsidR="00D56EB1" w:rsidRPr="00D5614B">
        <w:rPr>
          <w:rFonts w:cstheme="minorHAnsi"/>
        </w:rPr>
        <w:t xml:space="preserve"> </w:t>
      </w:r>
      <w:r w:rsidR="00702BAD" w:rsidRPr="00D5614B">
        <w:rPr>
          <w:rFonts w:cstheme="minorHAnsi"/>
        </w:rPr>
        <w:t>8.</w:t>
      </w:r>
    </w:p>
  </w:footnote>
  <w:footnote w:id="14">
    <w:p w14:paraId="392E9899" w14:textId="6F91D910" w:rsidR="00802035" w:rsidRPr="00D5614B" w:rsidRDefault="00802035" w:rsidP="00802035">
      <w:pPr>
        <w:pStyle w:val="FootnoteText"/>
        <w:rPr>
          <w:rFonts w:cstheme="minorHAnsi"/>
        </w:rPr>
      </w:pPr>
      <w:r w:rsidRPr="00D5614B">
        <w:rPr>
          <w:rStyle w:val="FootnoteReference"/>
          <w:rFonts w:cstheme="minorHAnsi"/>
        </w:rPr>
        <w:footnoteRef/>
      </w:r>
      <w:r w:rsidRPr="00D5614B">
        <w:rPr>
          <w:rFonts w:cstheme="minorHAnsi"/>
        </w:rPr>
        <w:t xml:space="preserve"> Office for National Statistics, “Internet access – households and individuals, Great Britain: 2020,” August 7, 2020, https://www.ons.gov.uk/peoplepopulationandcommunity/householdcharacteristics/homeinternetandsocialmediausage/bulletins/internetaccesshouseholdsandindividuals/2020 (accessed May 3, 2021).</w:t>
      </w:r>
    </w:p>
  </w:footnote>
  <w:footnote w:id="15">
    <w:p w14:paraId="78FDB09D" w14:textId="52B3841A" w:rsidR="007E1D69" w:rsidRPr="00D5614B" w:rsidRDefault="007E1D69">
      <w:pPr>
        <w:pStyle w:val="FootnoteText"/>
        <w:rPr>
          <w:rFonts w:cstheme="minorHAnsi"/>
        </w:rPr>
      </w:pPr>
      <w:r w:rsidRPr="00D5614B">
        <w:rPr>
          <w:rStyle w:val="FootnoteReference"/>
          <w:rFonts w:cstheme="minorHAnsi"/>
        </w:rPr>
        <w:footnoteRef/>
      </w:r>
      <w:r w:rsidRPr="00D5614B">
        <w:rPr>
          <w:rFonts w:cstheme="minorHAnsi"/>
        </w:rPr>
        <w:t xml:space="preserve"> </w:t>
      </w:r>
      <w:r w:rsidR="0015530E" w:rsidRPr="00D5614B">
        <w:rPr>
          <w:rFonts w:cstheme="minorHAnsi"/>
        </w:rPr>
        <w:t>UK Department for Work &amp; Pensions, “Family Resources Survey: financial year 2019 to 2020,” March 25, 2021, https://www.gov.uk/government/statistics/family-resources-survey-financial-year-2019-to-2020/family-resources-survey-financial-year-2019-to-2020#household-food-security-1 (accessed January 4, 2023).</w:t>
      </w:r>
    </w:p>
  </w:footnote>
  <w:footnote w:id="16">
    <w:p w14:paraId="4C2A8255" w14:textId="58C76ED6" w:rsidR="00E17F9E" w:rsidRPr="00D5614B" w:rsidRDefault="00E17F9E">
      <w:pPr>
        <w:pStyle w:val="FootnoteText"/>
        <w:rPr>
          <w:rFonts w:cstheme="minorHAnsi"/>
        </w:rPr>
      </w:pPr>
      <w:r w:rsidRPr="00D5614B">
        <w:rPr>
          <w:rStyle w:val="FootnoteReference"/>
          <w:rFonts w:cstheme="minorHAnsi"/>
        </w:rPr>
        <w:footnoteRef/>
      </w:r>
      <w:r w:rsidRPr="00D5614B">
        <w:rPr>
          <w:rFonts w:cstheme="minorHAnsi"/>
        </w:rPr>
        <w:t xml:space="preserve"> “New data shows the extent of UK food insecurity before the pandemic hit,” </w:t>
      </w:r>
      <w:r w:rsidRPr="00D5614B">
        <w:rPr>
          <w:rFonts w:cstheme="minorHAnsi"/>
          <w:i/>
          <w:iCs/>
        </w:rPr>
        <w:t>Sustain Web</w:t>
      </w:r>
      <w:r w:rsidRPr="00D5614B">
        <w:rPr>
          <w:rFonts w:cstheme="minorHAnsi"/>
        </w:rPr>
        <w:t xml:space="preserve">, </w:t>
      </w:r>
      <w:r w:rsidR="00461161" w:rsidRPr="00D5614B">
        <w:rPr>
          <w:rFonts w:cstheme="minorHAnsi"/>
        </w:rPr>
        <w:t>March 26, 2021, https://www.sustainweb.org/news/mar21-food-insecurity-stats/ (accessed January 4, 2023)</w:t>
      </w:r>
      <w:r w:rsidR="00DE6601" w:rsidRPr="00D5614B">
        <w:rPr>
          <w:rFonts w:cstheme="minorHAnsi"/>
        </w:rPr>
        <w:t xml:space="preserve">; “Welfare system ‘broken’ for disabled people, say food banks,” </w:t>
      </w:r>
      <w:r w:rsidR="00DE6601" w:rsidRPr="00D5614B">
        <w:rPr>
          <w:rFonts w:cstheme="minorHAnsi"/>
          <w:i/>
          <w:iCs/>
        </w:rPr>
        <w:t>Big Issue</w:t>
      </w:r>
      <w:r w:rsidR="00DE6601" w:rsidRPr="00D5614B">
        <w:rPr>
          <w:rFonts w:cstheme="minorHAnsi"/>
        </w:rPr>
        <w:t>, August 6, 2021, https://www.bigissue.com/news/social-justice/welfare-system-broken-for-disabled-people-say-food-banks/ (accessed January 4, 2023).</w:t>
      </w:r>
    </w:p>
  </w:footnote>
  <w:footnote w:id="17">
    <w:p w14:paraId="2E47C68E" w14:textId="75FD845B" w:rsidR="009A2A32" w:rsidRPr="00D5614B" w:rsidRDefault="009A2A32">
      <w:pPr>
        <w:pStyle w:val="FootnoteText"/>
        <w:rPr>
          <w:rFonts w:cstheme="minorHAnsi"/>
        </w:rPr>
      </w:pPr>
      <w:r w:rsidRPr="00D5614B">
        <w:rPr>
          <w:rStyle w:val="FootnoteReference"/>
          <w:rFonts w:cstheme="minorHAnsi"/>
        </w:rPr>
        <w:footnoteRef/>
      </w:r>
      <w:r w:rsidRPr="00D5614B">
        <w:rPr>
          <w:rFonts w:cstheme="minorHAnsi"/>
        </w:rPr>
        <w:t xml:space="preserve"> “Trussell Trust data briefing on end-of-year statistics relating to use of food banks: April 2020 – March 2021,” Trussell Trust, </w:t>
      </w:r>
      <w:r w:rsidR="0058098F" w:rsidRPr="00D5614B">
        <w:rPr>
          <w:rFonts w:cstheme="minorHAnsi"/>
        </w:rPr>
        <w:t>https://www.trusselltrust.org/wp-content/uploads/sites/2/2021/04/Trusell-Trust-End-of-Year-stats-data-briefing_2020_21.pdf.</w:t>
      </w:r>
    </w:p>
  </w:footnote>
  <w:footnote w:id="18">
    <w:p w14:paraId="0A82DF37" w14:textId="77777777" w:rsidR="00007E37" w:rsidRPr="00D5614B" w:rsidRDefault="00007E37" w:rsidP="00007E37">
      <w:pPr>
        <w:pStyle w:val="FootnoteText"/>
        <w:rPr>
          <w:rFonts w:cstheme="minorHAnsi"/>
        </w:rPr>
      </w:pPr>
      <w:r w:rsidRPr="00D5614B">
        <w:rPr>
          <w:rStyle w:val="FootnoteReference"/>
          <w:rFonts w:cstheme="minorHAnsi"/>
        </w:rPr>
        <w:footnoteRef/>
      </w:r>
      <w:r w:rsidRPr="00D5614B">
        <w:rPr>
          <w:rFonts w:cstheme="minorHAnsi"/>
        </w:rPr>
        <w:t xml:space="preserve"> “UK: Children in England Going Hungry with Schools Shut,” Human Rights Watch news release, May 27, 2020.</w:t>
      </w:r>
    </w:p>
  </w:footnote>
  <w:footnote w:id="19">
    <w:p w14:paraId="59BA016B" w14:textId="7745C591" w:rsidR="00007E37" w:rsidRPr="00D5614B" w:rsidRDefault="00007E37" w:rsidP="00007E37">
      <w:pPr>
        <w:pStyle w:val="FootnoteText"/>
        <w:rPr>
          <w:rFonts w:cstheme="minorHAnsi"/>
        </w:rPr>
      </w:pPr>
      <w:r w:rsidRPr="00D5614B">
        <w:rPr>
          <w:rStyle w:val="FootnoteReference"/>
          <w:rFonts w:cstheme="minorHAnsi"/>
        </w:rPr>
        <w:footnoteRef/>
      </w:r>
      <w:r w:rsidRPr="00D5614B">
        <w:rPr>
          <w:rFonts w:cstheme="minorHAnsi"/>
        </w:rPr>
        <w:t xml:space="preserve"> John Dickens, “How the government’s free school meals voucher scheme is leaving children without food,” April 24, </w:t>
      </w:r>
      <w:r w:rsidR="003E6DED">
        <w:rPr>
          <w:rFonts w:cstheme="minorHAnsi"/>
        </w:rPr>
        <w:t xml:space="preserve">2020, </w:t>
      </w:r>
      <w:r w:rsidRPr="006A2272">
        <w:rPr>
          <w:rFonts w:cstheme="minorHAnsi"/>
          <w:i/>
          <w:iCs/>
        </w:rPr>
        <w:t>Schools Week</w:t>
      </w:r>
      <w:r w:rsidRPr="00D5614B">
        <w:rPr>
          <w:rFonts w:cstheme="minorHAnsi"/>
        </w:rPr>
        <w:t xml:space="preserve">, </w:t>
      </w:r>
      <w:r w:rsidR="003E6DED" w:rsidRPr="003E6DED">
        <w:rPr>
          <w:rFonts w:cstheme="minorHAnsi"/>
        </w:rPr>
        <w:t>https://schoolsweek.co.uk/how-the-governments-free-school-meals-voucher-scheme-is-leaving-children-without-food/</w:t>
      </w:r>
      <w:r w:rsidRPr="00D5614B">
        <w:rPr>
          <w:rFonts w:cstheme="minorHAnsi"/>
        </w:rPr>
        <w:t xml:space="preserve">; Naomi Rovnick, “Headteachers urge government to fix UK free school meals website,” </w:t>
      </w:r>
      <w:r w:rsidRPr="006A2272">
        <w:rPr>
          <w:rFonts w:cstheme="minorHAnsi"/>
          <w:i/>
          <w:iCs/>
        </w:rPr>
        <w:t>Financial Times</w:t>
      </w:r>
      <w:r w:rsidRPr="00D5614B">
        <w:rPr>
          <w:rFonts w:cstheme="minorHAnsi"/>
        </w:rPr>
        <w:t>, April 21, 2020</w:t>
      </w:r>
      <w:r w:rsidR="00E9770F">
        <w:rPr>
          <w:rFonts w:cstheme="minorHAnsi"/>
        </w:rPr>
        <w:t xml:space="preserve">, </w:t>
      </w:r>
      <w:r w:rsidR="00E9770F" w:rsidRPr="00E9770F">
        <w:rPr>
          <w:rFonts w:cstheme="minorHAnsi"/>
        </w:rPr>
        <w:t>https://www.ft.com/content/10f69aca-b5eb-41ea-b91c-1d9961e609a9</w:t>
      </w:r>
      <w:r w:rsidRPr="00D5614B">
        <w:rPr>
          <w:rFonts w:cstheme="minorHAnsi"/>
        </w:rPr>
        <w:t xml:space="preserve">; Rob Davis, “Government awarded school meal voucher contract without tender,” </w:t>
      </w:r>
      <w:r w:rsidRPr="00CC381D">
        <w:rPr>
          <w:rFonts w:cstheme="minorHAnsi"/>
          <w:i/>
          <w:iCs/>
        </w:rPr>
        <w:t>The Guardian</w:t>
      </w:r>
      <w:r w:rsidRPr="00D5614B">
        <w:rPr>
          <w:rFonts w:cstheme="minorHAnsi"/>
        </w:rPr>
        <w:t>, May 7, 2020</w:t>
      </w:r>
      <w:r w:rsidR="00F71418">
        <w:rPr>
          <w:rFonts w:cstheme="minorHAnsi"/>
        </w:rPr>
        <w:t xml:space="preserve">, </w:t>
      </w:r>
      <w:r w:rsidR="00F71418" w:rsidRPr="00F71418">
        <w:rPr>
          <w:rFonts w:cstheme="minorHAnsi"/>
        </w:rPr>
        <w:t>https://www.theguardian.com/society/2020/may/07/government-gave-national-pupils-food-voucher-contract-to-small-company</w:t>
      </w:r>
      <w:r w:rsidRPr="00D5614B">
        <w:rPr>
          <w:rFonts w:cstheme="minorHAnsi"/>
        </w:rPr>
        <w:t xml:space="preserve">; Emily Ashton, “The Free School Meal Voucher Scheme Still Isn’t Working Properly, 7 Weeks After Schools Closed Due To Coronavirus,” </w:t>
      </w:r>
      <w:r w:rsidRPr="00B5313A">
        <w:rPr>
          <w:rFonts w:cstheme="minorHAnsi"/>
          <w:i/>
          <w:iCs/>
        </w:rPr>
        <w:t>BuzzFeed News</w:t>
      </w:r>
      <w:r w:rsidRPr="00D5614B">
        <w:rPr>
          <w:rFonts w:cstheme="minorHAnsi"/>
        </w:rPr>
        <w:t>, May 7, 2020</w:t>
      </w:r>
      <w:r w:rsidR="00F87217">
        <w:rPr>
          <w:rFonts w:cstheme="minorHAnsi"/>
        </w:rPr>
        <w:t xml:space="preserve">, </w:t>
      </w:r>
      <w:r w:rsidR="00F87217" w:rsidRPr="00F87217">
        <w:rPr>
          <w:rFonts w:cstheme="minorHAnsi"/>
        </w:rPr>
        <w:t>https://www.buzzfeed.com/emilyashton/coronavirus-free-school-meal-vouchers</w:t>
      </w:r>
      <w:r w:rsidRPr="00D5614B">
        <w:rPr>
          <w:rFonts w:cstheme="minorHAnsi"/>
        </w:rPr>
        <w:t xml:space="preserve">; Sally Weale &amp; Jessica Murray, “UK’s poorest families suffering as free school meals vouchers delayed,” </w:t>
      </w:r>
      <w:r w:rsidRPr="00B5313A">
        <w:rPr>
          <w:rFonts w:cstheme="minorHAnsi"/>
          <w:i/>
          <w:iCs/>
        </w:rPr>
        <w:t>The Guardian</w:t>
      </w:r>
      <w:r w:rsidRPr="00D5614B">
        <w:rPr>
          <w:rFonts w:cstheme="minorHAnsi"/>
        </w:rPr>
        <w:t>, April 9, 2020</w:t>
      </w:r>
      <w:r w:rsidR="00CC381D">
        <w:rPr>
          <w:rFonts w:cstheme="minorHAnsi"/>
        </w:rPr>
        <w:t xml:space="preserve">, </w:t>
      </w:r>
      <w:r w:rsidR="00CC381D" w:rsidRPr="00CC381D">
        <w:rPr>
          <w:rFonts w:cstheme="minorHAnsi"/>
        </w:rPr>
        <w:t>https://www.theguardian.com/education/2020/apr/09/uks-poorest-families-suffering-as-free-school-meal-vouchers-delayed</w:t>
      </w:r>
      <w:r w:rsidRPr="00D5614B">
        <w:rPr>
          <w:rFonts w:cstheme="minorHAnsi"/>
        </w:rPr>
        <w:t xml:space="preserve">; and Judith Burns, “Coronavirus: 'Humiliation' as school meal vouchers fail at till,” </w:t>
      </w:r>
      <w:r w:rsidRPr="00A27BF2">
        <w:rPr>
          <w:rFonts w:cstheme="minorHAnsi"/>
          <w:i/>
          <w:iCs/>
        </w:rPr>
        <w:t>BBC News</w:t>
      </w:r>
      <w:r w:rsidRPr="00D5614B">
        <w:rPr>
          <w:rFonts w:cstheme="minorHAnsi"/>
        </w:rPr>
        <w:t>, May 7, 2020</w:t>
      </w:r>
      <w:r w:rsidR="00A27BF2">
        <w:rPr>
          <w:rFonts w:cstheme="minorHAnsi"/>
        </w:rPr>
        <w:t xml:space="preserve">, </w:t>
      </w:r>
      <w:r w:rsidR="00A27BF2" w:rsidRPr="00A27BF2">
        <w:rPr>
          <w:rFonts w:cstheme="minorHAnsi"/>
        </w:rPr>
        <w:t>https://www.bbc.com/news/education-52551464</w:t>
      </w:r>
      <w:r w:rsidRPr="00D5614B">
        <w:rPr>
          <w:rFonts w:cstheme="minorHAnsi"/>
        </w:rPr>
        <w:t>.</w:t>
      </w:r>
    </w:p>
  </w:footnote>
  <w:footnote w:id="20">
    <w:p w14:paraId="03553729" w14:textId="7B022CE2" w:rsidR="007D45A7" w:rsidRPr="00D5614B" w:rsidRDefault="007D45A7">
      <w:pPr>
        <w:pStyle w:val="FootnoteText"/>
        <w:rPr>
          <w:rFonts w:cstheme="minorHAnsi"/>
        </w:rPr>
      </w:pPr>
      <w:r w:rsidRPr="00D5614B">
        <w:rPr>
          <w:rStyle w:val="FootnoteReference"/>
          <w:rFonts w:cstheme="minorHAnsi"/>
        </w:rPr>
        <w:footnoteRef/>
      </w:r>
      <w:r w:rsidRPr="00D5614B">
        <w:rPr>
          <w:rFonts w:cstheme="minorHAnsi"/>
        </w:rPr>
        <w:t xml:space="preserve"> Kartik Raj, “UK National Food Strategy Has Game-Changing Potential,” Human Rights </w:t>
      </w:r>
      <w:r w:rsidR="00B15EFA">
        <w:rPr>
          <w:rFonts w:cstheme="minorHAnsi"/>
        </w:rPr>
        <w:t xml:space="preserve">Watch </w:t>
      </w:r>
      <w:r w:rsidRPr="00D5614B">
        <w:rPr>
          <w:rFonts w:cstheme="minorHAnsi"/>
        </w:rPr>
        <w:t xml:space="preserve">Dispatch, July 15, 2021, </w:t>
      </w:r>
      <w:r w:rsidR="003F5252" w:rsidRPr="00D5614B">
        <w:rPr>
          <w:rFonts w:cstheme="minorHAnsi"/>
        </w:rPr>
        <w:t>https://www.hrw.org/news/2021/07/15/uk-national-food-strategy-has-game-changing-potential.</w:t>
      </w:r>
    </w:p>
  </w:footnote>
  <w:footnote w:id="21">
    <w:p w14:paraId="03804743" w14:textId="569E1A00" w:rsidR="003F5252" w:rsidRPr="00D5614B" w:rsidRDefault="003F5252">
      <w:pPr>
        <w:pStyle w:val="FootnoteText"/>
        <w:rPr>
          <w:rFonts w:cstheme="minorHAnsi"/>
        </w:rPr>
      </w:pPr>
      <w:r w:rsidRPr="00D5614B">
        <w:rPr>
          <w:rStyle w:val="FootnoteReference"/>
          <w:rFonts w:cstheme="minorHAnsi"/>
        </w:rPr>
        <w:footnoteRef/>
      </w:r>
      <w:r w:rsidRPr="00D5614B">
        <w:rPr>
          <w:rFonts w:cstheme="minorHAnsi"/>
        </w:rPr>
        <w:t xml:space="preserve"> National Food Strateg</w:t>
      </w:r>
      <w:r w:rsidR="005C41DA" w:rsidRPr="00D5614B">
        <w:rPr>
          <w:rFonts w:cstheme="minorHAnsi"/>
        </w:rPr>
        <w:t>y,</w:t>
      </w:r>
      <w:r w:rsidRPr="00D5614B">
        <w:rPr>
          <w:rFonts w:cstheme="minorHAnsi"/>
        </w:rPr>
        <w:t xml:space="preserve"> </w:t>
      </w:r>
      <w:r w:rsidRPr="00D5614B">
        <w:rPr>
          <w:rFonts w:cstheme="minorHAnsi"/>
          <w:i/>
          <w:iCs/>
        </w:rPr>
        <w:t xml:space="preserve">Independent Review, </w:t>
      </w:r>
      <w:r w:rsidR="005C41DA" w:rsidRPr="00D5614B">
        <w:rPr>
          <w:rFonts w:cstheme="minorHAnsi"/>
          <w:i/>
          <w:iCs/>
        </w:rPr>
        <w:t>Chapter 16</w:t>
      </w:r>
      <w:r w:rsidR="005C41DA" w:rsidRPr="00D5614B">
        <w:rPr>
          <w:rFonts w:cstheme="minorHAnsi"/>
        </w:rPr>
        <w:t>, July 2021, https://www.nationalfoodstrategy.org/wp-content/uploads/2021/07/National-Food-Strategy-Chapter-16.pdf (accessed January 4, 2023).</w:t>
      </w:r>
    </w:p>
  </w:footnote>
  <w:footnote w:id="22">
    <w:p w14:paraId="32CFB33A" w14:textId="7D764B18" w:rsidR="00A54AC1" w:rsidRPr="00D5614B" w:rsidRDefault="00A54AC1">
      <w:pPr>
        <w:pStyle w:val="FootnoteText"/>
        <w:rPr>
          <w:rFonts w:cstheme="minorHAnsi"/>
        </w:rPr>
      </w:pPr>
      <w:r w:rsidRPr="00D5614B">
        <w:rPr>
          <w:rStyle w:val="FootnoteReference"/>
          <w:rFonts w:cstheme="minorHAnsi"/>
        </w:rPr>
        <w:footnoteRef/>
      </w:r>
      <w:r w:rsidRPr="00D5614B">
        <w:rPr>
          <w:rFonts w:cstheme="minorHAnsi"/>
        </w:rPr>
        <w:t xml:space="preserve"> </w:t>
      </w:r>
      <w:r w:rsidR="00BC1723" w:rsidRPr="00BC1723">
        <w:rPr>
          <w:rFonts w:cstheme="minorHAnsi"/>
        </w:rPr>
        <w:t>Human Rights Watch Letter to UK Parliamentarians Regarding Impending Cut to Social Security Support</w:t>
      </w:r>
      <w:r w:rsidR="00BC1723">
        <w:rPr>
          <w:rFonts w:cstheme="minorHAnsi"/>
        </w:rPr>
        <w:t xml:space="preserve">, </w:t>
      </w:r>
      <w:r w:rsidR="00540A19">
        <w:rPr>
          <w:rFonts w:cstheme="minorHAnsi"/>
        </w:rPr>
        <w:t xml:space="preserve">September 3, 2021, </w:t>
      </w:r>
      <w:r w:rsidR="00540A19" w:rsidRPr="00540A19">
        <w:rPr>
          <w:rFonts w:cstheme="minorHAnsi"/>
        </w:rPr>
        <w:t>https://www.hrw.org/news/2021/09/03/human-rights-watch-letter-uk-parliamentarians-regarding-impending-cut-social</w:t>
      </w:r>
      <w:r w:rsidR="00540A19">
        <w:rPr>
          <w:rFonts w:cstheme="minorHAnsi"/>
        </w:rPr>
        <w:t xml:space="preserve">. </w:t>
      </w:r>
    </w:p>
  </w:footnote>
  <w:footnote w:id="23">
    <w:p w14:paraId="37A80FCC" w14:textId="5E3FBA61" w:rsidR="00B34368" w:rsidRPr="00D5614B" w:rsidRDefault="00B34368">
      <w:pPr>
        <w:pStyle w:val="FootnoteText"/>
        <w:rPr>
          <w:rFonts w:cstheme="minorHAnsi"/>
        </w:rPr>
      </w:pPr>
      <w:r w:rsidRPr="00D5614B">
        <w:rPr>
          <w:rStyle w:val="FootnoteReference"/>
          <w:rFonts w:cstheme="minorHAnsi"/>
        </w:rPr>
        <w:footnoteRef/>
      </w:r>
      <w:r w:rsidRPr="00D5614B">
        <w:rPr>
          <w:rFonts w:cstheme="minorHAnsi"/>
        </w:rPr>
        <w:t xml:space="preserve"> </w:t>
      </w:r>
      <w:r w:rsidR="00A5395D">
        <w:rPr>
          <w:rFonts w:cstheme="minorHAnsi"/>
        </w:rPr>
        <w:t>Calum Masters and Harriet Anderson, “</w:t>
      </w:r>
      <w:r w:rsidR="00A5395D" w:rsidRPr="00A5395D">
        <w:rPr>
          <w:rFonts w:cstheme="minorHAnsi"/>
        </w:rPr>
        <w:t>UK heading for the biggest overnight cut to the basic rate of social security since World War II</w:t>
      </w:r>
      <w:r w:rsidR="00A5395D">
        <w:rPr>
          <w:rFonts w:cstheme="minorHAnsi"/>
        </w:rPr>
        <w:t xml:space="preserve">,” </w:t>
      </w:r>
      <w:r w:rsidR="007C59F9">
        <w:rPr>
          <w:rFonts w:cstheme="minorHAnsi"/>
          <w:i/>
          <w:iCs/>
        </w:rPr>
        <w:t xml:space="preserve">Joseph Rowntree </w:t>
      </w:r>
      <w:r w:rsidR="007C59F9" w:rsidRPr="007C59F9">
        <w:rPr>
          <w:rFonts w:cstheme="minorHAnsi"/>
          <w:i/>
          <w:iCs/>
        </w:rPr>
        <w:t>Foundation</w:t>
      </w:r>
      <w:r w:rsidR="007C59F9">
        <w:rPr>
          <w:rFonts w:cstheme="minorHAnsi"/>
        </w:rPr>
        <w:t xml:space="preserve">, July 23, 2021, </w:t>
      </w:r>
      <w:r w:rsidRPr="007C59F9">
        <w:rPr>
          <w:rFonts w:cstheme="minorHAnsi"/>
        </w:rPr>
        <w:t>https</w:t>
      </w:r>
      <w:r w:rsidRPr="00D5614B">
        <w:rPr>
          <w:rFonts w:cstheme="minorHAnsi"/>
        </w:rPr>
        <w:t>://www.jrf.org.uk/press/uk-heading-biggest-overnight-cut-basic-rate-social-security-world-war-ii</w:t>
      </w:r>
      <w:r w:rsidR="008918DF">
        <w:rPr>
          <w:rFonts w:cstheme="minorHAnsi"/>
        </w:rPr>
        <w:t>.</w:t>
      </w:r>
    </w:p>
  </w:footnote>
  <w:footnote w:id="24">
    <w:p w14:paraId="603BFC23" w14:textId="7CD287B1" w:rsidR="005B5D54" w:rsidRPr="00D5614B" w:rsidRDefault="005B5D54">
      <w:pPr>
        <w:pStyle w:val="FootnoteText"/>
        <w:rPr>
          <w:rFonts w:cstheme="minorHAnsi"/>
        </w:rPr>
      </w:pPr>
      <w:r w:rsidRPr="00D5614B">
        <w:rPr>
          <w:rStyle w:val="FootnoteReference"/>
          <w:rFonts w:cstheme="minorHAnsi"/>
        </w:rPr>
        <w:footnoteRef/>
      </w:r>
      <w:r w:rsidRPr="00D5614B">
        <w:rPr>
          <w:rFonts w:cstheme="minorHAnsi"/>
        </w:rPr>
        <w:t xml:space="preserve"> </w:t>
      </w:r>
      <w:r w:rsidR="003F4044">
        <w:rPr>
          <w:rFonts w:cstheme="minorHAnsi"/>
        </w:rPr>
        <w:t xml:space="preserve">UK Government, </w:t>
      </w:r>
      <w:r w:rsidR="003F4044" w:rsidRPr="003F4044">
        <w:rPr>
          <w:rFonts w:cstheme="minorHAnsi"/>
        </w:rPr>
        <w:t>Universal Credit statistics, 29 April 2013 to 13 January 2022</w:t>
      </w:r>
      <w:r w:rsidR="003F4044">
        <w:rPr>
          <w:rFonts w:cstheme="minorHAnsi"/>
        </w:rPr>
        <w:t xml:space="preserve">, </w:t>
      </w:r>
      <w:r w:rsidRPr="00D5614B">
        <w:rPr>
          <w:rFonts w:cstheme="minorHAnsi"/>
        </w:rPr>
        <w:t>https://www.gov.uk/government/statistics/universal-credit-statistics-29-april-2013-to-13-january-2022/universal-credit-statistics-29-april-2013-to-13-january-2022</w:t>
      </w:r>
      <w:r w:rsidR="003F4044">
        <w:rPr>
          <w:rFonts w:cstheme="minorHAnsi"/>
        </w:rPr>
        <w:t>.</w:t>
      </w:r>
    </w:p>
  </w:footnote>
  <w:footnote w:id="25">
    <w:p w14:paraId="4741DDEA" w14:textId="59992FFE" w:rsidR="005B5D54" w:rsidRPr="00D5614B" w:rsidRDefault="005B5D54">
      <w:pPr>
        <w:pStyle w:val="FootnoteText"/>
        <w:rPr>
          <w:rFonts w:cstheme="minorHAnsi"/>
        </w:rPr>
      </w:pPr>
      <w:r w:rsidRPr="00D5614B">
        <w:rPr>
          <w:rStyle w:val="FootnoteReference"/>
          <w:rFonts w:cstheme="minorHAnsi"/>
        </w:rPr>
        <w:footnoteRef/>
      </w:r>
      <w:r w:rsidRPr="00D5614B">
        <w:rPr>
          <w:rFonts w:cstheme="minorHAnsi"/>
        </w:rPr>
        <w:t xml:space="preserve"> </w:t>
      </w:r>
      <w:r w:rsidR="00096033">
        <w:rPr>
          <w:rFonts w:cstheme="minorHAnsi"/>
        </w:rPr>
        <w:t>Office for National Statistics, “</w:t>
      </w:r>
      <w:r w:rsidR="00096033" w:rsidRPr="00096033">
        <w:rPr>
          <w:rFonts w:cstheme="minorHAnsi"/>
        </w:rPr>
        <w:t>Consumer price inflation, UK Statistical bulletins</w:t>
      </w:r>
      <w:r w:rsidR="00096033">
        <w:rPr>
          <w:rFonts w:cstheme="minorHAnsi"/>
        </w:rPr>
        <w:t xml:space="preserve">,” </w:t>
      </w:r>
      <w:r w:rsidRPr="00D5614B">
        <w:rPr>
          <w:rFonts w:cstheme="minorHAnsi"/>
        </w:rPr>
        <w:t>https://www.ons.gov.uk/economy/inflationandpriceindices/bulletins/consumerpriceinflation/previousReleases</w:t>
      </w:r>
      <w:r w:rsidR="00E07F35">
        <w:rPr>
          <w:rFonts w:cstheme="minorHAnsi"/>
        </w:rPr>
        <w:t>.</w:t>
      </w:r>
    </w:p>
  </w:footnote>
  <w:footnote w:id="26">
    <w:p w14:paraId="0D00A175" w14:textId="6B4C45C8" w:rsidR="005B5D54" w:rsidRPr="00D5614B" w:rsidRDefault="005B5D54">
      <w:pPr>
        <w:pStyle w:val="FootnoteText"/>
        <w:rPr>
          <w:rFonts w:cstheme="minorHAnsi"/>
        </w:rPr>
      </w:pPr>
      <w:r w:rsidRPr="00D5614B">
        <w:rPr>
          <w:rStyle w:val="FootnoteReference"/>
          <w:rFonts w:cstheme="minorHAnsi"/>
        </w:rPr>
        <w:footnoteRef/>
      </w:r>
      <w:r w:rsidRPr="00D5614B">
        <w:rPr>
          <w:rFonts w:cstheme="minorHAnsi"/>
        </w:rPr>
        <w:t xml:space="preserve"> </w:t>
      </w:r>
      <w:r w:rsidR="00BF60C4">
        <w:rPr>
          <w:rFonts w:cstheme="minorHAnsi"/>
        </w:rPr>
        <w:t>“Inflation to Continue into 2023</w:t>
      </w:r>
      <w:r w:rsidR="0057329A">
        <w:rPr>
          <w:rFonts w:cstheme="minorHAnsi"/>
        </w:rPr>
        <w:t>,”</w:t>
      </w:r>
      <w:r w:rsidR="0057329A" w:rsidRPr="00121041">
        <w:rPr>
          <w:rFonts w:cstheme="minorHAnsi"/>
          <w:i/>
          <w:iCs/>
        </w:rPr>
        <w:t xml:space="preserve"> BRC</w:t>
      </w:r>
      <w:r w:rsidR="00121041">
        <w:rPr>
          <w:rFonts w:cstheme="minorHAnsi"/>
        </w:rPr>
        <w:t>,</w:t>
      </w:r>
      <w:r w:rsidR="00BF60C4">
        <w:rPr>
          <w:rFonts w:cstheme="minorHAnsi"/>
        </w:rPr>
        <w:t xml:space="preserve"> January 4, 2023, </w:t>
      </w:r>
      <w:r w:rsidRPr="00D5614B">
        <w:rPr>
          <w:rFonts w:cstheme="minorHAnsi"/>
        </w:rPr>
        <w:t>https://brc.org.uk/news/corporate-affairs/inflation-to-continue-into-2023/</w:t>
      </w:r>
      <w:r w:rsidR="005F0392">
        <w:rPr>
          <w:rFonts w:cstheme="minorHAnsi"/>
        </w:rPr>
        <w:t>.</w:t>
      </w:r>
    </w:p>
  </w:footnote>
  <w:footnote w:id="27">
    <w:p w14:paraId="1093C5F5" w14:textId="681DF3AD" w:rsidR="00D37C22" w:rsidRPr="00D5614B" w:rsidRDefault="00D37C22">
      <w:pPr>
        <w:pStyle w:val="FootnoteText"/>
        <w:rPr>
          <w:rFonts w:cstheme="minorHAnsi"/>
        </w:rPr>
      </w:pPr>
      <w:r w:rsidRPr="00D5614B">
        <w:rPr>
          <w:rStyle w:val="FootnoteReference"/>
          <w:rFonts w:cstheme="minorHAnsi"/>
        </w:rPr>
        <w:footnoteRef/>
      </w:r>
      <w:r w:rsidRPr="00D5614B">
        <w:rPr>
          <w:rFonts w:cstheme="minorHAnsi"/>
        </w:rPr>
        <w:t xml:space="preserve"> </w:t>
      </w:r>
      <w:r w:rsidR="0057329A">
        <w:rPr>
          <w:rFonts w:cstheme="minorHAnsi"/>
        </w:rPr>
        <w:t>UK Government, “</w:t>
      </w:r>
      <w:r w:rsidR="0057329A" w:rsidRPr="0057329A">
        <w:rPr>
          <w:rFonts w:cstheme="minorHAnsi"/>
        </w:rPr>
        <w:t>Chancellor delivers plan for stability, growth and public services</w:t>
      </w:r>
      <w:r w:rsidR="0057329A">
        <w:rPr>
          <w:rFonts w:cstheme="minorHAnsi"/>
        </w:rPr>
        <w:t>,” November 17, 2022,</w:t>
      </w:r>
      <w:r w:rsidR="0057329A" w:rsidRPr="0057329A">
        <w:rPr>
          <w:rFonts w:cstheme="minorHAnsi"/>
        </w:rPr>
        <w:t xml:space="preserve"> </w:t>
      </w:r>
      <w:r w:rsidRPr="00D5614B">
        <w:rPr>
          <w:rFonts w:cstheme="minorHAnsi"/>
        </w:rPr>
        <w:t>https://www.gov.uk/government/news/chancellor-delivers-plan-for-stability-growth-and-public-services</w:t>
      </w:r>
      <w:r w:rsidR="0057329A">
        <w:rPr>
          <w:rFonts w:cstheme="minorHAnsi"/>
        </w:rPr>
        <w:t>.</w:t>
      </w:r>
    </w:p>
  </w:footnote>
  <w:footnote w:id="28">
    <w:p w14:paraId="6A2370BF" w14:textId="56177578" w:rsidR="002858E3" w:rsidRPr="00E406AD" w:rsidRDefault="002858E3" w:rsidP="00E406AD">
      <w:pPr>
        <w:pStyle w:val="FootnoteText"/>
        <w:rPr>
          <w:rFonts w:cstheme="minorHAnsi"/>
        </w:rPr>
      </w:pPr>
      <w:r w:rsidRPr="00D5614B">
        <w:rPr>
          <w:rStyle w:val="FootnoteReference"/>
          <w:rFonts w:cstheme="minorHAnsi"/>
        </w:rPr>
        <w:footnoteRef/>
      </w:r>
      <w:r w:rsidRPr="00E406AD">
        <w:rPr>
          <w:rFonts w:cstheme="minorHAnsi"/>
        </w:rPr>
        <w:t xml:space="preserve"> </w:t>
      </w:r>
      <w:r w:rsidR="00E406AD" w:rsidRPr="00E406AD">
        <w:rPr>
          <w:rFonts w:cstheme="minorHAnsi"/>
          <w:i/>
          <w:iCs/>
        </w:rPr>
        <w:t>Nothing Left in the Cupboards: Austerity, Welfare Cuts, and the Right to Food in the UK</w:t>
      </w:r>
      <w:r w:rsidR="00E406AD">
        <w:rPr>
          <w:rFonts w:cstheme="minorHAnsi"/>
        </w:rPr>
        <w:t xml:space="preserve"> (New York: Human Rights Watch, 20</w:t>
      </w:r>
      <w:r w:rsidR="00D77813">
        <w:rPr>
          <w:rFonts w:cstheme="minorHAnsi"/>
        </w:rPr>
        <w:t>19</w:t>
      </w:r>
      <w:r w:rsidR="00E406AD">
        <w:rPr>
          <w:rFonts w:cstheme="minorHAnsi"/>
        </w:rPr>
        <w:t xml:space="preserve">), </w:t>
      </w:r>
      <w:r w:rsidRPr="00E406AD">
        <w:rPr>
          <w:rFonts w:cstheme="minorHAnsi"/>
        </w:rPr>
        <w:t>https://www.hrw.org/report/2019/05/20/nothing-left-cupboards/austerity-welfare-cuts-and-right-food-uk#3172</w:t>
      </w:r>
      <w:r w:rsidR="00E406AD">
        <w:rPr>
          <w:rFonts w:cstheme="minorHAnsi"/>
        </w:rPr>
        <w:t>,</w:t>
      </w:r>
      <w:r w:rsidRPr="00E406AD">
        <w:rPr>
          <w:rFonts w:cstheme="minorHAnsi"/>
        </w:rPr>
        <w:t xml:space="preserve"> Chapter 2</w:t>
      </w:r>
      <w:r w:rsidR="00E406AD">
        <w:rPr>
          <w:rFonts w:cstheme="minorHAnsi"/>
        </w:rPr>
        <w:t>.</w:t>
      </w:r>
    </w:p>
  </w:footnote>
  <w:footnote w:id="29">
    <w:p w14:paraId="695D2EE2" w14:textId="77777777" w:rsidR="00805F9D" w:rsidRPr="00D5614B" w:rsidRDefault="00805F9D" w:rsidP="00805F9D">
      <w:pPr>
        <w:pStyle w:val="FootnoteText"/>
        <w:rPr>
          <w:rFonts w:cstheme="minorHAnsi"/>
        </w:rPr>
      </w:pPr>
      <w:r w:rsidRPr="00D5614B">
        <w:rPr>
          <w:rStyle w:val="FootnoteReference"/>
          <w:rFonts w:cstheme="minorHAnsi"/>
        </w:rPr>
        <w:footnoteRef/>
      </w:r>
      <w:r w:rsidRPr="00D5614B">
        <w:rPr>
          <w:rFonts w:cstheme="minorHAnsi"/>
        </w:rPr>
        <w:t xml:space="preserve"> Manoeuvres Act, 7 Elizabeth 2, Ch. 7, December 18, 1958, art. 2.</w:t>
      </w:r>
    </w:p>
  </w:footnote>
  <w:footnote w:id="30">
    <w:p w14:paraId="36DC7DD4" w14:textId="7986C347" w:rsidR="00805F9D" w:rsidRPr="00D5614B" w:rsidRDefault="00805F9D" w:rsidP="00805F9D">
      <w:pPr>
        <w:pStyle w:val="FootnoteText"/>
        <w:rPr>
          <w:rFonts w:cstheme="minorHAnsi"/>
        </w:rPr>
      </w:pPr>
      <w:r w:rsidRPr="00D5614B">
        <w:rPr>
          <w:rStyle w:val="FootnoteReference"/>
          <w:rFonts w:cstheme="minorHAnsi"/>
        </w:rPr>
        <w:footnoteRef/>
      </w:r>
      <w:r w:rsidRPr="00D5614B">
        <w:rPr>
          <w:rFonts w:cstheme="minorHAnsi"/>
        </w:rPr>
        <w:t xml:space="preserve"> Minister of State for the Armed Forces, House of Commons Debate, vol. 186 c68W, February 18, 1991.</w:t>
      </w:r>
    </w:p>
  </w:footnote>
  <w:footnote w:id="31">
    <w:p w14:paraId="43D3ECCE" w14:textId="74444650" w:rsidR="00805F9D" w:rsidRPr="00D5614B" w:rsidRDefault="00805F9D" w:rsidP="00805F9D">
      <w:pPr>
        <w:pStyle w:val="FootnoteText"/>
        <w:rPr>
          <w:rFonts w:cstheme="minorHAnsi"/>
        </w:rPr>
      </w:pPr>
      <w:r w:rsidRPr="00D5614B">
        <w:rPr>
          <w:rStyle w:val="FootnoteReference"/>
          <w:rFonts w:cstheme="minorHAnsi"/>
        </w:rPr>
        <w:footnoteRef/>
      </w:r>
      <w:r w:rsidRPr="00D5614B">
        <w:rPr>
          <w:rFonts w:cstheme="minorHAnsi"/>
        </w:rPr>
        <w:t xml:space="preserve"> </w:t>
      </w:r>
      <w:r w:rsidR="00550A17">
        <w:rPr>
          <w:rFonts w:cstheme="minorHAnsi"/>
        </w:rPr>
        <w:t>UK</w:t>
      </w:r>
      <w:r w:rsidRPr="00D5614B">
        <w:rPr>
          <w:rFonts w:cstheme="minorHAnsi"/>
        </w:rPr>
        <w:t xml:space="preserve"> Ministry of Defence, Joint Service Manual of the Law of Armed Conflict, Joint Service Publication 383 (2004), secs. 15.18 &amp; 15.18.1.</w:t>
      </w:r>
    </w:p>
  </w:footnote>
  <w:footnote w:id="32">
    <w:p w14:paraId="34307CEB" w14:textId="58B4E030" w:rsidR="00805F9D" w:rsidRPr="00D5614B" w:rsidRDefault="00805F9D" w:rsidP="00805F9D">
      <w:pPr>
        <w:pStyle w:val="FootnoteText"/>
        <w:rPr>
          <w:rFonts w:cstheme="minorHAnsi"/>
        </w:rPr>
      </w:pPr>
      <w:r w:rsidRPr="00D5614B">
        <w:rPr>
          <w:rStyle w:val="FootnoteReference"/>
          <w:rFonts w:cstheme="minorHAnsi"/>
        </w:rPr>
        <w:footnoteRef/>
      </w:r>
      <w:r w:rsidRPr="00D5614B">
        <w:rPr>
          <w:rFonts w:cstheme="minorHAnsi"/>
        </w:rPr>
        <w:t xml:space="preserve"> </w:t>
      </w:r>
      <w:r w:rsidR="005A355D">
        <w:rPr>
          <w:rFonts w:cstheme="minorHAnsi"/>
        </w:rPr>
        <w:t xml:space="preserve">UK </w:t>
      </w:r>
      <w:r w:rsidRPr="00D5614B">
        <w:rPr>
          <w:rFonts w:cstheme="minorHAnsi"/>
        </w:rPr>
        <w:t>Army, “Human Security: The Military Contribution,” Doctrine Note 16/02, June 2016, sec. 4-4 – 4-5.</w:t>
      </w:r>
    </w:p>
  </w:footnote>
  <w:footnote w:id="33">
    <w:p w14:paraId="4335144B" w14:textId="1E324F24" w:rsidR="00805F9D" w:rsidRPr="00D5614B" w:rsidRDefault="00805F9D" w:rsidP="00805F9D">
      <w:pPr>
        <w:pStyle w:val="FootnoteText"/>
        <w:rPr>
          <w:rFonts w:cstheme="minorHAnsi"/>
        </w:rPr>
      </w:pPr>
      <w:r w:rsidRPr="00D5614B">
        <w:rPr>
          <w:rStyle w:val="FootnoteReference"/>
          <w:rFonts w:cstheme="minorHAnsi"/>
        </w:rPr>
        <w:footnoteRef/>
      </w:r>
      <w:r w:rsidRPr="00D5614B">
        <w:rPr>
          <w:rFonts w:cstheme="minorHAnsi"/>
        </w:rPr>
        <w:t xml:space="preserve"> Safe Schools Declaration, May 28, 2015,</w:t>
      </w:r>
      <w:r w:rsidR="003C25D0">
        <w:rPr>
          <w:rFonts w:cstheme="minorHAnsi"/>
        </w:rPr>
        <w:t xml:space="preserve"> </w:t>
      </w:r>
      <w:r w:rsidRPr="00D5614B">
        <w:rPr>
          <w:rFonts w:cstheme="minorHAnsi"/>
        </w:rPr>
        <w:t>https://www.regjeringen.no/globalassets/departementene/ud/vedlegg/utvikling/safe_schools_declaration.pdf.</w:t>
      </w:r>
    </w:p>
  </w:footnote>
  <w:footnote w:id="34">
    <w:p w14:paraId="67A82148" w14:textId="77777777" w:rsidR="00805F9D" w:rsidRPr="00D5614B" w:rsidRDefault="00805F9D" w:rsidP="00805F9D">
      <w:pPr>
        <w:pStyle w:val="FootnoteText"/>
        <w:rPr>
          <w:rFonts w:cstheme="minorHAnsi"/>
        </w:rPr>
      </w:pPr>
      <w:r w:rsidRPr="00D5614B">
        <w:rPr>
          <w:rStyle w:val="FootnoteReference"/>
          <w:rFonts w:cstheme="minorHAnsi"/>
        </w:rPr>
        <w:footnoteRef/>
      </w:r>
      <w:r w:rsidRPr="00D5614B">
        <w:rPr>
          <w:rFonts w:cstheme="minorHAnsi"/>
        </w:rPr>
        <w:t xml:space="preserve"> Ministry for Defence, Human Security in Military Operations, Part 1: Directive, JSP 1325, v. 1.0, January 2019, secs. 3:14, 6:1, 6:13, &amp; 6:19-22.</w:t>
      </w:r>
    </w:p>
  </w:footnote>
  <w:footnote w:id="35">
    <w:p w14:paraId="3811B587" w14:textId="77777777" w:rsidR="00805F9D" w:rsidRPr="00D5614B" w:rsidRDefault="00805F9D" w:rsidP="00805F9D">
      <w:pPr>
        <w:pStyle w:val="FootnoteText"/>
        <w:rPr>
          <w:rFonts w:cstheme="minorHAnsi"/>
        </w:rPr>
      </w:pPr>
      <w:r w:rsidRPr="00D5614B">
        <w:rPr>
          <w:rStyle w:val="FootnoteReference"/>
          <w:rFonts w:cstheme="minorHAnsi"/>
        </w:rPr>
        <w:footnoteRef/>
      </w:r>
      <w:r w:rsidRPr="00D5614B">
        <w:rPr>
          <w:rFonts w:cstheme="minorHAnsi"/>
        </w:rPr>
        <w:t xml:space="preserve"> Foreign and Commonwealth Office, Voluntary Report on the Implementation of International Humanitarian Law at Domestic Level, 2019, p. 36.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13C80"/>
    <w:multiLevelType w:val="hybridMultilevel"/>
    <w:tmpl w:val="647AF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C5017"/>
    <w:multiLevelType w:val="hybridMultilevel"/>
    <w:tmpl w:val="91A043E2"/>
    <w:lvl w:ilvl="0" w:tplc="AF54BAF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7F7C39"/>
    <w:multiLevelType w:val="hybridMultilevel"/>
    <w:tmpl w:val="E5A0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20B99"/>
    <w:multiLevelType w:val="hybridMultilevel"/>
    <w:tmpl w:val="C92424E8"/>
    <w:lvl w:ilvl="0" w:tplc="8BA266B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A63772"/>
    <w:multiLevelType w:val="multilevel"/>
    <w:tmpl w:val="84C2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E03DF9"/>
    <w:multiLevelType w:val="multilevel"/>
    <w:tmpl w:val="773E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875ADB"/>
    <w:multiLevelType w:val="hybridMultilevel"/>
    <w:tmpl w:val="BED80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D480C"/>
    <w:multiLevelType w:val="hybridMultilevel"/>
    <w:tmpl w:val="8CAE8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54426C"/>
    <w:multiLevelType w:val="multilevel"/>
    <w:tmpl w:val="F8F8C4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360F19"/>
    <w:multiLevelType w:val="multilevel"/>
    <w:tmpl w:val="BC48C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0C224E"/>
    <w:multiLevelType w:val="hybridMultilevel"/>
    <w:tmpl w:val="686EE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1D596B"/>
    <w:multiLevelType w:val="multilevel"/>
    <w:tmpl w:val="4328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877E02"/>
    <w:multiLevelType w:val="hybridMultilevel"/>
    <w:tmpl w:val="CB84F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D23913"/>
    <w:multiLevelType w:val="hybridMultilevel"/>
    <w:tmpl w:val="A7DAF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7E2B6B"/>
    <w:multiLevelType w:val="hybridMultilevel"/>
    <w:tmpl w:val="3C02711C"/>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A260BD"/>
    <w:multiLevelType w:val="hybridMultilevel"/>
    <w:tmpl w:val="6D5A94A2"/>
    <w:lvl w:ilvl="0" w:tplc="74963442">
      <w:start w:val="1"/>
      <w:numFmt w:val="decimal"/>
      <w:lvlText w:val="%1."/>
      <w:lvlJc w:val="left"/>
      <w:pPr>
        <w:ind w:left="720" w:hanging="360"/>
      </w:pPr>
      <w:rPr>
        <w:b w:val="0"/>
        <w:bCs w:val="0"/>
        <w:i w:val="0"/>
        <w:iCs w:val="0"/>
      </w:rPr>
    </w:lvl>
    <w:lvl w:ilvl="1" w:tplc="04090019">
      <w:start w:val="1"/>
      <w:numFmt w:val="lowerLetter"/>
      <w:lvlText w:val="%2."/>
      <w:lvlJc w:val="left"/>
      <w:pPr>
        <w:ind w:left="45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646D36"/>
    <w:multiLevelType w:val="hybridMultilevel"/>
    <w:tmpl w:val="7B92234C"/>
    <w:lvl w:ilvl="0" w:tplc="A14C4E1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1903EC"/>
    <w:multiLevelType w:val="hybridMultilevel"/>
    <w:tmpl w:val="5F18B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2E2AA5"/>
    <w:multiLevelType w:val="hybridMultilevel"/>
    <w:tmpl w:val="233E5D48"/>
    <w:lvl w:ilvl="0" w:tplc="11727F60">
      <w:start w:val="30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5437B2"/>
    <w:multiLevelType w:val="hybridMultilevel"/>
    <w:tmpl w:val="B5B47076"/>
    <w:lvl w:ilvl="0" w:tplc="A1AEFAB0">
      <w:start w:val="30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8F4DD6"/>
    <w:multiLevelType w:val="multilevel"/>
    <w:tmpl w:val="BCC6805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FA111B"/>
    <w:multiLevelType w:val="hybridMultilevel"/>
    <w:tmpl w:val="FCC6F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503CF1"/>
    <w:multiLevelType w:val="multilevel"/>
    <w:tmpl w:val="789C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9EB00F9"/>
    <w:multiLevelType w:val="hybridMultilevel"/>
    <w:tmpl w:val="F5D4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E34470"/>
    <w:multiLevelType w:val="multilevel"/>
    <w:tmpl w:val="6850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E845251"/>
    <w:multiLevelType w:val="hybridMultilevel"/>
    <w:tmpl w:val="CA7A6468"/>
    <w:lvl w:ilvl="0" w:tplc="D812CD4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5"/>
  </w:num>
  <w:num w:numId="4">
    <w:abstractNumId w:val="16"/>
  </w:num>
  <w:num w:numId="5">
    <w:abstractNumId w:val="5"/>
  </w:num>
  <w:num w:numId="6">
    <w:abstractNumId w:val="11"/>
  </w:num>
  <w:num w:numId="7">
    <w:abstractNumId w:val="4"/>
  </w:num>
  <w:num w:numId="8">
    <w:abstractNumId w:val="22"/>
  </w:num>
  <w:num w:numId="9">
    <w:abstractNumId w:val="8"/>
  </w:num>
  <w:num w:numId="10">
    <w:abstractNumId w:val="9"/>
  </w:num>
  <w:num w:numId="11">
    <w:abstractNumId w:val="24"/>
  </w:num>
  <w:num w:numId="12">
    <w:abstractNumId w:val="19"/>
  </w:num>
  <w:num w:numId="13">
    <w:abstractNumId w:val="18"/>
  </w:num>
  <w:num w:numId="14">
    <w:abstractNumId w:val="6"/>
  </w:num>
  <w:num w:numId="15">
    <w:abstractNumId w:val="20"/>
  </w:num>
  <w:num w:numId="16">
    <w:abstractNumId w:val="14"/>
  </w:num>
  <w:num w:numId="17">
    <w:abstractNumId w:val="15"/>
  </w:num>
  <w:num w:numId="18">
    <w:abstractNumId w:val="21"/>
  </w:num>
  <w:num w:numId="19">
    <w:abstractNumId w:val="10"/>
  </w:num>
  <w:num w:numId="20">
    <w:abstractNumId w:val="2"/>
  </w:num>
  <w:num w:numId="21">
    <w:abstractNumId w:val="17"/>
  </w:num>
  <w:num w:numId="22">
    <w:abstractNumId w:val="13"/>
  </w:num>
  <w:num w:numId="23">
    <w:abstractNumId w:val="7"/>
  </w:num>
  <w:num w:numId="24">
    <w:abstractNumId w:val="23"/>
  </w:num>
  <w:num w:numId="25">
    <w:abstractNumId w:val="0"/>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D16"/>
    <w:rsid w:val="00000C3F"/>
    <w:rsid w:val="000010E0"/>
    <w:rsid w:val="00001F39"/>
    <w:rsid w:val="00007E37"/>
    <w:rsid w:val="00011B48"/>
    <w:rsid w:val="00020CF9"/>
    <w:rsid w:val="000216F6"/>
    <w:rsid w:val="0002194A"/>
    <w:rsid w:val="000223B8"/>
    <w:rsid w:val="00031E28"/>
    <w:rsid w:val="0003210C"/>
    <w:rsid w:val="00032217"/>
    <w:rsid w:val="00042B1C"/>
    <w:rsid w:val="00042B6E"/>
    <w:rsid w:val="00046178"/>
    <w:rsid w:val="00046608"/>
    <w:rsid w:val="000533A7"/>
    <w:rsid w:val="000616EF"/>
    <w:rsid w:val="0006295F"/>
    <w:rsid w:val="00063148"/>
    <w:rsid w:val="00063783"/>
    <w:rsid w:val="0007082A"/>
    <w:rsid w:val="00072800"/>
    <w:rsid w:val="00072CE3"/>
    <w:rsid w:val="00073A1F"/>
    <w:rsid w:val="00074553"/>
    <w:rsid w:val="00075771"/>
    <w:rsid w:val="00076890"/>
    <w:rsid w:val="00081605"/>
    <w:rsid w:val="000832B8"/>
    <w:rsid w:val="00083FA7"/>
    <w:rsid w:val="00084EBB"/>
    <w:rsid w:val="00084F63"/>
    <w:rsid w:val="00090852"/>
    <w:rsid w:val="000909BB"/>
    <w:rsid w:val="000918AF"/>
    <w:rsid w:val="000936E8"/>
    <w:rsid w:val="000944E4"/>
    <w:rsid w:val="00096033"/>
    <w:rsid w:val="00096BD4"/>
    <w:rsid w:val="000A087A"/>
    <w:rsid w:val="000A4498"/>
    <w:rsid w:val="000A6371"/>
    <w:rsid w:val="000A706C"/>
    <w:rsid w:val="000A717A"/>
    <w:rsid w:val="000B0C1E"/>
    <w:rsid w:val="000B2A34"/>
    <w:rsid w:val="000B35CE"/>
    <w:rsid w:val="000B53D2"/>
    <w:rsid w:val="000B57F0"/>
    <w:rsid w:val="000B5860"/>
    <w:rsid w:val="000B7F40"/>
    <w:rsid w:val="000C2D8E"/>
    <w:rsid w:val="000C7A78"/>
    <w:rsid w:val="000D27B4"/>
    <w:rsid w:val="000D451A"/>
    <w:rsid w:val="000D4C63"/>
    <w:rsid w:val="000E0FE8"/>
    <w:rsid w:val="000E192D"/>
    <w:rsid w:val="000E3E52"/>
    <w:rsid w:val="000E68FE"/>
    <w:rsid w:val="000E74E0"/>
    <w:rsid w:val="000E7706"/>
    <w:rsid w:val="000F06D1"/>
    <w:rsid w:val="001060BE"/>
    <w:rsid w:val="00106BD4"/>
    <w:rsid w:val="001125C8"/>
    <w:rsid w:val="00113016"/>
    <w:rsid w:val="001133E7"/>
    <w:rsid w:val="00115CE2"/>
    <w:rsid w:val="00121041"/>
    <w:rsid w:val="001231E2"/>
    <w:rsid w:val="0013055E"/>
    <w:rsid w:val="00130B3C"/>
    <w:rsid w:val="00135C94"/>
    <w:rsid w:val="00136EA9"/>
    <w:rsid w:val="00136F94"/>
    <w:rsid w:val="00144C45"/>
    <w:rsid w:val="00145496"/>
    <w:rsid w:val="001467A7"/>
    <w:rsid w:val="00146F46"/>
    <w:rsid w:val="00153761"/>
    <w:rsid w:val="0015530E"/>
    <w:rsid w:val="00155A78"/>
    <w:rsid w:val="00155B6C"/>
    <w:rsid w:val="00160B10"/>
    <w:rsid w:val="00162574"/>
    <w:rsid w:val="0016265E"/>
    <w:rsid w:val="001646B6"/>
    <w:rsid w:val="00164A95"/>
    <w:rsid w:val="001703AD"/>
    <w:rsid w:val="00170E02"/>
    <w:rsid w:val="00173FB6"/>
    <w:rsid w:val="00174E21"/>
    <w:rsid w:val="00176505"/>
    <w:rsid w:val="001765D8"/>
    <w:rsid w:val="001773D1"/>
    <w:rsid w:val="00177534"/>
    <w:rsid w:val="001803CA"/>
    <w:rsid w:val="00183055"/>
    <w:rsid w:val="001874C3"/>
    <w:rsid w:val="00190C08"/>
    <w:rsid w:val="0019226E"/>
    <w:rsid w:val="0019406D"/>
    <w:rsid w:val="00196AE6"/>
    <w:rsid w:val="001A2686"/>
    <w:rsid w:val="001A2C2B"/>
    <w:rsid w:val="001A2EA1"/>
    <w:rsid w:val="001A354F"/>
    <w:rsid w:val="001A5161"/>
    <w:rsid w:val="001B2225"/>
    <w:rsid w:val="001B3808"/>
    <w:rsid w:val="001B566A"/>
    <w:rsid w:val="001B6DBB"/>
    <w:rsid w:val="001C24DE"/>
    <w:rsid w:val="001C601E"/>
    <w:rsid w:val="001D1B96"/>
    <w:rsid w:val="001D4098"/>
    <w:rsid w:val="001D54BF"/>
    <w:rsid w:val="001D5EDC"/>
    <w:rsid w:val="001E0D74"/>
    <w:rsid w:val="001F1AE6"/>
    <w:rsid w:val="001F362C"/>
    <w:rsid w:val="001F391A"/>
    <w:rsid w:val="001F5506"/>
    <w:rsid w:val="001F6463"/>
    <w:rsid w:val="001F6477"/>
    <w:rsid w:val="002022BD"/>
    <w:rsid w:val="00211A3E"/>
    <w:rsid w:val="00211B08"/>
    <w:rsid w:val="00211EE7"/>
    <w:rsid w:val="002125A1"/>
    <w:rsid w:val="0021292A"/>
    <w:rsid w:val="00213247"/>
    <w:rsid w:val="0021550F"/>
    <w:rsid w:val="0021590C"/>
    <w:rsid w:val="0021618C"/>
    <w:rsid w:val="0021642C"/>
    <w:rsid w:val="00216748"/>
    <w:rsid w:val="0021745B"/>
    <w:rsid w:val="00220A32"/>
    <w:rsid w:val="00221B51"/>
    <w:rsid w:val="00221D19"/>
    <w:rsid w:val="0022204B"/>
    <w:rsid w:val="002227A9"/>
    <w:rsid w:val="002236C5"/>
    <w:rsid w:val="002248E9"/>
    <w:rsid w:val="00230222"/>
    <w:rsid w:val="0023120F"/>
    <w:rsid w:val="0023140C"/>
    <w:rsid w:val="00231619"/>
    <w:rsid w:val="002367EC"/>
    <w:rsid w:val="00240F72"/>
    <w:rsid w:val="00241EDC"/>
    <w:rsid w:val="00243778"/>
    <w:rsid w:val="00245A09"/>
    <w:rsid w:val="002479B7"/>
    <w:rsid w:val="002533F6"/>
    <w:rsid w:val="00254269"/>
    <w:rsid w:val="00254A62"/>
    <w:rsid w:val="002565BF"/>
    <w:rsid w:val="00260BBD"/>
    <w:rsid w:val="00264528"/>
    <w:rsid w:val="00264775"/>
    <w:rsid w:val="00267E0E"/>
    <w:rsid w:val="0027031F"/>
    <w:rsid w:val="00270EC3"/>
    <w:rsid w:val="0027101A"/>
    <w:rsid w:val="00271D42"/>
    <w:rsid w:val="002731CD"/>
    <w:rsid w:val="00274ABC"/>
    <w:rsid w:val="00280CFE"/>
    <w:rsid w:val="0028129D"/>
    <w:rsid w:val="00282350"/>
    <w:rsid w:val="002858E3"/>
    <w:rsid w:val="002909F5"/>
    <w:rsid w:val="00290B27"/>
    <w:rsid w:val="0029322C"/>
    <w:rsid w:val="002A0142"/>
    <w:rsid w:val="002A0ECD"/>
    <w:rsid w:val="002A168E"/>
    <w:rsid w:val="002A223F"/>
    <w:rsid w:val="002A25E8"/>
    <w:rsid w:val="002A4AA8"/>
    <w:rsid w:val="002A517C"/>
    <w:rsid w:val="002B1384"/>
    <w:rsid w:val="002B479B"/>
    <w:rsid w:val="002B489F"/>
    <w:rsid w:val="002B5322"/>
    <w:rsid w:val="002B5488"/>
    <w:rsid w:val="002B638B"/>
    <w:rsid w:val="002B68F7"/>
    <w:rsid w:val="002B6E58"/>
    <w:rsid w:val="002B7FCC"/>
    <w:rsid w:val="002C0637"/>
    <w:rsid w:val="002C437E"/>
    <w:rsid w:val="002C5C97"/>
    <w:rsid w:val="002C685A"/>
    <w:rsid w:val="002C77A7"/>
    <w:rsid w:val="002D0B13"/>
    <w:rsid w:val="002D0B94"/>
    <w:rsid w:val="002D3FE7"/>
    <w:rsid w:val="002D494F"/>
    <w:rsid w:val="002D60A6"/>
    <w:rsid w:val="002D6362"/>
    <w:rsid w:val="002D698B"/>
    <w:rsid w:val="002D6E02"/>
    <w:rsid w:val="002D7C41"/>
    <w:rsid w:val="002E2B28"/>
    <w:rsid w:val="002E547A"/>
    <w:rsid w:val="002E57AD"/>
    <w:rsid w:val="002F331A"/>
    <w:rsid w:val="002F58C5"/>
    <w:rsid w:val="002F6FA8"/>
    <w:rsid w:val="002F7D2C"/>
    <w:rsid w:val="00302069"/>
    <w:rsid w:val="00302E4D"/>
    <w:rsid w:val="003034A0"/>
    <w:rsid w:val="0030355E"/>
    <w:rsid w:val="0030399A"/>
    <w:rsid w:val="003043D1"/>
    <w:rsid w:val="00304695"/>
    <w:rsid w:val="003079A7"/>
    <w:rsid w:val="00310DFC"/>
    <w:rsid w:val="003152DA"/>
    <w:rsid w:val="00315A34"/>
    <w:rsid w:val="00316310"/>
    <w:rsid w:val="003212E2"/>
    <w:rsid w:val="00324E18"/>
    <w:rsid w:val="003267B7"/>
    <w:rsid w:val="00331E4A"/>
    <w:rsid w:val="00332C51"/>
    <w:rsid w:val="00332C6B"/>
    <w:rsid w:val="0033314D"/>
    <w:rsid w:val="00337BC4"/>
    <w:rsid w:val="00337F12"/>
    <w:rsid w:val="00340106"/>
    <w:rsid w:val="00341BDB"/>
    <w:rsid w:val="0034469D"/>
    <w:rsid w:val="003466F1"/>
    <w:rsid w:val="003471B2"/>
    <w:rsid w:val="0034767B"/>
    <w:rsid w:val="00352C65"/>
    <w:rsid w:val="00354A04"/>
    <w:rsid w:val="003550E8"/>
    <w:rsid w:val="00357852"/>
    <w:rsid w:val="00361325"/>
    <w:rsid w:val="00361FE6"/>
    <w:rsid w:val="00362B8B"/>
    <w:rsid w:val="003677E6"/>
    <w:rsid w:val="00373050"/>
    <w:rsid w:val="00377096"/>
    <w:rsid w:val="00380FCD"/>
    <w:rsid w:val="00381209"/>
    <w:rsid w:val="003830F7"/>
    <w:rsid w:val="00385322"/>
    <w:rsid w:val="003867E1"/>
    <w:rsid w:val="003870B0"/>
    <w:rsid w:val="0038770A"/>
    <w:rsid w:val="00390039"/>
    <w:rsid w:val="003915EA"/>
    <w:rsid w:val="00396A88"/>
    <w:rsid w:val="00397892"/>
    <w:rsid w:val="003A0DAC"/>
    <w:rsid w:val="003A2B89"/>
    <w:rsid w:val="003A5675"/>
    <w:rsid w:val="003A5E87"/>
    <w:rsid w:val="003A6B2F"/>
    <w:rsid w:val="003B0E8F"/>
    <w:rsid w:val="003B2727"/>
    <w:rsid w:val="003B3101"/>
    <w:rsid w:val="003B6156"/>
    <w:rsid w:val="003B6D81"/>
    <w:rsid w:val="003B75A3"/>
    <w:rsid w:val="003B7E7A"/>
    <w:rsid w:val="003C1A47"/>
    <w:rsid w:val="003C25D0"/>
    <w:rsid w:val="003C4C6C"/>
    <w:rsid w:val="003C550B"/>
    <w:rsid w:val="003C79D0"/>
    <w:rsid w:val="003D0809"/>
    <w:rsid w:val="003D1356"/>
    <w:rsid w:val="003D199C"/>
    <w:rsid w:val="003E11BC"/>
    <w:rsid w:val="003E1B59"/>
    <w:rsid w:val="003E27AF"/>
    <w:rsid w:val="003E35B2"/>
    <w:rsid w:val="003E43E7"/>
    <w:rsid w:val="003E6782"/>
    <w:rsid w:val="003E6DED"/>
    <w:rsid w:val="003F143C"/>
    <w:rsid w:val="003F4044"/>
    <w:rsid w:val="003F5252"/>
    <w:rsid w:val="003F5DD5"/>
    <w:rsid w:val="003F69E5"/>
    <w:rsid w:val="003F7F78"/>
    <w:rsid w:val="00400B8C"/>
    <w:rsid w:val="00402486"/>
    <w:rsid w:val="00405FC9"/>
    <w:rsid w:val="00412CB5"/>
    <w:rsid w:val="004148CC"/>
    <w:rsid w:val="004234D8"/>
    <w:rsid w:val="00424248"/>
    <w:rsid w:val="00430628"/>
    <w:rsid w:val="004317D1"/>
    <w:rsid w:val="004318EA"/>
    <w:rsid w:val="0043197D"/>
    <w:rsid w:val="00431D9F"/>
    <w:rsid w:val="004406AF"/>
    <w:rsid w:val="00440D3C"/>
    <w:rsid w:val="00442C81"/>
    <w:rsid w:val="0044455A"/>
    <w:rsid w:val="004466A2"/>
    <w:rsid w:val="0045130E"/>
    <w:rsid w:val="00452ECF"/>
    <w:rsid w:val="00453F3A"/>
    <w:rsid w:val="00454042"/>
    <w:rsid w:val="00454E17"/>
    <w:rsid w:val="00455CAD"/>
    <w:rsid w:val="00460229"/>
    <w:rsid w:val="00460CEA"/>
    <w:rsid w:val="00461161"/>
    <w:rsid w:val="00464071"/>
    <w:rsid w:val="004647BD"/>
    <w:rsid w:val="0046529B"/>
    <w:rsid w:val="00465E24"/>
    <w:rsid w:val="00470580"/>
    <w:rsid w:val="0047065A"/>
    <w:rsid w:val="00473E33"/>
    <w:rsid w:val="00477DDE"/>
    <w:rsid w:val="00483EBC"/>
    <w:rsid w:val="004956A9"/>
    <w:rsid w:val="004A08F5"/>
    <w:rsid w:val="004A163C"/>
    <w:rsid w:val="004A2EE2"/>
    <w:rsid w:val="004A3009"/>
    <w:rsid w:val="004A4499"/>
    <w:rsid w:val="004A54CC"/>
    <w:rsid w:val="004A6EDA"/>
    <w:rsid w:val="004B550A"/>
    <w:rsid w:val="004B5675"/>
    <w:rsid w:val="004B654E"/>
    <w:rsid w:val="004B6D33"/>
    <w:rsid w:val="004C1F46"/>
    <w:rsid w:val="004C3B9E"/>
    <w:rsid w:val="004C7960"/>
    <w:rsid w:val="004D2F29"/>
    <w:rsid w:val="004D332E"/>
    <w:rsid w:val="004D3D84"/>
    <w:rsid w:val="004E13A0"/>
    <w:rsid w:val="004E43D8"/>
    <w:rsid w:val="004E5A6B"/>
    <w:rsid w:val="004F0447"/>
    <w:rsid w:val="004F071F"/>
    <w:rsid w:val="004F0F9D"/>
    <w:rsid w:val="004F123D"/>
    <w:rsid w:val="004F14A1"/>
    <w:rsid w:val="004F4677"/>
    <w:rsid w:val="004F6480"/>
    <w:rsid w:val="005004BD"/>
    <w:rsid w:val="00502CB3"/>
    <w:rsid w:val="0050402E"/>
    <w:rsid w:val="00507315"/>
    <w:rsid w:val="00510ACC"/>
    <w:rsid w:val="00516AD1"/>
    <w:rsid w:val="005220BF"/>
    <w:rsid w:val="005235C2"/>
    <w:rsid w:val="005302DA"/>
    <w:rsid w:val="00530DB4"/>
    <w:rsid w:val="00532A4F"/>
    <w:rsid w:val="00532BE8"/>
    <w:rsid w:val="0053364B"/>
    <w:rsid w:val="00534968"/>
    <w:rsid w:val="0053597B"/>
    <w:rsid w:val="00536205"/>
    <w:rsid w:val="00537C72"/>
    <w:rsid w:val="00540A19"/>
    <w:rsid w:val="005411C7"/>
    <w:rsid w:val="005435BF"/>
    <w:rsid w:val="00544738"/>
    <w:rsid w:val="005450F2"/>
    <w:rsid w:val="00545259"/>
    <w:rsid w:val="00547A3A"/>
    <w:rsid w:val="00550A17"/>
    <w:rsid w:val="00553E73"/>
    <w:rsid w:val="00560D63"/>
    <w:rsid w:val="0056124E"/>
    <w:rsid w:val="00561ADC"/>
    <w:rsid w:val="00562483"/>
    <w:rsid w:val="0056571A"/>
    <w:rsid w:val="0056768D"/>
    <w:rsid w:val="0057329A"/>
    <w:rsid w:val="00577166"/>
    <w:rsid w:val="0058098F"/>
    <w:rsid w:val="00585FC3"/>
    <w:rsid w:val="00586B1B"/>
    <w:rsid w:val="0059160E"/>
    <w:rsid w:val="00591778"/>
    <w:rsid w:val="0059192C"/>
    <w:rsid w:val="00593108"/>
    <w:rsid w:val="00593209"/>
    <w:rsid w:val="0059539F"/>
    <w:rsid w:val="005957A4"/>
    <w:rsid w:val="00597C09"/>
    <w:rsid w:val="005A355D"/>
    <w:rsid w:val="005A408A"/>
    <w:rsid w:val="005A5EBD"/>
    <w:rsid w:val="005A6E2A"/>
    <w:rsid w:val="005A735E"/>
    <w:rsid w:val="005A784F"/>
    <w:rsid w:val="005B2DDA"/>
    <w:rsid w:val="005B433B"/>
    <w:rsid w:val="005B5D54"/>
    <w:rsid w:val="005C08CE"/>
    <w:rsid w:val="005C323B"/>
    <w:rsid w:val="005C41DA"/>
    <w:rsid w:val="005C7454"/>
    <w:rsid w:val="005D27FC"/>
    <w:rsid w:val="005D6BB1"/>
    <w:rsid w:val="005E1585"/>
    <w:rsid w:val="005E5BF7"/>
    <w:rsid w:val="005F0392"/>
    <w:rsid w:val="005F2159"/>
    <w:rsid w:val="005F22A5"/>
    <w:rsid w:val="005F325A"/>
    <w:rsid w:val="005F36C7"/>
    <w:rsid w:val="005F3EDA"/>
    <w:rsid w:val="005F5121"/>
    <w:rsid w:val="005F557D"/>
    <w:rsid w:val="005F645B"/>
    <w:rsid w:val="005F7DB6"/>
    <w:rsid w:val="006006B5"/>
    <w:rsid w:val="0060439A"/>
    <w:rsid w:val="006047E9"/>
    <w:rsid w:val="00610BD2"/>
    <w:rsid w:val="00613CA9"/>
    <w:rsid w:val="0061526B"/>
    <w:rsid w:val="00615BC7"/>
    <w:rsid w:val="00617806"/>
    <w:rsid w:val="006209A4"/>
    <w:rsid w:val="0062194D"/>
    <w:rsid w:val="00622A4F"/>
    <w:rsid w:val="00624117"/>
    <w:rsid w:val="00625731"/>
    <w:rsid w:val="00626B2C"/>
    <w:rsid w:val="0063146A"/>
    <w:rsid w:val="00635E3E"/>
    <w:rsid w:val="00641864"/>
    <w:rsid w:val="00643B6F"/>
    <w:rsid w:val="00644042"/>
    <w:rsid w:val="00645CCD"/>
    <w:rsid w:val="00646983"/>
    <w:rsid w:val="00646E9C"/>
    <w:rsid w:val="00647A8F"/>
    <w:rsid w:val="00654675"/>
    <w:rsid w:val="00654752"/>
    <w:rsid w:val="00654F70"/>
    <w:rsid w:val="00655032"/>
    <w:rsid w:val="006606F6"/>
    <w:rsid w:val="006611B6"/>
    <w:rsid w:val="00662DF6"/>
    <w:rsid w:val="00662EE8"/>
    <w:rsid w:val="006630FB"/>
    <w:rsid w:val="006643F8"/>
    <w:rsid w:val="00673B4D"/>
    <w:rsid w:val="0067469F"/>
    <w:rsid w:val="00675A04"/>
    <w:rsid w:val="00683775"/>
    <w:rsid w:val="00685BFF"/>
    <w:rsid w:val="006861C3"/>
    <w:rsid w:val="00686D33"/>
    <w:rsid w:val="006921B7"/>
    <w:rsid w:val="00695EF9"/>
    <w:rsid w:val="006A042D"/>
    <w:rsid w:val="006A0979"/>
    <w:rsid w:val="006A132F"/>
    <w:rsid w:val="006A14A0"/>
    <w:rsid w:val="006A2272"/>
    <w:rsid w:val="006A5D61"/>
    <w:rsid w:val="006A6AE3"/>
    <w:rsid w:val="006B0818"/>
    <w:rsid w:val="006B0DE7"/>
    <w:rsid w:val="006B3002"/>
    <w:rsid w:val="006B3688"/>
    <w:rsid w:val="006B4BA0"/>
    <w:rsid w:val="006B721D"/>
    <w:rsid w:val="006B78BD"/>
    <w:rsid w:val="006B7B35"/>
    <w:rsid w:val="006C3AA9"/>
    <w:rsid w:val="006C4BD0"/>
    <w:rsid w:val="006C4DDB"/>
    <w:rsid w:val="006C697C"/>
    <w:rsid w:val="006D001A"/>
    <w:rsid w:val="006D0124"/>
    <w:rsid w:val="006D1532"/>
    <w:rsid w:val="006D316A"/>
    <w:rsid w:val="006D3FF7"/>
    <w:rsid w:val="006D6D8D"/>
    <w:rsid w:val="006D7B69"/>
    <w:rsid w:val="006E0312"/>
    <w:rsid w:val="006E1028"/>
    <w:rsid w:val="006E1A3B"/>
    <w:rsid w:val="006E40DE"/>
    <w:rsid w:val="006E48F9"/>
    <w:rsid w:val="006E49FA"/>
    <w:rsid w:val="006E4E4E"/>
    <w:rsid w:val="006E54C0"/>
    <w:rsid w:val="006E5F3E"/>
    <w:rsid w:val="006E6CFB"/>
    <w:rsid w:val="006E7ED0"/>
    <w:rsid w:val="006F00B9"/>
    <w:rsid w:val="006F2013"/>
    <w:rsid w:val="006F6C46"/>
    <w:rsid w:val="00702BAD"/>
    <w:rsid w:val="0070457E"/>
    <w:rsid w:val="00704A82"/>
    <w:rsid w:val="007053F0"/>
    <w:rsid w:val="00706ABA"/>
    <w:rsid w:val="00707289"/>
    <w:rsid w:val="007107C2"/>
    <w:rsid w:val="00711188"/>
    <w:rsid w:val="0071155E"/>
    <w:rsid w:val="00713F00"/>
    <w:rsid w:val="007158A5"/>
    <w:rsid w:val="00716F93"/>
    <w:rsid w:val="00721077"/>
    <w:rsid w:val="007228D2"/>
    <w:rsid w:val="00725177"/>
    <w:rsid w:val="00725A14"/>
    <w:rsid w:val="00726CE9"/>
    <w:rsid w:val="00727E56"/>
    <w:rsid w:val="00731FC6"/>
    <w:rsid w:val="007320E4"/>
    <w:rsid w:val="00737BCA"/>
    <w:rsid w:val="00740153"/>
    <w:rsid w:val="00740693"/>
    <w:rsid w:val="00743E85"/>
    <w:rsid w:val="0074765C"/>
    <w:rsid w:val="00751B3E"/>
    <w:rsid w:val="007537ED"/>
    <w:rsid w:val="00755A35"/>
    <w:rsid w:val="007601B4"/>
    <w:rsid w:val="007603CA"/>
    <w:rsid w:val="00760CDD"/>
    <w:rsid w:val="007614BC"/>
    <w:rsid w:val="00762729"/>
    <w:rsid w:val="0076350D"/>
    <w:rsid w:val="0076628E"/>
    <w:rsid w:val="00767328"/>
    <w:rsid w:val="00767863"/>
    <w:rsid w:val="00767CE3"/>
    <w:rsid w:val="007707EF"/>
    <w:rsid w:val="007708AC"/>
    <w:rsid w:val="00770F7C"/>
    <w:rsid w:val="007730E3"/>
    <w:rsid w:val="007735DC"/>
    <w:rsid w:val="0077718D"/>
    <w:rsid w:val="00777541"/>
    <w:rsid w:val="00784FE2"/>
    <w:rsid w:val="007856EF"/>
    <w:rsid w:val="007908A2"/>
    <w:rsid w:val="00791EAA"/>
    <w:rsid w:val="00795A08"/>
    <w:rsid w:val="007A4F37"/>
    <w:rsid w:val="007A5431"/>
    <w:rsid w:val="007A7BBF"/>
    <w:rsid w:val="007AF60C"/>
    <w:rsid w:val="007B2166"/>
    <w:rsid w:val="007B320B"/>
    <w:rsid w:val="007B32D1"/>
    <w:rsid w:val="007B5868"/>
    <w:rsid w:val="007B63AC"/>
    <w:rsid w:val="007B6996"/>
    <w:rsid w:val="007C1B88"/>
    <w:rsid w:val="007C3313"/>
    <w:rsid w:val="007C59F9"/>
    <w:rsid w:val="007D159C"/>
    <w:rsid w:val="007D18DD"/>
    <w:rsid w:val="007D4581"/>
    <w:rsid w:val="007D45A7"/>
    <w:rsid w:val="007D69B0"/>
    <w:rsid w:val="007E1D69"/>
    <w:rsid w:val="007E2AEE"/>
    <w:rsid w:val="007E36F4"/>
    <w:rsid w:val="007E3B08"/>
    <w:rsid w:val="007F0814"/>
    <w:rsid w:val="007F36FD"/>
    <w:rsid w:val="007F48E3"/>
    <w:rsid w:val="00802035"/>
    <w:rsid w:val="00805F9D"/>
    <w:rsid w:val="008065B4"/>
    <w:rsid w:val="0081146A"/>
    <w:rsid w:val="008114DF"/>
    <w:rsid w:val="00814A9E"/>
    <w:rsid w:val="00814DD7"/>
    <w:rsid w:val="00817B0B"/>
    <w:rsid w:val="008207B1"/>
    <w:rsid w:val="00820DAE"/>
    <w:rsid w:val="00820F54"/>
    <w:rsid w:val="008215C5"/>
    <w:rsid w:val="00822867"/>
    <w:rsid w:val="008272AD"/>
    <w:rsid w:val="00830179"/>
    <w:rsid w:val="00831655"/>
    <w:rsid w:val="0083197B"/>
    <w:rsid w:val="0083236A"/>
    <w:rsid w:val="008345CF"/>
    <w:rsid w:val="00835A88"/>
    <w:rsid w:val="00840174"/>
    <w:rsid w:val="00842751"/>
    <w:rsid w:val="00842F02"/>
    <w:rsid w:val="00843B2D"/>
    <w:rsid w:val="0084413E"/>
    <w:rsid w:val="00845583"/>
    <w:rsid w:val="00846057"/>
    <w:rsid w:val="00851050"/>
    <w:rsid w:val="00851071"/>
    <w:rsid w:val="00851315"/>
    <w:rsid w:val="00851B61"/>
    <w:rsid w:val="00851F9A"/>
    <w:rsid w:val="00854F3B"/>
    <w:rsid w:val="00855668"/>
    <w:rsid w:val="00855D1C"/>
    <w:rsid w:val="00856B4B"/>
    <w:rsid w:val="00857FF3"/>
    <w:rsid w:val="00860419"/>
    <w:rsid w:val="008605E8"/>
    <w:rsid w:val="00863825"/>
    <w:rsid w:val="0086507D"/>
    <w:rsid w:val="008652FC"/>
    <w:rsid w:val="008656C6"/>
    <w:rsid w:val="00866CA0"/>
    <w:rsid w:val="008679D1"/>
    <w:rsid w:val="00867E0E"/>
    <w:rsid w:val="00870477"/>
    <w:rsid w:val="00870827"/>
    <w:rsid w:val="00871266"/>
    <w:rsid w:val="00876E59"/>
    <w:rsid w:val="00877AE4"/>
    <w:rsid w:val="00885475"/>
    <w:rsid w:val="00891262"/>
    <w:rsid w:val="008918DF"/>
    <w:rsid w:val="0089340F"/>
    <w:rsid w:val="00894801"/>
    <w:rsid w:val="0089517C"/>
    <w:rsid w:val="00895466"/>
    <w:rsid w:val="0089558C"/>
    <w:rsid w:val="008974EB"/>
    <w:rsid w:val="008A04AE"/>
    <w:rsid w:val="008A087F"/>
    <w:rsid w:val="008A640A"/>
    <w:rsid w:val="008A6E8F"/>
    <w:rsid w:val="008A7565"/>
    <w:rsid w:val="008B21B9"/>
    <w:rsid w:val="008B32A9"/>
    <w:rsid w:val="008B4A74"/>
    <w:rsid w:val="008B529A"/>
    <w:rsid w:val="008B55A9"/>
    <w:rsid w:val="008B6F70"/>
    <w:rsid w:val="008C0411"/>
    <w:rsid w:val="008C1A86"/>
    <w:rsid w:val="008C48C5"/>
    <w:rsid w:val="008C4E6C"/>
    <w:rsid w:val="008C53F0"/>
    <w:rsid w:val="008D0C96"/>
    <w:rsid w:val="008E1F03"/>
    <w:rsid w:val="008E229E"/>
    <w:rsid w:val="008E51C5"/>
    <w:rsid w:val="008E5CBC"/>
    <w:rsid w:val="008E6395"/>
    <w:rsid w:val="008E74D2"/>
    <w:rsid w:val="008E75CB"/>
    <w:rsid w:val="008F03C0"/>
    <w:rsid w:val="008F179E"/>
    <w:rsid w:val="008F2529"/>
    <w:rsid w:val="008F273F"/>
    <w:rsid w:val="008F29AE"/>
    <w:rsid w:val="008F373A"/>
    <w:rsid w:val="008F69A3"/>
    <w:rsid w:val="008F6BD8"/>
    <w:rsid w:val="00903FE7"/>
    <w:rsid w:val="00904A92"/>
    <w:rsid w:val="0090634E"/>
    <w:rsid w:val="00906D54"/>
    <w:rsid w:val="00912D1E"/>
    <w:rsid w:val="0091312E"/>
    <w:rsid w:val="00915A3C"/>
    <w:rsid w:val="00916448"/>
    <w:rsid w:val="009216D1"/>
    <w:rsid w:val="0092306E"/>
    <w:rsid w:val="00923EDD"/>
    <w:rsid w:val="00925806"/>
    <w:rsid w:val="009261D8"/>
    <w:rsid w:val="00926546"/>
    <w:rsid w:val="00930623"/>
    <w:rsid w:val="00933D16"/>
    <w:rsid w:val="00935388"/>
    <w:rsid w:val="00937B8D"/>
    <w:rsid w:val="00940AFB"/>
    <w:rsid w:val="00941218"/>
    <w:rsid w:val="0094214A"/>
    <w:rsid w:val="0094602F"/>
    <w:rsid w:val="009463B8"/>
    <w:rsid w:val="009465AA"/>
    <w:rsid w:val="00950CFC"/>
    <w:rsid w:val="00953F10"/>
    <w:rsid w:val="00955E29"/>
    <w:rsid w:val="009566C8"/>
    <w:rsid w:val="00956A32"/>
    <w:rsid w:val="00960A68"/>
    <w:rsid w:val="00960FB9"/>
    <w:rsid w:val="00962E2F"/>
    <w:rsid w:val="009661D7"/>
    <w:rsid w:val="0097024E"/>
    <w:rsid w:val="00970E44"/>
    <w:rsid w:val="009742B1"/>
    <w:rsid w:val="0097490E"/>
    <w:rsid w:val="00974961"/>
    <w:rsid w:val="00974C54"/>
    <w:rsid w:val="00975835"/>
    <w:rsid w:val="00977D0D"/>
    <w:rsid w:val="00980E66"/>
    <w:rsid w:val="00983AFC"/>
    <w:rsid w:val="009841F5"/>
    <w:rsid w:val="00984D94"/>
    <w:rsid w:val="00991711"/>
    <w:rsid w:val="00993BC1"/>
    <w:rsid w:val="0099615F"/>
    <w:rsid w:val="0099768D"/>
    <w:rsid w:val="009A18EE"/>
    <w:rsid w:val="009A2A32"/>
    <w:rsid w:val="009A323B"/>
    <w:rsid w:val="009A328F"/>
    <w:rsid w:val="009A3D87"/>
    <w:rsid w:val="009A6DCE"/>
    <w:rsid w:val="009A700F"/>
    <w:rsid w:val="009B1930"/>
    <w:rsid w:val="009B4278"/>
    <w:rsid w:val="009C0726"/>
    <w:rsid w:val="009C3D8E"/>
    <w:rsid w:val="009C6F47"/>
    <w:rsid w:val="009D52D4"/>
    <w:rsid w:val="009D55BF"/>
    <w:rsid w:val="009D6FFE"/>
    <w:rsid w:val="009D77C8"/>
    <w:rsid w:val="009D7D0E"/>
    <w:rsid w:val="009D7FB0"/>
    <w:rsid w:val="009E0355"/>
    <w:rsid w:val="009E0843"/>
    <w:rsid w:val="009E2C82"/>
    <w:rsid w:val="009E4C32"/>
    <w:rsid w:val="009E75DF"/>
    <w:rsid w:val="009E77A8"/>
    <w:rsid w:val="009F350F"/>
    <w:rsid w:val="00A05622"/>
    <w:rsid w:val="00A05E01"/>
    <w:rsid w:val="00A06540"/>
    <w:rsid w:val="00A07090"/>
    <w:rsid w:val="00A10504"/>
    <w:rsid w:val="00A10F46"/>
    <w:rsid w:val="00A12B05"/>
    <w:rsid w:val="00A12F7F"/>
    <w:rsid w:val="00A13058"/>
    <w:rsid w:val="00A133E3"/>
    <w:rsid w:val="00A1686C"/>
    <w:rsid w:val="00A16FF2"/>
    <w:rsid w:val="00A174BF"/>
    <w:rsid w:val="00A20859"/>
    <w:rsid w:val="00A21D65"/>
    <w:rsid w:val="00A25AF6"/>
    <w:rsid w:val="00A27179"/>
    <w:rsid w:val="00A27395"/>
    <w:rsid w:val="00A27BF2"/>
    <w:rsid w:val="00A27F99"/>
    <w:rsid w:val="00A30B25"/>
    <w:rsid w:val="00A314DB"/>
    <w:rsid w:val="00A33ACD"/>
    <w:rsid w:val="00A3410E"/>
    <w:rsid w:val="00A34F91"/>
    <w:rsid w:val="00A35289"/>
    <w:rsid w:val="00A35963"/>
    <w:rsid w:val="00A374C6"/>
    <w:rsid w:val="00A37652"/>
    <w:rsid w:val="00A37BFF"/>
    <w:rsid w:val="00A40B38"/>
    <w:rsid w:val="00A41AAE"/>
    <w:rsid w:val="00A42F91"/>
    <w:rsid w:val="00A44C5A"/>
    <w:rsid w:val="00A50A8D"/>
    <w:rsid w:val="00A527BC"/>
    <w:rsid w:val="00A5320A"/>
    <w:rsid w:val="00A5395D"/>
    <w:rsid w:val="00A54AC1"/>
    <w:rsid w:val="00A56517"/>
    <w:rsid w:val="00A56F3B"/>
    <w:rsid w:val="00A648D7"/>
    <w:rsid w:val="00A72264"/>
    <w:rsid w:val="00A732A2"/>
    <w:rsid w:val="00A736D7"/>
    <w:rsid w:val="00A73CF7"/>
    <w:rsid w:val="00A7553F"/>
    <w:rsid w:val="00A7651E"/>
    <w:rsid w:val="00A775E0"/>
    <w:rsid w:val="00A80D95"/>
    <w:rsid w:val="00A8302B"/>
    <w:rsid w:val="00A85D3B"/>
    <w:rsid w:val="00A95C97"/>
    <w:rsid w:val="00A96913"/>
    <w:rsid w:val="00AA0160"/>
    <w:rsid w:val="00AA1A7E"/>
    <w:rsid w:val="00AA7DF1"/>
    <w:rsid w:val="00AB76AD"/>
    <w:rsid w:val="00AC4169"/>
    <w:rsid w:val="00AC67F1"/>
    <w:rsid w:val="00AD16C3"/>
    <w:rsid w:val="00AD3DF0"/>
    <w:rsid w:val="00AD45CF"/>
    <w:rsid w:val="00AD708B"/>
    <w:rsid w:val="00AD7268"/>
    <w:rsid w:val="00AE0CA4"/>
    <w:rsid w:val="00AE4A9A"/>
    <w:rsid w:val="00AE4D18"/>
    <w:rsid w:val="00AE619D"/>
    <w:rsid w:val="00AF0A3C"/>
    <w:rsid w:val="00AF1B0B"/>
    <w:rsid w:val="00AF5E56"/>
    <w:rsid w:val="00AF674E"/>
    <w:rsid w:val="00AF6B04"/>
    <w:rsid w:val="00B00DA9"/>
    <w:rsid w:val="00B010FF"/>
    <w:rsid w:val="00B0430A"/>
    <w:rsid w:val="00B061AB"/>
    <w:rsid w:val="00B10232"/>
    <w:rsid w:val="00B1215A"/>
    <w:rsid w:val="00B12C80"/>
    <w:rsid w:val="00B12DE4"/>
    <w:rsid w:val="00B15EFA"/>
    <w:rsid w:val="00B2331C"/>
    <w:rsid w:val="00B2432C"/>
    <w:rsid w:val="00B24CAE"/>
    <w:rsid w:val="00B31085"/>
    <w:rsid w:val="00B31EC8"/>
    <w:rsid w:val="00B33774"/>
    <w:rsid w:val="00B3390B"/>
    <w:rsid w:val="00B34368"/>
    <w:rsid w:val="00B417C2"/>
    <w:rsid w:val="00B45E20"/>
    <w:rsid w:val="00B46B8F"/>
    <w:rsid w:val="00B52B36"/>
    <w:rsid w:val="00B5313A"/>
    <w:rsid w:val="00B54F70"/>
    <w:rsid w:val="00B57F2F"/>
    <w:rsid w:val="00B60968"/>
    <w:rsid w:val="00B61500"/>
    <w:rsid w:val="00B65825"/>
    <w:rsid w:val="00B71AB1"/>
    <w:rsid w:val="00B73DD9"/>
    <w:rsid w:val="00B74689"/>
    <w:rsid w:val="00B74EC2"/>
    <w:rsid w:val="00B757EA"/>
    <w:rsid w:val="00B80094"/>
    <w:rsid w:val="00B80761"/>
    <w:rsid w:val="00B81F8B"/>
    <w:rsid w:val="00B85C60"/>
    <w:rsid w:val="00B922CE"/>
    <w:rsid w:val="00B951CD"/>
    <w:rsid w:val="00B96098"/>
    <w:rsid w:val="00BA24CD"/>
    <w:rsid w:val="00BA2FDE"/>
    <w:rsid w:val="00BA51C0"/>
    <w:rsid w:val="00BB06AE"/>
    <w:rsid w:val="00BB35A8"/>
    <w:rsid w:val="00BB5811"/>
    <w:rsid w:val="00BB6326"/>
    <w:rsid w:val="00BB7FA6"/>
    <w:rsid w:val="00BC12C7"/>
    <w:rsid w:val="00BC1723"/>
    <w:rsid w:val="00BC4C45"/>
    <w:rsid w:val="00BC5686"/>
    <w:rsid w:val="00BC75B8"/>
    <w:rsid w:val="00BC7EB1"/>
    <w:rsid w:val="00BD06F9"/>
    <w:rsid w:val="00BD326E"/>
    <w:rsid w:val="00BD4595"/>
    <w:rsid w:val="00BD461A"/>
    <w:rsid w:val="00BD5ECE"/>
    <w:rsid w:val="00BD7323"/>
    <w:rsid w:val="00BD7E40"/>
    <w:rsid w:val="00BE0E80"/>
    <w:rsid w:val="00BE32B4"/>
    <w:rsid w:val="00BE3417"/>
    <w:rsid w:val="00BE5118"/>
    <w:rsid w:val="00BE64FF"/>
    <w:rsid w:val="00BE6FB2"/>
    <w:rsid w:val="00BE7028"/>
    <w:rsid w:val="00BF047D"/>
    <w:rsid w:val="00BF39E8"/>
    <w:rsid w:val="00BF60C4"/>
    <w:rsid w:val="00BF68CD"/>
    <w:rsid w:val="00BF6A0D"/>
    <w:rsid w:val="00BF7D6F"/>
    <w:rsid w:val="00C00A74"/>
    <w:rsid w:val="00C03088"/>
    <w:rsid w:val="00C03235"/>
    <w:rsid w:val="00C038DD"/>
    <w:rsid w:val="00C04727"/>
    <w:rsid w:val="00C04A52"/>
    <w:rsid w:val="00C04DA5"/>
    <w:rsid w:val="00C116B8"/>
    <w:rsid w:val="00C132F1"/>
    <w:rsid w:val="00C214BB"/>
    <w:rsid w:val="00C2386E"/>
    <w:rsid w:val="00C23DD7"/>
    <w:rsid w:val="00C275ED"/>
    <w:rsid w:val="00C30221"/>
    <w:rsid w:val="00C3177C"/>
    <w:rsid w:val="00C32FE5"/>
    <w:rsid w:val="00C340BB"/>
    <w:rsid w:val="00C374B0"/>
    <w:rsid w:val="00C40CEF"/>
    <w:rsid w:val="00C420FD"/>
    <w:rsid w:val="00C42B1F"/>
    <w:rsid w:val="00C46CDC"/>
    <w:rsid w:val="00C47A24"/>
    <w:rsid w:val="00C50DF8"/>
    <w:rsid w:val="00C51023"/>
    <w:rsid w:val="00C5151B"/>
    <w:rsid w:val="00C53444"/>
    <w:rsid w:val="00C5440B"/>
    <w:rsid w:val="00C54BF5"/>
    <w:rsid w:val="00C5656B"/>
    <w:rsid w:val="00C567A0"/>
    <w:rsid w:val="00C57EE2"/>
    <w:rsid w:val="00C72A6B"/>
    <w:rsid w:val="00C7563A"/>
    <w:rsid w:val="00C76423"/>
    <w:rsid w:val="00C801AF"/>
    <w:rsid w:val="00C8063C"/>
    <w:rsid w:val="00C820DB"/>
    <w:rsid w:val="00C82D58"/>
    <w:rsid w:val="00C82D89"/>
    <w:rsid w:val="00C8305C"/>
    <w:rsid w:val="00C8465A"/>
    <w:rsid w:val="00C849B9"/>
    <w:rsid w:val="00C851F1"/>
    <w:rsid w:val="00C86CE3"/>
    <w:rsid w:val="00C90C2F"/>
    <w:rsid w:val="00C91F87"/>
    <w:rsid w:val="00C93966"/>
    <w:rsid w:val="00C944A3"/>
    <w:rsid w:val="00C97E79"/>
    <w:rsid w:val="00CA2FCE"/>
    <w:rsid w:val="00CA4328"/>
    <w:rsid w:val="00CA6793"/>
    <w:rsid w:val="00CB01B2"/>
    <w:rsid w:val="00CB381F"/>
    <w:rsid w:val="00CB6AEE"/>
    <w:rsid w:val="00CB7876"/>
    <w:rsid w:val="00CB7EFD"/>
    <w:rsid w:val="00CC176F"/>
    <w:rsid w:val="00CC381D"/>
    <w:rsid w:val="00CC55B8"/>
    <w:rsid w:val="00CC6FA4"/>
    <w:rsid w:val="00CD13A8"/>
    <w:rsid w:val="00CD13B3"/>
    <w:rsid w:val="00CD1C89"/>
    <w:rsid w:val="00CD3E1A"/>
    <w:rsid w:val="00CD40DB"/>
    <w:rsid w:val="00CD54C4"/>
    <w:rsid w:val="00CD5919"/>
    <w:rsid w:val="00CD5E13"/>
    <w:rsid w:val="00CD5E40"/>
    <w:rsid w:val="00CD5FB6"/>
    <w:rsid w:val="00CE14FA"/>
    <w:rsid w:val="00CE17B9"/>
    <w:rsid w:val="00CE229F"/>
    <w:rsid w:val="00CE45F9"/>
    <w:rsid w:val="00CE475D"/>
    <w:rsid w:val="00CE746F"/>
    <w:rsid w:val="00CF513C"/>
    <w:rsid w:val="00CF68A9"/>
    <w:rsid w:val="00CF73CA"/>
    <w:rsid w:val="00D0253D"/>
    <w:rsid w:val="00D03ECF"/>
    <w:rsid w:val="00D046B9"/>
    <w:rsid w:val="00D04A67"/>
    <w:rsid w:val="00D05BF7"/>
    <w:rsid w:val="00D1023D"/>
    <w:rsid w:val="00D1043E"/>
    <w:rsid w:val="00D1187E"/>
    <w:rsid w:val="00D1523C"/>
    <w:rsid w:val="00D17066"/>
    <w:rsid w:val="00D22216"/>
    <w:rsid w:val="00D22C7E"/>
    <w:rsid w:val="00D239A7"/>
    <w:rsid w:val="00D263C3"/>
    <w:rsid w:val="00D30FD7"/>
    <w:rsid w:val="00D31A26"/>
    <w:rsid w:val="00D35F05"/>
    <w:rsid w:val="00D37C22"/>
    <w:rsid w:val="00D4017C"/>
    <w:rsid w:val="00D4159A"/>
    <w:rsid w:val="00D4342C"/>
    <w:rsid w:val="00D43AAB"/>
    <w:rsid w:val="00D451A7"/>
    <w:rsid w:val="00D458C1"/>
    <w:rsid w:val="00D50E8B"/>
    <w:rsid w:val="00D51069"/>
    <w:rsid w:val="00D512AF"/>
    <w:rsid w:val="00D51889"/>
    <w:rsid w:val="00D51E12"/>
    <w:rsid w:val="00D52D5E"/>
    <w:rsid w:val="00D53C43"/>
    <w:rsid w:val="00D5614B"/>
    <w:rsid w:val="00D56CB0"/>
    <w:rsid w:val="00D56CE5"/>
    <w:rsid w:val="00D56EB1"/>
    <w:rsid w:val="00D573BC"/>
    <w:rsid w:val="00D60A54"/>
    <w:rsid w:val="00D61934"/>
    <w:rsid w:val="00D6329F"/>
    <w:rsid w:val="00D66E5B"/>
    <w:rsid w:val="00D709C9"/>
    <w:rsid w:val="00D70BD0"/>
    <w:rsid w:val="00D72B56"/>
    <w:rsid w:val="00D737C2"/>
    <w:rsid w:val="00D73CDE"/>
    <w:rsid w:val="00D73EE0"/>
    <w:rsid w:val="00D7474C"/>
    <w:rsid w:val="00D75DD7"/>
    <w:rsid w:val="00D7774E"/>
    <w:rsid w:val="00D77813"/>
    <w:rsid w:val="00D8097C"/>
    <w:rsid w:val="00D80B82"/>
    <w:rsid w:val="00D8281A"/>
    <w:rsid w:val="00D83781"/>
    <w:rsid w:val="00D866F5"/>
    <w:rsid w:val="00D878F3"/>
    <w:rsid w:val="00D963DF"/>
    <w:rsid w:val="00D96714"/>
    <w:rsid w:val="00DA11F5"/>
    <w:rsid w:val="00DA1910"/>
    <w:rsid w:val="00DA2F69"/>
    <w:rsid w:val="00DA4B79"/>
    <w:rsid w:val="00DB247A"/>
    <w:rsid w:val="00DB27AE"/>
    <w:rsid w:val="00DB290C"/>
    <w:rsid w:val="00DB3A46"/>
    <w:rsid w:val="00DB7965"/>
    <w:rsid w:val="00DC04D5"/>
    <w:rsid w:val="00DC1B37"/>
    <w:rsid w:val="00DC361C"/>
    <w:rsid w:val="00DC3E0C"/>
    <w:rsid w:val="00DC6380"/>
    <w:rsid w:val="00DD1FA1"/>
    <w:rsid w:val="00DD2796"/>
    <w:rsid w:val="00DD2D11"/>
    <w:rsid w:val="00DD3FD1"/>
    <w:rsid w:val="00DD4E58"/>
    <w:rsid w:val="00DD6820"/>
    <w:rsid w:val="00DD6B57"/>
    <w:rsid w:val="00DD7BDD"/>
    <w:rsid w:val="00DE296F"/>
    <w:rsid w:val="00DE3059"/>
    <w:rsid w:val="00DE356E"/>
    <w:rsid w:val="00DE4F1B"/>
    <w:rsid w:val="00DE56B7"/>
    <w:rsid w:val="00DE59C7"/>
    <w:rsid w:val="00DE6601"/>
    <w:rsid w:val="00DE7545"/>
    <w:rsid w:val="00DF0A8E"/>
    <w:rsid w:val="00DF1018"/>
    <w:rsid w:val="00DF4C76"/>
    <w:rsid w:val="00DF5DF4"/>
    <w:rsid w:val="00DF7172"/>
    <w:rsid w:val="00E01B18"/>
    <w:rsid w:val="00E07F35"/>
    <w:rsid w:val="00E107A5"/>
    <w:rsid w:val="00E11754"/>
    <w:rsid w:val="00E11DAD"/>
    <w:rsid w:val="00E14283"/>
    <w:rsid w:val="00E147C2"/>
    <w:rsid w:val="00E15029"/>
    <w:rsid w:val="00E16700"/>
    <w:rsid w:val="00E17F9E"/>
    <w:rsid w:val="00E23417"/>
    <w:rsid w:val="00E3072C"/>
    <w:rsid w:val="00E319B3"/>
    <w:rsid w:val="00E31E4C"/>
    <w:rsid w:val="00E33058"/>
    <w:rsid w:val="00E34E5A"/>
    <w:rsid w:val="00E37EFD"/>
    <w:rsid w:val="00E406AD"/>
    <w:rsid w:val="00E42CF0"/>
    <w:rsid w:val="00E435D0"/>
    <w:rsid w:val="00E439A1"/>
    <w:rsid w:val="00E44A78"/>
    <w:rsid w:val="00E44FC4"/>
    <w:rsid w:val="00E514FF"/>
    <w:rsid w:val="00E54617"/>
    <w:rsid w:val="00E56E73"/>
    <w:rsid w:val="00E575CB"/>
    <w:rsid w:val="00E61DD0"/>
    <w:rsid w:val="00E625AB"/>
    <w:rsid w:val="00E707E9"/>
    <w:rsid w:val="00E722A8"/>
    <w:rsid w:val="00E74630"/>
    <w:rsid w:val="00E80505"/>
    <w:rsid w:val="00E82DDC"/>
    <w:rsid w:val="00E8490E"/>
    <w:rsid w:val="00E84BCC"/>
    <w:rsid w:val="00E91739"/>
    <w:rsid w:val="00E92D32"/>
    <w:rsid w:val="00E92E8E"/>
    <w:rsid w:val="00E95996"/>
    <w:rsid w:val="00E9724A"/>
    <w:rsid w:val="00E9770F"/>
    <w:rsid w:val="00EA0E3C"/>
    <w:rsid w:val="00EA2E70"/>
    <w:rsid w:val="00EA4889"/>
    <w:rsid w:val="00EA75EA"/>
    <w:rsid w:val="00EA79B3"/>
    <w:rsid w:val="00EA7D87"/>
    <w:rsid w:val="00EA7FE8"/>
    <w:rsid w:val="00EB05DB"/>
    <w:rsid w:val="00EB1839"/>
    <w:rsid w:val="00EB276C"/>
    <w:rsid w:val="00EB3050"/>
    <w:rsid w:val="00EB4264"/>
    <w:rsid w:val="00EB608B"/>
    <w:rsid w:val="00EB74EB"/>
    <w:rsid w:val="00EC052D"/>
    <w:rsid w:val="00EC1064"/>
    <w:rsid w:val="00EC12BB"/>
    <w:rsid w:val="00EC1569"/>
    <w:rsid w:val="00EC182C"/>
    <w:rsid w:val="00EC189A"/>
    <w:rsid w:val="00EC236F"/>
    <w:rsid w:val="00EC3823"/>
    <w:rsid w:val="00EC5D50"/>
    <w:rsid w:val="00ED0DEE"/>
    <w:rsid w:val="00ED2BF4"/>
    <w:rsid w:val="00EE203E"/>
    <w:rsid w:val="00EE37F4"/>
    <w:rsid w:val="00EE6FBC"/>
    <w:rsid w:val="00EE72FC"/>
    <w:rsid w:val="00EF01A8"/>
    <w:rsid w:val="00EF4366"/>
    <w:rsid w:val="00EF5334"/>
    <w:rsid w:val="00EF69DC"/>
    <w:rsid w:val="00F00D94"/>
    <w:rsid w:val="00F010A0"/>
    <w:rsid w:val="00F017CC"/>
    <w:rsid w:val="00F01A56"/>
    <w:rsid w:val="00F0331D"/>
    <w:rsid w:val="00F04D5F"/>
    <w:rsid w:val="00F05ABE"/>
    <w:rsid w:val="00F07652"/>
    <w:rsid w:val="00F10FBB"/>
    <w:rsid w:val="00F11E31"/>
    <w:rsid w:val="00F11EA8"/>
    <w:rsid w:val="00F147EE"/>
    <w:rsid w:val="00F164FE"/>
    <w:rsid w:val="00F175EE"/>
    <w:rsid w:val="00F17AD1"/>
    <w:rsid w:val="00F20B68"/>
    <w:rsid w:val="00F2443A"/>
    <w:rsid w:val="00F259A3"/>
    <w:rsid w:val="00F27552"/>
    <w:rsid w:val="00F31437"/>
    <w:rsid w:val="00F3187E"/>
    <w:rsid w:val="00F326C7"/>
    <w:rsid w:val="00F353E2"/>
    <w:rsid w:val="00F37173"/>
    <w:rsid w:val="00F400D7"/>
    <w:rsid w:val="00F4300D"/>
    <w:rsid w:val="00F43836"/>
    <w:rsid w:val="00F44EAC"/>
    <w:rsid w:val="00F50CF0"/>
    <w:rsid w:val="00F50E04"/>
    <w:rsid w:val="00F55524"/>
    <w:rsid w:val="00F62113"/>
    <w:rsid w:val="00F64BE2"/>
    <w:rsid w:val="00F64C7C"/>
    <w:rsid w:val="00F65B99"/>
    <w:rsid w:val="00F66AAA"/>
    <w:rsid w:val="00F67CDF"/>
    <w:rsid w:val="00F707FB"/>
    <w:rsid w:val="00F708E9"/>
    <w:rsid w:val="00F70ECF"/>
    <w:rsid w:val="00F71418"/>
    <w:rsid w:val="00F75E62"/>
    <w:rsid w:val="00F76105"/>
    <w:rsid w:val="00F76E1C"/>
    <w:rsid w:val="00F77D53"/>
    <w:rsid w:val="00F81372"/>
    <w:rsid w:val="00F82372"/>
    <w:rsid w:val="00F82703"/>
    <w:rsid w:val="00F83C32"/>
    <w:rsid w:val="00F86229"/>
    <w:rsid w:val="00F87217"/>
    <w:rsid w:val="00F87533"/>
    <w:rsid w:val="00F90255"/>
    <w:rsid w:val="00F91208"/>
    <w:rsid w:val="00F95480"/>
    <w:rsid w:val="00F95541"/>
    <w:rsid w:val="00F965CF"/>
    <w:rsid w:val="00FA0E32"/>
    <w:rsid w:val="00FA2219"/>
    <w:rsid w:val="00FA2A77"/>
    <w:rsid w:val="00FA2DF5"/>
    <w:rsid w:val="00FA5405"/>
    <w:rsid w:val="00FA624D"/>
    <w:rsid w:val="00FA7DC7"/>
    <w:rsid w:val="00FA7EE3"/>
    <w:rsid w:val="00FB3216"/>
    <w:rsid w:val="00FB65E0"/>
    <w:rsid w:val="00FB65F2"/>
    <w:rsid w:val="00FC068B"/>
    <w:rsid w:val="00FC0CD9"/>
    <w:rsid w:val="00FC22E3"/>
    <w:rsid w:val="00FC41DF"/>
    <w:rsid w:val="00FC5917"/>
    <w:rsid w:val="00FC5BF9"/>
    <w:rsid w:val="00FC67D9"/>
    <w:rsid w:val="00FC699E"/>
    <w:rsid w:val="00FC7667"/>
    <w:rsid w:val="00FD16D2"/>
    <w:rsid w:val="00FD2774"/>
    <w:rsid w:val="00FD3DF9"/>
    <w:rsid w:val="00FD4DFE"/>
    <w:rsid w:val="00FD5837"/>
    <w:rsid w:val="00FE010D"/>
    <w:rsid w:val="00FE091B"/>
    <w:rsid w:val="00FE4D01"/>
    <w:rsid w:val="00FF0161"/>
    <w:rsid w:val="00FF20A4"/>
    <w:rsid w:val="00FF6E35"/>
    <w:rsid w:val="00FF7FA3"/>
    <w:rsid w:val="018CB7CD"/>
    <w:rsid w:val="01F02E11"/>
    <w:rsid w:val="01F7143C"/>
    <w:rsid w:val="025B8C7C"/>
    <w:rsid w:val="0296062F"/>
    <w:rsid w:val="02FF6A14"/>
    <w:rsid w:val="03DB3469"/>
    <w:rsid w:val="03FDE8A2"/>
    <w:rsid w:val="042AC262"/>
    <w:rsid w:val="0439B1E1"/>
    <w:rsid w:val="0491119C"/>
    <w:rsid w:val="04FDF8DE"/>
    <w:rsid w:val="052E1D86"/>
    <w:rsid w:val="053EB5FD"/>
    <w:rsid w:val="057A9C59"/>
    <w:rsid w:val="05FB1AC7"/>
    <w:rsid w:val="063ABD30"/>
    <w:rsid w:val="06C2FD7B"/>
    <w:rsid w:val="06D96351"/>
    <w:rsid w:val="06EC0EB8"/>
    <w:rsid w:val="07B0EC8F"/>
    <w:rsid w:val="082A8C5A"/>
    <w:rsid w:val="08BC55B0"/>
    <w:rsid w:val="09821E07"/>
    <w:rsid w:val="0A0EFFFF"/>
    <w:rsid w:val="0A842774"/>
    <w:rsid w:val="0A8AA6B0"/>
    <w:rsid w:val="0AAAFDD8"/>
    <w:rsid w:val="0AD7FB5A"/>
    <w:rsid w:val="0AFD334C"/>
    <w:rsid w:val="0B2140CA"/>
    <w:rsid w:val="0BE8E1BE"/>
    <w:rsid w:val="0C15DF40"/>
    <w:rsid w:val="0CB1D23E"/>
    <w:rsid w:val="0CF36453"/>
    <w:rsid w:val="0D527769"/>
    <w:rsid w:val="0DCA0DB5"/>
    <w:rsid w:val="0DF5D16C"/>
    <w:rsid w:val="0E091057"/>
    <w:rsid w:val="0E980EE3"/>
    <w:rsid w:val="0F575A0C"/>
    <w:rsid w:val="0F5EEDAA"/>
    <w:rsid w:val="10545547"/>
    <w:rsid w:val="10E1C87F"/>
    <w:rsid w:val="1104503B"/>
    <w:rsid w:val="1142E187"/>
    <w:rsid w:val="11628367"/>
    <w:rsid w:val="131091B8"/>
    <w:rsid w:val="13996127"/>
    <w:rsid w:val="14107DCB"/>
    <w:rsid w:val="148FF8BA"/>
    <w:rsid w:val="15704412"/>
    <w:rsid w:val="15F43256"/>
    <w:rsid w:val="16D0B6FB"/>
    <w:rsid w:val="1798A2B6"/>
    <w:rsid w:val="17A8BD2B"/>
    <w:rsid w:val="182DCFA8"/>
    <w:rsid w:val="18AD1352"/>
    <w:rsid w:val="19500A03"/>
    <w:rsid w:val="1A5FAD88"/>
    <w:rsid w:val="1B5007AE"/>
    <w:rsid w:val="1B897A42"/>
    <w:rsid w:val="1BDC0A26"/>
    <w:rsid w:val="1C1A5EEB"/>
    <w:rsid w:val="1C87C476"/>
    <w:rsid w:val="1D7A7F74"/>
    <w:rsid w:val="1E16EBF4"/>
    <w:rsid w:val="1FD6F9FE"/>
    <w:rsid w:val="2080D9D8"/>
    <w:rsid w:val="20A0A201"/>
    <w:rsid w:val="20B25254"/>
    <w:rsid w:val="214B837E"/>
    <w:rsid w:val="2153ADB5"/>
    <w:rsid w:val="2172E28C"/>
    <w:rsid w:val="21F29FA8"/>
    <w:rsid w:val="223C7262"/>
    <w:rsid w:val="22AF8E99"/>
    <w:rsid w:val="233A00ED"/>
    <w:rsid w:val="234F25BE"/>
    <w:rsid w:val="23CD0C13"/>
    <w:rsid w:val="24135B1F"/>
    <w:rsid w:val="2475AA3D"/>
    <w:rsid w:val="2491FCF3"/>
    <w:rsid w:val="24CFE0BF"/>
    <w:rsid w:val="25E81C36"/>
    <w:rsid w:val="264C5A14"/>
    <w:rsid w:val="27230127"/>
    <w:rsid w:val="2754EA4E"/>
    <w:rsid w:val="2774CC9E"/>
    <w:rsid w:val="28C55D4D"/>
    <w:rsid w:val="28CCB260"/>
    <w:rsid w:val="29636CFD"/>
    <w:rsid w:val="29A7FDB2"/>
    <w:rsid w:val="2ABD7359"/>
    <w:rsid w:val="2B9BF0E1"/>
    <w:rsid w:val="2C899E7A"/>
    <w:rsid w:val="2CC22EEE"/>
    <w:rsid w:val="2D146E42"/>
    <w:rsid w:val="2DE20AE1"/>
    <w:rsid w:val="2E2A1161"/>
    <w:rsid w:val="2F3AF7C5"/>
    <w:rsid w:val="2F67F547"/>
    <w:rsid w:val="2F7170D7"/>
    <w:rsid w:val="2F8525A2"/>
    <w:rsid w:val="2FE6F653"/>
    <w:rsid w:val="30116476"/>
    <w:rsid w:val="3018B989"/>
    <w:rsid w:val="319A14BA"/>
    <w:rsid w:val="31BAE1BD"/>
    <w:rsid w:val="3247799A"/>
    <w:rsid w:val="32B103B1"/>
    <w:rsid w:val="33307453"/>
    <w:rsid w:val="33A1F863"/>
    <w:rsid w:val="33BB20C0"/>
    <w:rsid w:val="33DD2BB6"/>
    <w:rsid w:val="34024D7D"/>
    <w:rsid w:val="3406E104"/>
    <w:rsid w:val="3428158D"/>
    <w:rsid w:val="3433DE86"/>
    <w:rsid w:val="3556F121"/>
    <w:rsid w:val="359B41AE"/>
    <w:rsid w:val="369E2284"/>
    <w:rsid w:val="3716DB17"/>
    <w:rsid w:val="379336C7"/>
    <w:rsid w:val="3800E97C"/>
    <w:rsid w:val="384DB7C6"/>
    <w:rsid w:val="384EDC42"/>
    <w:rsid w:val="38FFC7C5"/>
    <w:rsid w:val="39126B14"/>
    <w:rsid w:val="394AD476"/>
    <w:rsid w:val="397E1F7B"/>
    <w:rsid w:val="397F3AC4"/>
    <w:rsid w:val="39AAE654"/>
    <w:rsid w:val="39E1D80A"/>
    <w:rsid w:val="3AACA127"/>
    <w:rsid w:val="3AFD0F54"/>
    <w:rsid w:val="3B126A9F"/>
    <w:rsid w:val="3B7FE5AF"/>
    <w:rsid w:val="3C1D927A"/>
    <w:rsid w:val="3CB40B14"/>
    <w:rsid w:val="3ED6704A"/>
    <w:rsid w:val="3F4AEC36"/>
    <w:rsid w:val="3F738EF4"/>
    <w:rsid w:val="40154590"/>
    <w:rsid w:val="40CA26A4"/>
    <w:rsid w:val="41B446E8"/>
    <w:rsid w:val="420AB2E9"/>
    <w:rsid w:val="42A04296"/>
    <w:rsid w:val="43291005"/>
    <w:rsid w:val="434CE652"/>
    <w:rsid w:val="436CA9F0"/>
    <w:rsid w:val="43C51416"/>
    <w:rsid w:val="446E48FE"/>
    <w:rsid w:val="447436A9"/>
    <w:rsid w:val="447D14BB"/>
    <w:rsid w:val="453572D5"/>
    <w:rsid w:val="4544B5AF"/>
    <w:rsid w:val="45629134"/>
    <w:rsid w:val="460DA62F"/>
    <w:rsid w:val="46481FE2"/>
    <w:rsid w:val="466836BA"/>
    <w:rsid w:val="471E8C93"/>
    <w:rsid w:val="47DA845A"/>
    <w:rsid w:val="4852052C"/>
    <w:rsid w:val="48BDF7A1"/>
    <w:rsid w:val="493A323D"/>
    <w:rsid w:val="49A3322E"/>
    <w:rsid w:val="4A3E1741"/>
    <w:rsid w:val="4A6A2316"/>
    <w:rsid w:val="4B183D66"/>
    <w:rsid w:val="4BE6BE8A"/>
    <w:rsid w:val="4D228C66"/>
    <w:rsid w:val="4E93E9B6"/>
    <w:rsid w:val="4F2ABA38"/>
    <w:rsid w:val="4FD5696A"/>
    <w:rsid w:val="50446AA0"/>
    <w:rsid w:val="5078BD35"/>
    <w:rsid w:val="51C56CD8"/>
    <w:rsid w:val="52529419"/>
    <w:rsid w:val="528D0DCC"/>
    <w:rsid w:val="52AB3AE1"/>
    <w:rsid w:val="52BA0B4E"/>
    <w:rsid w:val="52C74078"/>
    <w:rsid w:val="530D0A2C"/>
    <w:rsid w:val="5334DDEB"/>
    <w:rsid w:val="5495B446"/>
    <w:rsid w:val="54A8DA8D"/>
    <w:rsid w:val="553D5161"/>
    <w:rsid w:val="55E39867"/>
    <w:rsid w:val="5644AAEE"/>
    <w:rsid w:val="56DE0E1A"/>
    <w:rsid w:val="56F42244"/>
    <w:rsid w:val="5785F48D"/>
    <w:rsid w:val="57F9A1AD"/>
    <w:rsid w:val="5820C0BB"/>
    <w:rsid w:val="5820CEF1"/>
    <w:rsid w:val="594633F6"/>
    <w:rsid w:val="5A108FB3"/>
    <w:rsid w:val="5A12BF46"/>
    <w:rsid w:val="5A43153E"/>
    <w:rsid w:val="5B9FCDCD"/>
    <w:rsid w:val="5C3F29E5"/>
    <w:rsid w:val="5C42BBCF"/>
    <w:rsid w:val="5C51DDCC"/>
    <w:rsid w:val="5C5C5B08"/>
    <w:rsid w:val="5C89588A"/>
    <w:rsid w:val="5C895B10"/>
    <w:rsid w:val="5DBEABE4"/>
    <w:rsid w:val="5F179070"/>
    <w:rsid w:val="5FAD540C"/>
    <w:rsid w:val="5FED5F56"/>
    <w:rsid w:val="60ABD29A"/>
    <w:rsid w:val="6102FF5D"/>
    <w:rsid w:val="611BFA01"/>
    <w:rsid w:val="617E5451"/>
    <w:rsid w:val="62288651"/>
    <w:rsid w:val="623420B2"/>
    <w:rsid w:val="628A490D"/>
    <w:rsid w:val="62907544"/>
    <w:rsid w:val="62B69B72"/>
    <w:rsid w:val="62C77844"/>
    <w:rsid w:val="62E7D26A"/>
    <w:rsid w:val="632B1B7C"/>
    <w:rsid w:val="64976EB5"/>
    <w:rsid w:val="6570DAD6"/>
    <w:rsid w:val="659AEF85"/>
    <w:rsid w:val="65D67080"/>
    <w:rsid w:val="664E9E44"/>
    <w:rsid w:val="6662BC3E"/>
    <w:rsid w:val="667B260C"/>
    <w:rsid w:val="6758E7D0"/>
    <w:rsid w:val="686E89AE"/>
    <w:rsid w:val="6896CBB6"/>
    <w:rsid w:val="6A006161"/>
    <w:rsid w:val="6A43A518"/>
    <w:rsid w:val="6A4890BD"/>
    <w:rsid w:val="6A70A29A"/>
    <w:rsid w:val="6A86326D"/>
    <w:rsid w:val="6AC3B389"/>
    <w:rsid w:val="6C7CA34D"/>
    <w:rsid w:val="6CD8DEDF"/>
    <w:rsid w:val="6D51CF16"/>
    <w:rsid w:val="6ED8D20C"/>
    <w:rsid w:val="6F575BC6"/>
    <w:rsid w:val="70436413"/>
    <w:rsid w:val="7111CF36"/>
    <w:rsid w:val="71155C42"/>
    <w:rsid w:val="713B9F0B"/>
    <w:rsid w:val="71950349"/>
    <w:rsid w:val="7224B1CE"/>
    <w:rsid w:val="727CD03F"/>
    <w:rsid w:val="7458B16F"/>
    <w:rsid w:val="7485FFCB"/>
    <w:rsid w:val="74DBB9A0"/>
    <w:rsid w:val="75A4AA20"/>
    <w:rsid w:val="75DF23D3"/>
    <w:rsid w:val="76246042"/>
    <w:rsid w:val="76889302"/>
    <w:rsid w:val="77905231"/>
    <w:rsid w:val="77FDF1A6"/>
    <w:rsid w:val="7832443B"/>
    <w:rsid w:val="7894530D"/>
    <w:rsid w:val="78D1362E"/>
    <w:rsid w:val="78EF4AFF"/>
    <w:rsid w:val="79D4A061"/>
    <w:rsid w:val="7A019DE3"/>
    <w:rsid w:val="7A88899C"/>
    <w:rsid w:val="7C6D856D"/>
    <w:rsid w:val="7CE48E41"/>
    <w:rsid w:val="7D62A5BA"/>
    <w:rsid w:val="7E9AABBA"/>
    <w:rsid w:val="7F697A20"/>
    <w:rsid w:val="7FBC056D"/>
    <w:rsid w:val="7FD749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DAB19"/>
  <w15:chartTrackingRefBased/>
  <w15:docId w15:val="{C2F7ED9A-5269-4242-8FBE-DF49400B9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6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825"/>
    <w:pPr>
      <w:ind w:left="720"/>
      <w:contextualSpacing/>
    </w:pPr>
  </w:style>
  <w:style w:type="character" w:styleId="CommentReference">
    <w:name w:val="annotation reference"/>
    <w:basedOn w:val="DefaultParagraphFont"/>
    <w:uiPriority w:val="99"/>
    <w:semiHidden/>
    <w:unhideWhenUsed/>
    <w:rsid w:val="00BB06AE"/>
    <w:rPr>
      <w:sz w:val="16"/>
      <w:szCs w:val="16"/>
    </w:rPr>
  </w:style>
  <w:style w:type="paragraph" w:styleId="CommentText">
    <w:name w:val="annotation text"/>
    <w:basedOn w:val="Normal"/>
    <w:link w:val="CommentTextChar"/>
    <w:uiPriority w:val="99"/>
    <w:unhideWhenUsed/>
    <w:rsid w:val="00BB06AE"/>
    <w:pPr>
      <w:spacing w:line="240" w:lineRule="auto"/>
    </w:pPr>
    <w:rPr>
      <w:sz w:val="20"/>
      <w:szCs w:val="20"/>
    </w:rPr>
  </w:style>
  <w:style w:type="character" w:customStyle="1" w:styleId="CommentTextChar">
    <w:name w:val="Comment Text Char"/>
    <w:basedOn w:val="DefaultParagraphFont"/>
    <w:link w:val="CommentText"/>
    <w:uiPriority w:val="99"/>
    <w:rsid w:val="00BB06AE"/>
    <w:rPr>
      <w:sz w:val="20"/>
      <w:szCs w:val="20"/>
    </w:rPr>
  </w:style>
  <w:style w:type="paragraph" w:styleId="CommentSubject">
    <w:name w:val="annotation subject"/>
    <w:basedOn w:val="CommentText"/>
    <w:next w:val="CommentText"/>
    <w:link w:val="CommentSubjectChar"/>
    <w:uiPriority w:val="99"/>
    <w:semiHidden/>
    <w:unhideWhenUsed/>
    <w:rsid w:val="00BB06AE"/>
    <w:rPr>
      <w:b/>
      <w:bCs/>
    </w:rPr>
  </w:style>
  <w:style w:type="character" w:customStyle="1" w:styleId="CommentSubjectChar">
    <w:name w:val="Comment Subject Char"/>
    <w:basedOn w:val="CommentTextChar"/>
    <w:link w:val="CommentSubject"/>
    <w:uiPriority w:val="99"/>
    <w:semiHidden/>
    <w:rsid w:val="00BB06AE"/>
    <w:rPr>
      <w:b/>
      <w:bCs/>
      <w:sz w:val="20"/>
      <w:szCs w:val="20"/>
    </w:rPr>
  </w:style>
  <w:style w:type="character" w:styleId="Hyperlink">
    <w:name w:val="Hyperlink"/>
    <w:basedOn w:val="DefaultParagraphFont"/>
    <w:uiPriority w:val="99"/>
    <w:unhideWhenUsed/>
    <w:rsid w:val="00BB06AE"/>
    <w:rPr>
      <w:color w:val="0563C1" w:themeColor="hyperlink"/>
      <w:u w:val="single"/>
    </w:rPr>
  </w:style>
  <w:style w:type="character" w:styleId="UnresolvedMention">
    <w:name w:val="Unresolved Mention"/>
    <w:basedOn w:val="DefaultParagraphFont"/>
    <w:uiPriority w:val="99"/>
    <w:semiHidden/>
    <w:unhideWhenUsed/>
    <w:rsid w:val="00BB06AE"/>
    <w:rPr>
      <w:color w:val="605E5C"/>
      <w:shd w:val="clear" w:color="auto" w:fill="E1DFDD"/>
    </w:rPr>
  </w:style>
  <w:style w:type="paragraph" w:styleId="FootnoteText">
    <w:name w:val="footnote text"/>
    <w:basedOn w:val="Normal"/>
    <w:link w:val="FootnoteTextChar"/>
    <w:uiPriority w:val="99"/>
    <w:unhideWhenUsed/>
    <w:rsid w:val="00032217"/>
    <w:pPr>
      <w:spacing w:after="0" w:line="240" w:lineRule="auto"/>
    </w:pPr>
    <w:rPr>
      <w:rFonts w:ascii="MetaPro-Norm" w:hAnsi="MetaPro-Norm"/>
      <w:sz w:val="16"/>
      <w:szCs w:val="20"/>
    </w:rPr>
  </w:style>
  <w:style w:type="character" w:customStyle="1" w:styleId="FootnoteTextChar">
    <w:name w:val="Footnote Text Char"/>
    <w:basedOn w:val="DefaultParagraphFont"/>
    <w:link w:val="FootnoteText"/>
    <w:uiPriority w:val="99"/>
    <w:rsid w:val="00032217"/>
    <w:rPr>
      <w:rFonts w:ascii="MetaPro-Norm" w:hAnsi="MetaPro-Norm"/>
      <w:sz w:val="16"/>
      <w:szCs w:val="20"/>
    </w:rPr>
  </w:style>
  <w:style w:type="character" w:styleId="FootnoteReference">
    <w:name w:val="footnote reference"/>
    <w:basedOn w:val="DefaultParagraphFont"/>
    <w:uiPriority w:val="99"/>
    <w:unhideWhenUsed/>
    <w:rsid w:val="00032217"/>
    <w:rPr>
      <w:rFonts w:ascii="MetaPro-Medi" w:hAnsi="MetaPro-Medi"/>
      <w:sz w:val="22"/>
      <w:vertAlign w:val="superscript"/>
    </w:rPr>
  </w:style>
  <w:style w:type="character" w:styleId="FollowedHyperlink">
    <w:name w:val="FollowedHyperlink"/>
    <w:basedOn w:val="DefaultParagraphFont"/>
    <w:uiPriority w:val="99"/>
    <w:semiHidden/>
    <w:unhideWhenUsed/>
    <w:rsid w:val="0034767B"/>
    <w:rPr>
      <w:color w:val="954F72" w:themeColor="followedHyperlink"/>
      <w:u w:val="single"/>
    </w:rPr>
  </w:style>
  <w:style w:type="character" w:customStyle="1" w:styleId="Heading1Char">
    <w:name w:val="Heading 1 Char"/>
    <w:basedOn w:val="DefaultParagraphFont"/>
    <w:link w:val="Heading1"/>
    <w:uiPriority w:val="9"/>
    <w:rsid w:val="000616E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314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437"/>
  </w:style>
  <w:style w:type="paragraph" w:styleId="Footer">
    <w:name w:val="footer"/>
    <w:basedOn w:val="Normal"/>
    <w:link w:val="FooterChar"/>
    <w:uiPriority w:val="99"/>
    <w:unhideWhenUsed/>
    <w:rsid w:val="00F314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437"/>
  </w:style>
  <w:style w:type="paragraph" w:styleId="Revision">
    <w:name w:val="Revision"/>
    <w:hidden/>
    <w:uiPriority w:val="99"/>
    <w:semiHidden/>
    <w:rsid w:val="006E1028"/>
    <w:pPr>
      <w:spacing w:after="0" w:line="240" w:lineRule="auto"/>
    </w:pPr>
  </w:style>
  <w:style w:type="character" w:customStyle="1" w:styleId="cf01">
    <w:name w:val="cf01"/>
    <w:basedOn w:val="DefaultParagraphFont"/>
    <w:rsid w:val="00C51023"/>
    <w:rPr>
      <w:rFonts w:ascii="Segoe UI" w:hAnsi="Segoe UI" w:cs="Segoe UI" w:hint="default"/>
      <w:sz w:val="18"/>
      <w:szCs w:val="18"/>
    </w:rPr>
  </w:style>
  <w:style w:type="character" w:styleId="Mention">
    <w:name w:val="Mention"/>
    <w:basedOn w:val="DefaultParagraphFont"/>
    <w:uiPriority w:val="99"/>
    <w:unhideWhenUsed/>
    <w:rPr>
      <w:color w:val="2B579A"/>
      <w:shd w:val="clear" w:color="auto" w:fill="E6E6E6"/>
    </w:rPr>
  </w:style>
  <w:style w:type="character" w:customStyle="1" w:styleId="eop">
    <w:name w:val="eop"/>
    <w:basedOn w:val="DefaultParagraphFont"/>
    <w:rsid w:val="005A408A"/>
  </w:style>
  <w:style w:type="paragraph" w:styleId="NormalWeb">
    <w:name w:val="Normal (Web)"/>
    <w:basedOn w:val="Normal"/>
    <w:uiPriority w:val="99"/>
    <w:semiHidden/>
    <w:unhideWhenUsed/>
    <w:rsid w:val="005E15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oltip-container">
    <w:name w:val="tooltip-container"/>
    <w:basedOn w:val="DefaultParagraphFont"/>
    <w:rsid w:val="005E1585"/>
  </w:style>
  <w:style w:type="character" w:customStyle="1" w:styleId="apple-converted-space">
    <w:name w:val="apple-converted-space"/>
    <w:basedOn w:val="DefaultParagraphFont"/>
    <w:rsid w:val="004024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17767">
      <w:bodyDiv w:val="1"/>
      <w:marLeft w:val="0"/>
      <w:marRight w:val="0"/>
      <w:marTop w:val="0"/>
      <w:marBottom w:val="0"/>
      <w:divBdr>
        <w:top w:val="none" w:sz="0" w:space="0" w:color="auto"/>
        <w:left w:val="none" w:sz="0" w:space="0" w:color="auto"/>
        <w:bottom w:val="none" w:sz="0" w:space="0" w:color="auto"/>
        <w:right w:val="none" w:sz="0" w:space="0" w:color="auto"/>
      </w:divBdr>
    </w:div>
    <w:div w:id="66851751">
      <w:bodyDiv w:val="1"/>
      <w:marLeft w:val="0"/>
      <w:marRight w:val="0"/>
      <w:marTop w:val="0"/>
      <w:marBottom w:val="0"/>
      <w:divBdr>
        <w:top w:val="none" w:sz="0" w:space="0" w:color="auto"/>
        <w:left w:val="none" w:sz="0" w:space="0" w:color="auto"/>
        <w:bottom w:val="none" w:sz="0" w:space="0" w:color="auto"/>
        <w:right w:val="none" w:sz="0" w:space="0" w:color="auto"/>
      </w:divBdr>
    </w:div>
    <w:div w:id="89013911">
      <w:bodyDiv w:val="1"/>
      <w:marLeft w:val="0"/>
      <w:marRight w:val="0"/>
      <w:marTop w:val="0"/>
      <w:marBottom w:val="0"/>
      <w:divBdr>
        <w:top w:val="none" w:sz="0" w:space="0" w:color="auto"/>
        <w:left w:val="none" w:sz="0" w:space="0" w:color="auto"/>
        <w:bottom w:val="none" w:sz="0" w:space="0" w:color="auto"/>
        <w:right w:val="none" w:sz="0" w:space="0" w:color="auto"/>
      </w:divBdr>
    </w:div>
    <w:div w:id="95709241">
      <w:bodyDiv w:val="1"/>
      <w:marLeft w:val="0"/>
      <w:marRight w:val="0"/>
      <w:marTop w:val="0"/>
      <w:marBottom w:val="0"/>
      <w:divBdr>
        <w:top w:val="none" w:sz="0" w:space="0" w:color="auto"/>
        <w:left w:val="none" w:sz="0" w:space="0" w:color="auto"/>
        <w:bottom w:val="none" w:sz="0" w:space="0" w:color="auto"/>
        <w:right w:val="none" w:sz="0" w:space="0" w:color="auto"/>
      </w:divBdr>
    </w:div>
    <w:div w:id="119304335">
      <w:bodyDiv w:val="1"/>
      <w:marLeft w:val="0"/>
      <w:marRight w:val="0"/>
      <w:marTop w:val="0"/>
      <w:marBottom w:val="0"/>
      <w:divBdr>
        <w:top w:val="none" w:sz="0" w:space="0" w:color="auto"/>
        <w:left w:val="none" w:sz="0" w:space="0" w:color="auto"/>
        <w:bottom w:val="none" w:sz="0" w:space="0" w:color="auto"/>
        <w:right w:val="none" w:sz="0" w:space="0" w:color="auto"/>
      </w:divBdr>
    </w:div>
    <w:div w:id="157112479">
      <w:bodyDiv w:val="1"/>
      <w:marLeft w:val="0"/>
      <w:marRight w:val="0"/>
      <w:marTop w:val="0"/>
      <w:marBottom w:val="0"/>
      <w:divBdr>
        <w:top w:val="none" w:sz="0" w:space="0" w:color="auto"/>
        <w:left w:val="none" w:sz="0" w:space="0" w:color="auto"/>
        <w:bottom w:val="none" w:sz="0" w:space="0" w:color="auto"/>
        <w:right w:val="none" w:sz="0" w:space="0" w:color="auto"/>
      </w:divBdr>
    </w:div>
    <w:div w:id="164978049">
      <w:bodyDiv w:val="1"/>
      <w:marLeft w:val="0"/>
      <w:marRight w:val="0"/>
      <w:marTop w:val="0"/>
      <w:marBottom w:val="0"/>
      <w:divBdr>
        <w:top w:val="none" w:sz="0" w:space="0" w:color="auto"/>
        <w:left w:val="none" w:sz="0" w:space="0" w:color="auto"/>
        <w:bottom w:val="none" w:sz="0" w:space="0" w:color="auto"/>
        <w:right w:val="none" w:sz="0" w:space="0" w:color="auto"/>
      </w:divBdr>
    </w:div>
    <w:div w:id="185758327">
      <w:bodyDiv w:val="1"/>
      <w:marLeft w:val="0"/>
      <w:marRight w:val="0"/>
      <w:marTop w:val="0"/>
      <w:marBottom w:val="0"/>
      <w:divBdr>
        <w:top w:val="none" w:sz="0" w:space="0" w:color="auto"/>
        <w:left w:val="none" w:sz="0" w:space="0" w:color="auto"/>
        <w:bottom w:val="none" w:sz="0" w:space="0" w:color="auto"/>
        <w:right w:val="none" w:sz="0" w:space="0" w:color="auto"/>
      </w:divBdr>
    </w:div>
    <w:div w:id="231934090">
      <w:bodyDiv w:val="1"/>
      <w:marLeft w:val="0"/>
      <w:marRight w:val="0"/>
      <w:marTop w:val="0"/>
      <w:marBottom w:val="0"/>
      <w:divBdr>
        <w:top w:val="none" w:sz="0" w:space="0" w:color="auto"/>
        <w:left w:val="none" w:sz="0" w:space="0" w:color="auto"/>
        <w:bottom w:val="none" w:sz="0" w:space="0" w:color="auto"/>
        <w:right w:val="none" w:sz="0" w:space="0" w:color="auto"/>
      </w:divBdr>
    </w:div>
    <w:div w:id="308749514">
      <w:bodyDiv w:val="1"/>
      <w:marLeft w:val="0"/>
      <w:marRight w:val="0"/>
      <w:marTop w:val="0"/>
      <w:marBottom w:val="0"/>
      <w:divBdr>
        <w:top w:val="none" w:sz="0" w:space="0" w:color="auto"/>
        <w:left w:val="none" w:sz="0" w:space="0" w:color="auto"/>
        <w:bottom w:val="none" w:sz="0" w:space="0" w:color="auto"/>
        <w:right w:val="none" w:sz="0" w:space="0" w:color="auto"/>
      </w:divBdr>
    </w:div>
    <w:div w:id="310328214">
      <w:bodyDiv w:val="1"/>
      <w:marLeft w:val="0"/>
      <w:marRight w:val="0"/>
      <w:marTop w:val="0"/>
      <w:marBottom w:val="0"/>
      <w:divBdr>
        <w:top w:val="none" w:sz="0" w:space="0" w:color="auto"/>
        <w:left w:val="none" w:sz="0" w:space="0" w:color="auto"/>
        <w:bottom w:val="none" w:sz="0" w:space="0" w:color="auto"/>
        <w:right w:val="none" w:sz="0" w:space="0" w:color="auto"/>
      </w:divBdr>
    </w:div>
    <w:div w:id="332413093">
      <w:bodyDiv w:val="1"/>
      <w:marLeft w:val="0"/>
      <w:marRight w:val="0"/>
      <w:marTop w:val="0"/>
      <w:marBottom w:val="0"/>
      <w:divBdr>
        <w:top w:val="none" w:sz="0" w:space="0" w:color="auto"/>
        <w:left w:val="none" w:sz="0" w:space="0" w:color="auto"/>
        <w:bottom w:val="none" w:sz="0" w:space="0" w:color="auto"/>
        <w:right w:val="none" w:sz="0" w:space="0" w:color="auto"/>
      </w:divBdr>
    </w:div>
    <w:div w:id="371536154">
      <w:bodyDiv w:val="1"/>
      <w:marLeft w:val="0"/>
      <w:marRight w:val="0"/>
      <w:marTop w:val="0"/>
      <w:marBottom w:val="0"/>
      <w:divBdr>
        <w:top w:val="none" w:sz="0" w:space="0" w:color="auto"/>
        <w:left w:val="none" w:sz="0" w:space="0" w:color="auto"/>
        <w:bottom w:val="none" w:sz="0" w:space="0" w:color="auto"/>
        <w:right w:val="none" w:sz="0" w:space="0" w:color="auto"/>
      </w:divBdr>
    </w:div>
    <w:div w:id="372579498">
      <w:bodyDiv w:val="1"/>
      <w:marLeft w:val="0"/>
      <w:marRight w:val="0"/>
      <w:marTop w:val="0"/>
      <w:marBottom w:val="0"/>
      <w:divBdr>
        <w:top w:val="none" w:sz="0" w:space="0" w:color="auto"/>
        <w:left w:val="none" w:sz="0" w:space="0" w:color="auto"/>
        <w:bottom w:val="none" w:sz="0" w:space="0" w:color="auto"/>
        <w:right w:val="none" w:sz="0" w:space="0" w:color="auto"/>
      </w:divBdr>
    </w:div>
    <w:div w:id="424886133">
      <w:bodyDiv w:val="1"/>
      <w:marLeft w:val="0"/>
      <w:marRight w:val="0"/>
      <w:marTop w:val="0"/>
      <w:marBottom w:val="0"/>
      <w:divBdr>
        <w:top w:val="none" w:sz="0" w:space="0" w:color="auto"/>
        <w:left w:val="none" w:sz="0" w:space="0" w:color="auto"/>
        <w:bottom w:val="none" w:sz="0" w:space="0" w:color="auto"/>
        <w:right w:val="none" w:sz="0" w:space="0" w:color="auto"/>
      </w:divBdr>
    </w:div>
    <w:div w:id="427695286">
      <w:bodyDiv w:val="1"/>
      <w:marLeft w:val="0"/>
      <w:marRight w:val="0"/>
      <w:marTop w:val="0"/>
      <w:marBottom w:val="0"/>
      <w:divBdr>
        <w:top w:val="none" w:sz="0" w:space="0" w:color="auto"/>
        <w:left w:val="none" w:sz="0" w:space="0" w:color="auto"/>
        <w:bottom w:val="none" w:sz="0" w:space="0" w:color="auto"/>
        <w:right w:val="none" w:sz="0" w:space="0" w:color="auto"/>
      </w:divBdr>
    </w:div>
    <w:div w:id="448622912">
      <w:bodyDiv w:val="1"/>
      <w:marLeft w:val="0"/>
      <w:marRight w:val="0"/>
      <w:marTop w:val="0"/>
      <w:marBottom w:val="0"/>
      <w:divBdr>
        <w:top w:val="none" w:sz="0" w:space="0" w:color="auto"/>
        <w:left w:val="none" w:sz="0" w:space="0" w:color="auto"/>
        <w:bottom w:val="none" w:sz="0" w:space="0" w:color="auto"/>
        <w:right w:val="none" w:sz="0" w:space="0" w:color="auto"/>
      </w:divBdr>
    </w:div>
    <w:div w:id="459495333">
      <w:bodyDiv w:val="1"/>
      <w:marLeft w:val="0"/>
      <w:marRight w:val="0"/>
      <w:marTop w:val="0"/>
      <w:marBottom w:val="0"/>
      <w:divBdr>
        <w:top w:val="none" w:sz="0" w:space="0" w:color="auto"/>
        <w:left w:val="none" w:sz="0" w:space="0" w:color="auto"/>
        <w:bottom w:val="none" w:sz="0" w:space="0" w:color="auto"/>
        <w:right w:val="none" w:sz="0" w:space="0" w:color="auto"/>
      </w:divBdr>
    </w:div>
    <w:div w:id="470947481">
      <w:bodyDiv w:val="1"/>
      <w:marLeft w:val="0"/>
      <w:marRight w:val="0"/>
      <w:marTop w:val="0"/>
      <w:marBottom w:val="0"/>
      <w:divBdr>
        <w:top w:val="none" w:sz="0" w:space="0" w:color="auto"/>
        <w:left w:val="none" w:sz="0" w:space="0" w:color="auto"/>
        <w:bottom w:val="none" w:sz="0" w:space="0" w:color="auto"/>
        <w:right w:val="none" w:sz="0" w:space="0" w:color="auto"/>
      </w:divBdr>
    </w:div>
    <w:div w:id="487941587">
      <w:bodyDiv w:val="1"/>
      <w:marLeft w:val="0"/>
      <w:marRight w:val="0"/>
      <w:marTop w:val="0"/>
      <w:marBottom w:val="0"/>
      <w:divBdr>
        <w:top w:val="none" w:sz="0" w:space="0" w:color="auto"/>
        <w:left w:val="none" w:sz="0" w:space="0" w:color="auto"/>
        <w:bottom w:val="none" w:sz="0" w:space="0" w:color="auto"/>
        <w:right w:val="none" w:sz="0" w:space="0" w:color="auto"/>
      </w:divBdr>
    </w:div>
    <w:div w:id="526797967">
      <w:bodyDiv w:val="1"/>
      <w:marLeft w:val="0"/>
      <w:marRight w:val="0"/>
      <w:marTop w:val="0"/>
      <w:marBottom w:val="0"/>
      <w:divBdr>
        <w:top w:val="none" w:sz="0" w:space="0" w:color="auto"/>
        <w:left w:val="none" w:sz="0" w:space="0" w:color="auto"/>
        <w:bottom w:val="none" w:sz="0" w:space="0" w:color="auto"/>
        <w:right w:val="none" w:sz="0" w:space="0" w:color="auto"/>
      </w:divBdr>
    </w:div>
    <w:div w:id="577516293">
      <w:bodyDiv w:val="1"/>
      <w:marLeft w:val="0"/>
      <w:marRight w:val="0"/>
      <w:marTop w:val="0"/>
      <w:marBottom w:val="0"/>
      <w:divBdr>
        <w:top w:val="none" w:sz="0" w:space="0" w:color="auto"/>
        <w:left w:val="none" w:sz="0" w:space="0" w:color="auto"/>
        <w:bottom w:val="none" w:sz="0" w:space="0" w:color="auto"/>
        <w:right w:val="none" w:sz="0" w:space="0" w:color="auto"/>
      </w:divBdr>
    </w:div>
    <w:div w:id="590238064">
      <w:bodyDiv w:val="1"/>
      <w:marLeft w:val="0"/>
      <w:marRight w:val="0"/>
      <w:marTop w:val="0"/>
      <w:marBottom w:val="0"/>
      <w:divBdr>
        <w:top w:val="none" w:sz="0" w:space="0" w:color="auto"/>
        <w:left w:val="none" w:sz="0" w:space="0" w:color="auto"/>
        <w:bottom w:val="none" w:sz="0" w:space="0" w:color="auto"/>
        <w:right w:val="none" w:sz="0" w:space="0" w:color="auto"/>
      </w:divBdr>
    </w:div>
    <w:div w:id="593635343">
      <w:bodyDiv w:val="1"/>
      <w:marLeft w:val="0"/>
      <w:marRight w:val="0"/>
      <w:marTop w:val="0"/>
      <w:marBottom w:val="0"/>
      <w:divBdr>
        <w:top w:val="none" w:sz="0" w:space="0" w:color="auto"/>
        <w:left w:val="none" w:sz="0" w:space="0" w:color="auto"/>
        <w:bottom w:val="none" w:sz="0" w:space="0" w:color="auto"/>
        <w:right w:val="none" w:sz="0" w:space="0" w:color="auto"/>
      </w:divBdr>
    </w:div>
    <w:div w:id="597445308">
      <w:bodyDiv w:val="1"/>
      <w:marLeft w:val="0"/>
      <w:marRight w:val="0"/>
      <w:marTop w:val="0"/>
      <w:marBottom w:val="0"/>
      <w:divBdr>
        <w:top w:val="none" w:sz="0" w:space="0" w:color="auto"/>
        <w:left w:val="none" w:sz="0" w:space="0" w:color="auto"/>
        <w:bottom w:val="none" w:sz="0" w:space="0" w:color="auto"/>
        <w:right w:val="none" w:sz="0" w:space="0" w:color="auto"/>
      </w:divBdr>
    </w:div>
    <w:div w:id="622425961">
      <w:bodyDiv w:val="1"/>
      <w:marLeft w:val="0"/>
      <w:marRight w:val="0"/>
      <w:marTop w:val="0"/>
      <w:marBottom w:val="0"/>
      <w:divBdr>
        <w:top w:val="none" w:sz="0" w:space="0" w:color="auto"/>
        <w:left w:val="none" w:sz="0" w:space="0" w:color="auto"/>
        <w:bottom w:val="none" w:sz="0" w:space="0" w:color="auto"/>
        <w:right w:val="none" w:sz="0" w:space="0" w:color="auto"/>
      </w:divBdr>
    </w:div>
    <w:div w:id="651255656">
      <w:bodyDiv w:val="1"/>
      <w:marLeft w:val="0"/>
      <w:marRight w:val="0"/>
      <w:marTop w:val="0"/>
      <w:marBottom w:val="0"/>
      <w:divBdr>
        <w:top w:val="none" w:sz="0" w:space="0" w:color="auto"/>
        <w:left w:val="none" w:sz="0" w:space="0" w:color="auto"/>
        <w:bottom w:val="none" w:sz="0" w:space="0" w:color="auto"/>
        <w:right w:val="none" w:sz="0" w:space="0" w:color="auto"/>
      </w:divBdr>
    </w:div>
    <w:div w:id="684408399">
      <w:bodyDiv w:val="1"/>
      <w:marLeft w:val="0"/>
      <w:marRight w:val="0"/>
      <w:marTop w:val="0"/>
      <w:marBottom w:val="0"/>
      <w:divBdr>
        <w:top w:val="none" w:sz="0" w:space="0" w:color="auto"/>
        <w:left w:val="none" w:sz="0" w:space="0" w:color="auto"/>
        <w:bottom w:val="none" w:sz="0" w:space="0" w:color="auto"/>
        <w:right w:val="none" w:sz="0" w:space="0" w:color="auto"/>
      </w:divBdr>
    </w:div>
    <w:div w:id="703142964">
      <w:bodyDiv w:val="1"/>
      <w:marLeft w:val="0"/>
      <w:marRight w:val="0"/>
      <w:marTop w:val="0"/>
      <w:marBottom w:val="0"/>
      <w:divBdr>
        <w:top w:val="none" w:sz="0" w:space="0" w:color="auto"/>
        <w:left w:val="none" w:sz="0" w:space="0" w:color="auto"/>
        <w:bottom w:val="none" w:sz="0" w:space="0" w:color="auto"/>
        <w:right w:val="none" w:sz="0" w:space="0" w:color="auto"/>
      </w:divBdr>
    </w:div>
    <w:div w:id="723061484">
      <w:bodyDiv w:val="1"/>
      <w:marLeft w:val="0"/>
      <w:marRight w:val="0"/>
      <w:marTop w:val="0"/>
      <w:marBottom w:val="0"/>
      <w:divBdr>
        <w:top w:val="none" w:sz="0" w:space="0" w:color="auto"/>
        <w:left w:val="none" w:sz="0" w:space="0" w:color="auto"/>
        <w:bottom w:val="none" w:sz="0" w:space="0" w:color="auto"/>
        <w:right w:val="none" w:sz="0" w:space="0" w:color="auto"/>
      </w:divBdr>
    </w:div>
    <w:div w:id="739254592">
      <w:bodyDiv w:val="1"/>
      <w:marLeft w:val="0"/>
      <w:marRight w:val="0"/>
      <w:marTop w:val="0"/>
      <w:marBottom w:val="0"/>
      <w:divBdr>
        <w:top w:val="none" w:sz="0" w:space="0" w:color="auto"/>
        <w:left w:val="none" w:sz="0" w:space="0" w:color="auto"/>
        <w:bottom w:val="none" w:sz="0" w:space="0" w:color="auto"/>
        <w:right w:val="none" w:sz="0" w:space="0" w:color="auto"/>
      </w:divBdr>
    </w:div>
    <w:div w:id="750201766">
      <w:bodyDiv w:val="1"/>
      <w:marLeft w:val="0"/>
      <w:marRight w:val="0"/>
      <w:marTop w:val="0"/>
      <w:marBottom w:val="0"/>
      <w:divBdr>
        <w:top w:val="none" w:sz="0" w:space="0" w:color="auto"/>
        <w:left w:val="none" w:sz="0" w:space="0" w:color="auto"/>
        <w:bottom w:val="none" w:sz="0" w:space="0" w:color="auto"/>
        <w:right w:val="none" w:sz="0" w:space="0" w:color="auto"/>
      </w:divBdr>
    </w:div>
    <w:div w:id="760611438">
      <w:bodyDiv w:val="1"/>
      <w:marLeft w:val="0"/>
      <w:marRight w:val="0"/>
      <w:marTop w:val="0"/>
      <w:marBottom w:val="0"/>
      <w:divBdr>
        <w:top w:val="none" w:sz="0" w:space="0" w:color="auto"/>
        <w:left w:val="none" w:sz="0" w:space="0" w:color="auto"/>
        <w:bottom w:val="none" w:sz="0" w:space="0" w:color="auto"/>
        <w:right w:val="none" w:sz="0" w:space="0" w:color="auto"/>
      </w:divBdr>
    </w:div>
    <w:div w:id="835264019">
      <w:bodyDiv w:val="1"/>
      <w:marLeft w:val="0"/>
      <w:marRight w:val="0"/>
      <w:marTop w:val="0"/>
      <w:marBottom w:val="0"/>
      <w:divBdr>
        <w:top w:val="none" w:sz="0" w:space="0" w:color="auto"/>
        <w:left w:val="none" w:sz="0" w:space="0" w:color="auto"/>
        <w:bottom w:val="none" w:sz="0" w:space="0" w:color="auto"/>
        <w:right w:val="none" w:sz="0" w:space="0" w:color="auto"/>
      </w:divBdr>
    </w:div>
    <w:div w:id="836918743">
      <w:bodyDiv w:val="1"/>
      <w:marLeft w:val="0"/>
      <w:marRight w:val="0"/>
      <w:marTop w:val="0"/>
      <w:marBottom w:val="0"/>
      <w:divBdr>
        <w:top w:val="none" w:sz="0" w:space="0" w:color="auto"/>
        <w:left w:val="none" w:sz="0" w:space="0" w:color="auto"/>
        <w:bottom w:val="none" w:sz="0" w:space="0" w:color="auto"/>
        <w:right w:val="none" w:sz="0" w:space="0" w:color="auto"/>
      </w:divBdr>
    </w:div>
    <w:div w:id="843008540">
      <w:bodyDiv w:val="1"/>
      <w:marLeft w:val="0"/>
      <w:marRight w:val="0"/>
      <w:marTop w:val="0"/>
      <w:marBottom w:val="0"/>
      <w:divBdr>
        <w:top w:val="none" w:sz="0" w:space="0" w:color="auto"/>
        <w:left w:val="none" w:sz="0" w:space="0" w:color="auto"/>
        <w:bottom w:val="none" w:sz="0" w:space="0" w:color="auto"/>
        <w:right w:val="none" w:sz="0" w:space="0" w:color="auto"/>
      </w:divBdr>
    </w:div>
    <w:div w:id="863709612">
      <w:bodyDiv w:val="1"/>
      <w:marLeft w:val="0"/>
      <w:marRight w:val="0"/>
      <w:marTop w:val="0"/>
      <w:marBottom w:val="0"/>
      <w:divBdr>
        <w:top w:val="none" w:sz="0" w:space="0" w:color="auto"/>
        <w:left w:val="none" w:sz="0" w:space="0" w:color="auto"/>
        <w:bottom w:val="none" w:sz="0" w:space="0" w:color="auto"/>
        <w:right w:val="none" w:sz="0" w:space="0" w:color="auto"/>
      </w:divBdr>
    </w:div>
    <w:div w:id="868183503">
      <w:bodyDiv w:val="1"/>
      <w:marLeft w:val="0"/>
      <w:marRight w:val="0"/>
      <w:marTop w:val="0"/>
      <w:marBottom w:val="0"/>
      <w:divBdr>
        <w:top w:val="none" w:sz="0" w:space="0" w:color="auto"/>
        <w:left w:val="none" w:sz="0" w:space="0" w:color="auto"/>
        <w:bottom w:val="none" w:sz="0" w:space="0" w:color="auto"/>
        <w:right w:val="none" w:sz="0" w:space="0" w:color="auto"/>
      </w:divBdr>
    </w:div>
    <w:div w:id="909116991">
      <w:bodyDiv w:val="1"/>
      <w:marLeft w:val="0"/>
      <w:marRight w:val="0"/>
      <w:marTop w:val="0"/>
      <w:marBottom w:val="0"/>
      <w:divBdr>
        <w:top w:val="none" w:sz="0" w:space="0" w:color="auto"/>
        <w:left w:val="none" w:sz="0" w:space="0" w:color="auto"/>
        <w:bottom w:val="none" w:sz="0" w:space="0" w:color="auto"/>
        <w:right w:val="none" w:sz="0" w:space="0" w:color="auto"/>
      </w:divBdr>
    </w:div>
    <w:div w:id="939068732">
      <w:bodyDiv w:val="1"/>
      <w:marLeft w:val="0"/>
      <w:marRight w:val="0"/>
      <w:marTop w:val="0"/>
      <w:marBottom w:val="0"/>
      <w:divBdr>
        <w:top w:val="none" w:sz="0" w:space="0" w:color="auto"/>
        <w:left w:val="none" w:sz="0" w:space="0" w:color="auto"/>
        <w:bottom w:val="none" w:sz="0" w:space="0" w:color="auto"/>
        <w:right w:val="none" w:sz="0" w:space="0" w:color="auto"/>
      </w:divBdr>
    </w:div>
    <w:div w:id="961885151">
      <w:bodyDiv w:val="1"/>
      <w:marLeft w:val="0"/>
      <w:marRight w:val="0"/>
      <w:marTop w:val="0"/>
      <w:marBottom w:val="0"/>
      <w:divBdr>
        <w:top w:val="none" w:sz="0" w:space="0" w:color="auto"/>
        <w:left w:val="none" w:sz="0" w:space="0" w:color="auto"/>
        <w:bottom w:val="none" w:sz="0" w:space="0" w:color="auto"/>
        <w:right w:val="none" w:sz="0" w:space="0" w:color="auto"/>
      </w:divBdr>
    </w:div>
    <w:div w:id="971246859">
      <w:bodyDiv w:val="1"/>
      <w:marLeft w:val="0"/>
      <w:marRight w:val="0"/>
      <w:marTop w:val="0"/>
      <w:marBottom w:val="0"/>
      <w:divBdr>
        <w:top w:val="none" w:sz="0" w:space="0" w:color="auto"/>
        <w:left w:val="none" w:sz="0" w:space="0" w:color="auto"/>
        <w:bottom w:val="none" w:sz="0" w:space="0" w:color="auto"/>
        <w:right w:val="none" w:sz="0" w:space="0" w:color="auto"/>
      </w:divBdr>
    </w:div>
    <w:div w:id="1018851747">
      <w:bodyDiv w:val="1"/>
      <w:marLeft w:val="0"/>
      <w:marRight w:val="0"/>
      <w:marTop w:val="0"/>
      <w:marBottom w:val="0"/>
      <w:divBdr>
        <w:top w:val="none" w:sz="0" w:space="0" w:color="auto"/>
        <w:left w:val="none" w:sz="0" w:space="0" w:color="auto"/>
        <w:bottom w:val="none" w:sz="0" w:space="0" w:color="auto"/>
        <w:right w:val="none" w:sz="0" w:space="0" w:color="auto"/>
      </w:divBdr>
    </w:div>
    <w:div w:id="1029375853">
      <w:bodyDiv w:val="1"/>
      <w:marLeft w:val="0"/>
      <w:marRight w:val="0"/>
      <w:marTop w:val="0"/>
      <w:marBottom w:val="0"/>
      <w:divBdr>
        <w:top w:val="none" w:sz="0" w:space="0" w:color="auto"/>
        <w:left w:val="none" w:sz="0" w:space="0" w:color="auto"/>
        <w:bottom w:val="none" w:sz="0" w:space="0" w:color="auto"/>
        <w:right w:val="none" w:sz="0" w:space="0" w:color="auto"/>
      </w:divBdr>
    </w:div>
    <w:div w:id="1033307274">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42498200">
      <w:bodyDiv w:val="1"/>
      <w:marLeft w:val="0"/>
      <w:marRight w:val="0"/>
      <w:marTop w:val="0"/>
      <w:marBottom w:val="0"/>
      <w:divBdr>
        <w:top w:val="none" w:sz="0" w:space="0" w:color="auto"/>
        <w:left w:val="none" w:sz="0" w:space="0" w:color="auto"/>
        <w:bottom w:val="none" w:sz="0" w:space="0" w:color="auto"/>
        <w:right w:val="none" w:sz="0" w:space="0" w:color="auto"/>
      </w:divBdr>
    </w:div>
    <w:div w:id="1178810922">
      <w:bodyDiv w:val="1"/>
      <w:marLeft w:val="0"/>
      <w:marRight w:val="0"/>
      <w:marTop w:val="0"/>
      <w:marBottom w:val="0"/>
      <w:divBdr>
        <w:top w:val="none" w:sz="0" w:space="0" w:color="auto"/>
        <w:left w:val="none" w:sz="0" w:space="0" w:color="auto"/>
        <w:bottom w:val="none" w:sz="0" w:space="0" w:color="auto"/>
        <w:right w:val="none" w:sz="0" w:space="0" w:color="auto"/>
      </w:divBdr>
      <w:divsChild>
        <w:div w:id="776484338">
          <w:marLeft w:val="0"/>
          <w:marRight w:val="0"/>
          <w:marTop w:val="0"/>
          <w:marBottom w:val="0"/>
          <w:divBdr>
            <w:top w:val="none" w:sz="0" w:space="0" w:color="auto"/>
            <w:left w:val="none" w:sz="0" w:space="0" w:color="auto"/>
            <w:bottom w:val="none" w:sz="0" w:space="0" w:color="auto"/>
            <w:right w:val="none" w:sz="0" w:space="0" w:color="auto"/>
          </w:divBdr>
        </w:div>
      </w:divsChild>
    </w:div>
    <w:div w:id="1205484197">
      <w:bodyDiv w:val="1"/>
      <w:marLeft w:val="0"/>
      <w:marRight w:val="0"/>
      <w:marTop w:val="0"/>
      <w:marBottom w:val="0"/>
      <w:divBdr>
        <w:top w:val="none" w:sz="0" w:space="0" w:color="auto"/>
        <w:left w:val="none" w:sz="0" w:space="0" w:color="auto"/>
        <w:bottom w:val="none" w:sz="0" w:space="0" w:color="auto"/>
        <w:right w:val="none" w:sz="0" w:space="0" w:color="auto"/>
      </w:divBdr>
    </w:div>
    <w:div w:id="1207722749">
      <w:bodyDiv w:val="1"/>
      <w:marLeft w:val="0"/>
      <w:marRight w:val="0"/>
      <w:marTop w:val="0"/>
      <w:marBottom w:val="0"/>
      <w:divBdr>
        <w:top w:val="none" w:sz="0" w:space="0" w:color="auto"/>
        <w:left w:val="none" w:sz="0" w:space="0" w:color="auto"/>
        <w:bottom w:val="none" w:sz="0" w:space="0" w:color="auto"/>
        <w:right w:val="none" w:sz="0" w:space="0" w:color="auto"/>
      </w:divBdr>
    </w:div>
    <w:div w:id="1217857660">
      <w:bodyDiv w:val="1"/>
      <w:marLeft w:val="0"/>
      <w:marRight w:val="0"/>
      <w:marTop w:val="0"/>
      <w:marBottom w:val="0"/>
      <w:divBdr>
        <w:top w:val="none" w:sz="0" w:space="0" w:color="auto"/>
        <w:left w:val="none" w:sz="0" w:space="0" w:color="auto"/>
        <w:bottom w:val="none" w:sz="0" w:space="0" w:color="auto"/>
        <w:right w:val="none" w:sz="0" w:space="0" w:color="auto"/>
      </w:divBdr>
    </w:div>
    <w:div w:id="1226914201">
      <w:bodyDiv w:val="1"/>
      <w:marLeft w:val="0"/>
      <w:marRight w:val="0"/>
      <w:marTop w:val="0"/>
      <w:marBottom w:val="0"/>
      <w:divBdr>
        <w:top w:val="none" w:sz="0" w:space="0" w:color="auto"/>
        <w:left w:val="none" w:sz="0" w:space="0" w:color="auto"/>
        <w:bottom w:val="none" w:sz="0" w:space="0" w:color="auto"/>
        <w:right w:val="none" w:sz="0" w:space="0" w:color="auto"/>
      </w:divBdr>
    </w:div>
    <w:div w:id="1246262855">
      <w:bodyDiv w:val="1"/>
      <w:marLeft w:val="0"/>
      <w:marRight w:val="0"/>
      <w:marTop w:val="0"/>
      <w:marBottom w:val="0"/>
      <w:divBdr>
        <w:top w:val="none" w:sz="0" w:space="0" w:color="auto"/>
        <w:left w:val="none" w:sz="0" w:space="0" w:color="auto"/>
        <w:bottom w:val="none" w:sz="0" w:space="0" w:color="auto"/>
        <w:right w:val="none" w:sz="0" w:space="0" w:color="auto"/>
      </w:divBdr>
      <w:divsChild>
        <w:div w:id="1988656982">
          <w:marLeft w:val="0"/>
          <w:marRight w:val="0"/>
          <w:marTop w:val="0"/>
          <w:marBottom w:val="0"/>
          <w:divBdr>
            <w:top w:val="none" w:sz="0" w:space="0" w:color="auto"/>
            <w:left w:val="none" w:sz="0" w:space="0" w:color="auto"/>
            <w:bottom w:val="none" w:sz="0" w:space="0" w:color="auto"/>
            <w:right w:val="none" w:sz="0" w:space="0" w:color="auto"/>
          </w:divBdr>
          <w:divsChild>
            <w:div w:id="558126252">
              <w:marLeft w:val="0"/>
              <w:marRight w:val="0"/>
              <w:marTop w:val="0"/>
              <w:marBottom w:val="240"/>
              <w:divBdr>
                <w:top w:val="none" w:sz="0" w:space="0" w:color="auto"/>
                <w:left w:val="none" w:sz="0" w:space="0" w:color="auto"/>
                <w:bottom w:val="none" w:sz="0" w:space="0" w:color="auto"/>
                <w:right w:val="none" w:sz="0" w:space="0" w:color="auto"/>
              </w:divBdr>
              <w:divsChild>
                <w:div w:id="2120098809">
                  <w:marLeft w:val="0"/>
                  <w:marRight w:val="0"/>
                  <w:marTop w:val="0"/>
                  <w:marBottom w:val="0"/>
                  <w:divBdr>
                    <w:top w:val="none" w:sz="0" w:space="0" w:color="auto"/>
                    <w:left w:val="none" w:sz="0" w:space="0" w:color="auto"/>
                    <w:bottom w:val="none" w:sz="0" w:space="0" w:color="auto"/>
                    <w:right w:val="none" w:sz="0" w:space="0" w:color="auto"/>
                  </w:divBdr>
                  <w:divsChild>
                    <w:div w:id="60300907">
                      <w:marLeft w:val="0"/>
                      <w:marRight w:val="0"/>
                      <w:marTop w:val="0"/>
                      <w:marBottom w:val="0"/>
                      <w:divBdr>
                        <w:top w:val="none" w:sz="0" w:space="0" w:color="auto"/>
                        <w:left w:val="none" w:sz="0" w:space="0" w:color="auto"/>
                        <w:bottom w:val="none" w:sz="0" w:space="0" w:color="auto"/>
                        <w:right w:val="none" w:sz="0" w:space="0" w:color="auto"/>
                      </w:divBdr>
                      <w:divsChild>
                        <w:div w:id="1091584889">
                          <w:marLeft w:val="0"/>
                          <w:marRight w:val="0"/>
                          <w:marTop w:val="0"/>
                          <w:marBottom w:val="0"/>
                          <w:divBdr>
                            <w:top w:val="none" w:sz="0" w:space="0" w:color="auto"/>
                            <w:left w:val="none" w:sz="0" w:space="0" w:color="auto"/>
                            <w:bottom w:val="none" w:sz="0" w:space="0" w:color="auto"/>
                            <w:right w:val="none" w:sz="0" w:space="0" w:color="auto"/>
                          </w:divBdr>
                          <w:divsChild>
                            <w:div w:id="1103502583">
                              <w:marLeft w:val="0"/>
                              <w:marRight w:val="0"/>
                              <w:marTop w:val="0"/>
                              <w:marBottom w:val="0"/>
                              <w:divBdr>
                                <w:top w:val="none" w:sz="0" w:space="0" w:color="auto"/>
                                <w:left w:val="none" w:sz="0" w:space="0" w:color="auto"/>
                                <w:bottom w:val="none" w:sz="0" w:space="0" w:color="auto"/>
                                <w:right w:val="none" w:sz="0" w:space="0" w:color="auto"/>
                              </w:divBdr>
                              <w:divsChild>
                                <w:div w:id="48860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6539850">
          <w:marLeft w:val="0"/>
          <w:marRight w:val="0"/>
          <w:marTop w:val="0"/>
          <w:marBottom w:val="0"/>
          <w:divBdr>
            <w:top w:val="none" w:sz="0" w:space="0" w:color="auto"/>
            <w:left w:val="none" w:sz="0" w:space="0" w:color="auto"/>
            <w:bottom w:val="none" w:sz="0" w:space="0" w:color="auto"/>
            <w:right w:val="none" w:sz="0" w:space="0" w:color="auto"/>
          </w:divBdr>
          <w:divsChild>
            <w:div w:id="469518104">
              <w:marLeft w:val="0"/>
              <w:marRight w:val="0"/>
              <w:marTop w:val="0"/>
              <w:marBottom w:val="0"/>
              <w:divBdr>
                <w:top w:val="none" w:sz="0" w:space="0" w:color="auto"/>
                <w:left w:val="none" w:sz="0" w:space="0" w:color="auto"/>
                <w:bottom w:val="none" w:sz="0" w:space="0" w:color="auto"/>
                <w:right w:val="none" w:sz="0" w:space="0" w:color="auto"/>
              </w:divBdr>
              <w:divsChild>
                <w:div w:id="1815875018">
                  <w:marLeft w:val="0"/>
                  <w:marRight w:val="0"/>
                  <w:marTop w:val="0"/>
                  <w:marBottom w:val="0"/>
                  <w:divBdr>
                    <w:top w:val="none" w:sz="0" w:space="0" w:color="auto"/>
                    <w:left w:val="none" w:sz="0" w:space="0" w:color="auto"/>
                    <w:bottom w:val="none" w:sz="0" w:space="0" w:color="auto"/>
                    <w:right w:val="none" w:sz="0" w:space="0" w:color="auto"/>
                  </w:divBdr>
                  <w:divsChild>
                    <w:div w:id="824664100">
                      <w:marLeft w:val="0"/>
                      <w:marRight w:val="0"/>
                      <w:marTop w:val="0"/>
                      <w:marBottom w:val="0"/>
                      <w:divBdr>
                        <w:top w:val="none" w:sz="0" w:space="0" w:color="auto"/>
                        <w:left w:val="none" w:sz="0" w:space="0" w:color="auto"/>
                        <w:bottom w:val="none" w:sz="0" w:space="0" w:color="auto"/>
                        <w:right w:val="none" w:sz="0" w:space="0" w:color="auto"/>
                      </w:divBdr>
                      <w:divsChild>
                        <w:div w:id="1119448113">
                          <w:marLeft w:val="0"/>
                          <w:marRight w:val="0"/>
                          <w:marTop w:val="0"/>
                          <w:marBottom w:val="0"/>
                          <w:divBdr>
                            <w:top w:val="none" w:sz="0" w:space="0" w:color="auto"/>
                            <w:left w:val="none" w:sz="0" w:space="0" w:color="auto"/>
                            <w:bottom w:val="none" w:sz="0" w:space="0" w:color="auto"/>
                            <w:right w:val="none" w:sz="0" w:space="0" w:color="auto"/>
                          </w:divBdr>
                          <w:divsChild>
                            <w:div w:id="1888833783">
                              <w:marLeft w:val="300"/>
                              <w:marRight w:val="0"/>
                              <w:marTop w:val="0"/>
                              <w:marBottom w:val="0"/>
                              <w:divBdr>
                                <w:top w:val="none" w:sz="0" w:space="0" w:color="auto"/>
                                <w:left w:val="none" w:sz="0" w:space="0" w:color="auto"/>
                                <w:bottom w:val="single" w:sz="6" w:space="15" w:color="DADCE0"/>
                                <w:right w:val="none" w:sz="0" w:space="0" w:color="auto"/>
                              </w:divBdr>
                              <w:divsChild>
                                <w:div w:id="741754904">
                                  <w:marLeft w:val="0"/>
                                  <w:marRight w:val="0"/>
                                  <w:marTop w:val="0"/>
                                  <w:marBottom w:val="0"/>
                                  <w:divBdr>
                                    <w:top w:val="none" w:sz="0" w:space="0" w:color="auto"/>
                                    <w:left w:val="none" w:sz="0" w:space="0" w:color="auto"/>
                                    <w:bottom w:val="none" w:sz="0" w:space="0" w:color="auto"/>
                                    <w:right w:val="none" w:sz="0" w:space="0" w:color="auto"/>
                                  </w:divBdr>
                                  <w:divsChild>
                                    <w:div w:id="1766269085">
                                      <w:marLeft w:val="0"/>
                                      <w:marRight w:val="0"/>
                                      <w:marTop w:val="0"/>
                                      <w:marBottom w:val="0"/>
                                      <w:divBdr>
                                        <w:top w:val="none" w:sz="0" w:space="0" w:color="auto"/>
                                        <w:left w:val="none" w:sz="0" w:space="0" w:color="auto"/>
                                        <w:bottom w:val="none" w:sz="0" w:space="0" w:color="auto"/>
                                        <w:right w:val="none" w:sz="0" w:space="0" w:color="auto"/>
                                      </w:divBdr>
                                      <w:divsChild>
                                        <w:div w:id="183179468">
                                          <w:marLeft w:val="0"/>
                                          <w:marRight w:val="0"/>
                                          <w:marTop w:val="0"/>
                                          <w:marBottom w:val="0"/>
                                          <w:divBdr>
                                            <w:top w:val="none" w:sz="0" w:space="0" w:color="auto"/>
                                            <w:left w:val="none" w:sz="0" w:space="0" w:color="auto"/>
                                            <w:bottom w:val="none" w:sz="0" w:space="0" w:color="auto"/>
                                            <w:right w:val="none" w:sz="0" w:space="0" w:color="auto"/>
                                          </w:divBdr>
                                          <w:divsChild>
                                            <w:div w:id="1941719549">
                                              <w:marLeft w:val="0"/>
                                              <w:marRight w:val="0"/>
                                              <w:marTop w:val="0"/>
                                              <w:marBottom w:val="0"/>
                                              <w:divBdr>
                                                <w:top w:val="none" w:sz="0" w:space="0" w:color="auto"/>
                                                <w:left w:val="none" w:sz="0" w:space="0" w:color="auto"/>
                                                <w:bottom w:val="none" w:sz="0" w:space="0" w:color="auto"/>
                                                <w:right w:val="none" w:sz="0" w:space="0" w:color="auto"/>
                                              </w:divBdr>
                                              <w:divsChild>
                                                <w:div w:id="646595845">
                                                  <w:marLeft w:val="0"/>
                                                  <w:marRight w:val="0"/>
                                                  <w:marTop w:val="0"/>
                                                  <w:marBottom w:val="0"/>
                                                  <w:divBdr>
                                                    <w:top w:val="none" w:sz="0" w:space="0" w:color="auto"/>
                                                    <w:left w:val="none" w:sz="0" w:space="0" w:color="auto"/>
                                                    <w:bottom w:val="none" w:sz="0" w:space="0" w:color="auto"/>
                                                    <w:right w:val="none" w:sz="0" w:space="0" w:color="auto"/>
                                                  </w:divBdr>
                                                  <w:divsChild>
                                                    <w:div w:id="1638341288">
                                                      <w:marLeft w:val="0"/>
                                                      <w:marRight w:val="0"/>
                                                      <w:marTop w:val="0"/>
                                                      <w:marBottom w:val="0"/>
                                                      <w:divBdr>
                                                        <w:top w:val="none" w:sz="0" w:space="0" w:color="auto"/>
                                                        <w:left w:val="none" w:sz="0" w:space="0" w:color="auto"/>
                                                        <w:bottom w:val="none" w:sz="0" w:space="0" w:color="auto"/>
                                                        <w:right w:val="none" w:sz="0" w:space="0" w:color="auto"/>
                                                      </w:divBdr>
                                                      <w:divsChild>
                                                        <w:div w:id="154033117">
                                                          <w:marLeft w:val="0"/>
                                                          <w:marRight w:val="0"/>
                                                          <w:marTop w:val="0"/>
                                                          <w:marBottom w:val="0"/>
                                                          <w:divBdr>
                                                            <w:top w:val="none" w:sz="0" w:space="0" w:color="auto"/>
                                                            <w:left w:val="none" w:sz="0" w:space="0" w:color="auto"/>
                                                            <w:bottom w:val="none" w:sz="0" w:space="0" w:color="auto"/>
                                                            <w:right w:val="none" w:sz="0" w:space="0" w:color="auto"/>
                                                          </w:divBdr>
                                                          <w:divsChild>
                                                            <w:div w:id="1790927902">
                                                              <w:marLeft w:val="0"/>
                                                              <w:marRight w:val="0"/>
                                                              <w:marTop w:val="0"/>
                                                              <w:marBottom w:val="0"/>
                                                              <w:divBdr>
                                                                <w:top w:val="none" w:sz="0" w:space="0" w:color="auto"/>
                                                                <w:left w:val="none" w:sz="0" w:space="0" w:color="auto"/>
                                                                <w:bottom w:val="none" w:sz="0" w:space="0" w:color="auto"/>
                                                                <w:right w:val="none" w:sz="0" w:space="0" w:color="auto"/>
                                                              </w:divBdr>
                                                              <w:divsChild>
                                                                <w:div w:id="457532419">
                                                                  <w:marLeft w:val="0"/>
                                                                  <w:marRight w:val="-30"/>
                                                                  <w:marTop w:val="0"/>
                                                                  <w:marBottom w:val="0"/>
                                                                  <w:divBdr>
                                                                    <w:top w:val="none" w:sz="0" w:space="0" w:color="auto"/>
                                                                    <w:left w:val="none" w:sz="0" w:space="0" w:color="auto"/>
                                                                    <w:bottom w:val="none" w:sz="0" w:space="0" w:color="auto"/>
                                                                    <w:right w:val="none" w:sz="0" w:space="0" w:color="auto"/>
                                                                  </w:divBdr>
                                                                  <w:divsChild>
                                                                    <w:div w:id="2090032672">
                                                                      <w:marLeft w:val="0"/>
                                                                      <w:marRight w:val="30"/>
                                                                      <w:marTop w:val="0"/>
                                                                      <w:marBottom w:val="30"/>
                                                                      <w:divBdr>
                                                                        <w:top w:val="none" w:sz="0" w:space="0" w:color="auto"/>
                                                                        <w:left w:val="none" w:sz="0" w:space="0" w:color="auto"/>
                                                                        <w:bottom w:val="none" w:sz="0" w:space="0" w:color="auto"/>
                                                                        <w:right w:val="none" w:sz="0" w:space="0" w:color="auto"/>
                                                                      </w:divBdr>
                                                                      <w:divsChild>
                                                                        <w:div w:id="61698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3804604">
      <w:bodyDiv w:val="1"/>
      <w:marLeft w:val="0"/>
      <w:marRight w:val="0"/>
      <w:marTop w:val="0"/>
      <w:marBottom w:val="0"/>
      <w:divBdr>
        <w:top w:val="none" w:sz="0" w:space="0" w:color="auto"/>
        <w:left w:val="none" w:sz="0" w:space="0" w:color="auto"/>
        <w:bottom w:val="none" w:sz="0" w:space="0" w:color="auto"/>
        <w:right w:val="none" w:sz="0" w:space="0" w:color="auto"/>
      </w:divBdr>
      <w:divsChild>
        <w:div w:id="344791894">
          <w:marLeft w:val="0"/>
          <w:marRight w:val="0"/>
          <w:marTop w:val="0"/>
          <w:marBottom w:val="0"/>
          <w:divBdr>
            <w:top w:val="none" w:sz="0" w:space="0" w:color="auto"/>
            <w:left w:val="none" w:sz="0" w:space="0" w:color="auto"/>
            <w:bottom w:val="none" w:sz="0" w:space="0" w:color="auto"/>
            <w:right w:val="none" w:sz="0" w:space="0" w:color="auto"/>
          </w:divBdr>
          <w:divsChild>
            <w:div w:id="486283009">
              <w:marLeft w:val="0"/>
              <w:marRight w:val="0"/>
              <w:marTop w:val="0"/>
              <w:marBottom w:val="0"/>
              <w:divBdr>
                <w:top w:val="none" w:sz="0" w:space="0" w:color="auto"/>
                <w:left w:val="none" w:sz="0" w:space="0" w:color="auto"/>
                <w:bottom w:val="none" w:sz="0" w:space="0" w:color="auto"/>
                <w:right w:val="none" w:sz="0" w:space="0" w:color="auto"/>
              </w:divBdr>
              <w:divsChild>
                <w:div w:id="1447772198">
                  <w:marLeft w:val="0"/>
                  <w:marRight w:val="0"/>
                  <w:marTop w:val="0"/>
                  <w:marBottom w:val="0"/>
                  <w:divBdr>
                    <w:top w:val="none" w:sz="0" w:space="0" w:color="auto"/>
                    <w:left w:val="none" w:sz="0" w:space="0" w:color="auto"/>
                    <w:bottom w:val="none" w:sz="0" w:space="0" w:color="auto"/>
                    <w:right w:val="none" w:sz="0" w:space="0" w:color="auto"/>
                  </w:divBdr>
                  <w:divsChild>
                    <w:div w:id="577400865">
                      <w:marLeft w:val="0"/>
                      <w:marRight w:val="0"/>
                      <w:marTop w:val="0"/>
                      <w:marBottom w:val="0"/>
                      <w:divBdr>
                        <w:top w:val="none" w:sz="0" w:space="0" w:color="auto"/>
                        <w:left w:val="none" w:sz="0" w:space="0" w:color="auto"/>
                        <w:bottom w:val="none" w:sz="0" w:space="0" w:color="auto"/>
                        <w:right w:val="none" w:sz="0" w:space="0" w:color="auto"/>
                      </w:divBdr>
                      <w:divsChild>
                        <w:div w:id="1871334349">
                          <w:marLeft w:val="0"/>
                          <w:marRight w:val="0"/>
                          <w:marTop w:val="0"/>
                          <w:marBottom w:val="0"/>
                          <w:divBdr>
                            <w:top w:val="none" w:sz="0" w:space="0" w:color="auto"/>
                            <w:left w:val="none" w:sz="0" w:space="0" w:color="auto"/>
                            <w:bottom w:val="none" w:sz="0" w:space="0" w:color="auto"/>
                            <w:right w:val="none" w:sz="0" w:space="0" w:color="auto"/>
                          </w:divBdr>
                          <w:divsChild>
                            <w:div w:id="1965117161">
                              <w:marLeft w:val="300"/>
                              <w:marRight w:val="0"/>
                              <w:marTop w:val="0"/>
                              <w:marBottom w:val="0"/>
                              <w:divBdr>
                                <w:top w:val="none" w:sz="0" w:space="0" w:color="auto"/>
                                <w:left w:val="none" w:sz="0" w:space="0" w:color="auto"/>
                                <w:bottom w:val="single" w:sz="6" w:space="15" w:color="DADCE0"/>
                                <w:right w:val="none" w:sz="0" w:space="0" w:color="auto"/>
                              </w:divBdr>
                              <w:divsChild>
                                <w:div w:id="806509370">
                                  <w:marLeft w:val="0"/>
                                  <w:marRight w:val="0"/>
                                  <w:marTop w:val="0"/>
                                  <w:marBottom w:val="0"/>
                                  <w:divBdr>
                                    <w:top w:val="none" w:sz="0" w:space="0" w:color="auto"/>
                                    <w:left w:val="none" w:sz="0" w:space="0" w:color="auto"/>
                                    <w:bottom w:val="none" w:sz="0" w:space="0" w:color="auto"/>
                                    <w:right w:val="none" w:sz="0" w:space="0" w:color="auto"/>
                                  </w:divBdr>
                                  <w:divsChild>
                                    <w:div w:id="2099515151">
                                      <w:marLeft w:val="0"/>
                                      <w:marRight w:val="0"/>
                                      <w:marTop w:val="0"/>
                                      <w:marBottom w:val="0"/>
                                      <w:divBdr>
                                        <w:top w:val="none" w:sz="0" w:space="0" w:color="auto"/>
                                        <w:left w:val="none" w:sz="0" w:space="0" w:color="auto"/>
                                        <w:bottom w:val="none" w:sz="0" w:space="0" w:color="auto"/>
                                        <w:right w:val="none" w:sz="0" w:space="0" w:color="auto"/>
                                      </w:divBdr>
                                      <w:divsChild>
                                        <w:div w:id="1489320891">
                                          <w:marLeft w:val="0"/>
                                          <w:marRight w:val="0"/>
                                          <w:marTop w:val="0"/>
                                          <w:marBottom w:val="0"/>
                                          <w:divBdr>
                                            <w:top w:val="none" w:sz="0" w:space="0" w:color="auto"/>
                                            <w:left w:val="none" w:sz="0" w:space="0" w:color="auto"/>
                                            <w:bottom w:val="none" w:sz="0" w:space="0" w:color="auto"/>
                                            <w:right w:val="none" w:sz="0" w:space="0" w:color="auto"/>
                                          </w:divBdr>
                                          <w:divsChild>
                                            <w:div w:id="1703703506">
                                              <w:marLeft w:val="0"/>
                                              <w:marRight w:val="0"/>
                                              <w:marTop w:val="0"/>
                                              <w:marBottom w:val="0"/>
                                              <w:divBdr>
                                                <w:top w:val="none" w:sz="0" w:space="0" w:color="auto"/>
                                                <w:left w:val="none" w:sz="0" w:space="0" w:color="auto"/>
                                                <w:bottom w:val="none" w:sz="0" w:space="0" w:color="auto"/>
                                                <w:right w:val="none" w:sz="0" w:space="0" w:color="auto"/>
                                              </w:divBdr>
                                              <w:divsChild>
                                                <w:div w:id="855732938">
                                                  <w:marLeft w:val="0"/>
                                                  <w:marRight w:val="0"/>
                                                  <w:marTop w:val="0"/>
                                                  <w:marBottom w:val="0"/>
                                                  <w:divBdr>
                                                    <w:top w:val="none" w:sz="0" w:space="0" w:color="auto"/>
                                                    <w:left w:val="none" w:sz="0" w:space="0" w:color="auto"/>
                                                    <w:bottom w:val="none" w:sz="0" w:space="0" w:color="auto"/>
                                                    <w:right w:val="none" w:sz="0" w:space="0" w:color="auto"/>
                                                  </w:divBdr>
                                                  <w:divsChild>
                                                    <w:div w:id="1807352670">
                                                      <w:marLeft w:val="0"/>
                                                      <w:marRight w:val="0"/>
                                                      <w:marTop w:val="0"/>
                                                      <w:marBottom w:val="0"/>
                                                      <w:divBdr>
                                                        <w:top w:val="none" w:sz="0" w:space="0" w:color="auto"/>
                                                        <w:left w:val="none" w:sz="0" w:space="0" w:color="auto"/>
                                                        <w:bottom w:val="none" w:sz="0" w:space="0" w:color="auto"/>
                                                        <w:right w:val="none" w:sz="0" w:space="0" w:color="auto"/>
                                                      </w:divBdr>
                                                      <w:divsChild>
                                                        <w:div w:id="578634679">
                                                          <w:marLeft w:val="0"/>
                                                          <w:marRight w:val="0"/>
                                                          <w:marTop w:val="0"/>
                                                          <w:marBottom w:val="0"/>
                                                          <w:divBdr>
                                                            <w:top w:val="none" w:sz="0" w:space="0" w:color="auto"/>
                                                            <w:left w:val="none" w:sz="0" w:space="0" w:color="auto"/>
                                                            <w:bottom w:val="none" w:sz="0" w:space="0" w:color="auto"/>
                                                            <w:right w:val="none" w:sz="0" w:space="0" w:color="auto"/>
                                                          </w:divBdr>
                                                          <w:divsChild>
                                                            <w:div w:id="76097426">
                                                              <w:marLeft w:val="0"/>
                                                              <w:marRight w:val="0"/>
                                                              <w:marTop w:val="0"/>
                                                              <w:marBottom w:val="0"/>
                                                              <w:divBdr>
                                                                <w:top w:val="none" w:sz="0" w:space="0" w:color="auto"/>
                                                                <w:left w:val="none" w:sz="0" w:space="0" w:color="auto"/>
                                                                <w:bottom w:val="none" w:sz="0" w:space="0" w:color="auto"/>
                                                                <w:right w:val="none" w:sz="0" w:space="0" w:color="auto"/>
                                                              </w:divBdr>
                                                              <w:divsChild>
                                                                <w:div w:id="1252157250">
                                                                  <w:marLeft w:val="0"/>
                                                                  <w:marRight w:val="-30"/>
                                                                  <w:marTop w:val="0"/>
                                                                  <w:marBottom w:val="0"/>
                                                                  <w:divBdr>
                                                                    <w:top w:val="none" w:sz="0" w:space="0" w:color="auto"/>
                                                                    <w:left w:val="none" w:sz="0" w:space="0" w:color="auto"/>
                                                                    <w:bottom w:val="none" w:sz="0" w:space="0" w:color="auto"/>
                                                                    <w:right w:val="none" w:sz="0" w:space="0" w:color="auto"/>
                                                                  </w:divBdr>
                                                                  <w:divsChild>
                                                                    <w:div w:id="770856414">
                                                                      <w:marLeft w:val="0"/>
                                                                      <w:marRight w:val="30"/>
                                                                      <w:marTop w:val="0"/>
                                                                      <w:marBottom w:val="30"/>
                                                                      <w:divBdr>
                                                                        <w:top w:val="none" w:sz="0" w:space="0" w:color="auto"/>
                                                                        <w:left w:val="none" w:sz="0" w:space="0" w:color="auto"/>
                                                                        <w:bottom w:val="none" w:sz="0" w:space="0" w:color="auto"/>
                                                                        <w:right w:val="none" w:sz="0" w:space="0" w:color="auto"/>
                                                                      </w:divBdr>
                                                                      <w:divsChild>
                                                                        <w:div w:id="156680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9415205">
          <w:marLeft w:val="0"/>
          <w:marRight w:val="0"/>
          <w:marTop w:val="0"/>
          <w:marBottom w:val="0"/>
          <w:divBdr>
            <w:top w:val="none" w:sz="0" w:space="0" w:color="auto"/>
            <w:left w:val="none" w:sz="0" w:space="0" w:color="auto"/>
            <w:bottom w:val="none" w:sz="0" w:space="0" w:color="auto"/>
            <w:right w:val="none" w:sz="0" w:space="0" w:color="auto"/>
          </w:divBdr>
          <w:divsChild>
            <w:div w:id="1358849980">
              <w:marLeft w:val="0"/>
              <w:marRight w:val="0"/>
              <w:marTop w:val="0"/>
              <w:marBottom w:val="240"/>
              <w:divBdr>
                <w:top w:val="none" w:sz="0" w:space="0" w:color="auto"/>
                <w:left w:val="none" w:sz="0" w:space="0" w:color="auto"/>
                <w:bottom w:val="none" w:sz="0" w:space="0" w:color="auto"/>
                <w:right w:val="none" w:sz="0" w:space="0" w:color="auto"/>
              </w:divBdr>
              <w:divsChild>
                <w:div w:id="1352336823">
                  <w:marLeft w:val="0"/>
                  <w:marRight w:val="0"/>
                  <w:marTop w:val="0"/>
                  <w:marBottom w:val="0"/>
                  <w:divBdr>
                    <w:top w:val="none" w:sz="0" w:space="0" w:color="auto"/>
                    <w:left w:val="none" w:sz="0" w:space="0" w:color="auto"/>
                    <w:bottom w:val="none" w:sz="0" w:space="0" w:color="auto"/>
                    <w:right w:val="none" w:sz="0" w:space="0" w:color="auto"/>
                  </w:divBdr>
                  <w:divsChild>
                    <w:div w:id="258294280">
                      <w:marLeft w:val="0"/>
                      <w:marRight w:val="0"/>
                      <w:marTop w:val="0"/>
                      <w:marBottom w:val="0"/>
                      <w:divBdr>
                        <w:top w:val="none" w:sz="0" w:space="0" w:color="auto"/>
                        <w:left w:val="none" w:sz="0" w:space="0" w:color="auto"/>
                        <w:bottom w:val="none" w:sz="0" w:space="0" w:color="auto"/>
                        <w:right w:val="none" w:sz="0" w:space="0" w:color="auto"/>
                      </w:divBdr>
                      <w:divsChild>
                        <w:div w:id="664941498">
                          <w:marLeft w:val="0"/>
                          <w:marRight w:val="0"/>
                          <w:marTop w:val="0"/>
                          <w:marBottom w:val="0"/>
                          <w:divBdr>
                            <w:top w:val="none" w:sz="0" w:space="0" w:color="auto"/>
                            <w:left w:val="none" w:sz="0" w:space="0" w:color="auto"/>
                            <w:bottom w:val="none" w:sz="0" w:space="0" w:color="auto"/>
                            <w:right w:val="none" w:sz="0" w:space="0" w:color="auto"/>
                          </w:divBdr>
                          <w:divsChild>
                            <w:div w:id="1219777673">
                              <w:marLeft w:val="0"/>
                              <w:marRight w:val="0"/>
                              <w:marTop w:val="0"/>
                              <w:marBottom w:val="0"/>
                              <w:divBdr>
                                <w:top w:val="none" w:sz="0" w:space="0" w:color="auto"/>
                                <w:left w:val="none" w:sz="0" w:space="0" w:color="auto"/>
                                <w:bottom w:val="none" w:sz="0" w:space="0" w:color="auto"/>
                                <w:right w:val="none" w:sz="0" w:space="0" w:color="auto"/>
                              </w:divBdr>
                              <w:divsChild>
                                <w:div w:id="44435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6957932">
      <w:bodyDiv w:val="1"/>
      <w:marLeft w:val="0"/>
      <w:marRight w:val="0"/>
      <w:marTop w:val="0"/>
      <w:marBottom w:val="0"/>
      <w:divBdr>
        <w:top w:val="none" w:sz="0" w:space="0" w:color="auto"/>
        <w:left w:val="none" w:sz="0" w:space="0" w:color="auto"/>
        <w:bottom w:val="none" w:sz="0" w:space="0" w:color="auto"/>
        <w:right w:val="none" w:sz="0" w:space="0" w:color="auto"/>
      </w:divBdr>
    </w:div>
    <w:div w:id="1339575415">
      <w:bodyDiv w:val="1"/>
      <w:marLeft w:val="0"/>
      <w:marRight w:val="0"/>
      <w:marTop w:val="0"/>
      <w:marBottom w:val="0"/>
      <w:divBdr>
        <w:top w:val="none" w:sz="0" w:space="0" w:color="auto"/>
        <w:left w:val="none" w:sz="0" w:space="0" w:color="auto"/>
        <w:bottom w:val="none" w:sz="0" w:space="0" w:color="auto"/>
        <w:right w:val="none" w:sz="0" w:space="0" w:color="auto"/>
      </w:divBdr>
    </w:div>
    <w:div w:id="1370447287">
      <w:bodyDiv w:val="1"/>
      <w:marLeft w:val="0"/>
      <w:marRight w:val="0"/>
      <w:marTop w:val="0"/>
      <w:marBottom w:val="0"/>
      <w:divBdr>
        <w:top w:val="none" w:sz="0" w:space="0" w:color="auto"/>
        <w:left w:val="none" w:sz="0" w:space="0" w:color="auto"/>
        <w:bottom w:val="none" w:sz="0" w:space="0" w:color="auto"/>
        <w:right w:val="none" w:sz="0" w:space="0" w:color="auto"/>
      </w:divBdr>
    </w:div>
    <w:div w:id="1409420293">
      <w:bodyDiv w:val="1"/>
      <w:marLeft w:val="0"/>
      <w:marRight w:val="0"/>
      <w:marTop w:val="0"/>
      <w:marBottom w:val="0"/>
      <w:divBdr>
        <w:top w:val="none" w:sz="0" w:space="0" w:color="auto"/>
        <w:left w:val="none" w:sz="0" w:space="0" w:color="auto"/>
        <w:bottom w:val="none" w:sz="0" w:space="0" w:color="auto"/>
        <w:right w:val="none" w:sz="0" w:space="0" w:color="auto"/>
      </w:divBdr>
    </w:div>
    <w:div w:id="1427382634">
      <w:bodyDiv w:val="1"/>
      <w:marLeft w:val="0"/>
      <w:marRight w:val="0"/>
      <w:marTop w:val="0"/>
      <w:marBottom w:val="0"/>
      <w:divBdr>
        <w:top w:val="none" w:sz="0" w:space="0" w:color="auto"/>
        <w:left w:val="none" w:sz="0" w:space="0" w:color="auto"/>
        <w:bottom w:val="none" w:sz="0" w:space="0" w:color="auto"/>
        <w:right w:val="none" w:sz="0" w:space="0" w:color="auto"/>
      </w:divBdr>
      <w:divsChild>
        <w:div w:id="113913842">
          <w:marLeft w:val="0"/>
          <w:marRight w:val="0"/>
          <w:marTop w:val="0"/>
          <w:marBottom w:val="0"/>
          <w:divBdr>
            <w:top w:val="none" w:sz="0" w:space="0" w:color="auto"/>
            <w:left w:val="none" w:sz="0" w:space="0" w:color="auto"/>
            <w:bottom w:val="none" w:sz="0" w:space="0" w:color="auto"/>
            <w:right w:val="none" w:sz="0" w:space="0" w:color="auto"/>
          </w:divBdr>
        </w:div>
      </w:divsChild>
    </w:div>
    <w:div w:id="1548569565">
      <w:bodyDiv w:val="1"/>
      <w:marLeft w:val="0"/>
      <w:marRight w:val="0"/>
      <w:marTop w:val="0"/>
      <w:marBottom w:val="0"/>
      <w:divBdr>
        <w:top w:val="none" w:sz="0" w:space="0" w:color="auto"/>
        <w:left w:val="none" w:sz="0" w:space="0" w:color="auto"/>
        <w:bottom w:val="none" w:sz="0" w:space="0" w:color="auto"/>
        <w:right w:val="none" w:sz="0" w:space="0" w:color="auto"/>
      </w:divBdr>
    </w:div>
    <w:div w:id="1569340962">
      <w:bodyDiv w:val="1"/>
      <w:marLeft w:val="0"/>
      <w:marRight w:val="0"/>
      <w:marTop w:val="0"/>
      <w:marBottom w:val="0"/>
      <w:divBdr>
        <w:top w:val="none" w:sz="0" w:space="0" w:color="auto"/>
        <w:left w:val="none" w:sz="0" w:space="0" w:color="auto"/>
        <w:bottom w:val="none" w:sz="0" w:space="0" w:color="auto"/>
        <w:right w:val="none" w:sz="0" w:space="0" w:color="auto"/>
      </w:divBdr>
    </w:div>
    <w:div w:id="1592470427">
      <w:bodyDiv w:val="1"/>
      <w:marLeft w:val="0"/>
      <w:marRight w:val="0"/>
      <w:marTop w:val="0"/>
      <w:marBottom w:val="0"/>
      <w:divBdr>
        <w:top w:val="none" w:sz="0" w:space="0" w:color="auto"/>
        <w:left w:val="none" w:sz="0" w:space="0" w:color="auto"/>
        <w:bottom w:val="none" w:sz="0" w:space="0" w:color="auto"/>
        <w:right w:val="none" w:sz="0" w:space="0" w:color="auto"/>
      </w:divBdr>
    </w:div>
    <w:div w:id="1620604381">
      <w:bodyDiv w:val="1"/>
      <w:marLeft w:val="0"/>
      <w:marRight w:val="0"/>
      <w:marTop w:val="0"/>
      <w:marBottom w:val="0"/>
      <w:divBdr>
        <w:top w:val="none" w:sz="0" w:space="0" w:color="auto"/>
        <w:left w:val="none" w:sz="0" w:space="0" w:color="auto"/>
        <w:bottom w:val="none" w:sz="0" w:space="0" w:color="auto"/>
        <w:right w:val="none" w:sz="0" w:space="0" w:color="auto"/>
      </w:divBdr>
    </w:div>
    <w:div w:id="1628507478">
      <w:bodyDiv w:val="1"/>
      <w:marLeft w:val="0"/>
      <w:marRight w:val="0"/>
      <w:marTop w:val="0"/>
      <w:marBottom w:val="0"/>
      <w:divBdr>
        <w:top w:val="none" w:sz="0" w:space="0" w:color="auto"/>
        <w:left w:val="none" w:sz="0" w:space="0" w:color="auto"/>
        <w:bottom w:val="none" w:sz="0" w:space="0" w:color="auto"/>
        <w:right w:val="none" w:sz="0" w:space="0" w:color="auto"/>
      </w:divBdr>
    </w:div>
    <w:div w:id="1715884908">
      <w:bodyDiv w:val="1"/>
      <w:marLeft w:val="0"/>
      <w:marRight w:val="0"/>
      <w:marTop w:val="0"/>
      <w:marBottom w:val="0"/>
      <w:divBdr>
        <w:top w:val="none" w:sz="0" w:space="0" w:color="auto"/>
        <w:left w:val="none" w:sz="0" w:space="0" w:color="auto"/>
        <w:bottom w:val="none" w:sz="0" w:space="0" w:color="auto"/>
        <w:right w:val="none" w:sz="0" w:space="0" w:color="auto"/>
      </w:divBdr>
    </w:div>
    <w:div w:id="1752045384">
      <w:bodyDiv w:val="1"/>
      <w:marLeft w:val="0"/>
      <w:marRight w:val="0"/>
      <w:marTop w:val="0"/>
      <w:marBottom w:val="0"/>
      <w:divBdr>
        <w:top w:val="none" w:sz="0" w:space="0" w:color="auto"/>
        <w:left w:val="none" w:sz="0" w:space="0" w:color="auto"/>
        <w:bottom w:val="none" w:sz="0" w:space="0" w:color="auto"/>
        <w:right w:val="none" w:sz="0" w:space="0" w:color="auto"/>
      </w:divBdr>
    </w:div>
    <w:div w:id="1793933879">
      <w:bodyDiv w:val="1"/>
      <w:marLeft w:val="0"/>
      <w:marRight w:val="0"/>
      <w:marTop w:val="0"/>
      <w:marBottom w:val="0"/>
      <w:divBdr>
        <w:top w:val="none" w:sz="0" w:space="0" w:color="auto"/>
        <w:left w:val="none" w:sz="0" w:space="0" w:color="auto"/>
        <w:bottom w:val="none" w:sz="0" w:space="0" w:color="auto"/>
        <w:right w:val="none" w:sz="0" w:space="0" w:color="auto"/>
      </w:divBdr>
    </w:div>
    <w:div w:id="1796825467">
      <w:bodyDiv w:val="1"/>
      <w:marLeft w:val="0"/>
      <w:marRight w:val="0"/>
      <w:marTop w:val="0"/>
      <w:marBottom w:val="0"/>
      <w:divBdr>
        <w:top w:val="none" w:sz="0" w:space="0" w:color="auto"/>
        <w:left w:val="none" w:sz="0" w:space="0" w:color="auto"/>
        <w:bottom w:val="none" w:sz="0" w:space="0" w:color="auto"/>
        <w:right w:val="none" w:sz="0" w:space="0" w:color="auto"/>
      </w:divBdr>
    </w:div>
    <w:div w:id="1802067898">
      <w:bodyDiv w:val="1"/>
      <w:marLeft w:val="0"/>
      <w:marRight w:val="0"/>
      <w:marTop w:val="0"/>
      <w:marBottom w:val="0"/>
      <w:divBdr>
        <w:top w:val="none" w:sz="0" w:space="0" w:color="auto"/>
        <w:left w:val="none" w:sz="0" w:space="0" w:color="auto"/>
        <w:bottom w:val="none" w:sz="0" w:space="0" w:color="auto"/>
        <w:right w:val="none" w:sz="0" w:space="0" w:color="auto"/>
      </w:divBdr>
    </w:div>
    <w:div w:id="1821918897">
      <w:bodyDiv w:val="1"/>
      <w:marLeft w:val="0"/>
      <w:marRight w:val="0"/>
      <w:marTop w:val="0"/>
      <w:marBottom w:val="0"/>
      <w:divBdr>
        <w:top w:val="none" w:sz="0" w:space="0" w:color="auto"/>
        <w:left w:val="none" w:sz="0" w:space="0" w:color="auto"/>
        <w:bottom w:val="none" w:sz="0" w:space="0" w:color="auto"/>
        <w:right w:val="none" w:sz="0" w:space="0" w:color="auto"/>
      </w:divBdr>
    </w:div>
    <w:div w:id="1862892862">
      <w:bodyDiv w:val="1"/>
      <w:marLeft w:val="0"/>
      <w:marRight w:val="0"/>
      <w:marTop w:val="0"/>
      <w:marBottom w:val="0"/>
      <w:divBdr>
        <w:top w:val="none" w:sz="0" w:space="0" w:color="auto"/>
        <w:left w:val="none" w:sz="0" w:space="0" w:color="auto"/>
        <w:bottom w:val="none" w:sz="0" w:space="0" w:color="auto"/>
        <w:right w:val="none" w:sz="0" w:space="0" w:color="auto"/>
      </w:divBdr>
    </w:div>
    <w:div w:id="1907884875">
      <w:bodyDiv w:val="1"/>
      <w:marLeft w:val="0"/>
      <w:marRight w:val="0"/>
      <w:marTop w:val="0"/>
      <w:marBottom w:val="0"/>
      <w:divBdr>
        <w:top w:val="none" w:sz="0" w:space="0" w:color="auto"/>
        <w:left w:val="none" w:sz="0" w:space="0" w:color="auto"/>
        <w:bottom w:val="none" w:sz="0" w:space="0" w:color="auto"/>
        <w:right w:val="none" w:sz="0" w:space="0" w:color="auto"/>
      </w:divBdr>
    </w:div>
    <w:div w:id="1931238363">
      <w:bodyDiv w:val="1"/>
      <w:marLeft w:val="0"/>
      <w:marRight w:val="0"/>
      <w:marTop w:val="0"/>
      <w:marBottom w:val="0"/>
      <w:divBdr>
        <w:top w:val="none" w:sz="0" w:space="0" w:color="auto"/>
        <w:left w:val="none" w:sz="0" w:space="0" w:color="auto"/>
        <w:bottom w:val="none" w:sz="0" w:space="0" w:color="auto"/>
        <w:right w:val="none" w:sz="0" w:space="0" w:color="auto"/>
      </w:divBdr>
    </w:div>
    <w:div w:id="1966037958">
      <w:bodyDiv w:val="1"/>
      <w:marLeft w:val="0"/>
      <w:marRight w:val="0"/>
      <w:marTop w:val="0"/>
      <w:marBottom w:val="0"/>
      <w:divBdr>
        <w:top w:val="none" w:sz="0" w:space="0" w:color="auto"/>
        <w:left w:val="none" w:sz="0" w:space="0" w:color="auto"/>
        <w:bottom w:val="none" w:sz="0" w:space="0" w:color="auto"/>
        <w:right w:val="none" w:sz="0" w:space="0" w:color="auto"/>
      </w:divBdr>
    </w:div>
    <w:div w:id="1970163123">
      <w:bodyDiv w:val="1"/>
      <w:marLeft w:val="0"/>
      <w:marRight w:val="0"/>
      <w:marTop w:val="0"/>
      <w:marBottom w:val="0"/>
      <w:divBdr>
        <w:top w:val="none" w:sz="0" w:space="0" w:color="auto"/>
        <w:left w:val="none" w:sz="0" w:space="0" w:color="auto"/>
        <w:bottom w:val="none" w:sz="0" w:space="0" w:color="auto"/>
        <w:right w:val="none" w:sz="0" w:space="0" w:color="auto"/>
      </w:divBdr>
    </w:div>
    <w:div w:id="1989089452">
      <w:bodyDiv w:val="1"/>
      <w:marLeft w:val="0"/>
      <w:marRight w:val="0"/>
      <w:marTop w:val="0"/>
      <w:marBottom w:val="0"/>
      <w:divBdr>
        <w:top w:val="none" w:sz="0" w:space="0" w:color="auto"/>
        <w:left w:val="none" w:sz="0" w:space="0" w:color="auto"/>
        <w:bottom w:val="none" w:sz="0" w:space="0" w:color="auto"/>
        <w:right w:val="none" w:sz="0" w:space="0" w:color="auto"/>
      </w:divBdr>
    </w:div>
    <w:div w:id="2031102912">
      <w:bodyDiv w:val="1"/>
      <w:marLeft w:val="0"/>
      <w:marRight w:val="0"/>
      <w:marTop w:val="0"/>
      <w:marBottom w:val="0"/>
      <w:divBdr>
        <w:top w:val="none" w:sz="0" w:space="0" w:color="auto"/>
        <w:left w:val="none" w:sz="0" w:space="0" w:color="auto"/>
        <w:bottom w:val="none" w:sz="0" w:space="0" w:color="auto"/>
        <w:right w:val="none" w:sz="0" w:space="0" w:color="auto"/>
      </w:divBdr>
    </w:div>
    <w:div w:id="2086874239">
      <w:bodyDiv w:val="1"/>
      <w:marLeft w:val="0"/>
      <w:marRight w:val="0"/>
      <w:marTop w:val="0"/>
      <w:marBottom w:val="0"/>
      <w:divBdr>
        <w:top w:val="none" w:sz="0" w:space="0" w:color="auto"/>
        <w:left w:val="none" w:sz="0" w:space="0" w:color="auto"/>
        <w:bottom w:val="none" w:sz="0" w:space="0" w:color="auto"/>
        <w:right w:val="none" w:sz="0" w:space="0" w:color="auto"/>
      </w:divBdr>
    </w:div>
    <w:div w:id="212398703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6976D-C418-4D4C-9246-EB3A68902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3064</Words>
  <Characters>17467</Characters>
  <Application>Microsoft Office Word</Application>
  <DocSecurity>0</DocSecurity>
  <Lines>145</Lines>
  <Paragraphs>40</Paragraphs>
  <ScaleCrop>false</ScaleCrop>
  <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La Puente</dc:creator>
  <cp:keywords/>
  <dc:description/>
  <cp:lastModifiedBy>Celine Reynaud</cp:lastModifiedBy>
  <cp:revision>2</cp:revision>
  <dcterms:created xsi:type="dcterms:W3CDTF">2023-01-17T09:38:00Z</dcterms:created>
  <dcterms:modified xsi:type="dcterms:W3CDTF">2023-01-17T09:38:00Z</dcterms:modified>
</cp:coreProperties>
</file>