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CD064D" w14:textId="671CEC1D" w:rsidR="005A6845" w:rsidRDefault="00B17D3A" w:rsidP="005A6845">
      <w:pPr>
        <w:pStyle w:val="Default"/>
        <w:spacing w:after="120"/>
        <w:jc w:val="both"/>
        <w:rPr>
          <w:rFonts w:asciiTheme="minorHAnsi" w:hAnsiTheme="minorHAnsi" w:cstheme="minorHAnsi"/>
          <w:b/>
          <w:bCs/>
          <w:color w:val="auto"/>
          <w:sz w:val="28"/>
          <w:szCs w:val="28"/>
        </w:rPr>
      </w:pPr>
      <w:bookmarkStart w:id="0" w:name="_GoBack"/>
      <w:bookmarkEnd w:id="0"/>
      <w:r>
        <w:rPr>
          <w:rFonts w:asciiTheme="minorHAnsi" w:hAnsiTheme="minorHAnsi" w:cstheme="minorHAnsi"/>
          <w:b/>
          <w:bCs/>
          <w:noProof/>
          <w:color w:val="auto"/>
          <w:sz w:val="28"/>
          <w:szCs w:val="28"/>
          <w:lang w:eastAsia="es-CL"/>
        </w:rPr>
        <w:drawing>
          <wp:inline distT="0" distB="0" distL="0" distR="0" wp14:anchorId="5B9B060D" wp14:editId="6A4363AC">
            <wp:extent cx="5612130" cy="2581910"/>
            <wp:effectExtent l="0" t="0" r="7620" b="889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 ENERO 2020.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12130" cy="2581910"/>
                    </a:xfrm>
                    <a:prstGeom prst="rect">
                      <a:avLst/>
                    </a:prstGeom>
                  </pic:spPr>
                </pic:pic>
              </a:graphicData>
            </a:graphic>
          </wp:inline>
        </w:drawing>
      </w:r>
      <w:r w:rsidR="005A6845" w:rsidRPr="008825F1">
        <w:rPr>
          <w:rFonts w:asciiTheme="minorHAnsi" w:hAnsiTheme="minorHAnsi" w:cstheme="minorHAnsi"/>
          <w:b/>
          <w:bCs/>
          <w:color w:val="auto"/>
          <w:sz w:val="28"/>
          <w:szCs w:val="28"/>
        </w:rPr>
        <w:t xml:space="preserve">                                                                                             </w:t>
      </w:r>
    </w:p>
    <w:p w14:paraId="17777E42" w14:textId="77777777" w:rsidR="005A6845" w:rsidRDefault="005A6845" w:rsidP="005A6845">
      <w:pPr>
        <w:pStyle w:val="Default"/>
        <w:spacing w:after="120"/>
        <w:jc w:val="both"/>
        <w:rPr>
          <w:rFonts w:asciiTheme="minorHAnsi" w:hAnsiTheme="minorHAnsi" w:cstheme="minorHAnsi"/>
          <w:b/>
          <w:bCs/>
          <w:color w:val="auto"/>
          <w:sz w:val="28"/>
          <w:szCs w:val="28"/>
        </w:rPr>
      </w:pPr>
    </w:p>
    <w:p w14:paraId="1027C723" w14:textId="77777777" w:rsidR="005A6845" w:rsidRDefault="005A6845" w:rsidP="005A6845">
      <w:pPr>
        <w:pStyle w:val="Default"/>
        <w:spacing w:after="120"/>
        <w:jc w:val="both"/>
        <w:rPr>
          <w:rFonts w:asciiTheme="minorHAnsi" w:hAnsiTheme="minorHAnsi" w:cstheme="minorHAnsi"/>
          <w:b/>
          <w:bCs/>
          <w:color w:val="auto"/>
          <w:sz w:val="28"/>
          <w:szCs w:val="28"/>
        </w:rPr>
      </w:pPr>
    </w:p>
    <w:p w14:paraId="610F56BE" w14:textId="42BE3A2C" w:rsidR="005A6845" w:rsidRPr="008825F1" w:rsidRDefault="005A6845" w:rsidP="00913648">
      <w:pPr>
        <w:pStyle w:val="Default"/>
        <w:spacing w:after="120"/>
        <w:jc w:val="center"/>
        <w:rPr>
          <w:rFonts w:asciiTheme="minorHAnsi" w:hAnsiTheme="minorHAnsi" w:cstheme="minorHAnsi"/>
          <w:b/>
          <w:bCs/>
          <w:color w:val="auto"/>
          <w:sz w:val="28"/>
          <w:szCs w:val="28"/>
        </w:rPr>
      </w:pPr>
      <w:r w:rsidRPr="008825F1">
        <w:rPr>
          <w:rFonts w:asciiTheme="minorHAnsi" w:hAnsiTheme="minorHAnsi" w:cstheme="minorHAnsi"/>
          <w:b/>
          <w:bCs/>
          <w:color w:val="auto"/>
          <w:sz w:val="28"/>
          <w:szCs w:val="28"/>
        </w:rPr>
        <w:t>COMENTARIOS Y APORTES DE LA SOCIEDAD CIVIL PARA LA LISTA DE CUESTIONES Y PREGUNTAS RELACIONADAS CON EL EXAMEN DEL QUINTO INFORME PERIÓDICO DEL ESTADO DE CHILE ANTE EL COMITÉ DE DERECHOS ECONÓMICOS, SOCIALES Y CULTURALES</w:t>
      </w:r>
    </w:p>
    <w:p w14:paraId="247F91E0" w14:textId="6A5FA0BC" w:rsidR="005A6845" w:rsidRDefault="00913648" w:rsidP="00913648">
      <w:pPr>
        <w:pStyle w:val="Default"/>
        <w:spacing w:after="120"/>
        <w:jc w:val="center"/>
        <w:rPr>
          <w:b/>
          <w:bCs/>
          <w:color w:val="auto"/>
          <w:sz w:val="23"/>
          <w:szCs w:val="23"/>
        </w:rPr>
      </w:pPr>
      <w:r>
        <w:rPr>
          <w:b/>
          <w:bCs/>
          <w:color w:val="auto"/>
          <w:sz w:val="23"/>
          <w:szCs w:val="23"/>
        </w:rPr>
        <w:t>(</w:t>
      </w:r>
      <w:r w:rsidR="00601EB3">
        <w:rPr>
          <w:b/>
          <w:bCs/>
          <w:color w:val="auto"/>
          <w:sz w:val="23"/>
          <w:szCs w:val="23"/>
        </w:rPr>
        <w:t>Diciembre 2019</w:t>
      </w:r>
      <w:r>
        <w:rPr>
          <w:b/>
          <w:bCs/>
          <w:color w:val="auto"/>
          <w:sz w:val="23"/>
          <w:szCs w:val="23"/>
        </w:rPr>
        <w:t>)</w:t>
      </w:r>
    </w:p>
    <w:p w14:paraId="778C1D6D" w14:textId="77777777" w:rsidR="00267E55" w:rsidRDefault="00267E55" w:rsidP="00913648">
      <w:pPr>
        <w:pStyle w:val="Default"/>
        <w:spacing w:after="120"/>
        <w:jc w:val="center"/>
        <w:rPr>
          <w:b/>
          <w:bCs/>
          <w:color w:val="auto"/>
          <w:sz w:val="23"/>
          <w:szCs w:val="23"/>
        </w:rPr>
      </w:pPr>
    </w:p>
    <w:p w14:paraId="7371F8D6" w14:textId="22A73307" w:rsidR="00913648" w:rsidRPr="00913648" w:rsidRDefault="00913648" w:rsidP="00913648">
      <w:pPr>
        <w:pStyle w:val="Default"/>
        <w:spacing w:after="120"/>
        <w:jc w:val="center"/>
        <w:rPr>
          <w:rFonts w:asciiTheme="minorHAnsi" w:hAnsiTheme="minorHAnsi" w:cstheme="minorHAnsi"/>
          <w:b/>
          <w:bCs/>
          <w:color w:val="auto"/>
          <w:sz w:val="23"/>
          <w:szCs w:val="23"/>
        </w:rPr>
      </w:pPr>
      <w:r w:rsidRPr="00913648">
        <w:rPr>
          <w:rFonts w:asciiTheme="minorHAnsi" w:hAnsiTheme="minorHAnsi" w:cstheme="minorHAnsi"/>
          <w:b/>
          <w:bCs/>
          <w:color w:val="auto"/>
          <w:sz w:val="23"/>
          <w:szCs w:val="23"/>
        </w:rPr>
        <w:t>Corporación Humanas,</w:t>
      </w:r>
      <w:r>
        <w:rPr>
          <w:rFonts w:asciiTheme="minorHAnsi" w:hAnsiTheme="minorHAnsi" w:cstheme="minorHAnsi"/>
          <w:b/>
          <w:bCs/>
          <w:color w:val="auto"/>
          <w:sz w:val="23"/>
          <w:szCs w:val="23"/>
        </w:rPr>
        <w:t xml:space="preserve"> </w:t>
      </w:r>
      <w:r w:rsidRPr="00913648">
        <w:rPr>
          <w:rFonts w:asciiTheme="minorHAnsi" w:hAnsiTheme="minorHAnsi" w:cstheme="minorHAnsi"/>
          <w:b/>
          <w:bCs/>
          <w:color w:val="auto"/>
          <w:sz w:val="23"/>
          <w:szCs w:val="23"/>
        </w:rPr>
        <w:t>Centro Regional de Derechos Humanos y Justicia de Género</w:t>
      </w:r>
    </w:p>
    <w:p w14:paraId="5BFE031D" w14:textId="2647A59D" w:rsidR="00913648" w:rsidRPr="00913648" w:rsidRDefault="00913648" w:rsidP="00913648">
      <w:pPr>
        <w:pStyle w:val="Default"/>
        <w:spacing w:after="120"/>
        <w:jc w:val="center"/>
        <w:rPr>
          <w:rFonts w:asciiTheme="minorHAnsi" w:hAnsiTheme="minorHAnsi" w:cstheme="minorHAnsi"/>
          <w:b/>
          <w:bCs/>
          <w:color w:val="auto"/>
          <w:sz w:val="23"/>
          <w:szCs w:val="23"/>
        </w:rPr>
      </w:pPr>
      <w:r w:rsidRPr="00913648">
        <w:rPr>
          <w:rFonts w:asciiTheme="minorHAnsi" w:hAnsiTheme="minorHAnsi" w:cstheme="minorHAnsi"/>
          <w:b/>
          <w:bCs/>
          <w:color w:val="auto"/>
          <w:sz w:val="23"/>
          <w:szCs w:val="23"/>
        </w:rPr>
        <w:t>Centro de Estudios de la Mujer</w:t>
      </w:r>
      <w:r w:rsidR="00267E55">
        <w:rPr>
          <w:rFonts w:asciiTheme="minorHAnsi" w:hAnsiTheme="minorHAnsi" w:cstheme="minorHAnsi"/>
          <w:b/>
          <w:bCs/>
          <w:color w:val="auto"/>
          <w:sz w:val="23"/>
          <w:szCs w:val="23"/>
        </w:rPr>
        <w:t xml:space="preserve"> -</w:t>
      </w:r>
      <w:r w:rsidRPr="00913648">
        <w:rPr>
          <w:rFonts w:asciiTheme="minorHAnsi" w:hAnsiTheme="minorHAnsi" w:cstheme="minorHAnsi"/>
          <w:b/>
          <w:bCs/>
          <w:color w:val="auto"/>
          <w:sz w:val="23"/>
          <w:szCs w:val="23"/>
        </w:rPr>
        <w:t xml:space="preserve"> CEM</w:t>
      </w:r>
    </w:p>
    <w:p w14:paraId="3ACA5391" w14:textId="7C5E580B" w:rsidR="00913648" w:rsidRDefault="00913648" w:rsidP="00913648">
      <w:pPr>
        <w:pStyle w:val="Default"/>
        <w:spacing w:after="120"/>
        <w:jc w:val="center"/>
        <w:rPr>
          <w:rFonts w:asciiTheme="minorHAnsi" w:hAnsiTheme="minorHAnsi" w:cstheme="minorHAnsi"/>
          <w:b/>
          <w:bCs/>
          <w:color w:val="auto"/>
          <w:sz w:val="23"/>
          <w:szCs w:val="23"/>
        </w:rPr>
      </w:pPr>
      <w:r w:rsidRPr="00913648">
        <w:rPr>
          <w:rFonts w:asciiTheme="minorHAnsi" w:hAnsiTheme="minorHAnsi" w:cstheme="minorHAnsi"/>
          <w:b/>
          <w:bCs/>
          <w:color w:val="auto"/>
          <w:sz w:val="23"/>
          <w:szCs w:val="23"/>
        </w:rPr>
        <w:t>Corporación Opción</w:t>
      </w:r>
    </w:p>
    <w:p w14:paraId="49E5CB83" w14:textId="68E7A619" w:rsidR="00267E55" w:rsidRPr="00913648" w:rsidRDefault="00267E55" w:rsidP="00913648">
      <w:pPr>
        <w:pStyle w:val="Default"/>
        <w:spacing w:after="120"/>
        <w:jc w:val="center"/>
        <w:rPr>
          <w:rFonts w:asciiTheme="minorHAnsi" w:hAnsiTheme="minorHAnsi" w:cstheme="minorHAnsi"/>
          <w:b/>
          <w:bCs/>
          <w:color w:val="auto"/>
          <w:sz w:val="23"/>
          <w:szCs w:val="23"/>
        </w:rPr>
      </w:pPr>
      <w:r>
        <w:rPr>
          <w:rFonts w:asciiTheme="minorHAnsi" w:hAnsiTheme="minorHAnsi" w:cstheme="minorHAnsi"/>
          <w:b/>
          <w:bCs/>
          <w:color w:val="auto"/>
          <w:sz w:val="23"/>
          <w:szCs w:val="23"/>
        </w:rPr>
        <w:t>Movimiento Acción Migrante - MAM</w:t>
      </w:r>
    </w:p>
    <w:p w14:paraId="64752020" w14:textId="5B7D28DC" w:rsidR="00913648" w:rsidRPr="00913648" w:rsidRDefault="00913648" w:rsidP="00913648">
      <w:pPr>
        <w:pStyle w:val="Default"/>
        <w:spacing w:after="120"/>
        <w:jc w:val="center"/>
        <w:rPr>
          <w:rFonts w:asciiTheme="minorHAnsi" w:hAnsiTheme="minorHAnsi" w:cstheme="minorHAnsi"/>
          <w:b/>
          <w:bCs/>
          <w:color w:val="auto"/>
          <w:sz w:val="23"/>
          <w:szCs w:val="23"/>
        </w:rPr>
      </w:pPr>
      <w:r w:rsidRPr="00913648">
        <w:rPr>
          <w:rFonts w:asciiTheme="minorHAnsi" w:hAnsiTheme="minorHAnsi" w:cstheme="minorHAnsi"/>
          <w:b/>
          <w:bCs/>
          <w:color w:val="auto"/>
          <w:sz w:val="23"/>
          <w:szCs w:val="23"/>
        </w:rPr>
        <w:tab/>
        <w:t>Agrupación Lésbica Rompiendo el Silencio</w:t>
      </w:r>
    </w:p>
    <w:p w14:paraId="6B955C28" w14:textId="406B8220" w:rsidR="00913648" w:rsidRDefault="00913648" w:rsidP="00913648">
      <w:pPr>
        <w:pStyle w:val="Default"/>
        <w:spacing w:after="120"/>
        <w:jc w:val="center"/>
        <w:rPr>
          <w:rFonts w:asciiTheme="minorHAnsi" w:hAnsiTheme="minorHAnsi" w:cstheme="minorHAnsi"/>
          <w:b/>
          <w:bCs/>
          <w:color w:val="auto"/>
          <w:sz w:val="23"/>
          <w:szCs w:val="23"/>
        </w:rPr>
      </w:pPr>
      <w:r w:rsidRPr="00913648">
        <w:rPr>
          <w:rFonts w:asciiTheme="minorHAnsi" w:hAnsiTheme="minorHAnsi" w:cstheme="minorHAnsi"/>
          <w:b/>
          <w:bCs/>
          <w:color w:val="auto"/>
          <w:sz w:val="23"/>
          <w:szCs w:val="23"/>
        </w:rPr>
        <w:t>Litigio Estructural en Derechos Humanos, LEASUR</w:t>
      </w:r>
    </w:p>
    <w:p w14:paraId="410FF6AA" w14:textId="5BC71410" w:rsidR="00913648" w:rsidRPr="00913648" w:rsidRDefault="00913648" w:rsidP="00913648">
      <w:pPr>
        <w:pStyle w:val="Default"/>
        <w:spacing w:after="120"/>
        <w:jc w:val="center"/>
        <w:rPr>
          <w:rFonts w:asciiTheme="minorHAnsi" w:hAnsiTheme="minorHAnsi" w:cstheme="minorHAnsi"/>
          <w:b/>
          <w:bCs/>
          <w:color w:val="auto"/>
          <w:sz w:val="23"/>
          <w:szCs w:val="23"/>
        </w:rPr>
      </w:pPr>
      <w:r w:rsidRPr="00913648">
        <w:rPr>
          <w:rFonts w:asciiTheme="minorHAnsi" w:hAnsiTheme="minorHAnsi" w:cstheme="minorHAnsi"/>
          <w:b/>
          <w:bCs/>
          <w:color w:val="auto"/>
          <w:sz w:val="23"/>
          <w:szCs w:val="23"/>
        </w:rPr>
        <w:t>Observatorio sobre Violencia Institucional en Chile-OVIC</w:t>
      </w:r>
    </w:p>
    <w:p w14:paraId="776BD44C" w14:textId="7EBC5D2B" w:rsidR="00913648" w:rsidRPr="00913648" w:rsidRDefault="00913648" w:rsidP="00913648">
      <w:pPr>
        <w:pStyle w:val="Default"/>
        <w:spacing w:after="120"/>
        <w:jc w:val="center"/>
        <w:rPr>
          <w:rFonts w:asciiTheme="minorHAnsi" w:hAnsiTheme="minorHAnsi" w:cstheme="minorHAnsi"/>
          <w:b/>
          <w:bCs/>
          <w:color w:val="auto"/>
          <w:sz w:val="23"/>
          <w:szCs w:val="23"/>
        </w:rPr>
      </w:pPr>
      <w:r w:rsidRPr="00913648">
        <w:rPr>
          <w:rFonts w:asciiTheme="minorHAnsi" w:hAnsiTheme="minorHAnsi" w:cstheme="minorHAnsi"/>
          <w:b/>
          <w:bCs/>
          <w:color w:val="auto"/>
          <w:sz w:val="23"/>
          <w:szCs w:val="23"/>
        </w:rPr>
        <w:t>Observatorio Contra el Acoso Chile</w:t>
      </w:r>
    </w:p>
    <w:p w14:paraId="1B4F3AAD" w14:textId="6B5A8FA1" w:rsidR="00913648" w:rsidRDefault="00913648" w:rsidP="00913648">
      <w:pPr>
        <w:pStyle w:val="Default"/>
        <w:spacing w:after="120"/>
        <w:jc w:val="center"/>
        <w:rPr>
          <w:rFonts w:asciiTheme="minorHAnsi" w:hAnsiTheme="minorHAnsi" w:cstheme="minorHAnsi"/>
          <w:b/>
          <w:bCs/>
          <w:color w:val="auto"/>
          <w:sz w:val="23"/>
          <w:szCs w:val="23"/>
        </w:rPr>
      </w:pPr>
      <w:r w:rsidRPr="00913648">
        <w:rPr>
          <w:rFonts w:asciiTheme="minorHAnsi" w:hAnsiTheme="minorHAnsi" w:cstheme="minorHAnsi"/>
          <w:b/>
          <w:bCs/>
          <w:color w:val="auto"/>
          <w:sz w:val="23"/>
          <w:szCs w:val="23"/>
        </w:rPr>
        <w:t>Fundación Instituto de la Mujer</w:t>
      </w:r>
    </w:p>
    <w:p w14:paraId="5D7271DC" w14:textId="0A86FC5C" w:rsidR="00267E55" w:rsidRPr="00913648" w:rsidRDefault="00267E55" w:rsidP="00913648">
      <w:pPr>
        <w:pStyle w:val="Default"/>
        <w:spacing w:after="120"/>
        <w:jc w:val="center"/>
        <w:rPr>
          <w:rFonts w:asciiTheme="minorHAnsi" w:hAnsiTheme="minorHAnsi" w:cstheme="minorHAnsi"/>
          <w:b/>
          <w:bCs/>
          <w:color w:val="auto"/>
          <w:sz w:val="23"/>
          <w:szCs w:val="23"/>
        </w:rPr>
      </w:pPr>
      <w:r>
        <w:rPr>
          <w:rFonts w:asciiTheme="minorHAnsi" w:hAnsiTheme="minorHAnsi" w:cstheme="minorHAnsi"/>
          <w:b/>
          <w:bCs/>
          <w:color w:val="auto"/>
          <w:sz w:val="23"/>
          <w:szCs w:val="23"/>
        </w:rPr>
        <w:t>Colectivo Sin Fronteras</w:t>
      </w:r>
    </w:p>
    <w:p w14:paraId="227CB090" w14:textId="12F051FB" w:rsidR="00913648" w:rsidRDefault="00913648" w:rsidP="00913648">
      <w:pPr>
        <w:pStyle w:val="Default"/>
        <w:spacing w:after="120"/>
        <w:jc w:val="center"/>
        <w:rPr>
          <w:rFonts w:asciiTheme="minorHAnsi" w:eastAsia="Times New Roman" w:hAnsiTheme="minorHAnsi" w:cstheme="minorHAnsi"/>
          <w:b/>
          <w:sz w:val="23"/>
          <w:szCs w:val="23"/>
        </w:rPr>
      </w:pPr>
      <w:r w:rsidRPr="00913648">
        <w:rPr>
          <w:rFonts w:asciiTheme="minorHAnsi" w:eastAsia="Times New Roman" w:hAnsiTheme="minorHAnsi" w:cstheme="minorHAnsi"/>
          <w:b/>
          <w:sz w:val="23"/>
          <w:szCs w:val="23"/>
        </w:rPr>
        <w:t>Fundación mil trescientos sesenta y siete</w:t>
      </w:r>
      <w:r w:rsidRPr="00913648">
        <w:rPr>
          <w:rFonts w:asciiTheme="minorHAnsi" w:hAnsiTheme="minorHAnsi" w:cstheme="minorHAnsi"/>
          <w:b/>
          <w:sz w:val="23"/>
          <w:szCs w:val="23"/>
        </w:rPr>
        <w:t xml:space="preserve">, </w:t>
      </w:r>
      <w:r w:rsidRPr="00913648">
        <w:rPr>
          <w:rFonts w:asciiTheme="minorHAnsi" w:eastAsia="Times New Roman" w:hAnsiTheme="minorHAnsi" w:cstheme="minorHAnsi"/>
          <w:b/>
          <w:sz w:val="23"/>
          <w:szCs w:val="23"/>
        </w:rPr>
        <w:t>Comisión de Observadores de Derechos Humanos</w:t>
      </w:r>
      <w:r w:rsidRPr="00913648">
        <w:rPr>
          <w:rFonts w:asciiTheme="minorHAnsi" w:hAnsiTheme="minorHAnsi" w:cstheme="minorHAnsi"/>
          <w:b/>
          <w:sz w:val="23"/>
          <w:szCs w:val="23"/>
        </w:rPr>
        <w:t xml:space="preserve">, </w:t>
      </w:r>
      <w:r w:rsidRPr="00913648">
        <w:rPr>
          <w:rFonts w:asciiTheme="minorHAnsi" w:eastAsia="Times New Roman" w:hAnsiTheme="minorHAnsi" w:cstheme="minorHAnsi"/>
          <w:b/>
          <w:sz w:val="23"/>
          <w:szCs w:val="23"/>
        </w:rPr>
        <w:t>Casa Memoria José Domingo Cañas</w:t>
      </w:r>
    </w:p>
    <w:p w14:paraId="5CC1F21B" w14:textId="65174CAF" w:rsidR="00913648" w:rsidRDefault="00267E55" w:rsidP="00913648">
      <w:pPr>
        <w:pStyle w:val="Default"/>
        <w:spacing w:after="120"/>
        <w:jc w:val="center"/>
        <w:rPr>
          <w:rFonts w:asciiTheme="minorHAnsi" w:hAnsiTheme="minorHAnsi" w:cstheme="minorHAnsi"/>
          <w:b/>
          <w:bCs/>
          <w:color w:val="auto"/>
          <w:sz w:val="23"/>
          <w:szCs w:val="23"/>
          <w:lang w:val="es-ES"/>
        </w:rPr>
      </w:pPr>
      <w:r w:rsidRPr="00913648">
        <w:rPr>
          <w:rFonts w:asciiTheme="minorHAnsi" w:hAnsiTheme="minorHAnsi" w:cstheme="minorHAnsi"/>
          <w:b/>
          <w:bCs/>
          <w:color w:val="auto"/>
          <w:sz w:val="23"/>
          <w:szCs w:val="23"/>
          <w:lang w:val="es-ES"/>
        </w:rPr>
        <w:t>Corporación</w:t>
      </w:r>
      <w:r w:rsidR="00913648" w:rsidRPr="00913648">
        <w:rPr>
          <w:rFonts w:asciiTheme="minorHAnsi" w:hAnsiTheme="minorHAnsi" w:cstheme="minorHAnsi"/>
          <w:b/>
          <w:bCs/>
          <w:color w:val="auto"/>
          <w:sz w:val="23"/>
          <w:szCs w:val="23"/>
          <w:lang w:val="es-ES"/>
        </w:rPr>
        <w:t xml:space="preserve"> Circulo Emancipador de Mujeres y Niñas con Discapacidad de Chile-CIMUNIDIS</w:t>
      </w:r>
    </w:p>
    <w:p w14:paraId="4C0A485B" w14:textId="77777777" w:rsidR="00267E55" w:rsidRPr="008825F1" w:rsidRDefault="00267E55" w:rsidP="00267E55">
      <w:pPr>
        <w:pStyle w:val="Default"/>
        <w:spacing w:after="120"/>
        <w:jc w:val="both"/>
        <w:rPr>
          <w:rFonts w:asciiTheme="minorHAnsi" w:hAnsiTheme="minorHAnsi" w:cstheme="minorHAnsi"/>
          <w:b/>
          <w:bCs/>
          <w:color w:val="auto"/>
        </w:rPr>
      </w:pPr>
      <w:proofErr w:type="spellStart"/>
      <w:r w:rsidRPr="008825F1">
        <w:rPr>
          <w:rFonts w:asciiTheme="minorHAnsi" w:hAnsiTheme="minorHAnsi" w:cstheme="minorHAnsi"/>
          <w:b/>
          <w:bCs/>
          <w:color w:val="auto"/>
        </w:rPr>
        <w:lastRenderedPageBreak/>
        <w:t>Justiciabilidad</w:t>
      </w:r>
      <w:proofErr w:type="spellEnd"/>
      <w:r w:rsidRPr="008825F1">
        <w:rPr>
          <w:rFonts w:asciiTheme="minorHAnsi" w:hAnsiTheme="minorHAnsi" w:cstheme="minorHAnsi"/>
          <w:b/>
          <w:bCs/>
          <w:color w:val="auto"/>
        </w:rPr>
        <w:t xml:space="preserve"> de los derechos contenidos en el Pacto </w:t>
      </w:r>
    </w:p>
    <w:p w14:paraId="41869C6E" w14:textId="77777777" w:rsidR="00267E55" w:rsidRPr="008825F1"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bCs/>
          <w:color w:val="auto"/>
        </w:rPr>
        <w:t xml:space="preserve">El 6 de marzo de 2018, a cinco días de dejar la presidencia de la República, la Presidenta Michelle Bachelet envió al Congreso un proyecto de reforma constitucional (Boletín 11617-07), el cual contiene una propuesta completa de nueva constitución y señala un itinerario para su aprobación. Sin embargo, este proyecto no ha tenido avances legislativos en el Senado. </w:t>
      </w:r>
    </w:p>
    <w:p w14:paraId="642C0BD7" w14:textId="77777777" w:rsidR="00267E55" w:rsidRPr="008825F1"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bCs/>
          <w:color w:val="auto"/>
        </w:rPr>
        <w:t xml:space="preserve">La Constitución Política vigente en el país no reconoce algunos de los derechos contenidos en el PIDESC (como el derecho al agua o a la vivienda) o si lo hace es de manera </w:t>
      </w:r>
      <w:r>
        <w:rPr>
          <w:rFonts w:asciiTheme="minorHAnsi" w:hAnsiTheme="minorHAnsi" w:cstheme="minorHAnsi"/>
          <w:bCs/>
          <w:color w:val="auto"/>
        </w:rPr>
        <w:t>débil</w:t>
      </w:r>
      <w:r w:rsidRPr="008825F1">
        <w:rPr>
          <w:rFonts w:asciiTheme="minorHAnsi" w:hAnsiTheme="minorHAnsi" w:cstheme="minorHAnsi"/>
          <w:bCs/>
          <w:color w:val="auto"/>
        </w:rPr>
        <w:t xml:space="preserve"> y </w:t>
      </w:r>
      <w:r>
        <w:rPr>
          <w:rFonts w:asciiTheme="minorHAnsi" w:hAnsiTheme="minorHAnsi" w:cstheme="minorHAnsi"/>
          <w:bCs/>
          <w:color w:val="auto"/>
        </w:rPr>
        <w:t xml:space="preserve">sin </w:t>
      </w:r>
      <w:r w:rsidRPr="008825F1">
        <w:rPr>
          <w:rFonts w:asciiTheme="minorHAnsi" w:hAnsiTheme="minorHAnsi" w:cstheme="minorHAnsi"/>
          <w:bCs/>
          <w:color w:val="auto"/>
        </w:rPr>
        <w:t>respeta</w:t>
      </w:r>
      <w:r>
        <w:rPr>
          <w:rFonts w:asciiTheme="minorHAnsi" w:hAnsiTheme="minorHAnsi" w:cstheme="minorHAnsi"/>
          <w:bCs/>
          <w:color w:val="auto"/>
        </w:rPr>
        <w:t xml:space="preserve">r </w:t>
      </w:r>
      <w:r w:rsidRPr="008825F1">
        <w:rPr>
          <w:rFonts w:asciiTheme="minorHAnsi" w:hAnsiTheme="minorHAnsi" w:cstheme="minorHAnsi"/>
          <w:bCs/>
          <w:color w:val="auto"/>
        </w:rPr>
        <w:t xml:space="preserve">las obligaciones inmediatas y/o los mínimos esenciales de los derechos (educación, salud, seguridad social, etc.). </w:t>
      </w:r>
    </w:p>
    <w:p w14:paraId="08CF15D2" w14:textId="77777777" w:rsidR="00267E55" w:rsidRPr="008825F1"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bCs/>
          <w:color w:val="auto"/>
        </w:rPr>
        <w:t>No existen mecanismos de reclamo constitucional para todos los DESC y ello ha significado que las altas cortes han debido protegerlos -aunque débilmente- de manera indirecta. A ello se suma que Chile no ha ratificado el Protocolo DESC ni a nivel interamericano ni a nivel universal y que los tratados de derechos humanos no son autoejecutables en Chile por lo que la población se encuentra con altos grados de indefensión frente a la realización de sus derechos económicos y sociales.</w:t>
      </w:r>
    </w:p>
    <w:p w14:paraId="0B84BD2F" w14:textId="77777777" w:rsidR="00267E55"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bCs/>
          <w:color w:val="auto"/>
        </w:rPr>
        <w:t xml:space="preserve">Por último, aún se encuentra pendiente el valor jerárquico de los tratados de derechos humanos, a pesar de su inclusión en el Art. 5 de la Constitución. En la práctica esto ha significado que el Tribunal Constitucional los incorpora como </w:t>
      </w:r>
      <w:r>
        <w:rPr>
          <w:rFonts w:asciiTheme="minorHAnsi" w:hAnsiTheme="minorHAnsi" w:cstheme="minorHAnsi"/>
          <w:bCs/>
          <w:color w:val="auto"/>
        </w:rPr>
        <w:t xml:space="preserve">mera </w:t>
      </w:r>
      <w:r w:rsidRPr="008825F1">
        <w:rPr>
          <w:rFonts w:asciiTheme="minorHAnsi" w:hAnsiTheme="minorHAnsi" w:cstheme="minorHAnsi"/>
          <w:bCs/>
          <w:color w:val="auto"/>
        </w:rPr>
        <w:t>referencia pero no como un aspecto imperativo del marco jurídico nacional.</w:t>
      </w:r>
    </w:p>
    <w:p w14:paraId="7E5A67C5" w14:textId="77777777" w:rsidR="00267E55" w:rsidRPr="008825F1" w:rsidRDefault="00267E55" w:rsidP="00267E55">
      <w:pPr>
        <w:pStyle w:val="Default"/>
        <w:spacing w:after="120"/>
        <w:jc w:val="both"/>
        <w:rPr>
          <w:rFonts w:asciiTheme="minorHAnsi" w:hAnsiTheme="minorHAnsi" w:cstheme="minorHAnsi"/>
          <w:bCs/>
          <w:color w:val="auto"/>
        </w:rPr>
      </w:pPr>
      <w:r>
        <w:rPr>
          <w:rFonts w:asciiTheme="minorHAnsi" w:hAnsiTheme="minorHAnsi" w:cstheme="minorHAnsi"/>
          <w:bCs/>
          <w:color w:val="auto"/>
        </w:rPr>
        <w:t xml:space="preserve">Un gran logro de la movilización social iniciada en octubre de 2019 ha sido la aprobación de una normativa que permite la convocatoria a plebiscito en abril de 2020 para consultar a la población si está de acuerdo con la elaboración de una nueva Constitución y sobre el mecanismo (mixta entre parlamentarios y ciudadanos/as electos/as como constituyentes o con 100% de constituyentes electos). De ganar la opción de nueva constitución, en octubre serían elegidos los y las </w:t>
      </w:r>
      <w:proofErr w:type="spellStart"/>
      <w:r>
        <w:rPr>
          <w:rFonts w:asciiTheme="minorHAnsi" w:hAnsiTheme="minorHAnsi" w:cstheme="minorHAnsi"/>
          <w:bCs/>
          <w:color w:val="auto"/>
        </w:rPr>
        <w:t>miembras</w:t>
      </w:r>
      <w:proofErr w:type="spellEnd"/>
      <w:r>
        <w:rPr>
          <w:rFonts w:asciiTheme="minorHAnsi" w:hAnsiTheme="minorHAnsi" w:cstheme="minorHAnsi"/>
          <w:bCs/>
          <w:color w:val="auto"/>
        </w:rPr>
        <w:t xml:space="preserve"> de la constituyente, contando con un plazo de hasta 12 meses para proponer al país nuevo texto constitucional que deberá ser aprobado a través de un plebiscito. Por tanto, nueva constitución sería posible en alrededor de dos años más.</w:t>
      </w:r>
    </w:p>
    <w:p w14:paraId="6D4BFD81" w14:textId="77777777" w:rsidR="00267E55" w:rsidRPr="008825F1" w:rsidRDefault="00267E55" w:rsidP="00267E55">
      <w:pPr>
        <w:pStyle w:val="Default"/>
        <w:jc w:val="both"/>
        <w:rPr>
          <w:rFonts w:asciiTheme="minorHAnsi" w:hAnsiTheme="minorHAnsi" w:cstheme="minorHAnsi"/>
          <w:b/>
          <w:bCs/>
          <w:color w:val="auto"/>
        </w:rPr>
      </w:pPr>
      <w:r w:rsidRPr="008825F1">
        <w:rPr>
          <w:rFonts w:asciiTheme="minorHAnsi" w:hAnsiTheme="minorHAnsi" w:cstheme="minorHAnsi"/>
          <w:bCs/>
          <w:color w:val="auto"/>
        </w:rPr>
        <w:t xml:space="preserve"> </w:t>
      </w:r>
      <w:r w:rsidRPr="008825F1">
        <w:rPr>
          <w:rFonts w:asciiTheme="minorHAnsi" w:hAnsiTheme="minorHAnsi" w:cstheme="minorHAnsi"/>
          <w:b/>
          <w:bCs/>
          <w:color w:val="auto"/>
        </w:rPr>
        <w:t>Se le solicita al Comité consultar al Estado sobre:</w:t>
      </w:r>
    </w:p>
    <w:p w14:paraId="17493155" w14:textId="77777777" w:rsidR="00267E55" w:rsidRPr="008825F1" w:rsidRDefault="00267E55" w:rsidP="00267E55">
      <w:pPr>
        <w:pStyle w:val="Default"/>
        <w:numPr>
          <w:ilvl w:val="0"/>
          <w:numId w:val="4"/>
        </w:numPr>
        <w:ind w:left="714" w:hanging="357"/>
        <w:jc w:val="both"/>
        <w:rPr>
          <w:rFonts w:asciiTheme="minorHAnsi" w:hAnsiTheme="minorHAnsi" w:cstheme="minorHAnsi"/>
          <w:b/>
          <w:bCs/>
          <w:color w:val="auto"/>
        </w:rPr>
      </w:pPr>
      <w:r w:rsidRPr="008825F1">
        <w:rPr>
          <w:rFonts w:asciiTheme="minorHAnsi" w:hAnsiTheme="minorHAnsi" w:cstheme="minorHAnsi"/>
          <w:b/>
          <w:bCs/>
          <w:color w:val="auto"/>
        </w:rPr>
        <w:t>Las medidas implementadas para el reconocimiento y exigibilidad, ya sea administrativa o judicial, de los derechos económicos, sociales y culturales en el territorio nacional.</w:t>
      </w:r>
    </w:p>
    <w:p w14:paraId="6DF639E8" w14:textId="77777777" w:rsidR="00267E55" w:rsidRDefault="00267E55" w:rsidP="00267E55">
      <w:pPr>
        <w:pStyle w:val="Default"/>
        <w:numPr>
          <w:ilvl w:val="0"/>
          <w:numId w:val="4"/>
        </w:numPr>
        <w:ind w:left="714" w:hanging="357"/>
        <w:jc w:val="both"/>
        <w:rPr>
          <w:rFonts w:asciiTheme="minorHAnsi" w:hAnsiTheme="minorHAnsi" w:cstheme="minorHAnsi"/>
          <w:bCs/>
          <w:color w:val="auto"/>
        </w:rPr>
      </w:pPr>
      <w:r>
        <w:rPr>
          <w:rFonts w:asciiTheme="minorHAnsi" w:hAnsiTheme="minorHAnsi" w:cstheme="minorHAnsi"/>
          <w:b/>
          <w:bCs/>
          <w:color w:val="auto"/>
        </w:rPr>
        <w:t xml:space="preserve">Qué acciones realizará para el reconocimiento de los derechos económicos y sociales mientras se resuelve la elaboración y aprobación de una nueva constitución y para </w:t>
      </w:r>
      <w:r w:rsidRPr="008825F1">
        <w:rPr>
          <w:rFonts w:asciiTheme="minorHAnsi" w:hAnsiTheme="minorHAnsi" w:cstheme="minorHAnsi"/>
          <w:b/>
          <w:bCs/>
          <w:color w:val="auto"/>
        </w:rPr>
        <w:t xml:space="preserve">mejorar los recursos constitucionales para que sean efectivos en la defensa de dichos derechos. </w:t>
      </w:r>
      <w:r w:rsidRPr="008825F1">
        <w:rPr>
          <w:rFonts w:asciiTheme="minorHAnsi" w:hAnsiTheme="minorHAnsi" w:cstheme="minorHAnsi"/>
          <w:bCs/>
          <w:color w:val="auto"/>
        </w:rPr>
        <w:t xml:space="preserve"> </w:t>
      </w:r>
    </w:p>
    <w:p w14:paraId="1A1863AF" w14:textId="77777777" w:rsidR="00267E55" w:rsidRPr="00F808BE" w:rsidRDefault="00267E55" w:rsidP="00267E55">
      <w:pPr>
        <w:pStyle w:val="Default"/>
        <w:numPr>
          <w:ilvl w:val="0"/>
          <w:numId w:val="4"/>
        </w:numPr>
        <w:ind w:left="714" w:hanging="357"/>
        <w:jc w:val="both"/>
        <w:rPr>
          <w:rFonts w:asciiTheme="minorHAnsi" w:hAnsiTheme="minorHAnsi" w:cstheme="minorHAnsi"/>
          <w:bCs/>
          <w:color w:val="auto"/>
        </w:rPr>
      </w:pPr>
      <w:r w:rsidRPr="00F808BE">
        <w:rPr>
          <w:rFonts w:asciiTheme="minorHAnsi" w:hAnsiTheme="minorHAnsi" w:cstheme="minorHAnsi"/>
          <w:b/>
          <w:bCs/>
          <w:color w:val="auto"/>
        </w:rPr>
        <w:t>Qué medidas implementara</w:t>
      </w:r>
      <w:r>
        <w:rPr>
          <w:rFonts w:asciiTheme="minorHAnsi" w:hAnsiTheme="minorHAnsi" w:cstheme="minorHAnsi"/>
          <w:b/>
          <w:bCs/>
          <w:color w:val="auto"/>
        </w:rPr>
        <w:t>, mientras se resuelve la elaboración y aprobación de una nueva constitución,</w:t>
      </w:r>
      <w:r w:rsidRPr="00F808BE">
        <w:rPr>
          <w:rFonts w:asciiTheme="minorHAnsi" w:hAnsiTheme="minorHAnsi" w:cstheme="minorHAnsi"/>
          <w:b/>
          <w:bCs/>
          <w:color w:val="auto"/>
        </w:rPr>
        <w:t xml:space="preserve"> para el reconocimiento constitucional con igualdad inclusiva de las personas con discapacidad, y representación de personas con discapacidad en la Convención Constituyente </w:t>
      </w:r>
      <w:r w:rsidRPr="00F808BE">
        <w:rPr>
          <w:rFonts w:asciiTheme="minorHAnsi" w:hAnsiTheme="minorHAnsi" w:cstheme="minorHAnsi"/>
          <w:bCs/>
          <w:color w:val="auto"/>
        </w:rPr>
        <w:t xml:space="preserve"> </w:t>
      </w:r>
    </w:p>
    <w:p w14:paraId="34B4E15B" w14:textId="77777777"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b/>
          <w:bCs/>
          <w:color w:val="auto"/>
        </w:rPr>
        <w:lastRenderedPageBreak/>
        <w:t xml:space="preserve">Derechos de pueblos indígenas </w:t>
      </w:r>
    </w:p>
    <w:p w14:paraId="1A361D0E" w14:textId="77777777" w:rsidR="00267E55" w:rsidRPr="008825F1"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color w:val="auto"/>
        </w:rPr>
        <w:t xml:space="preserve">En el 2017 se realizó la consulta indígena, de acuerdo al Convenio Nº 169, sobre asuntos constitucionales y la ex Presidenta Bachelet recogió los resultados de ese proceso en su proyecto de cambio constitucional. Sin embargo, como ya se ha señalado, </w:t>
      </w:r>
      <w:r w:rsidRPr="008825F1">
        <w:rPr>
          <w:rFonts w:asciiTheme="minorHAnsi" w:hAnsiTheme="minorHAnsi" w:cstheme="minorHAnsi"/>
          <w:bCs/>
          <w:color w:val="auto"/>
        </w:rPr>
        <w:t xml:space="preserve">el proceso constitucional iniciado durante el gobierno anterior no ha tenido continuidad durante la actual administración. </w:t>
      </w:r>
    </w:p>
    <w:p w14:paraId="29055005" w14:textId="77777777"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bCs/>
          <w:color w:val="auto"/>
        </w:rPr>
        <w:t xml:space="preserve">Durante 2018, </w:t>
      </w:r>
      <w:r w:rsidRPr="008825F1">
        <w:rPr>
          <w:rFonts w:asciiTheme="minorHAnsi" w:hAnsiTheme="minorHAnsi" w:cstheme="minorHAnsi"/>
          <w:color w:val="auto"/>
        </w:rPr>
        <w:t xml:space="preserve">el senador Francisco </w:t>
      </w:r>
      <w:proofErr w:type="spellStart"/>
      <w:r w:rsidRPr="008825F1">
        <w:rPr>
          <w:rFonts w:asciiTheme="minorHAnsi" w:hAnsiTheme="minorHAnsi" w:cstheme="minorHAnsi"/>
          <w:color w:val="auto"/>
        </w:rPr>
        <w:t>Huenchumilla</w:t>
      </w:r>
      <w:proofErr w:type="spellEnd"/>
      <w:r w:rsidRPr="008825F1">
        <w:rPr>
          <w:rFonts w:asciiTheme="minorHAnsi" w:hAnsiTheme="minorHAnsi" w:cstheme="minorHAnsi"/>
          <w:color w:val="auto"/>
        </w:rPr>
        <w:t xml:space="preserve"> (Boletín N°11873-07) y la diputada Emilia </w:t>
      </w:r>
      <w:proofErr w:type="spellStart"/>
      <w:r w:rsidRPr="008825F1">
        <w:rPr>
          <w:rFonts w:asciiTheme="minorHAnsi" w:hAnsiTheme="minorHAnsi" w:cstheme="minorHAnsi"/>
          <w:color w:val="auto"/>
        </w:rPr>
        <w:t>Nuyado</w:t>
      </w:r>
      <w:proofErr w:type="spellEnd"/>
      <w:r w:rsidRPr="008825F1">
        <w:rPr>
          <w:rFonts w:asciiTheme="minorHAnsi" w:hAnsiTheme="minorHAnsi" w:cstheme="minorHAnsi"/>
          <w:color w:val="auto"/>
        </w:rPr>
        <w:t xml:space="preserve"> (Boletín legislativo N°11939-07), ambos parlamentarios de origen indígena, presentaron proyectos de reforma constitucional sobre pueblos indígenas, ninguno de los cuales ha avanzado en su tramitación legislativa.</w:t>
      </w:r>
    </w:p>
    <w:p w14:paraId="4BDB908E" w14:textId="77777777"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bCs/>
          <w:color w:val="auto"/>
        </w:rPr>
        <w:t xml:space="preserve">El Presidente Piñera presentó en septiembre de 2018 su “Acuerdo Nacional por el Desarrollo y la Paz en la Araucanía”, región en la cual se ha hecho más visible durante las últimas décadas el conflicto entre el Estado y los pueblos indígenas. En dicho acuerdo se plantea </w:t>
      </w:r>
      <w:r w:rsidRPr="008825F1">
        <w:rPr>
          <w:rFonts w:asciiTheme="minorHAnsi" w:hAnsiTheme="minorHAnsi" w:cstheme="minorHAnsi"/>
          <w:color w:val="auto"/>
        </w:rPr>
        <w:t>que se ingresará durante 2018 una reforma constitucional que incorporará en la Constitución el reconocimiento y la valoración de los pueblos indígenas que habitan el territorio, lo que hasta la fecha no ha ocurrido.</w:t>
      </w:r>
    </w:p>
    <w:p w14:paraId="41456F07" w14:textId="77777777" w:rsidR="00267E55" w:rsidRPr="008825F1" w:rsidRDefault="00267E55" w:rsidP="00267E55">
      <w:pPr>
        <w:pStyle w:val="Default"/>
        <w:spacing w:after="120"/>
        <w:jc w:val="both"/>
        <w:rPr>
          <w:rFonts w:asciiTheme="minorHAnsi" w:hAnsiTheme="minorHAnsi" w:cstheme="minorHAnsi"/>
          <w:color w:val="auto"/>
          <w:shd w:val="clear" w:color="auto" w:fill="FFFFFF"/>
        </w:rPr>
      </w:pPr>
      <w:r w:rsidRPr="008825F1">
        <w:rPr>
          <w:rFonts w:asciiTheme="minorHAnsi" w:hAnsiTheme="minorHAnsi" w:cstheme="minorHAnsi"/>
          <w:color w:val="auto"/>
        </w:rPr>
        <w:t xml:space="preserve">Este acuerdo contempla el Plan Impulso Araucanía, </w:t>
      </w:r>
      <w:r w:rsidRPr="008825F1">
        <w:rPr>
          <w:rFonts w:asciiTheme="minorHAnsi" w:hAnsiTheme="minorHAnsi" w:cstheme="minorHAnsi"/>
          <w:color w:val="auto"/>
          <w:shd w:val="clear" w:color="auto" w:fill="FFFFFF"/>
        </w:rPr>
        <w:t xml:space="preserve">centrado en la combinación de inversión social, promoción del emprendimiento y la incorporación de mecanismos de representación política. Sin embargo, el asesinato de Camilo </w:t>
      </w:r>
      <w:proofErr w:type="spellStart"/>
      <w:r w:rsidRPr="008825F1">
        <w:rPr>
          <w:rFonts w:asciiTheme="minorHAnsi" w:hAnsiTheme="minorHAnsi" w:cstheme="minorHAnsi"/>
          <w:color w:val="auto"/>
          <w:shd w:val="clear" w:color="auto" w:fill="FFFFFF"/>
        </w:rPr>
        <w:t>Catrillanca</w:t>
      </w:r>
      <w:proofErr w:type="spellEnd"/>
      <w:r w:rsidRPr="008825F1">
        <w:rPr>
          <w:rFonts w:asciiTheme="minorHAnsi" w:hAnsiTheme="minorHAnsi" w:cstheme="minorHAnsi"/>
          <w:color w:val="auto"/>
          <w:shd w:val="clear" w:color="auto" w:fill="FFFFFF"/>
        </w:rPr>
        <w:t xml:space="preserve"> por parte de fuerzas policiales en noviembre de 2018 –situación investigada actualmente por la justicia- alteró la implementación de dicho Plan.</w:t>
      </w:r>
    </w:p>
    <w:p w14:paraId="1FC13869" w14:textId="77777777" w:rsidR="00267E55" w:rsidRPr="008825F1" w:rsidRDefault="00267E55" w:rsidP="00267E55">
      <w:pPr>
        <w:pStyle w:val="Default"/>
        <w:spacing w:after="120"/>
        <w:jc w:val="both"/>
        <w:rPr>
          <w:rFonts w:asciiTheme="minorHAnsi" w:hAnsiTheme="minorHAnsi" w:cstheme="minorHAnsi"/>
          <w:color w:val="auto"/>
          <w:shd w:val="clear" w:color="auto" w:fill="FFFFFF"/>
        </w:rPr>
      </w:pPr>
      <w:r w:rsidRPr="008825F1">
        <w:rPr>
          <w:rFonts w:asciiTheme="minorHAnsi" w:hAnsiTheme="minorHAnsi" w:cstheme="minorHAnsi"/>
          <w:color w:val="auto"/>
          <w:shd w:val="clear" w:color="auto" w:fill="FFFFFF"/>
        </w:rPr>
        <w:t>A partir de mayo de 2019 el gobierno impulsó una consulta a los pueblos indígenas para provocar cambios en la Ley N°19.253 (Ley Indígena), la cual ha sido ampliamente resistida, particularmente por el pueblo mapuche. A ello se suma, en junio de 2019, un proyecto de acuerdo de la Cámara de Diputados que solicita al gobierno la suspensión inmediata del proceso, toda vez que, según expresa el texto, no ha cumplido los estándares mínimos que contempla el Convenio 169 de la OIT, instrumento que exige que dichos procesos sean realizados de buena fe y con la finalidad de llegar a un acuerdo, señalando además que toda medida legislativa que se proponga nazca con la legitimidad necesaria derivada del previo reconocimiento constitucional de los pueblos indígenas, como asimismo de las necesidades específicas de dichos pueblos atendida su cosmovisión y concepción de la tierra y de sus formas de organización</w:t>
      </w:r>
      <w:r w:rsidRPr="008825F1">
        <w:rPr>
          <w:rStyle w:val="Refdenotaalpie"/>
          <w:rFonts w:asciiTheme="minorHAnsi" w:hAnsiTheme="minorHAnsi" w:cstheme="minorHAnsi"/>
          <w:color w:val="auto"/>
          <w:shd w:val="clear" w:color="auto" w:fill="FFFFFF"/>
        </w:rPr>
        <w:footnoteReference w:id="1"/>
      </w:r>
      <w:r w:rsidRPr="008825F1">
        <w:rPr>
          <w:rFonts w:asciiTheme="minorHAnsi" w:hAnsiTheme="minorHAnsi" w:cstheme="minorHAnsi"/>
          <w:color w:val="auto"/>
          <w:shd w:val="clear" w:color="auto" w:fill="FFFFFF"/>
        </w:rPr>
        <w:t>.</w:t>
      </w:r>
      <w:r>
        <w:rPr>
          <w:rFonts w:asciiTheme="minorHAnsi" w:hAnsiTheme="minorHAnsi" w:cstheme="minorHAnsi"/>
          <w:color w:val="auto"/>
          <w:shd w:val="clear" w:color="auto" w:fill="FFFFFF"/>
        </w:rPr>
        <w:t xml:space="preserve"> En julio del presente año, finalmente, el gobierno a través del Ministerio de Desarrollo Social anunció la suspensión del proceso.</w:t>
      </w:r>
    </w:p>
    <w:p w14:paraId="529DD7F4" w14:textId="77777777" w:rsidR="00267E55" w:rsidRPr="008825F1" w:rsidRDefault="00267E55" w:rsidP="00267E55">
      <w:pPr>
        <w:pStyle w:val="Default"/>
        <w:jc w:val="both"/>
        <w:rPr>
          <w:rFonts w:asciiTheme="minorHAnsi" w:hAnsiTheme="minorHAnsi" w:cstheme="minorHAnsi"/>
          <w:b/>
          <w:color w:val="auto"/>
          <w:shd w:val="clear" w:color="auto" w:fill="FFFFFF"/>
        </w:rPr>
      </w:pPr>
      <w:r w:rsidRPr="008825F1">
        <w:rPr>
          <w:rFonts w:asciiTheme="minorHAnsi" w:hAnsiTheme="minorHAnsi" w:cstheme="minorHAnsi"/>
          <w:b/>
          <w:color w:val="auto"/>
          <w:shd w:val="clear" w:color="auto" w:fill="FFFFFF"/>
        </w:rPr>
        <w:t>Se solicita al Comité consultar al Estado sobre:</w:t>
      </w:r>
    </w:p>
    <w:p w14:paraId="0C72943E" w14:textId="77777777" w:rsidR="00267E55" w:rsidRPr="008825F1" w:rsidRDefault="00267E55" w:rsidP="00267E55">
      <w:pPr>
        <w:pStyle w:val="Default"/>
        <w:numPr>
          <w:ilvl w:val="0"/>
          <w:numId w:val="4"/>
        </w:numPr>
        <w:ind w:left="714" w:hanging="357"/>
        <w:jc w:val="both"/>
        <w:rPr>
          <w:rFonts w:asciiTheme="minorHAnsi" w:hAnsiTheme="minorHAnsi" w:cstheme="minorHAnsi"/>
          <w:b/>
          <w:color w:val="auto"/>
          <w:shd w:val="clear" w:color="auto" w:fill="FFFFFF"/>
        </w:rPr>
      </w:pPr>
      <w:r w:rsidRPr="008825F1">
        <w:rPr>
          <w:rFonts w:asciiTheme="minorHAnsi" w:hAnsiTheme="minorHAnsi" w:cstheme="minorHAnsi"/>
          <w:b/>
          <w:color w:val="auto"/>
          <w:shd w:val="clear" w:color="auto" w:fill="FFFFFF"/>
        </w:rPr>
        <w:t>Las medidas que implementará para el reconocimiento constitucional de los pueblos indígenas</w:t>
      </w:r>
      <w:r>
        <w:rPr>
          <w:rFonts w:asciiTheme="minorHAnsi" w:hAnsiTheme="minorHAnsi" w:cstheme="minorHAnsi"/>
          <w:b/>
          <w:color w:val="auto"/>
          <w:shd w:val="clear" w:color="auto" w:fill="FFFFFF"/>
        </w:rPr>
        <w:t>.</w:t>
      </w:r>
    </w:p>
    <w:p w14:paraId="22ADD7E1" w14:textId="77777777" w:rsidR="00267E55" w:rsidRPr="008825F1" w:rsidRDefault="00267E55" w:rsidP="00267E55">
      <w:pPr>
        <w:pStyle w:val="Default"/>
        <w:numPr>
          <w:ilvl w:val="0"/>
          <w:numId w:val="4"/>
        </w:numPr>
        <w:ind w:left="714" w:hanging="357"/>
        <w:jc w:val="both"/>
        <w:rPr>
          <w:rFonts w:asciiTheme="minorHAnsi" w:hAnsiTheme="minorHAnsi" w:cstheme="minorHAnsi"/>
          <w:b/>
          <w:color w:val="auto"/>
          <w:shd w:val="clear" w:color="auto" w:fill="FFFFFF"/>
        </w:rPr>
      </w:pPr>
      <w:r w:rsidRPr="008825F1">
        <w:rPr>
          <w:rFonts w:asciiTheme="minorHAnsi" w:hAnsiTheme="minorHAnsi" w:cstheme="minorHAnsi"/>
          <w:b/>
          <w:color w:val="auto"/>
          <w:shd w:val="clear" w:color="auto" w:fill="FFFFFF"/>
        </w:rPr>
        <w:t>Las medidas que implementará para garantizar la consulta previa e informada a los pueblos indígenas acerca de sus derechos económicos, sociales y culturales</w:t>
      </w:r>
      <w:r>
        <w:rPr>
          <w:rFonts w:asciiTheme="minorHAnsi" w:hAnsiTheme="minorHAnsi" w:cstheme="minorHAnsi"/>
          <w:b/>
          <w:color w:val="auto"/>
          <w:shd w:val="clear" w:color="auto" w:fill="FFFFFF"/>
        </w:rPr>
        <w:t>.</w:t>
      </w:r>
    </w:p>
    <w:p w14:paraId="023FA5EA" w14:textId="77777777" w:rsidR="00267E55" w:rsidRPr="008825F1" w:rsidRDefault="00267E55" w:rsidP="00267E55">
      <w:pPr>
        <w:pStyle w:val="Default"/>
        <w:numPr>
          <w:ilvl w:val="0"/>
          <w:numId w:val="4"/>
        </w:numPr>
        <w:spacing w:after="120"/>
        <w:ind w:left="714" w:hanging="357"/>
        <w:jc w:val="both"/>
        <w:rPr>
          <w:rFonts w:asciiTheme="minorHAnsi" w:hAnsiTheme="minorHAnsi" w:cstheme="minorHAnsi"/>
          <w:b/>
          <w:color w:val="auto"/>
          <w:shd w:val="clear" w:color="auto" w:fill="FFFFFF"/>
        </w:rPr>
      </w:pPr>
      <w:r w:rsidRPr="008825F1">
        <w:rPr>
          <w:rFonts w:asciiTheme="minorHAnsi" w:hAnsiTheme="minorHAnsi" w:cstheme="minorHAnsi"/>
          <w:b/>
          <w:color w:val="auto"/>
          <w:shd w:val="clear" w:color="auto" w:fill="FFFFFF"/>
        </w:rPr>
        <w:t>Las medidas que implementará para garantizar el derecho de los pueblos indígenas a disponer libremente de sus tierras, territorios y recursos naturales.</w:t>
      </w:r>
    </w:p>
    <w:p w14:paraId="5ECCA6F2" w14:textId="77777777" w:rsidR="00267E55" w:rsidRPr="008825F1" w:rsidRDefault="00267E55" w:rsidP="00267E55">
      <w:pPr>
        <w:pStyle w:val="Default"/>
        <w:spacing w:after="120"/>
        <w:jc w:val="both"/>
        <w:rPr>
          <w:rFonts w:asciiTheme="minorHAnsi" w:hAnsiTheme="minorHAnsi" w:cstheme="minorHAnsi"/>
          <w:b/>
          <w:bCs/>
          <w:color w:val="auto"/>
        </w:rPr>
      </w:pPr>
      <w:r w:rsidRPr="008825F1">
        <w:rPr>
          <w:rFonts w:asciiTheme="minorHAnsi" w:hAnsiTheme="minorHAnsi" w:cstheme="minorHAnsi"/>
          <w:b/>
          <w:bCs/>
          <w:color w:val="auto"/>
        </w:rPr>
        <w:lastRenderedPageBreak/>
        <w:t>Institucionalidad en materia de DDHH</w:t>
      </w:r>
    </w:p>
    <w:p w14:paraId="6C2D80CF"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 xml:space="preserve">La promoción, protección y defensa de los derechos humanos es una tarea de Estado que requiere de una institucionalidad abocada a ello, organismos con mandatos específicos, políticas, planes, programas y recursos destinados a ello. </w:t>
      </w:r>
    </w:p>
    <w:p w14:paraId="28B36F73"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Chile cuenta desde el año 2010 con el Instituto Nacional de Derechos Humanos (Ley Nº 20.405), desde 2016 con la Subsecretaría de Derechos Humanos del Ministerio de Justicia y Derechos Humanos (Ley Nº 20.885)</w:t>
      </w:r>
      <w:proofErr w:type="gramStart"/>
      <w:r w:rsidRPr="008825F1">
        <w:rPr>
          <w:rFonts w:asciiTheme="minorHAnsi" w:hAnsiTheme="minorHAnsi" w:cstheme="minorHAnsi"/>
          <w:sz w:val="24"/>
        </w:rPr>
        <w:t>,</w:t>
      </w:r>
      <w:r>
        <w:rPr>
          <w:rFonts w:asciiTheme="minorHAnsi" w:hAnsiTheme="minorHAnsi" w:cstheme="minorHAnsi"/>
          <w:sz w:val="24"/>
        </w:rPr>
        <w:t>,</w:t>
      </w:r>
      <w:proofErr w:type="gramEnd"/>
      <w:r>
        <w:rPr>
          <w:rFonts w:asciiTheme="minorHAnsi" w:hAnsiTheme="minorHAnsi" w:cstheme="minorHAnsi"/>
          <w:sz w:val="24"/>
        </w:rPr>
        <w:t xml:space="preserve"> desde el 2018 con la Defensoría de la Niñez (ley N°21.067)</w:t>
      </w:r>
      <w:r w:rsidRPr="008825F1">
        <w:rPr>
          <w:rFonts w:asciiTheme="minorHAnsi" w:hAnsiTheme="minorHAnsi" w:cstheme="minorHAnsi"/>
          <w:sz w:val="24"/>
        </w:rPr>
        <w:t>; y desde el presente año</w:t>
      </w:r>
      <w:r>
        <w:rPr>
          <w:rFonts w:asciiTheme="minorHAnsi" w:hAnsiTheme="minorHAnsi" w:cstheme="minorHAnsi"/>
          <w:sz w:val="24"/>
        </w:rPr>
        <w:t xml:space="preserve"> 2019</w:t>
      </w:r>
      <w:r w:rsidRPr="008825F1">
        <w:rPr>
          <w:rFonts w:asciiTheme="minorHAnsi" w:hAnsiTheme="minorHAnsi" w:cstheme="minorHAnsi"/>
          <w:sz w:val="24"/>
        </w:rPr>
        <w:t>, con un Mecanismo Nacional de Prevención de la Tortura (Ley Nº 21.154)</w:t>
      </w:r>
      <w:r>
        <w:rPr>
          <w:rFonts w:asciiTheme="minorHAnsi" w:hAnsiTheme="minorHAnsi" w:cstheme="minorHAnsi"/>
          <w:sz w:val="24"/>
        </w:rPr>
        <w:t xml:space="preserve"> aún no implementado.</w:t>
      </w:r>
      <w:r w:rsidRPr="008825F1">
        <w:rPr>
          <w:rFonts w:asciiTheme="minorHAnsi" w:hAnsiTheme="minorHAnsi" w:cstheme="minorHAnsi"/>
          <w:sz w:val="24"/>
        </w:rPr>
        <w:t xml:space="preserve"> </w:t>
      </w:r>
    </w:p>
    <w:p w14:paraId="06C75823"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 xml:space="preserve">Sin embargo, </w:t>
      </w:r>
      <w:r>
        <w:rPr>
          <w:rFonts w:asciiTheme="minorHAnsi" w:hAnsiTheme="minorHAnsi" w:cstheme="minorHAnsi"/>
          <w:sz w:val="24"/>
        </w:rPr>
        <w:t xml:space="preserve">la subsecretaría de derechos humanos tiene un importante </w:t>
      </w:r>
      <w:r w:rsidRPr="008825F1">
        <w:rPr>
          <w:rFonts w:asciiTheme="minorHAnsi" w:hAnsiTheme="minorHAnsi" w:cstheme="minorHAnsi"/>
          <w:sz w:val="24"/>
        </w:rPr>
        <w:t>retraso en la implementación del Plan Nacional de Derechos Humanos</w:t>
      </w:r>
      <w:r>
        <w:rPr>
          <w:rFonts w:asciiTheme="minorHAnsi" w:hAnsiTheme="minorHAnsi" w:cstheme="minorHAnsi"/>
          <w:sz w:val="24"/>
        </w:rPr>
        <w:t xml:space="preserve"> presentado al órgano contralor en el año 2017, lo que por cierto impide avanzar en acciones concretas en materia de promoción de derechos humanos, y</w:t>
      </w:r>
      <w:r w:rsidRPr="008825F1">
        <w:rPr>
          <w:rFonts w:asciiTheme="minorHAnsi" w:hAnsiTheme="minorHAnsi" w:cstheme="minorHAnsi"/>
          <w:sz w:val="24"/>
        </w:rPr>
        <w:t xml:space="preserve"> se mantiene pendiente la creación de un organismo especialmente abocado a la protección y defensa de los derechos humanos, aspiración ampliamente sostenida desde la recuperación de la democracia por numerosos actores políticos y sociales.</w:t>
      </w:r>
    </w:p>
    <w:p w14:paraId="288CE386"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Dado que las violaciones a derechos fundamentales y las falencias en materia de acceso a la justicia requieren ser enfrentadas mediante una institucionalidad pública específica, preocupa que la propuesta de crear la Defensoría del Pueblo u Ombudsman permanezca desde hace 10 años sin debate en el Congreso Nacional, pese a encontrarse en segundo trámite constitucional desde el año 2009 ante el Senado (Boletín Legislativo Nº 6.232-07) y de que a mediados de 2018 entró en vigencia la Ley N° 21.067 que crea la defensoría de los derechos de la niñez.</w:t>
      </w:r>
    </w:p>
    <w:p w14:paraId="400156FC" w14:textId="77777777" w:rsidR="00267E55" w:rsidRPr="008825F1" w:rsidRDefault="00267E55" w:rsidP="00267E55">
      <w:pPr>
        <w:pStyle w:val="Default"/>
        <w:jc w:val="both"/>
        <w:rPr>
          <w:rFonts w:asciiTheme="minorHAnsi" w:hAnsiTheme="minorHAnsi" w:cstheme="minorHAnsi"/>
          <w:b/>
          <w:color w:val="auto"/>
        </w:rPr>
      </w:pPr>
      <w:r w:rsidRPr="008825F1">
        <w:rPr>
          <w:rFonts w:asciiTheme="minorHAnsi" w:hAnsiTheme="minorHAnsi" w:cstheme="minorHAnsi"/>
          <w:b/>
          <w:color w:val="auto"/>
        </w:rPr>
        <w:t>Se solicita al Comité consultar al Estado sobre:</w:t>
      </w:r>
    </w:p>
    <w:p w14:paraId="0E72CA15" w14:textId="77777777" w:rsidR="00267E55" w:rsidRDefault="00267E55" w:rsidP="00267E55">
      <w:pPr>
        <w:pStyle w:val="Default"/>
        <w:numPr>
          <w:ilvl w:val="0"/>
          <w:numId w:val="4"/>
        </w:numPr>
        <w:jc w:val="both"/>
        <w:rPr>
          <w:rFonts w:asciiTheme="minorHAnsi" w:hAnsiTheme="minorHAnsi" w:cstheme="minorHAnsi"/>
          <w:b/>
          <w:color w:val="auto"/>
        </w:rPr>
      </w:pPr>
      <w:r w:rsidRPr="008825F1">
        <w:rPr>
          <w:rFonts w:asciiTheme="minorHAnsi" w:hAnsiTheme="minorHAnsi" w:cstheme="minorHAnsi"/>
          <w:b/>
          <w:color w:val="auto"/>
        </w:rPr>
        <w:t>Las acciones que implementará para avanzar en la instalación de la Defensoría del Pueblo.</w:t>
      </w:r>
    </w:p>
    <w:p w14:paraId="64BF3482" w14:textId="77777777" w:rsidR="00267E55" w:rsidRPr="008825F1" w:rsidRDefault="00267E55" w:rsidP="00267E55">
      <w:pPr>
        <w:pStyle w:val="Default"/>
        <w:numPr>
          <w:ilvl w:val="0"/>
          <w:numId w:val="4"/>
        </w:numPr>
        <w:ind w:left="714" w:hanging="357"/>
        <w:jc w:val="both"/>
        <w:rPr>
          <w:rFonts w:asciiTheme="minorHAnsi" w:hAnsiTheme="minorHAnsi" w:cstheme="minorHAnsi"/>
          <w:bCs/>
          <w:color w:val="auto"/>
        </w:rPr>
      </w:pPr>
      <w:r>
        <w:rPr>
          <w:rFonts w:asciiTheme="minorHAnsi" w:hAnsiTheme="minorHAnsi" w:cstheme="minorHAnsi"/>
          <w:b/>
          <w:color w:val="auto"/>
        </w:rPr>
        <w:t>En qué situación se encuentra la implementación del Mecanismo Nacional de Prevención de la Tortura.</w:t>
      </w:r>
    </w:p>
    <w:p w14:paraId="164E57DD" w14:textId="77777777" w:rsidR="00267E55" w:rsidRPr="003321B9" w:rsidRDefault="00267E55" w:rsidP="00267E55">
      <w:pPr>
        <w:pStyle w:val="Default"/>
        <w:numPr>
          <w:ilvl w:val="0"/>
          <w:numId w:val="4"/>
        </w:numPr>
        <w:spacing w:after="120"/>
        <w:ind w:left="714" w:hanging="357"/>
        <w:jc w:val="both"/>
        <w:rPr>
          <w:rFonts w:asciiTheme="minorHAnsi" w:hAnsiTheme="minorHAnsi" w:cstheme="minorHAnsi"/>
          <w:b/>
          <w:szCs w:val="22"/>
        </w:rPr>
      </w:pPr>
      <w:r w:rsidRPr="003321B9">
        <w:rPr>
          <w:rFonts w:asciiTheme="minorHAnsi" w:hAnsiTheme="minorHAnsi" w:cstheme="minorHAnsi"/>
          <w:b/>
          <w:szCs w:val="22"/>
        </w:rPr>
        <w:t xml:space="preserve">Las acciones que tomara para crear nueva institucionalidad en Discapacidad </w:t>
      </w:r>
      <w:r w:rsidRPr="003321B9">
        <w:rPr>
          <w:rFonts w:asciiTheme="minorHAnsi" w:hAnsiTheme="minorHAnsi" w:cs="Times"/>
          <w:b/>
          <w:szCs w:val="22"/>
        </w:rPr>
        <w:t xml:space="preserve">encargada de generar y potenciar políticas, legislación y medidas </w:t>
      </w:r>
      <w:r w:rsidRPr="003321B9">
        <w:rPr>
          <w:rFonts w:asciiTheme="minorHAnsi" w:hAnsiTheme="minorHAnsi" w:cstheme="minorHAnsi"/>
          <w:b/>
          <w:szCs w:val="22"/>
        </w:rPr>
        <w:t>para hacer exigible los derechos de las personas con discapacidad.</w:t>
      </w:r>
    </w:p>
    <w:p w14:paraId="568D7DB2" w14:textId="77777777"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b/>
          <w:bCs/>
          <w:color w:val="auto"/>
        </w:rPr>
        <w:t xml:space="preserve">Datos estadísticos </w:t>
      </w:r>
    </w:p>
    <w:p w14:paraId="0D1BE94A" w14:textId="77777777" w:rsidR="00267E55" w:rsidRPr="008825F1"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bCs/>
          <w:color w:val="auto"/>
        </w:rPr>
        <w:t>Dada la importancia de la información estadística para el diseño e implementación de políticas públicas que garanticen el ejercicio de los derechos contemplados en el PIDESC, su existencia y accesibilidad es fundamental.</w:t>
      </w:r>
      <w:r>
        <w:rPr>
          <w:rFonts w:asciiTheme="minorHAnsi" w:hAnsiTheme="minorHAnsi" w:cstheme="minorHAnsi"/>
          <w:bCs/>
          <w:color w:val="auto"/>
        </w:rPr>
        <w:t xml:space="preserve"> Si bien el Instituto Nacional de Estadísticas posee buenos registros, se requiere una mayor profundidad para poder observar con claridad brechas de acceso a derechos sociales, especialmente considerando grupos de especial vulnerabilidad, como niños, niñas y adolescentes o población migrante.</w:t>
      </w:r>
    </w:p>
    <w:p w14:paraId="02D16446" w14:textId="77777777" w:rsidR="00267E55" w:rsidRPr="008825F1" w:rsidRDefault="00267E55" w:rsidP="00267E55">
      <w:pPr>
        <w:pStyle w:val="Default"/>
        <w:spacing w:after="120"/>
        <w:jc w:val="both"/>
        <w:rPr>
          <w:rStyle w:val="Ninguno"/>
          <w:rFonts w:asciiTheme="minorHAnsi" w:hAnsiTheme="minorHAnsi" w:cstheme="minorHAnsi"/>
          <w:color w:val="auto"/>
        </w:rPr>
      </w:pPr>
      <w:r w:rsidRPr="008825F1">
        <w:rPr>
          <w:rFonts w:asciiTheme="minorHAnsi" w:hAnsiTheme="minorHAnsi" w:cstheme="minorHAnsi"/>
          <w:bCs/>
          <w:color w:val="auto"/>
        </w:rPr>
        <w:t>En los últimos años la migración hacia Chile ha tenido un gran aumento. Si en el censo realizado en 2002 se estimaba un 3,5% de población en esta condición, hoy ese porcentaje se estima en 6,1%</w:t>
      </w:r>
      <w:r>
        <w:rPr>
          <w:rFonts w:asciiTheme="minorHAnsi" w:hAnsiTheme="minorHAnsi" w:cstheme="minorHAnsi"/>
          <w:bCs/>
          <w:color w:val="auto"/>
        </w:rPr>
        <w:t xml:space="preserve">, pero no hay mediciones certeras al respecto, debido especialmente a </w:t>
      </w:r>
      <w:r>
        <w:rPr>
          <w:rFonts w:asciiTheme="minorHAnsi" w:hAnsiTheme="minorHAnsi" w:cstheme="minorHAnsi"/>
          <w:bCs/>
          <w:color w:val="auto"/>
        </w:rPr>
        <w:lastRenderedPageBreak/>
        <w:t xml:space="preserve">que </w:t>
      </w:r>
      <w:r>
        <w:rPr>
          <w:rStyle w:val="Ninguno"/>
          <w:rFonts w:asciiTheme="minorHAnsi" w:hAnsiTheme="minorHAnsi" w:cstheme="minorHAnsi"/>
          <w:color w:val="auto"/>
          <w:lang w:val="es-ES_tradnl"/>
        </w:rPr>
        <w:t>e</w:t>
      </w:r>
      <w:r w:rsidRPr="008825F1">
        <w:rPr>
          <w:rStyle w:val="Ninguno"/>
          <w:rFonts w:asciiTheme="minorHAnsi" w:hAnsiTheme="minorHAnsi" w:cstheme="minorHAnsi"/>
          <w:color w:val="auto"/>
          <w:lang w:val="es-ES_tradnl"/>
        </w:rPr>
        <w:t xml:space="preserve">l </w:t>
      </w:r>
      <w:r w:rsidRPr="008825F1">
        <w:rPr>
          <w:rStyle w:val="Ninguno"/>
          <w:rFonts w:asciiTheme="minorHAnsi" w:hAnsiTheme="minorHAnsi" w:cstheme="minorHAnsi"/>
          <w:bCs/>
          <w:color w:val="auto"/>
          <w:lang w:val="es-ES_tradnl"/>
        </w:rPr>
        <w:t xml:space="preserve">Decreto Ley N° </w:t>
      </w:r>
      <w:r w:rsidRPr="008825F1">
        <w:rPr>
          <w:rStyle w:val="Ninguno"/>
          <w:rFonts w:asciiTheme="minorHAnsi" w:hAnsiTheme="minorHAnsi" w:cstheme="minorHAnsi"/>
          <w:bCs/>
          <w:color w:val="auto"/>
          <w:lang w:val="pt-PT"/>
        </w:rPr>
        <w:t>1.094 de 1975</w:t>
      </w:r>
      <w:r w:rsidRPr="008825F1">
        <w:rPr>
          <w:rStyle w:val="Ninguno"/>
          <w:rFonts w:asciiTheme="minorHAnsi" w:hAnsiTheme="minorHAnsi" w:cstheme="minorHAnsi"/>
          <w:color w:val="auto"/>
          <w:lang w:val="es-ES_tradnl"/>
        </w:rPr>
        <w:t xml:space="preserve"> no garantiza adecuadamente los derechos de personas migrantes ni se ajusta a la realidad de la migración actual. Otorga un poder discrecional a la autoridad administrativa para la expulsión de extranjeros y no garantiza el debido proceso, debido a los breves plazos para ejercer el derecho a defensa. Preocupa además la falta de garantías en derechos laborales, sindicales y de seguridad social de migrantes; la atención de salud; reunificación familiar; entre otros; y la inexistencia de políticas que combatan la discriminación y estigmatización</w:t>
      </w:r>
      <w:r w:rsidRPr="008825F1">
        <w:rPr>
          <w:rStyle w:val="Ninguno"/>
          <w:rFonts w:asciiTheme="minorHAnsi" w:hAnsiTheme="minorHAnsi" w:cstheme="minorHAnsi"/>
          <w:color w:val="auto"/>
        </w:rPr>
        <w:t>.</w:t>
      </w:r>
    </w:p>
    <w:p w14:paraId="3600813C" w14:textId="77777777" w:rsidR="00267E55" w:rsidRPr="008825F1" w:rsidRDefault="00267E55" w:rsidP="00267E55">
      <w:pPr>
        <w:pStyle w:val="Default"/>
        <w:jc w:val="both"/>
        <w:rPr>
          <w:rFonts w:asciiTheme="minorHAnsi" w:hAnsiTheme="minorHAnsi" w:cstheme="minorHAnsi"/>
          <w:b/>
          <w:bCs/>
          <w:color w:val="auto"/>
        </w:rPr>
      </w:pPr>
      <w:r w:rsidRPr="008825F1">
        <w:rPr>
          <w:rFonts w:asciiTheme="minorHAnsi" w:hAnsiTheme="minorHAnsi" w:cstheme="minorHAnsi"/>
          <w:b/>
          <w:bCs/>
          <w:color w:val="auto"/>
        </w:rPr>
        <w:t>Se solicita al Comité:</w:t>
      </w:r>
    </w:p>
    <w:p w14:paraId="4C6AB04B" w14:textId="77777777" w:rsidR="00267E55" w:rsidRPr="008825F1" w:rsidRDefault="00267E55" w:rsidP="00267E55">
      <w:pPr>
        <w:pStyle w:val="Default"/>
        <w:numPr>
          <w:ilvl w:val="0"/>
          <w:numId w:val="4"/>
        </w:numPr>
        <w:spacing w:after="120"/>
        <w:jc w:val="both"/>
        <w:rPr>
          <w:rFonts w:asciiTheme="minorHAnsi" w:hAnsiTheme="minorHAnsi" w:cstheme="minorHAnsi"/>
          <w:b/>
          <w:bCs/>
          <w:color w:val="auto"/>
        </w:rPr>
      </w:pPr>
      <w:r w:rsidRPr="008825F1">
        <w:rPr>
          <w:rFonts w:asciiTheme="minorHAnsi" w:hAnsiTheme="minorHAnsi" w:cstheme="minorHAnsi"/>
          <w:b/>
          <w:bCs/>
          <w:color w:val="auto"/>
        </w:rPr>
        <w:t>Adicionar a la petición al Estado de información estadística desglosada por edad, sexo, origen étnico, población urbana y rural, las categorías de población inmigrante y de personas con discapacidad.</w:t>
      </w:r>
    </w:p>
    <w:p w14:paraId="33FA0164" w14:textId="77777777" w:rsidR="00267E55" w:rsidRPr="008825F1" w:rsidRDefault="00267E55" w:rsidP="00267E55">
      <w:pPr>
        <w:pStyle w:val="Default"/>
        <w:spacing w:after="120"/>
        <w:jc w:val="both"/>
        <w:rPr>
          <w:rFonts w:asciiTheme="minorHAnsi" w:hAnsiTheme="minorHAnsi" w:cstheme="minorHAnsi"/>
          <w:b/>
          <w:color w:val="auto"/>
        </w:rPr>
      </w:pPr>
      <w:r w:rsidRPr="008825F1">
        <w:rPr>
          <w:rFonts w:asciiTheme="minorHAnsi" w:hAnsiTheme="minorHAnsi" w:cstheme="minorHAnsi"/>
          <w:b/>
          <w:bCs/>
          <w:color w:val="auto"/>
        </w:rPr>
        <w:t xml:space="preserve">Derechos económicos, sociales y culturales y empresas </w:t>
      </w:r>
    </w:p>
    <w:p w14:paraId="1914327F" w14:textId="77777777" w:rsidR="00267E55" w:rsidRPr="008825F1"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bCs/>
          <w:color w:val="auto"/>
        </w:rPr>
        <w:t xml:space="preserve">En 2018, entre los meses de agosto y diciembre, los centros de salud de Quintero y </w:t>
      </w:r>
      <w:proofErr w:type="spellStart"/>
      <w:r w:rsidRPr="008825F1">
        <w:rPr>
          <w:rFonts w:asciiTheme="minorHAnsi" w:hAnsiTheme="minorHAnsi" w:cstheme="minorHAnsi"/>
          <w:bCs/>
          <w:color w:val="auto"/>
        </w:rPr>
        <w:t>Puchuncaví</w:t>
      </w:r>
      <w:proofErr w:type="spellEnd"/>
      <w:r w:rsidRPr="008825F1">
        <w:rPr>
          <w:rFonts w:asciiTheme="minorHAnsi" w:hAnsiTheme="minorHAnsi" w:cstheme="minorHAnsi"/>
          <w:bCs/>
          <w:color w:val="auto"/>
        </w:rPr>
        <w:t xml:space="preserve"> habían atendido a aproximadamente 1.800 personas que presentaban síntomas de intoxicación. Esta emergencia ambiental, provocada por la presencia de compuestos químicos en el aire, provocó el cierre de escuelas y la declaración de alerta sanitaria por la autoridad de salud. Sin embargo, no están claras las causas de dicho evento, aun cuando cuatro termoeléctricas que funcionan a carbón operan en la zona.</w:t>
      </w:r>
    </w:p>
    <w:p w14:paraId="36E1EB75" w14:textId="77777777" w:rsidR="00267E55" w:rsidRPr="008825F1"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bCs/>
          <w:color w:val="auto"/>
        </w:rPr>
        <w:t>En mayo de 2019 la Corte Suprema falló a favor de 12 recursos de protección presentados por distintas organizaciones medioambientales y locales, los cuales apuntaban a la grave afectación de derechos de las personas por los episodios de contaminación ocurridos en la zona, ordenando al Estado realizar estudios sobre la composición de los gases que se emiten en la bahía; regular las emisiones contaminantes y reducirlas acorde a la normativa vigente; realizar estudios de las enfermedades detectadas en la población de estas comunas; y elaborar con la Oficina Nacional de Emergencias (ONEMI) un plan de emergencia para situaciones similares a las ocurridas durante la crisis.</w:t>
      </w:r>
    </w:p>
    <w:p w14:paraId="1412BF9F" w14:textId="77777777" w:rsidR="00267E55" w:rsidRPr="008825F1"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bCs/>
          <w:color w:val="auto"/>
        </w:rPr>
        <w:t>De acuerdo a informaciones de prensa, distintas organizaciones medioambientales han señalado que se requiere el cierre de las termoeléctricas a carbón y el fin de las zonas de sacrificio; solución efectiva para la bahía de Quintero-</w:t>
      </w:r>
      <w:proofErr w:type="spellStart"/>
      <w:r w:rsidRPr="008825F1">
        <w:rPr>
          <w:rFonts w:asciiTheme="minorHAnsi" w:hAnsiTheme="minorHAnsi" w:cstheme="minorHAnsi"/>
          <w:bCs/>
          <w:color w:val="auto"/>
        </w:rPr>
        <w:t>Puchuncaví</w:t>
      </w:r>
      <w:proofErr w:type="spellEnd"/>
      <w:r w:rsidRPr="008825F1">
        <w:rPr>
          <w:rFonts w:asciiTheme="minorHAnsi" w:hAnsiTheme="minorHAnsi" w:cstheme="minorHAnsi"/>
          <w:bCs/>
          <w:color w:val="auto"/>
        </w:rPr>
        <w:t xml:space="preserve">, que ha sido afectada por una serie de episodios de contaminación; una protección efectiva de los océanos, regulando la proliferación de las concesiones de </w:t>
      </w:r>
      <w:proofErr w:type="spellStart"/>
      <w:r w:rsidRPr="008825F1">
        <w:rPr>
          <w:rFonts w:asciiTheme="minorHAnsi" w:hAnsiTheme="minorHAnsi" w:cstheme="minorHAnsi"/>
          <w:bCs/>
          <w:color w:val="auto"/>
        </w:rPr>
        <w:t>salmonicultura</w:t>
      </w:r>
      <w:proofErr w:type="spellEnd"/>
      <w:r w:rsidRPr="008825F1">
        <w:rPr>
          <w:rFonts w:asciiTheme="minorHAnsi" w:hAnsiTheme="minorHAnsi" w:cstheme="minorHAnsi"/>
          <w:bCs/>
          <w:color w:val="auto"/>
        </w:rPr>
        <w:t xml:space="preserve"> en las regiones del sur y la prohibición de instalación de punto de engorda de salmones en áreas marinas protegidas; la detención de proyectos mineros como el de Minera Dominga y la instalación del Puerto Cruz Grande que amenaza la Reserva de Humboldt, en la Región de Coquimbo; enfrentar los problemas de sequía que afectan a distintas regiones del país debido a una sobreexplotación de las cuencas hídricas, que privilegian las actividades extractivas y la agricultura intensiva y la baja protección de los glaciares frente a los avances de la minería.</w:t>
      </w:r>
      <w:r w:rsidRPr="008825F1">
        <w:rPr>
          <w:rStyle w:val="Refdenotaalpie"/>
          <w:rFonts w:asciiTheme="minorHAnsi" w:hAnsiTheme="minorHAnsi" w:cstheme="minorHAnsi"/>
          <w:color w:val="auto"/>
        </w:rPr>
        <w:footnoteReference w:id="2"/>
      </w:r>
    </w:p>
    <w:p w14:paraId="2E4E019E" w14:textId="77777777" w:rsidR="00267E55" w:rsidRPr="008825F1" w:rsidRDefault="00267E55" w:rsidP="00267E55">
      <w:pPr>
        <w:pStyle w:val="Default"/>
        <w:spacing w:after="120"/>
        <w:jc w:val="both"/>
        <w:rPr>
          <w:rFonts w:asciiTheme="minorHAnsi" w:hAnsiTheme="minorHAnsi" w:cstheme="minorHAnsi"/>
          <w:color w:val="auto"/>
          <w:shd w:val="clear" w:color="auto" w:fill="FFFFFF"/>
        </w:rPr>
      </w:pPr>
      <w:r w:rsidRPr="008825F1">
        <w:rPr>
          <w:rFonts w:asciiTheme="minorHAnsi" w:hAnsiTheme="minorHAnsi" w:cstheme="minorHAnsi"/>
          <w:bCs/>
          <w:color w:val="auto"/>
        </w:rPr>
        <w:lastRenderedPageBreak/>
        <w:t xml:space="preserve">En este marco, preocupa la decisión del gobierno de no suscribir el </w:t>
      </w:r>
      <w:r w:rsidRPr="008825F1">
        <w:rPr>
          <w:rStyle w:val="nfasis"/>
          <w:rFonts w:asciiTheme="minorHAnsi" w:hAnsiTheme="minorHAnsi" w:cstheme="minorHAnsi"/>
          <w:bCs/>
          <w:color w:val="auto"/>
          <w:bdr w:val="none" w:sz="0" w:space="0" w:color="auto" w:frame="1"/>
          <w:shd w:val="clear" w:color="auto" w:fill="FFFFFF"/>
        </w:rPr>
        <w:t>“Acuerdo Regional sobre Acceso a la Información, la Participación Pública y el Acceso a la Justicia en Asuntos Ambientales en América Latina y el Caribe”</w:t>
      </w:r>
      <w:r w:rsidRPr="008825F1">
        <w:rPr>
          <w:rFonts w:asciiTheme="minorHAnsi" w:hAnsiTheme="minorHAnsi" w:cstheme="minorHAnsi"/>
          <w:color w:val="auto"/>
          <w:shd w:val="clear" w:color="auto" w:fill="FFFFFF"/>
        </w:rPr>
        <w:t> o </w:t>
      </w:r>
      <w:r w:rsidRPr="008825F1">
        <w:rPr>
          <w:rStyle w:val="nfasis"/>
          <w:rFonts w:asciiTheme="minorHAnsi" w:hAnsiTheme="minorHAnsi" w:cstheme="minorHAnsi"/>
          <w:bCs/>
          <w:color w:val="auto"/>
          <w:bdr w:val="none" w:sz="0" w:space="0" w:color="auto" w:frame="1"/>
          <w:shd w:val="clear" w:color="auto" w:fill="FFFFFF"/>
        </w:rPr>
        <w:t>“Acuerdo de Escazú”,</w:t>
      </w:r>
      <w:r w:rsidRPr="008825F1">
        <w:rPr>
          <w:rFonts w:asciiTheme="minorHAnsi" w:hAnsiTheme="minorHAnsi" w:cstheme="minorHAnsi"/>
          <w:color w:val="auto"/>
          <w:shd w:val="clear" w:color="auto" w:fill="FFFFFF"/>
        </w:rPr>
        <w:t xml:space="preserve"> primer acuerdo vinculante sobre asuntos medioambientales y derechos humanos en América Latina y el Caribe. Este acuerdo otorga garantías para la protección de los defensores de derechos humanos en asuntos ambientales consagra un sistema de garantías y obligaciones interdependientes, que aplicadas de manera integral y equilibrada, propenden al fortalecimiento de la democracia ambiental al garantizar los derechos al acceso a la información ambiental, participación pública en los procesos de toma de decisiones ambientales y acceso a la justicia en asuntos ambientales.</w:t>
      </w:r>
    </w:p>
    <w:p w14:paraId="01A0CF7D" w14:textId="77777777" w:rsidR="00267E55" w:rsidRPr="008825F1"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bCs/>
          <w:color w:val="auto"/>
        </w:rPr>
        <w:t xml:space="preserve">Preocupan, además, las razones esgrimidas por el gobierno para la no suscripción, referidas a la necesidad de analizar “algunas situaciones soberanas complejas”, como señalara la Ministra de Medio Ambiente. </w:t>
      </w:r>
    </w:p>
    <w:p w14:paraId="11448DA9" w14:textId="77777777" w:rsidR="00267E55" w:rsidRPr="00BC5759" w:rsidRDefault="00267E55" w:rsidP="00267E55">
      <w:pPr>
        <w:pStyle w:val="Default"/>
        <w:spacing w:after="120"/>
        <w:jc w:val="both"/>
        <w:rPr>
          <w:rFonts w:asciiTheme="minorHAnsi" w:hAnsiTheme="minorHAnsi" w:cstheme="minorHAnsi"/>
          <w:color w:val="auto"/>
          <w:shd w:val="clear" w:color="auto" w:fill="FFFFFF"/>
        </w:rPr>
      </w:pPr>
      <w:r w:rsidRPr="00BC5759">
        <w:rPr>
          <w:rFonts w:asciiTheme="minorHAnsi" w:hAnsiTheme="minorHAnsi" w:cstheme="minorHAnsi"/>
          <w:color w:val="auto"/>
          <w:shd w:val="clear" w:color="auto" w:fill="FFFFFF"/>
        </w:rPr>
        <w:t>En agosto de 2017 se aprobó el Plan de Acción de Empresas y Derechos Humanos, una política pública radicada en la Subsecretaría de Derechos Humanos del Ministerio de Justicia, y cuyo propósito es instalar un enfoque de derechos humanos en el quehacer de las empresas, a través de la adopción de los Principios Rectores de Empresas y DDHH aprobados por Naciones Unidas en 2011. Según informa la subsecretaría en su página web</w:t>
      </w:r>
      <w:r>
        <w:rPr>
          <w:rStyle w:val="Refdenotaalpie"/>
          <w:rFonts w:asciiTheme="minorHAnsi" w:hAnsiTheme="minorHAnsi" w:cstheme="minorHAnsi"/>
          <w:color w:val="auto"/>
          <w:shd w:val="clear" w:color="auto" w:fill="FFFFFF"/>
        </w:rPr>
        <w:footnoteReference w:id="3"/>
      </w:r>
      <w:r w:rsidRPr="00BC5759">
        <w:rPr>
          <w:rFonts w:asciiTheme="minorHAnsi" w:hAnsiTheme="minorHAnsi" w:cstheme="minorHAnsi"/>
          <w:color w:val="auto"/>
          <w:shd w:val="clear" w:color="auto" w:fill="FFFFFF"/>
        </w:rPr>
        <w:t>, el plan contempla 141 acciones, de las cuales se han completado 50 a la fecha, que involucran a 16 instituciones públicas, incluyendo a los ministerios que conforman el Comité Interministerial.</w:t>
      </w:r>
    </w:p>
    <w:p w14:paraId="0DFB360F" w14:textId="77777777" w:rsidR="00267E55" w:rsidRPr="008825F1" w:rsidRDefault="00267E55" w:rsidP="00267E55">
      <w:pPr>
        <w:pStyle w:val="Default"/>
        <w:jc w:val="both"/>
        <w:rPr>
          <w:rFonts w:asciiTheme="minorHAnsi" w:hAnsiTheme="minorHAnsi" w:cstheme="minorHAnsi"/>
          <w:b/>
          <w:bCs/>
          <w:color w:val="auto"/>
        </w:rPr>
      </w:pPr>
      <w:r w:rsidRPr="008825F1">
        <w:rPr>
          <w:rFonts w:asciiTheme="minorHAnsi" w:hAnsiTheme="minorHAnsi" w:cstheme="minorHAnsi"/>
          <w:b/>
          <w:bCs/>
          <w:color w:val="auto"/>
        </w:rPr>
        <w:t>Se solicita al Comité consultar al Estado:</w:t>
      </w:r>
    </w:p>
    <w:p w14:paraId="79559C20" w14:textId="77777777" w:rsidR="00267E55" w:rsidRPr="008825F1" w:rsidRDefault="00267E55" w:rsidP="00267E55">
      <w:pPr>
        <w:pStyle w:val="Default"/>
        <w:numPr>
          <w:ilvl w:val="0"/>
          <w:numId w:val="4"/>
        </w:numPr>
        <w:jc w:val="both"/>
        <w:rPr>
          <w:rFonts w:asciiTheme="minorHAnsi" w:hAnsiTheme="minorHAnsi" w:cstheme="minorHAnsi"/>
          <w:b/>
          <w:bCs/>
          <w:color w:val="auto"/>
        </w:rPr>
      </w:pPr>
      <w:r w:rsidRPr="008825F1">
        <w:rPr>
          <w:rFonts w:asciiTheme="minorHAnsi" w:hAnsiTheme="minorHAnsi" w:cstheme="minorHAnsi"/>
          <w:b/>
          <w:bCs/>
          <w:color w:val="auto"/>
        </w:rPr>
        <w:t>Qué medidas está implementando para solucionar los problemas ambientales suscitados en distintos puntos del territorio nacional</w:t>
      </w:r>
      <w:r>
        <w:rPr>
          <w:rFonts w:asciiTheme="minorHAnsi" w:hAnsiTheme="minorHAnsi" w:cstheme="minorHAnsi"/>
          <w:b/>
          <w:bCs/>
          <w:color w:val="auto"/>
        </w:rPr>
        <w:t>.</w:t>
      </w:r>
    </w:p>
    <w:p w14:paraId="6453626F" w14:textId="77777777" w:rsidR="00267E55" w:rsidRPr="002B5078" w:rsidRDefault="00267E55" w:rsidP="00267E55">
      <w:pPr>
        <w:pStyle w:val="Default"/>
        <w:numPr>
          <w:ilvl w:val="0"/>
          <w:numId w:val="4"/>
        </w:numPr>
        <w:jc w:val="both"/>
        <w:rPr>
          <w:rFonts w:asciiTheme="minorHAnsi" w:hAnsiTheme="minorHAnsi" w:cstheme="minorHAnsi"/>
          <w:b/>
          <w:bCs/>
          <w:color w:val="auto"/>
        </w:rPr>
      </w:pPr>
      <w:r w:rsidRPr="008825F1">
        <w:rPr>
          <w:rFonts w:asciiTheme="minorHAnsi" w:hAnsiTheme="minorHAnsi" w:cstheme="minorHAnsi"/>
          <w:b/>
          <w:bCs/>
          <w:color w:val="auto"/>
        </w:rPr>
        <w:t xml:space="preserve">Cuáles son los avances del </w:t>
      </w:r>
      <w:r w:rsidRPr="008825F1">
        <w:rPr>
          <w:rFonts w:asciiTheme="minorHAnsi" w:hAnsiTheme="minorHAnsi" w:cstheme="minorHAnsi"/>
          <w:b/>
          <w:color w:val="auto"/>
          <w:shd w:val="clear" w:color="auto" w:fill="FFFFFF"/>
        </w:rPr>
        <w:t>Plan de Acción de Empresas y Derechos Humanos</w:t>
      </w:r>
      <w:r>
        <w:rPr>
          <w:rFonts w:asciiTheme="minorHAnsi" w:hAnsiTheme="minorHAnsi" w:cstheme="minorHAnsi"/>
          <w:b/>
          <w:color w:val="auto"/>
          <w:shd w:val="clear" w:color="auto" w:fill="FFFFFF"/>
        </w:rPr>
        <w:t>.</w:t>
      </w:r>
    </w:p>
    <w:p w14:paraId="6DF426A5" w14:textId="77777777" w:rsidR="00267E55" w:rsidRPr="00F57037" w:rsidRDefault="00267E55" w:rsidP="00267E55">
      <w:pPr>
        <w:pStyle w:val="Default"/>
        <w:numPr>
          <w:ilvl w:val="0"/>
          <w:numId w:val="4"/>
        </w:numPr>
        <w:ind w:left="714" w:hanging="357"/>
        <w:jc w:val="both"/>
        <w:rPr>
          <w:rFonts w:asciiTheme="minorHAnsi" w:hAnsiTheme="minorHAnsi" w:cstheme="minorHAnsi"/>
          <w:b/>
          <w:bCs/>
          <w:color w:val="auto"/>
        </w:rPr>
      </w:pPr>
      <w:r w:rsidRPr="002B5078">
        <w:rPr>
          <w:rFonts w:asciiTheme="minorHAnsi" w:hAnsiTheme="minorHAnsi" w:cstheme="minorHAnsi"/>
          <w:b/>
          <w:color w:val="auto"/>
          <w:shd w:val="clear" w:color="auto" w:fill="FFFFFF"/>
        </w:rPr>
        <w:t>De qué manera resolverá severa brecha de género en implementación Ley de Inclusión laboral para personas con discapacidad</w:t>
      </w:r>
      <w:r>
        <w:rPr>
          <w:rFonts w:asciiTheme="minorHAnsi" w:hAnsiTheme="minorHAnsi" w:cstheme="minorHAnsi"/>
          <w:b/>
          <w:color w:val="auto"/>
          <w:shd w:val="clear" w:color="auto" w:fill="FFFFFF"/>
        </w:rPr>
        <w:t>.</w:t>
      </w:r>
    </w:p>
    <w:p w14:paraId="4A7B7E7A" w14:textId="1B3308FF" w:rsidR="00267E55" w:rsidRPr="00F57037" w:rsidRDefault="00267E55" w:rsidP="00267E55">
      <w:pPr>
        <w:pStyle w:val="Prrafodelista"/>
        <w:numPr>
          <w:ilvl w:val="0"/>
          <w:numId w:val="4"/>
        </w:numPr>
        <w:spacing w:after="120"/>
        <w:ind w:left="714" w:hanging="357"/>
        <w:rPr>
          <w:rFonts w:asciiTheme="minorHAnsi" w:eastAsiaTheme="minorHAnsi" w:hAnsiTheme="minorHAnsi" w:cstheme="minorHAnsi"/>
          <w:b/>
          <w:bCs/>
          <w:sz w:val="24"/>
          <w:lang w:val="es-CL" w:eastAsia="en-US"/>
        </w:rPr>
      </w:pPr>
      <w:r w:rsidRPr="00F57037">
        <w:rPr>
          <w:rFonts w:asciiTheme="minorHAnsi" w:eastAsiaTheme="minorHAnsi" w:hAnsiTheme="minorHAnsi" w:cstheme="minorHAnsi"/>
          <w:b/>
          <w:bCs/>
          <w:sz w:val="24"/>
          <w:lang w:val="es-CL" w:eastAsia="en-US"/>
        </w:rPr>
        <w:t>De qué manera resolverá implementar el vigente  Plan Nacional de Inclusión social de Personas con Discapacidad 2016-2026, cuya elaboración</w:t>
      </w:r>
      <w:r>
        <w:rPr>
          <w:rFonts w:asciiTheme="minorHAnsi" w:eastAsiaTheme="minorHAnsi" w:hAnsiTheme="minorHAnsi" w:cstheme="minorHAnsi"/>
          <w:b/>
          <w:bCs/>
          <w:sz w:val="24"/>
          <w:lang w:val="es-CL" w:eastAsia="en-US"/>
        </w:rPr>
        <w:t xml:space="preserve"> incorporó</w:t>
      </w:r>
      <w:r w:rsidRPr="00F57037">
        <w:rPr>
          <w:rFonts w:asciiTheme="minorHAnsi" w:eastAsiaTheme="minorHAnsi" w:hAnsiTheme="minorHAnsi" w:cstheme="minorHAnsi"/>
          <w:b/>
          <w:bCs/>
          <w:sz w:val="24"/>
          <w:lang w:val="es-CL" w:eastAsia="en-US"/>
        </w:rPr>
        <w:t xml:space="preserve"> filtro convencional basado en CDPD/ONU, y amplia participación social de actores sociales diversos, junto a OSC de y para Personas con discapacidad en todas las Regiones, conducidos por  SENADIS</w:t>
      </w:r>
      <w:r>
        <w:rPr>
          <w:rFonts w:asciiTheme="minorHAnsi" w:eastAsiaTheme="minorHAnsi" w:hAnsiTheme="minorHAnsi" w:cstheme="minorHAnsi"/>
          <w:b/>
          <w:bCs/>
          <w:sz w:val="24"/>
          <w:lang w:val="es-CL" w:eastAsia="en-US"/>
        </w:rPr>
        <w:t>.</w:t>
      </w:r>
    </w:p>
    <w:p w14:paraId="7EAFF5F1" w14:textId="77777777"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b/>
          <w:bCs/>
          <w:color w:val="auto"/>
        </w:rPr>
        <w:t xml:space="preserve">No discriminación </w:t>
      </w:r>
    </w:p>
    <w:p w14:paraId="3F7B26C5"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 xml:space="preserve">Aun cuando en el año 2012 se legisló para establecer medidas contra la discriminación (Ley Nº 20.609), continúan vigentes normas penales que consagran y perpetúan la discriminación por orientación sexual e identidad de género. En efecto, el Código Penal mantiene tanto la criminalización de la homosexualidad de jóvenes entre 14 y 18 años con total prescindencia de que se trate de relaciones sexuales voluntarias (art. 365) como la tipificación de las ofensas al pudor o las buenas costumbres (art. 373) sin definir </w:t>
      </w:r>
      <w:r w:rsidRPr="008825F1">
        <w:rPr>
          <w:rFonts w:asciiTheme="minorHAnsi" w:hAnsiTheme="minorHAnsi" w:cstheme="minorHAnsi"/>
          <w:sz w:val="24"/>
        </w:rPr>
        <w:lastRenderedPageBreak/>
        <w:t xml:space="preserve">expresamente en qué consiste la conducta sancionada, favoreciendo que las policías detengan arbitraria y abusivamente a homosexuales, lesbianas, bisexuales y personas </w:t>
      </w:r>
      <w:proofErr w:type="spellStart"/>
      <w:r w:rsidRPr="008825F1">
        <w:rPr>
          <w:rFonts w:asciiTheme="minorHAnsi" w:hAnsiTheme="minorHAnsi" w:cstheme="minorHAnsi"/>
          <w:sz w:val="24"/>
        </w:rPr>
        <w:t>trans</w:t>
      </w:r>
      <w:proofErr w:type="spellEnd"/>
      <w:r w:rsidRPr="008825F1">
        <w:rPr>
          <w:rFonts w:asciiTheme="minorHAnsi" w:hAnsiTheme="minorHAnsi" w:cstheme="minorHAnsi"/>
          <w:sz w:val="24"/>
        </w:rPr>
        <w:t>. Diversos organismos internacionales han reprochado la vigencia de las referidas normas y recomendado su derogación</w:t>
      </w:r>
      <w:r w:rsidRPr="008825F1">
        <w:rPr>
          <w:rStyle w:val="Refdenotaalpie"/>
          <w:rFonts w:asciiTheme="minorHAnsi" w:hAnsiTheme="minorHAnsi" w:cstheme="minorHAnsi"/>
          <w:sz w:val="24"/>
        </w:rPr>
        <w:footnoteReference w:id="4"/>
      </w:r>
      <w:r w:rsidRPr="008825F1">
        <w:rPr>
          <w:rFonts w:asciiTheme="minorHAnsi" w:hAnsiTheme="minorHAnsi" w:cstheme="minorHAnsi"/>
          <w:sz w:val="24"/>
        </w:rPr>
        <w:t>.</w:t>
      </w:r>
    </w:p>
    <w:p w14:paraId="728B3618"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 xml:space="preserve">Las iniciativas parlamentarias presentadas para suprimir del ordenamiento jurídico chileno normas que criminalizan a las personas por su orientación sexual e identidad de género, no han sido debatidas (Boletines Legislativos N° 5.565-07 y 6.685-07). </w:t>
      </w:r>
    </w:p>
    <w:p w14:paraId="61A73173"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Urge la eliminación de leyes, políticas y prácticas que vulneran los derechos de personas con discapacidad, como las que permiten su institucionalización, las intervenciones forzosas y ​​la negación de su capacidad jurídica, que refuerzan su dependencia de otras personas e instituciones. Asimismo, se requiere contar con sistemas de protección social, especialmente en el ámbito de la salud, inclusivos y accesibles para personas con discapacidad, basados en su consentimiento libre e informado</w:t>
      </w:r>
      <w:r w:rsidRPr="008825F1">
        <w:rPr>
          <w:rStyle w:val="Refdenotaalpie"/>
          <w:rFonts w:asciiTheme="minorHAnsi" w:hAnsiTheme="minorHAnsi" w:cstheme="minorHAnsi"/>
          <w:sz w:val="24"/>
        </w:rPr>
        <w:footnoteReference w:id="5"/>
      </w:r>
      <w:r w:rsidRPr="008825F1">
        <w:rPr>
          <w:rFonts w:asciiTheme="minorHAnsi" w:hAnsiTheme="minorHAnsi" w:cstheme="minorHAnsi"/>
          <w:sz w:val="24"/>
        </w:rPr>
        <w:t>.</w:t>
      </w:r>
    </w:p>
    <w:p w14:paraId="6620F6FF"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 xml:space="preserve">Se requiere impulsar el debate legislativo del proyecto de ley </w:t>
      </w:r>
      <w:r w:rsidRPr="008825F1">
        <w:rPr>
          <w:rFonts w:asciiTheme="minorHAnsi" w:eastAsiaTheme="minorEastAsia" w:hAnsiTheme="minorHAnsi" w:cstheme="minorHAnsi"/>
          <w:sz w:val="24"/>
        </w:rPr>
        <w:t>sobre reconocimiento y protección de los derechos fundamentales de las personas con enfermedad mental, con discapacidad intelectual y con discapacidad psíquica,</w:t>
      </w:r>
      <w:r w:rsidRPr="008825F1">
        <w:rPr>
          <w:rFonts w:asciiTheme="minorHAnsi" w:hAnsiTheme="minorHAnsi" w:cstheme="minorHAnsi"/>
          <w:sz w:val="24"/>
        </w:rPr>
        <w:t xml:space="preserve"> actualmente en discusión particular ante la Comisión de Salud del Senado en segundo trámite constitucional </w:t>
      </w:r>
      <w:r w:rsidRPr="008825F1">
        <w:rPr>
          <w:rFonts w:asciiTheme="minorHAnsi" w:eastAsiaTheme="minorEastAsia" w:hAnsiTheme="minorHAnsi" w:cstheme="minorHAnsi"/>
          <w:sz w:val="24"/>
        </w:rPr>
        <w:t xml:space="preserve">(Boletines Legislativos </w:t>
      </w:r>
      <w:proofErr w:type="spellStart"/>
      <w:r w:rsidRPr="008825F1">
        <w:rPr>
          <w:rFonts w:asciiTheme="minorHAnsi" w:hAnsiTheme="minorHAnsi" w:cstheme="minorHAnsi"/>
          <w:sz w:val="24"/>
        </w:rPr>
        <w:t>Nºs</w:t>
      </w:r>
      <w:proofErr w:type="spellEnd"/>
      <w:r w:rsidRPr="008825F1">
        <w:rPr>
          <w:rFonts w:asciiTheme="minorHAnsi" w:hAnsiTheme="minorHAnsi" w:cstheme="minorHAnsi"/>
          <w:sz w:val="24"/>
        </w:rPr>
        <w:t xml:space="preserve"> 10.563-11 y 10.755-11 refundidos), introduciendo las respectivas correcciones orientadas al reconocimiento pleno de la capacidad jurídica de personas usuarias de servicios de salud mental, garantías de exigibilidad al catálogo de derechos planteado, incorporando medidas para asegurar el acceso a la atención de salud sexual y reproductiva; así como consagrar de manera </w:t>
      </w:r>
      <w:r w:rsidRPr="00F57037">
        <w:rPr>
          <w:rFonts w:asciiTheme="minorHAnsi" w:hAnsiTheme="minorHAnsi" w:cstheme="minorHAnsi"/>
          <w:sz w:val="24"/>
        </w:rPr>
        <w:t xml:space="preserve">explícita la prohibición de las internaciones forzadas o involuntarias, intervenciones o procedimientos médicos invasivos e irreversibles, como la psicocirugía, la terapia </w:t>
      </w:r>
      <w:proofErr w:type="spellStart"/>
      <w:r w:rsidRPr="00F57037">
        <w:rPr>
          <w:rFonts w:asciiTheme="minorHAnsi" w:hAnsiTheme="minorHAnsi" w:cstheme="minorHAnsi"/>
          <w:sz w:val="24"/>
        </w:rPr>
        <w:t>electro</w:t>
      </w:r>
      <w:r w:rsidRPr="008825F1">
        <w:rPr>
          <w:rFonts w:asciiTheme="minorHAnsi" w:hAnsiTheme="minorHAnsi" w:cstheme="minorHAnsi"/>
          <w:sz w:val="24"/>
        </w:rPr>
        <w:t>convulsiva</w:t>
      </w:r>
      <w:proofErr w:type="spellEnd"/>
      <w:r w:rsidRPr="008825F1">
        <w:rPr>
          <w:rFonts w:asciiTheme="minorHAnsi" w:hAnsiTheme="minorHAnsi" w:cstheme="minorHAnsi"/>
          <w:sz w:val="24"/>
        </w:rPr>
        <w:t xml:space="preserve"> y la esterilización sin el consentimiento libre e informado de la persona que de acuerdo al Comité sobre los Derechos de las Personas con Discapacidad constituye un requisito indispensable. Asimismo</w:t>
      </w:r>
      <w:r>
        <w:rPr>
          <w:rFonts w:asciiTheme="minorHAnsi" w:hAnsiTheme="minorHAnsi" w:cstheme="minorHAnsi"/>
          <w:sz w:val="24"/>
        </w:rPr>
        <w:t>,</w:t>
      </w:r>
      <w:r w:rsidRPr="008825F1">
        <w:rPr>
          <w:rFonts w:asciiTheme="minorHAnsi" w:hAnsiTheme="minorHAnsi" w:cstheme="minorHAnsi"/>
          <w:sz w:val="24"/>
        </w:rPr>
        <w:t xml:space="preserve"> resulta crucial incorporar en el debate legislativo la participación de organizaciones de personas con discapacidad.</w:t>
      </w:r>
    </w:p>
    <w:p w14:paraId="19B075E5"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 xml:space="preserve">Igualmente se requiere impulsar el debate legislativo del proyecto de ley que modifica diversos textos legales con el objeto de eliminar la discriminación en contra de personas con discapacidad intelectual, cognitiva y psicosocial y consagrar su derecho a la </w:t>
      </w:r>
      <w:r w:rsidRPr="008825F1">
        <w:rPr>
          <w:rFonts w:asciiTheme="minorHAnsi" w:hAnsiTheme="minorHAnsi" w:cstheme="minorHAnsi"/>
          <w:sz w:val="24"/>
        </w:rPr>
        <w:lastRenderedPageBreak/>
        <w:t>autonomía, en trámite ante la Comisión de Derechos Humanos de la Cámara de Diputados (Boletín Legislativo Nº 12.441-17). No obstante, cualquier reforma sobre capacidad jurídica debe ser analizada incorporando la participación de personas con discapacidad, de manera que sus experiencias y necesidades sean efectivamente consideradas en el nuevo marco legal.</w:t>
      </w:r>
    </w:p>
    <w:p w14:paraId="21A7A331" w14:textId="77777777" w:rsidR="00267E55" w:rsidRPr="008825F1" w:rsidRDefault="00267E55" w:rsidP="00267E55">
      <w:pPr>
        <w:pStyle w:val="Default"/>
        <w:jc w:val="both"/>
        <w:rPr>
          <w:rFonts w:asciiTheme="minorHAnsi" w:hAnsiTheme="minorHAnsi" w:cstheme="minorHAnsi"/>
          <w:b/>
          <w:bCs/>
          <w:color w:val="auto"/>
        </w:rPr>
      </w:pPr>
      <w:r w:rsidRPr="008825F1">
        <w:rPr>
          <w:rFonts w:asciiTheme="minorHAnsi" w:hAnsiTheme="minorHAnsi" w:cstheme="minorHAnsi"/>
          <w:b/>
          <w:bCs/>
          <w:color w:val="auto"/>
        </w:rPr>
        <w:t>Se solicita al Comité consultar al Estado sobre:</w:t>
      </w:r>
    </w:p>
    <w:p w14:paraId="372C4FD7" w14:textId="77777777" w:rsidR="00267E55" w:rsidRDefault="00267E55" w:rsidP="00267E55">
      <w:pPr>
        <w:pStyle w:val="Default"/>
        <w:numPr>
          <w:ilvl w:val="0"/>
          <w:numId w:val="4"/>
        </w:numPr>
        <w:ind w:left="714" w:hanging="357"/>
        <w:jc w:val="both"/>
        <w:rPr>
          <w:rFonts w:asciiTheme="minorHAnsi" w:hAnsiTheme="minorHAnsi" w:cstheme="minorHAnsi"/>
          <w:b/>
          <w:bCs/>
          <w:color w:val="auto"/>
        </w:rPr>
      </w:pPr>
      <w:r w:rsidRPr="008825F1">
        <w:rPr>
          <w:rFonts w:asciiTheme="minorHAnsi" w:hAnsiTheme="minorHAnsi" w:cstheme="minorHAnsi"/>
          <w:b/>
          <w:bCs/>
          <w:color w:val="auto"/>
        </w:rPr>
        <w:t>Las medidas que tomará para garantizar en el país los derechos de las personas LGTBI y las personas con discapacidad</w:t>
      </w:r>
      <w:r>
        <w:rPr>
          <w:rFonts w:asciiTheme="minorHAnsi" w:hAnsiTheme="minorHAnsi" w:cstheme="minorHAnsi"/>
          <w:b/>
          <w:bCs/>
          <w:color w:val="auto"/>
        </w:rPr>
        <w:t>, particularmente con lo relativo a la criminalización de las relaciones homosexuales consentidas entre los 14 y los 18 años y los delitos relativos a ofensas al pudor.</w:t>
      </w:r>
    </w:p>
    <w:p w14:paraId="39FFB80F" w14:textId="77777777" w:rsidR="00267E55" w:rsidRPr="002B5078" w:rsidRDefault="00267E55" w:rsidP="00267E55">
      <w:pPr>
        <w:pStyle w:val="Default"/>
        <w:numPr>
          <w:ilvl w:val="0"/>
          <w:numId w:val="4"/>
        </w:numPr>
        <w:spacing w:after="120"/>
        <w:ind w:left="714" w:hanging="357"/>
        <w:jc w:val="both"/>
        <w:rPr>
          <w:rFonts w:asciiTheme="minorHAnsi" w:hAnsiTheme="minorHAnsi" w:cstheme="minorHAnsi"/>
          <w:b/>
          <w:bCs/>
          <w:color w:val="auto"/>
        </w:rPr>
      </w:pPr>
      <w:r w:rsidRPr="002B5078">
        <w:rPr>
          <w:rFonts w:asciiTheme="minorHAnsi" w:hAnsiTheme="minorHAnsi" w:cstheme="minorHAnsi"/>
          <w:b/>
          <w:bCs/>
        </w:rPr>
        <w:t>Las medidas que adoptará en la</w:t>
      </w:r>
      <w:r w:rsidRPr="002B5078">
        <w:rPr>
          <w:rFonts w:asciiTheme="minorHAnsi" w:hAnsiTheme="minorHAnsi" w:cs="Times"/>
          <w:sz w:val="30"/>
          <w:szCs w:val="30"/>
        </w:rPr>
        <w:t xml:space="preserve"> </w:t>
      </w:r>
      <w:r w:rsidRPr="002B5078">
        <w:rPr>
          <w:rFonts w:asciiTheme="minorHAnsi" w:hAnsiTheme="minorHAnsi" w:cs="Times"/>
          <w:b/>
          <w:szCs w:val="22"/>
        </w:rPr>
        <w:t>Reforma a la capacidad jurídica con perspectiva de género y niñez para la vida en la comunidad de las personas con discapacidad, con sistemas  de apoyo y cuidados para  la autonomía entendida como: capacidades para la autogestión, autodeterminación y auto representación.</w:t>
      </w:r>
    </w:p>
    <w:p w14:paraId="2244DFD5" w14:textId="77777777"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b/>
          <w:bCs/>
          <w:color w:val="auto"/>
        </w:rPr>
        <w:t xml:space="preserve">Igualdad entre hombres y mujeres </w:t>
      </w:r>
    </w:p>
    <w:p w14:paraId="474BB3B0" w14:textId="77777777" w:rsidR="00267E55" w:rsidRPr="00267E55" w:rsidRDefault="00267E55" w:rsidP="00267E55">
      <w:pPr>
        <w:pStyle w:val="Default"/>
        <w:spacing w:after="120"/>
        <w:jc w:val="both"/>
        <w:rPr>
          <w:rStyle w:val="Textoennegrita"/>
          <w:rFonts w:asciiTheme="minorHAnsi" w:hAnsiTheme="minorHAnsi" w:cstheme="minorHAnsi"/>
          <w:b w:val="0"/>
          <w:color w:val="auto"/>
          <w:shd w:val="clear" w:color="auto" w:fill="FFFFFF"/>
        </w:rPr>
      </w:pPr>
      <w:r w:rsidRPr="00267E55">
        <w:rPr>
          <w:rFonts w:asciiTheme="minorHAnsi" w:hAnsiTheme="minorHAnsi" w:cstheme="minorHAnsi"/>
          <w:color w:val="auto"/>
          <w:shd w:val="clear" w:color="auto" w:fill="FFFFFF"/>
        </w:rPr>
        <w:t>De acuerdo a</w:t>
      </w:r>
      <w:r w:rsidRPr="00267E55">
        <w:rPr>
          <w:rFonts w:asciiTheme="minorHAnsi" w:hAnsiTheme="minorHAnsi" w:cstheme="minorHAnsi"/>
          <w:b/>
          <w:color w:val="auto"/>
          <w:shd w:val="clear" w:color="auto" w:fill="FFFFFF"/>
        </w:rPr>
        <w:t xml:space="preserve"> </w:t>
      </w:r>
      <w:r w:rsidRPr="00267E55">
        <w:rPr>
          <w:rStyle w:val="Textoennegrita"/>
          <w:rFonts w:asciiTheme="minorHAnsi" w:hAnsiTheme="minorHAnsi" w:cstheme="minorHAnsi"/>
          <w:b w:val="0"/>
          <w:color w:val="auto"/>
          <w:shd w:val="clear" w:color="auto" w:fill="FFFFFF"/>
        </w:rPr>
        <w:t>cifras sistematizadas por el Servicio de Información de Educación Superior (SIES) el 81% de los alumnos que estudian carreras relacionadas a la tecnología y ciencias exactas son hombres, mientras que el 76% de la matrícula en programas asociados a la salud o educación son mujeres. La mantención de estos sesgos en la elección profesional de los y las jóvenes devela la mantención de los estereotipos de género en la cultura nacional y ampara la segregación vertical y horizontal en el empleo.</w:t>
      </w:r>
    </w:p>
    <w:p w14:paraId="3E394174" w14:textId="77777777" w:rsidR="00267E55" w:rsidRPr="008825F1"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bCs/>
          <w:color w:val="auto"/>
        </w:rPr>
        <w:t xml:space="preserve">Continúa pendiente en el país tanto el reconocimiento del valor del trabajo doméstico y de cuidados no remunerado como su redistribución entre los sexos. En 2015 el Instituto Nacional de Estadísticas realizó en todo el país la primera Encuesta Nacional de Uso del Tiempo (ENUT), determinando que el tiempo promedio destinado en una semana al trabajo productivo remunerado y no remunerado de la población de 15 años de edad y más es de 53,6 horas para los hombres y de 61,9 horas para las mujeres. Estos datos dan cuenta de la mayor carga de trabajo total y de trabajo sin retribución que soportan las mujeres – principalmente por la producción de bienes y servicios para el hogar - uno de los principales efectos de la división tradicional del trabajo entre los sexos, que limita seriamente la autonomía y las condiciones de vida de las mujeres. </w:t>
      </w:r>
    </w:p>
    <w:p w14:paraId="3590C2CD" w14:textId="77777777" w:rsidR="00267E55" w:rsidRPr="008825F1" w:rsidRDefault="00267E55" w:rsidP="00267E55">
      <w:pPr>
        <w:pStyle w:val="Default"/>
        <w:spacing w:after="120"/>
        <w:jc w:val="both"/>
        <w:rPr>
          <w:rFonts w:asciiTheme="minorHAnsi" w:hAnsiTheme="minorHAnsi" w:cstheme="minorHAnsi"/>
          <w:bCs/>
          <w:color w:val="auto"/>
          <w:lang w:val="es-ES"/>
        </w:rPr>
      </w:pPr>
      <w:r w:rsidRPr="008825F1">
        <w:rPr>
          <w:rFonts w:asciiTheme="minorHAnsi" w:hAnsiTheme="minorHAnsi" w:cstheme="minorHAnsi"/>
          <w:bCs/>
          <w:color w:val="auto"/>
          <w:lang w:val="es-ES"/>
        </w:rPr>
        <w:t>Chile se mantiene como uno de los cinco países de la OCDE con mayores diferencias en remuneraciones por sexo. Según la Superintendencia de Pensiones, considerando los ingresos imponibles,</w:t>
      </w:r>
      <w:r>
        <w:rPr>
          <w:rFonts w:asciiTheme="minorHAnsi" w:hAnsiTheme="minorHAnsi" w:cstheme="minorHAnsi"/>
          <w:bCs/>
          <w:color w:val="auto"/>
          <w:lang w:val="es-ES"/>
        </w:rPr>
        <w:t xml:space="preserve"> a fines </w:t>
      </w:r>
      <w:r w:rsidRPr="008825F1">
        <w:rPr>
          <w:rFonts w:asciiTheme="minorHAnsi" w:hAnsiTheme="minorHAnsi" w:cstheme="minorHAnsi"/>
          <w:bCs/>
          <w:color w:val="auto"/>
          <w:lang w:val="es-ES"/>
        </w:rPr>
        <w:t xml:space="preserve">del 2018 las mujeres en Chile ganan 12,4% menos que los hombres, una brecha apenas menor al 13,8% que alcanzaba en 2009, año en que se promulgó la Ley de Igualdad Salarial. </w:t>
      </w:r>
    </w:p>
    <w:p w14:paraId="0D8E0D24" w14:textId="77777777" w:rsidR="00267E55" w:rsidRPr="008825F1" w:rsidRDefault="00267E55" w:rsidP="00267E55">
      <w:pPr>
        <w:pStyle w:val="Default"/>
        <w:spacing w:after="120"/>
        <w:jc w:val="both"/>
        <w:rPr>
          <w:rFonts w:asciiTheme="minorHAnsi" w:hAnsiTheme="minorHAnsi" w:cstheme="minorHAnsi"/>
          <w:bCs/>
          <w:color w:val="auto"/>
          <w:lang w:val="es-ES"/>
        </w:rPr>
      </w:pPr>
      <w:r w:rsidRPr="008825F1">
        <w:rPr>
          <w:rFonts w:asciiTheme="minorHAnsi" w:hAnsiTheme="minorHAnsi" w:cstheme="minorHAnsi"/>
          <w:bCs/>
          <w:color w:val="auto"/>
          <w:lang w:val="es-ES"/>
        </w:rPr>
        <w:t>El 29 de mayo de 2018 el gobierno presentó un proyecto de ley que “modifica</w:t>
      </w:r>
      <w:r w:rsidRPr="008825F1">
        <w:rPr>
          <w:rFonts w:asciiTheme="minorHAnsi" w:hAnsiTheme="minorHAnsi" w:cstheme="minorHAnsi"/>
          <w:color w:val="auto"/>
          <w:shd w:val="clear" w:color="auto" w:fill="FFFFFF"/>
        </w:rPr>
        <w:t xml:space="preserve"> la Carta Fundamental que establece el deber del Estado de promover la igualdad de derechos entre mujeres y hombres” </w:t>
      </w:r>
      <w:r w:rsidRPr="008825F1">
        <w:rPr>
          <w:rFonts w:asciiTheme="minorHAnsi" w:hAnsiTheme="minorHAnsi" w:cstheme="minorHAnsi"/>
          <w:bCs/>
          <w:color w:val="auto"/>
          <w:lang w:val="es-ES"/>
        </w:rPr>
        <w:t xml:space="preserve">(Boletín 11758-07) que fue aprobado en la Cámara de Diputados en general, pero que en la votación en particular obtuvo el rechazo de varios </w:t>
      </w:r>
      <w:r w:rsidRPr="008825F1">
        <w:rPr>
          <w:rFonts w:asciiTheme="minorHAnsi" w:hAnsiTheme="minorHAnsi" w:cstheme="minorHAnsi"/>
          <w:bCs/>
          <w:color w:val="auto"/>
          <w:lang w:val="es-ES"/>
        </w:rPr>
        <w:lastRenderedPageBreak/>
        <w:t>artículos, por parte del oficialismo, incluido uno sobre el “principio de igualdad de remuneraciones entre hombres y mujeres que presten el mismo trabajo”.</w:t>
      </w:r>
      <w:r w:rsidRPr="008825F1">
        <w:rPr>
          <w:rStyle w:val="Refdenotaalpie"/>
          <w:rFonts w:asciiTheme="minorHAnsi" w:hAnsiTheme="minorHAnsi" w:cstheme="minorHAnsi"/>
          <w:color w:val="auto"/>
          <w:lang w:val="es-ES"/>
        </w:rPr>
        <w:footnoteReference w:id="6"/>
      </w:r>
      <w:r w:rsidRPr="008825F1">
        <w:rPr>
          <w:rFonts w:asciiTheme="minorHAnsi" w:hAnsiTheme="minorHAnsi" w:cstheme="minorHAnsi"/>
          <w:bCs/>
          <w:color w:val="auto"/>
          <w:lang w:val="es-ES"/>
        </w:rPr>
        <w:t xml:space="preserve"> </w:t>
      </w:r>
    </w:p>
    <w:p w14:paraId="1D9AC950"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Ente las 12 medidas de la Agenda de Género del Presidente Piñera se encuentra “un proyecto de ley que establezca el derecho a la </w:t>
      </w:r>
      <w:r w:rsidRPr="008825F1">
        <w:rPr>
          <w:rFonts w:asciiTheme="minorHAnsi" w:hAnsiTheme="minorHAnsi" w:cstheme="minorHAnsi"/>
          <w:bCs/>
          <w:sz w:val="24"/>
        </w:rPr>
        <w:t>Sala Cuna</w:t>
      </w:r>
      <w:r w:rsidRPr="008825F1">
        <w:rPr>
          <w:rFonts w:asciiTheme="minorHAnsi" w:hAnsiTheme="minorHAnsi" w:cstheme="minorHAnsi"/>
          <w:sz w:val="24"/>
        </w:rPr>
        <w:t> para todos los niños y niñas de madres o padres trabajadores al cuidado de sus hijos, que hoy no lo tienen”.  El proyecto, que se encuentra en primer trámite constitucional en el Senado, contiene avances importantes para las madres que realizan trabajo remunerado: elimina la cifra mínima de mujeres que hace exigible este derecho en una empresa, incluye a trabajadoras a honorarios y a trabajadoras domésticas, y establece un fondo solidario para el financiamiento de la sala cuna, que incluye un aporte empresarial y de todos los trabajadores y trabajadoras.</w:t>
      </w:r>
    </w:p>
    <w:p w14:paraId="5629D47C" w14:textId="77777777" w:rsidR="00267E55" w:rsidRPr="008825F1" w:rsidRDefault="00267E55" w:rsidP="00267E55">
      <w:pPr>
        <w:spacing w:after="120" w:line="240" w:lineRule="auto"/>
        <w:rPr>
          <w:rFonts w:asciiTheme="minorHAnsi" w:hAnsiTheme="minorHAnsi" w:cstheme="minorHAnsi"/>
          <w:bCs/>
          <w:sz w:val="24"/>
        </w:rPr>
      </w:pPr>
      <w:r w:rsidRPr="008825F1">
        <w:rPr>
          <w:rFonts w:asciiTheme="minorHAnsi" w:hAnsiTheme="minorHAnsi" w:cstheme="minorHAnsi"/>
          <w:sz w:val="24"/>
        </w:rPr>
        <w:t xml:space="preserve">No obstante, se trata de una </w:t>
      </w:r>
      <w:r w:rsidRPr="008825F1">
        <w:rPr>
          <w:rFonts w:asciiTheme="minorHAnsi" w:hAnsiTheme="minorHAnsi" w:cstheme="minorHAnsi"/>
          <w:bCs/>
          <w:sz w:val="24"/>
        </w:rPr>
        <w:t>propuesta que no cumple con el principio de universalidad, al limitar el acceso sólo a hijos/as de madres trabajadoras, excluyendo a los demás hijos/as y proponiendo el acceso a los padres sólo de manera supletoria, es decir, cuando tengan el cuidado personal de los hijos o hijas, lo que es poco frecuente en el país. Se refuerza así el rol tradicional de las mujeres en lugar de e</w:t>
      </w:r>
      <w:r>
        <w:rPr>
          <w:rFonts w:asciiTheme="minorHAnsi" w:hAnsiTheme="minorHAnsi" w:cstheme="minorHAnsi"/>
          <w:bCs/>
          <w:sz w:val="24"/>
        </w:rPr>
        <w:t xml:space="preserve">xpandir la corresponsabilidad, </w:t>
      </w:r>
      <w:r w:rsidRPr="008825F1">
        <w:rPr>
          <w:rFonts w:asciiTheme="minorHAnsi" w:hAnsiTheme="minorHAnsi" w:cstheme="minorHAnsi"/>
          <w:bCs/>
          <w:sz w:val="24"/>
        </w:rPr>
        <w:t>y se mantienen las labores de crianza como una barrera al trabajo remunerado femenino.</w:t>
      </w:r>
    </w:p>
    <w:p w14:paraId="1DC96B65" w14:textId="77777777" w:rsidR="00267E55" w:rsidRPr="008825F1" w:rsidRDefault="00267E55" w:rsidP="00267E55">
      <w:pPr>
        <w:pStyle w:val="Default"/>
        <w:jc w:val="both"/>
        <w:rPr>
          <w:rFonts w:asciiTheme="minorHAnsi" w:hAnsiTheme="minorHAnsi" w:cstheme="minorHAnsi"/>
          <w:b/>
          <w:bCs/>
          <w:color w:val="auto"/>
          <w:lang w:val="es-ES"/>
        </w:rPr>
      </w:pPr>
      <w:r w:rsidRPr="008825F1">
        <w:rPr>
          <w:rFonts w:asciiTheme="minorHAnsi" w:hAnsiTheme="minorHAnsi" w:cstheme="minorHAnsi"/>
          <w:b/>
          <w:bCs/>
          <w:color w:val="auto"/>
          <w:lang w:val="es-ES"/>
        </w:rPr>
        <w:t>Se solicita al Comité consultar al Estado:</w:t>
      </w:r>
    </w:p>
    <w:p w14:paraId="5329CD12" w14:textId="77777777" w:rsidR="00267E55" w:rsidRPr="008825F1" w:rsidRDefault="00267E55" w:rsidP="00267E55">
      <w:pPr>
        <w:pStyle w:val="Default"/>
        <w:numPr>
          <w:ilvl w:val="0"/>
          <w:numId w:val="4"/>
        </w:numPr>
        <w:ind w:left="714" w:hanging="357"/>
        <w:jc w:val="both"/>
        <w:rPr>
          <w:rFonts w:asciiTheme="minorHAnsi" w:hAnsiTheme="minorHAnsi" w:cstheme="minorHAnsi"/>
          <w:b/>
          <w:bCs/>
          <w:color w:val="auto"/>
        </w:rPr>
      </w:pPr>
      <w:r w:rsidRPr="008825F1">
        <w:rPr>
          <w:rFonts w:asciiTheme="minorHAnsi" w:hAnsiTheme="minorHAnsi" w:cstheme="minorHAnsi"/>
          <w:b/>
          <w:bCs/>
          <w:color w:val="auto"/>
          <w:lang w:val="es-ES"/>
        </w:rPr>
        <w:t xml:space="preserve">Cuándo se realizará  </w:t>
      </w:r>
      <w:r w:rsidRPr="008825F1">
        <w:rPr>
          <w:rFonts w:asciiTheme="minorHAnsi" w:hAnsiTheme="minorHAnsi" w:cstheme="minorHAnsi"/>
          <w:b/>
          <w:bCs/>
          <w:color w:val="auto"/>
        </w:rPr>
        <w:t>la próxima encuesta nacional de uso del tiempo y qué medidas se han implementado para mejorar la situación de las mujeres a partir de la información recogida a través de esta Encuesta.</w:t>
      </w:r>
    </w:p>
    <w:p w14:paraId="05ACFB0B" w14:textId="77777777" w:rsidR="00267E55" w:rsidRPr="008825F1" w:rsidRDefault="00267E55" w:rsidP="00267E55">
      <w:pPr>
        <w:pStyle w:val="Prrafodelista"/>
        <w:numPr>
          <w:ilvl w:val="0"/>
          <w:numId w:val="4"/>
        </w:numPr>
        <w:spacing w:line="240" w:lineRule="auto"/>
        <w:ind w:left="714" w:hanging="357"/>
        <w:rPr>
          <w:rFonts w:asciiTheme="minorHAnsi" w:hAnsiTheme="minorHAnsi" w:cstheme="minorHAnsi"/>
          <w:b/>
          <w:bCs/>
          <w:sz w:val="24"/>
        </w:rPr>
      </w:pPr>
      <w:r w:rsidRPr="008825F1">
        <w:rPr>
          <w:rFonts w:asciiTheme="minorHAnsi" w:hAnsiTheme="minorHAnsi" w:cstheme="minorHAnsi"/>
          <w:b/>
          <w:bCs/>
          <w:sz w:val="24"/>
        </w:rPr>
        <w:t xml:space="preserve">De qué manera el gobierno piensa avanzar en el propósito de reducir la brecha salarial y qué medidas ha tomado para revertir el reducido impacto de la ley sobre igualdad salarial, tales como el mecanismo de denuncia, fiscalización, sanción, </w:t>
      </w:r>
      <w:proofErr w:type="spellStart"/>
      <w:r w:rsidRPr="008825F1">
        <w:rPr>
          <w:rFonts w:asciiTheme="minorHAnsi" w:hAnsiTheme="minorHAnsi" w:cstheme="minorHAnsi"/>
          <w:b/>
          <w:bCs/>
          <w:sz w:val="24"/>
        </w:rPr>
        <w:t>visibilización</w:t>
      </w:r>
      <w:proofErr w:type="spellEnd"/>
      <w:r w:rsidRPr="008825F1">
        <w:rPr>
          <w:rFonts w:asciiTheme="minorHAnsi" w:hAnsiTheme="minorHAnsi" w:cstheme="minorHAnsi"/>
          <w:b/>
          <w:bCs/>
          <w:sz w:val="24"/>
        </w:rPr>
        <w:t xml:space="preserve"> pública de las brechas u otras. </w:t>
      </w:r>
    </w:p>
    <w:p w14:paraId="58277DC2" w14:textId="77777777" w:rsidR="00267E55" w:rsidRPr="008825F1" w:rsidRDefault="00267E55" w:rsidP="00267E55">
      <w:pPr>
        <w:pStyle w:val="Prrafodelista"/>
        <w:numPr>
          <w:ilvl w:val="0"/>
          <w:numId w:val="4"/>
        </w:numPr>
        <w:spacing w:after="120" w:line="240" w:lineRule="auto"/>
        <w:rPr>
          <w:rFonts w:asciiTheme="minorHAnsi" w:hAnsiTheme="minorHAnsi" w:cstheme="minorHAnsi"/>
          <w:b/>
          <w:bCs/>
          <w:sz w:val="24"/>
        </w:rPr>
      </w:pPr>
      <w:r w:rsidRPr="008825F1">
        <w:rPr>
          <w:rFonts w:asciiTheme="minorHAnsi" w:hAnsiTheme="minorHAnsi" w:cstheme="minorHAnsi"/>
          <w:b/>
          <w:bCs/>
          <w:sz w:val="24"/>
        </w:rPr>
        <w:t xml:space="preserve">Cómo asegurará el acceso a sala cuna a todos los niños y niñas, independientemente de la actividad laboral de sus progenitores y cuáles son las razones para no considerar el derecho a sala cuna para todos los trabajadores, incluidos los padres.  </w:t>
      </w:r>
    </w:p>
    <w:p w14:paraId="7E104E1E" w14:textId="77777777"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b/>
          <w:bCs/>
          <w:color w:val="auto"/>
        </w:rPr>
        <w:t xml:space="preserve">Administración de bienes matrimoniales </w:t>
      </w:r>
    </w:p>
    <w:p w14:paraId="5291E283"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Cumplidos 12 años desde la firma del Acuerdo de Solución Amistosa ante la Comisión Interamericana de Derechos Humanos en que el Estado de Chile se obligó a derogar las normas que discriminan a las mujeres en el régimen de sociedad conyugal (</w:t>
      </w:r>
      <w:r w:rsidRPr="008825F1">
        <w:rPr>
          <w:rFonts w:asciiTheme="minorHAnsi" w:hAnsiTheme="minorHAnsi" w:cstheme="minorHAnsi"/>
          <w:i/>
          <w:sz w:val="24"/>
        </w:rPr>
        <w:t>Sonia Arce Esparza contra Estado de Chile</w:t>
      </w:r>
      <w:r w:rsidRPr="008825F1">
        <w:rPr>
          <w:rFonts w:asciiTheme="minorHAnsi" w:hAnsiTheme="minorHAnsi" w:cstheme="minorHAnsi"/>
          <w:sz w:val="24"/>
        </w:rPr>
        <w:t>)</w:t>
      </w:r>
      <w:r w:rsidRPr="008825F1">
        <w:rPr>
          <w:rStyle w:val="Refdenotaalpie"/>
          <w:rFonts w:asciiTheme="minorHAnsi" w:hAnsiTheme="minorHAnsi" w:cstheme="minorHAnsi"/>
          <w:sz w:val="24"/>
        </w:rPr>
        <w:footnoteReference w:id="7"/>
      </w:r>
      <w:r w:rsidRPr="008825F1">
        <w:rPr>
          <w:rFonts w:asciiTheme="minorHAnsi" w:hAnsiTheme="minorHAnsi" w:cstheme="minorHAnsi"/>
          <w:sz w:val="24"/>
        </w:rPr>
        <w:t>, resulta en extremo grave la falta de debate legislativo al respecto.</w:t>
      </w:r>
    </w:p>
    <w:p w14:paraId="41ABA11E"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 xml:space="preserve">El proyecto de modificación a la sociedad conyugal presentado en 2011 por el Presidente Sebastián Piñera durante su primer gobierno, y despachado en primer trámite </w:t>
      </w:r>
      <w:r w:rsidRPr="008825F1">
        <w:rPr>
          <w:rFonts w:asciiTheme="minorHAnsi" w:hAnsiTheme="minorHAnsi" w:cstheme="minorHAnsi"/>
          <w:sz w:val="24"/>
        </w:rPr>
        <w:lastRenderedPageBreak/>
        <w:t xml:space="preserve">constitucional de manera unánime por la Cámara de Diputados en marzo de 2013 (Boletines Legislativos Nº 5.970-18, 7.567-18 y 7.727-18 refundidos), como asimismo una iniciativa parlamentaria que data del año 1995 (Boletín Legislativo Nº 1.707-18), se encuentran radicados en la Comisión Mujer e Igualdad de Género del Senado sin debate. </w:t>
      </w:r>
    </w:p>
    <w:p w14:paraId="7050DA75" w14:textId="77777777" w:rsidR="00267E55" w:rsidRPr="008825F1" w:rsidRDefault="00267E55" w:rsidP="00267E55">
      <w:pPr>
        <w:pStyle w:val="Default"/>
        <w:jc w:val="both"/>
        <w:rPr>
          <w:rFonts w:asciiTheme="minorHAnsi" w:hAnsiTheme="minorHAnsi" w:cstheme="minorHAnsi"/>
          <w:b/>
          <w:bCs/>
          <w:color w:val="auto"/>
          <w:lang w:val="es-ES"/>
        </w:rPr>
      </w:pPr>
      <w:r w:rsidRPr="008825F1">
        <w:rPr>
          <w:rFonts w:asciiTheme="minorHAnsi" w:hAnsiTheme="minorHAnsi" w:cstheme="minorHAnsi"/>
          <w:b/>
          <w:bCs/>
          <w:color w:val="auto"/>
          <w:lang w:val="es-ES"/>
        </w:rPr>
        <w:t>Se solicita consultar al Estado sobre:</w:t>
      </w:r>
    </w:p>
    <w:p w14:paraId="68D99D2F" w14:textId="77777777" w:rsidR="00267E55" w:rsidRPr="008825F1" w:rsidRDefault="00267E55" w:rsidP="00267E55">
      <w:pPr>
        <w:pStyle w:val="Default"/>
        <w:numPr>
          <w:ilvl w:val="0"/>
          <w:numId w:val="4"/>
        </w:numPr>
        <w:spacing w:after="120"/>
        <w:jc w:val="both"/>
        <w:rPr>
          <w:rFonts w:asciiTheme="minorHAnsi" w:hAnsiTheme="minorHAnsi" w:cstheme="minorHAnsi"/>
          <w:b/>
          <w:bCs/>
          <w:color w:val="auto"/>
          <w:lang w:val="es-ES"/>
        </w:rPr>
      </w:pPr>
      <w:r w:rsidRPr="008825F1">
        <w:rPr>
          <w:rFonts w:asciiTheme="minorHAnsi" w:hAnsiTheme="minorHAnsi" w:cstheme="minorHAnsi"/>
          <w:b/>
          <w:bCs/>
          <w:color w:val="auto"/>
          <w:lang w:val="es-ES"/>
        </w:rPr>
        <w:t>Las medidas que implementará para acelerar la reforma a la sociedad conyugal</w:t>
      </w:r>
      <w:r>
        <w:rPr>
          <w:rFonts w:asciiTheme="minorHAnsi" w:hAnsiTheme="minorHAnsi" w:cstheme="minorHAnsi"/>
          <w:b/>
          <w:bCs/>
          <w:color w:val="auto"/>
          <w:lang w:val="es-ES"/>
        </w:rPr>
        <w:t>.</w:t>
      </w:r>
    </w:p>
    <w:p w14:paraId="7F6FF674" w14:textId="77777777"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b/>
          <w:bCs/>
          <w:color w:val="auto"/>
        </w:rPr>
        <w:t xml:space="preserve">Desempleo </w:t>
      </w:r>
    </w:p>
    <w:p w14:paraId="054EACF1" w14:textId="77777777" w:rsidR="00267E55" w:rsidRPr="008825F1" w:rsidRDefault="00267E55" w:rsidP="00267E55">
      <w:pPr>
        <w:pStyle w:val="NormalWeb"/>
        <w:shd w:val="clear" w:color="auto" w:fill="FFFFFF"/>
        <w:spacing w:before="0" w:beforeAutospacing="0" w:after="120" w:afterAutospacing="0"/>
        <w:jc w:val="both"/>
        <w:rPr>
          <w:rFonts w:asciiTheme="minorHAnsi" w:hAnsiTheme="minorHAnsi" w:cstheme="minorHAnsi"/>
        </w:rPr>
      </w:pPr>
      <w:r w:rsidRPr="008825F1">
        <w:rPr>
          <w:rFonts w:asciiTheme="minorHAnsi" w:hAnsiTheme="minorHAnsi" w:cstheme="minorHAnsi"/>
        </w:rPr>
        <w:t>En el trimestre marzo-mayo de 2019, la desocupación llegó al </w:t>
      </w:r>
      <w:r w:rsidRPr="008825F1">
        <w:rPr>
          <w:rStyle w:val="Textoennegrita"/>
          <w:rFonts w:asciiTheme="minorHAnsi" w:eastAsia="Arial Unicode MS" w:hAnsiTheme="minorHAnsi" w:cstheme="minorHAnsi"/>
        </w:rPr>
        <w:t>7,1%</w:t>
      </w:r>
      <w:r w:rsidRPr="008825F1">
        <w:rPr>
          <w:rFonts w:asciiTheme="minorHAnsi" w:hAnsiTheme="minorHAnsi" w:cstheme="minorHAnsi"/>
        </w:rPr>
        <w:t xml:space="preserve"> según el Instituto Nacional de Estadísticas. Desagregando por sexo, el desempleo en las mujeres fue de 8,2% y el de los hombres de 6,3%. La tasa de ocupación informal alcanzó en el mismo período un 28,6%, siendo esta de un 30% para las mujeres y un 27,6% para los hombres. Estas cifras dan cuenta de la mantención de la mayor precariedad laboral de las mujeres, a lo que se suma que no obstante ha aumentado sostenidamente la participación laboral de las mujeres, ésta aún no supera el 50% de la población de mujeres en edad de trabajar.</w:t>
      </w:r>
    </w:p>
    <w:p w14:paraId="364D4323" w14:textId="77777777" w:rsidR="00267E55" w:rsidRPr="008825F1" w:rsidRDefault="00267E55" w:rsidP="00267E55">
      <w:pPr>
        <w:spacing w:after="120" w:line="240" w:lineRule="auto"/>
        <w:rPr>
          <w:rFonts w:asciiTheme="minorHAnsi" w:hAnsiTheme="minorHAnsi" w:cstheme="minorHAnsi"/>
          <w:sz w:val="24"/>
          <w:lang w:val="es-CL"/>
        </w:rPr>
      </w:pPr>
      <w:r w:rsidRPr="008825F1">
        <w:rPr>
          <w:rFonts w:asciiTheme="minorHAnsi" w:hAnsiTheme="minorHAnsi" w:cstheme="minorHAnsi"/>
          <w:sz w:val="24"/>
          <w:lang w:val="es-CL"/>
        </w:rPr>
        <w:t>Según el INE, en 2016 más del 97% de las personas que se declararon fuera de la fuerza laboral por razones familiares permanentes fueron mujeres</w:t>
      </w:r>
      <w:r w:rsidRPr="008825F1">
        <w:rPr>
          <w:rStyle w:val="Refdenotaalpie"/>
          <w:rFonts w:asciiTheme="minorHAnsi" w:hAnsiTheme="minorHAnsi" w:cstheme="minorHAnsi"/>
          <w:sz w:val="24"/>
          <w:lang w:val="es-CL"/>
        </w:rPr>
        <w:footnoteReference w:id="8"/>
      </w:r>
      <w:r w:rsidRPr="008825F1">
        <w:rPr>
          <w:rFonts w:asciiTheme="minorHAnsi" w:hAnsiTheme="minorHAnsi" w:cstheme="minorHAnsi"/>
          <w:sz w:val="24"/>
          <w:lang w:val="es-CL"/>
        </w:rPr>
        <w:t xml:space="preserve">, develando una fuerte división sexual del trabajo. </w:t>
      </w:r>
    </w:p>
    <w:p w14:paraId="4D156849" w14:textId="77777777" w:rsidR="00267E55" w:rsidRPr="008825F1" w:rsidRDefault="00267E55" w:rsidP="00267E55">
      <w:pPr>
        <w:pStyle w:val="Pa21"/>
        <w:spacing w:after="120" w:line="240" w:lineRule="auto"/>
        <w:jc w:val="both"/>
        <w:rPr>
          <w:rFonts w:asciiTheme="minorHAnsi" w:hAnsiTheme="minorHAnsi" w:cstheme="minorHAnsi"/>
        </w:rPr>
      </w:pPr>
      <w:r w:rsidRPr="008825F1">
        <w:rPr>
          <w:rFonts w:asciiTheme="minorHAnsi" w:hAnsiTheme="minorHAnsi" w:cstheme="minorHAnsi"/>
        </w:rPr>
        <w:t>Los ingresos de las mujeres son menores que los de los hombres, incluso controlando por características como educación, ocupación y experiencia. Además, su perfil de crecimiento en el ciclo de vida es significativamente más bajo; adicionalmente las mujeres tienen una menor probabilidad de mantener sus empleos, y son más propensas a transitar desde el desempleo a la inactividad.</w:t>
      </w:r>
      <w:r w:rsidRPr="008825F1">
        <w:rPr>
          <w:rStyle w:val="Refdenotaalpie"/>
          <w:rFonts w:asciiTheme="minorHAnsi" w:hAnsiTheme="minorHAnsi" w:cstheme="minorHAnsi"/>
        </w:rPr>
        <w:footnoteReference w:id="9"/>
      </w:r>
    </w:p>
    <w:p w14:paraId="494E98CD" w14:textId="77777777" w:rsidR="00267E55" w:rsidRPr="008825F1" w:rsidRDefault="00267E55" w:rsidP="00267E55">
      <w:pPr>
        <w:spacing w:after="120" w:line="240" w:lineRule="auto"/>
        <w:rPr>
          <w:rFonts w:asciiTheme="minorHAnsi" w:hAnsiTheme="minorHAnsi" w:cstheme="minorHAnsi"/>
          <w:sz w:val="24"/>
          <w:lang w:val="es-CL"/>
        </w:rPr>
      </w:pPr>
      <w:r w:rsidRPr="008825F1">
        <w:rPr>
          <w:rFonts w:asciiTheme="minorHAnsi" w:hAnsiTheme="minorHAnsi" w:cstheme="minorHAnsi"/>
          <w:sz w:val="24"/>
          <w:lang w:val="es-CL"/>
        </w:rPr>
        <w:t>El empleo de mujeres sigue concentrado en pocas ramas y ocupaciones, y en posiciones de menos estatus y poder. Persiste una brecha de género en las remuneraciones y una desigual distribución en el uso del tiempo. Además, las mujeres son discriminadas en los sistemas de seguridad social con cotizaciones de salud más altas y jubilaciones más bajas.</w:t>
      </w:r>
    </w:p>
    <w:p w14:paraId="6748D9F8" w14:textId="77777777" w:rsidR="00267E55" w:rsidRPr="008825F1" w:rsidRDefault="00267E55" w:rsidP="00267E55">
      <w:pPr>
        <w:spacing w:after="120" w:line="240" w:lineRule="auto"/>
        <w:rPr>
          <w:rFonts w:asciiTheme="minorHAnsi" w:hAnsiTheme="minorHAnsi" w:cstheme="minorHAnsi"/>
          <w:sz w:val="24"/>
          <w:lang w:val="es-CL"/>
        </w:rPr>
      </w:pPr>
      <w:r w:rsidRPr="008825F1">
        <w:rPr>
          <w:rFonts w:asciiTheme="minorHAnsi" w:hAnsiTheme="minorHAnsi" w:cstheme="minorHAnsi"/>
          <w:sz w:val="24"/>
          <w:lang w:val="es-CL"/>
        </w:rPr>
        <w:t>La legislación contempla para las mujeres la licencia pre y postnatal, y permite traspasar hasta un máximo de 6 semanas al padre a jornada completa. El 2018 solo en el 0.2% de estas licencias los hombres utilizaron el permiso correspondiente.</w:t>
      </w:r>
    </w:p>
    <w:p w14:paraId="70DEF5B4" w14:textId="77777777" w:rsidR="00267E55" w:rsidRPr="008825F1" w:rsidRDefault="00267E55" w:rsidP="00267E5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41"/>
          <w:tab w:val="left" w:pos="8640"/>
          <w:tab w:val="left" w:pos="9360"/>
          <w:tab w:val="left" w:pos="10080"/>
          <w:tab w:val="left" w:pos="11520"/>
        </w:tabs>
        <w:spacing w:after="120" w:line="240" w:lineRule="auto"/>
        <w:rPr>
          <w:rFonts w:asciiTheme="minorHAnsi" w:hAnsiTheme="minorHAnsi" w:cstheme="minorHAnsi"/>
          <w:sz w:val="24"/>
        </w:rPr>
      </w:pPr>
      <w:r w:rsidRPr="008825F1">
        <w:rPr>
          <w:rFonts w:asciiTheme="minorHAnsi" w:hAnsiTheme="minorHAnsi" w:cstheme="minorHAnsi"/>
          <w:sz w:val="24"/>
        </w:rPr>
        <w:t xml:space="preserve">El cuidado infantil se garantiza a través del artículo 203 del Código del Trabajo que establece la obligatoriedad de instalar salas cunas (o bien cubrir el costo de este servicio) en empresas, establecimientos industriales y de servicios, pero solamente en el caso que tengan más de 20 trabajadoras mujeres. </w:t>
      </w:r>
    </w:p>
    <w:p w14:paraId="3484E8D6" w14:textId="77777777" w:rsidR="00267E55" w:rsidRPr="008825F1" w:rsidRDefault="00267E55" w:rsidP="00267E55">
      <w:pPr>
        <w:pStyle w:val="Default"/>
        <w:spacing w:after="120"/>
        <w:jc w:val="both"/>
        <w:rPr>
          <w:rFonts w:asciiTheme="minorHAnsi" w:hAnsiTheme="minorHAnsi" w:cstheme="minorHAnsi"/>
          <w:bCs/>
          <w:color w:val="auto"/>
          <w:lang w:val="es-ES"/>
        </w:rPr>
      </w:pPr>
      <w:r w:rsidRPr="008825F1">
        <w:rPr>
          <w:rFonts w:asciiTheme="minorHAnsi" w:hAnsiTheme="minorHAnsi" w:cstheme="minorHAnsi"/>
          <w:bCs/>
          <w:color w:val="auto"/>
          <w:lang w:val="es-ES"/>
        </w:rPr>
        <w:t xml:space="preserve">Para facilitar el acceso y permanencia de las mujeres en el mercado laboral, el </w:t>
      </w:r>
      <w:proofErr w:type="spellStart"/>
      <w:r w:rsidRPr="008825F1">
        <w:rPr>
          <w:rFonts w:asciiTheme="minorHAnsi" w:hAnsiTheme="minorHAnsi" w:cstheme="minorHAnsi"/>
          <w:bCs/>
          <w:color w:val="auto"/>
          <w:lang w:val="es-ES"/>
        </w:rPr>
        <w:t>Sernam</w:t>
      </w:r>
      <w:proofErr w:type="spellEnd"/>
      <w:r w:rsidRPr="008825F1">
        <w:rPr>
          <w:rFonts w:asciiTheme="minorHAnsi" w:hAnsiTheme="minorHAnsi" w:cstheme="minorHAnsi"/>
          <w:bCs/>
          <w:color w:val="auto"/>
          <w:lang w:val="es-ES"/>
        </w:rPr>
        <w:t xml:space="preserve"> ha continuado implementado los programas Mujeres Jefas de Hogar y Programa 4 a 7.</w:t>
      </w:r>
    </w:p>
    <w:p w14:paraId="69E529B0" w14:textId="77777777" w:rsidR="00267E55" w:rsidRPr="008825F1" w:rsidRDefault="00267E55" w:rsidP="00267E55">
      <w:pPr>
        <w:pStyle w:val="Default"/>
        <w:spacing w:after="120"/>
        <w:jc w:val="both"/>
        <w:rPr>
          <w:rFonts w:asciiTheme="minorHAnsi" w:hAnsiTheme="minorHAnsi" w:cstheme="minorHAnsi"/>
          <w:bCs/>
          <w:color w:val="auto"/>
          <w:lang w:val="es-ES"/>
        </w:rPr>
      </w:pPr>
      <w:r w:rsidRPr="008825F1">
        <w:rPr>
          <w:rFonts w:asciiTheme="minorHAnsi" w:hAnsiTheme="minorHAnsi" w:cstheme="minorHAnsi"/>
          <w:bCs/>
          <w:color w:val="auto"/>
          <w:lang w:val="es-ES"/>
        </w:rPr>
        <w:lastRenderedPageBreak/>
        <w:t xml:space="preserve">El programa Mujeres Jefas de Hogar tiene la función de fomentar la reinserción y permanencia de las mujeres en el mercado laboral. No obstante, reproduce roles y  estereotipos de género por medio de los programas de capacitación y formación en oficios tradicionalmente femeninos como peluquería, cocina, </w:t>
      </w:r>
      <w:proofErr w:type="spellStart"/>
      <w:r w:rsidRPr="008825F1">
        <w:rPr>
          <w:rFonts w:asciiTheme="minorHAnsi" w:hAnsiTheme="minorHAnsi" w:cstheme="minorHAnsi"/>
          <w:bCs/>
          <w:color w:val="auto"/>
          <w:lang w:val="es-ES"/>
        </w:rPr>
        <w:t>masoterapia</w:t>
      </w:r>
      <w:proofErr w:type="spellEnd"/>
      <w:r w:rsidRPr="008825F1">
        <w:rPr>
          <w:rFonts w:asciiTheme="minorHAnsi" w:hAnsiTheme="minorHAnsi" w:cstheme="minorHAnsi"/>
          <w:bCs/>
          <w:color w:val="auto"/>
          <w:lang w:val="es-ES"/>
        </w:rPr>
        <w:t>, entre otros, por lo que cumple con las metas de inserción laboral (aunque el porcentaje de inserción es bajo) pero aceptando la división sexual del trabajo, lo que refuerza la precarización e inestabilidad laboral de las mujeres beneficiarias del programa.</w:t>
      </w:r>
    </w:p>
    <w:p w14:paraId="177D3DE0" w14:textId="77777777" w:rsidR="00267E55" w:rsidRPr="008825F1" w:rsidRDefault="00267E55" w:rsidP="00267E55">
      <w:pPr>
        <w:pStyle w:val="Default"/>
        <w:spacing w:after="120"/>
        <w:jc w:val="both"/>
        <w:rPr>
          <w:rFonts w:asciiTheme="minorHAnsi" w:hAnsiTheme="minorHAnsi" w:cstheme="minorHAnsi"/>
          <w:bCs/>
          <w:color w:val="auto"/>
          <w:lang w:val="es-ES"/>
        </w:rPr>
      </w:pPr>
      <w:r w:rsidRPr="008825F1">
        <w:rPr>
          <w:rFonts w:asciiTheme="minorHAnsi" w:hAnsiTheme="minorHAnsi" w:cstheme="minorHAnsi"/>
          <w:bCs/>
          <w:color w:val="auto"/>
          <w:lang w:val="es-ES"/>
        </w:rPr>
        <w:t>El programa de 4 a 7 pone a disposición talleres y actividades en escuelas a niños y niñas luego de la jornada escolar “mientras sus madres o mujeres responsables directas de su cuidado se encuentran trabajando, buscando un trabajo, nivelando estudios o capacitándose para una pronta inserción laboral” (</w:t>
      </w:r>
      <w:proofErr w:type="spellStart"/>
      <w:r w:rsidRPr="008825F1">
        <w:rPr>
          <w:rFonts w:asciiTheme="minorHAnsi" w:hAnsiTheme="minorHAnsi" w:cstheme="minorHAnsi"/>
          <w:bCs/>
          <w:color w:val="auto"/>
          <w:lang w:val="es-ES"/>
        </w:rPr>
        <w:t>Sernam</w:t>
      </w:r>
      <w:proofErr w:type="spellEnd"/>
      <w:r w:rsidRPr="008825F1">
        <w:rPr>
          <w:rFonts w:asciiTheme="minorHAnsi" w:hAnsiTheme="minorHAnsi" w:cstheme="minorHAnsi"/>
          <w:bCs/>
          <w:color w:val="auto"/>
          <w:lang w:val="es-ES"/>
        </w:rPr>
        <w:t>, 2019) y busca aliviar el cuidado de los niños y niñas durante una fracción de la jornada laboral. No obstante, sólo está dirigido a aquellas mujeres que forman parte del quintil más pobre (sueldos inferiores a 400 dólares mensuales) y mantiene el rol de cuidado asociado a las mujeres.</w:t>
      </w:r>
    </w:p>
    <w:p w14:paraId="3ABB744C" w14:textId="77777777" w:rsidR="00267E55" w:rsidRPr="008825F1" w:rsidRDefault="00267E55" w:rsidP="00267E55">
      <w:pPr>
        <w:pStyle w:val="Default"/>
        <w:spacing w:after="120"/>
        <w:jc w:val="both"/>
        <w:rPr>
          <w:bCs/>
          <w:color w:val="auto"/>
          <w:sz w:val="20"/>
          <w:szCs w:val="20"/>
        </w:rPr>
      </w:pPr>
      <w:r w:rsidRPr="008825F1">
        <w:rPr>
          <w:rFonts w:asciiTheme="minorHAnsi" w:hAnsiTheme="minorHAnsi" w:cstheme="minorHAnsi"/>
          <w:bCs/>
          <w:color w:val="auto"/>
          <w:lang w:val="es-ES"/>
        </w:rPr>
        <w:t>De esta manera, los programas emblemáticos hasta ahora ejecutadas por el Servicio Nacional de la Mujer (</w:t>
      </w:r>
      <w:proofErr w:type="spellStart"/>
      <w:r w:rsidRPr="008825F1">
        <w:rPr>
          <w:rFonts w:asciiTheme="minorHAnsi" w:hAnsiTheme="minorHAnsi" w:cstheme="minorHAnsi"/>
          <w:bCs/>
          <w:color w:val="auto"/>
          <w:lang w:val="es-ES"/>
        </w:rPr>
        <w:t>Sernam</w:t>
      </w:r>
      <w:proofErr w:type="spellEnd"/>
      <w:r w:rsidRPr="008825F1">
        <w:rPr>
          <w:rFonts w:asciiTheme="minorHAnsi" w:hAnsiTheme="minorHAnsi" w:cstheme="minorHAnsi"/>
          <w:bCs/>
          <w:color w:val="auto"/>
          <w:lang w:val="es-ES"/>
        </w:rPr>
        <w:t xml:space="preserve">) en materia de autonomía económica han logrado visibilizar la situación de desigualdad, pero han sido insuficientes para generar impactos significativos en las condiciones estructurales que dan origen a la diferencia sexual del trabajo, perpetuando los estereotipos de género. </w:t>
      </w:r>
    </w:p>
    <w:p w14:paraId="44694ABF" w14:textId="77777777" w:rsidR="00267E55" w:rsidRPr="008825F1" w:rsidRDefault="00267E55" w:rsidP="00267E55">
      <w:pPr>
        <w:pStyle w:val="NormalWeb"/>
        <w:shd w:val="clear" w:color="auto" w:fill="FFFFFF"/>
        <w:spacing w:before="0" w:beforeAutospacing="0" w:after="120" w:afterAutospacing="0"/>
        <w:jc w:val="both"/>
        <w:rPr>
          <w:rFonts w:asciiTheme="minorHAnsi" w:hAnsiTheme="minorHAnsi" w:cstheme="minorHAnsi"/>
          <w:lang w:val="es-ES"/>
        </w:rPr>
      </w:pPr>
      <w:r w:rsidRPr="008825F1">
        <w:rPr>
          <w:rFonts w:asciiTheme="minorHAnsi" w:hAnsiTheme="minorHAnsi" w:cstheme="minorHAnsi"/>
        </w:rPr>
        <w:t>En términos de desocupación, de acuerdo con el Censo 2017, el desempleo promedio de los inmigrantes era 7,5%, comparado al 7% de los chilenos. Sin embargo, al distinguir por el año de llegada al país se aprecian grandes diferencias. La tasa de desempleo de inmigrantes llegados después del 2016 casi triplica la de los extranjeros que entraron antes de esa fecha</w:t>
      </w:r>
      <w:r w:rsidRPr="008825F1">
        <w:rPr>
          <w:rStyle w:val="Refdenotaalpie"/>
          <w:rFonts w:asciiTheme="minorHAnsi" w:hAnsiTheme="minorHAnsi" w:cstheme="minorHAnsi"/>
        </w:rPr>
        <w:footnoteReference w:id="10"/>
      </w:r>
      <w:r w:rsidRPr="008825F1">
        <w:rPr>
          <w:rFonts w:asciiTheme="minorHAnsi" w:hAnsiTheme="minorHAnsi" w:cstheme="minorHAnsi"/>
        </w:rPr>
        <w:t>.</w:t>
      </w:r>
    </w:p>
    <w:p w14:paraId="166551A3" w14:textId="77777777" w:rsidR="00267E55" w:rsidRPr="008825F1" w:rsidRDefault="00267E55" w:rsidP="00267E55">
      <w:pPr>
        <w:pStyle w:val="Default"/>
        <w:jc w:val="both"/>
        <w:rPr>
          <w:rFonts w:asciiTheme="minorHAnsi" w:hAnsiTheme="minorHAnsi" w:cstheme="minorHAnsi"/>
          <w:b/>
          <w:bCs/>
          <w:color w:val="auto"/>
        </w:rPr>
      </w:pPr>
      <w:r w:rsidRPr="008825F1">
        <w:rPr>
          <w:rFonts w:asciiTheme="minorHAnsi" w:hAnsiTheme="minorHAnsi" w:cstheme="minorHAnsi"/>
          <w:b/>
          <w:bCs/>
          <w:color w:val="auto"/>
        </w:rPr>
        <w:t>Se solicita al Comité consultar al Estado sobre:</w:t>
      </w:r>
    </w:p>
    <w:p w14:paraId="47F9A24C" w14:textId="77777777" w:rsidR="00267E55" w:rsidRPr="008825F1" w:rsidRDefault="00267E55" w:rsidP="00267E55">
      <w:pPr>
        <w:pStyle w:val="Default"/>
        <w:numPr>
          <w:ilvl w:val="0"/>
          <w:numId w:val="4"/>
        </w:numPr>
        <w:ind w:left="714" w:hanging="357"/>
        <w:jc w:val="both"/>
        <w:rPr>
          <w:rFonts w:asciiTheme="minorHAnsi" w:hAnsiTheme="minorHAnsi" w:cstheme="minorHAnsi"/>
          <w:b/>
          <w:bCs/>
          <w:color w:val="auto"/>
        </w:rPr>
      </w:pPr>
      <w:r w:rsidRPr="008825F1">
        <w:rPr>
          <w:rFonts w:asciiTheme="minorHAnsi" w:hAnsiTheme="minorHAnsi" w:cstheme="minorHAnsi"/>
          <w:b/>
          <w:bCs/>
          <w:color w:val="auto"/>
        </w:rPr>
        <w:t xml:space="preserve">Las políticas implementadas para disminuir el desempleo y aumentar el trabajo decente, el impacto de las mismas y sus resultados para los grupos más </w:t>
      </w:r>
      <w:proofErr w:type="spellStart"/>
      <w:r w:rsidRPr="008825F1">
        <w:rPr>
          <w:rFonts w:asciiTheme="minorHAnsi" w:hAnsiTheme="minorHAnsi" w:cstheme="minorHAnsi"/>
          <w:b/>
          <w:bCs/>
          <w:color w:val="auto"/>
        </w:rPr>
        <w:t>vulnerabilizados</w:t>
      </w:r>
      <w:proofErr w:type="spellEnd"/>
      <w:r w:rsidRPr="008825F1">
        <w:rPr>
          <w:rFonts w:asciiTheme="minorHAnsi" w:hAnsiTheme="minorHAnsi" w:cstheme="minorHAnsi"/>
          <w:b/>
          <w:bCs/>
          <w:color w:val="auto"/>
        </w:rPr>
        <w:t>, como mujeres, jóvenes</w:t>
      </w:r>
      <w:r>
        <w:rPr>
          <w:rFonts w:asciiTheme="minorHAnsi" w:hAnsiTheme="minorHAnsi" w:cstheme="minorHAnsi"/>
          <w:b/>
          <w:bCs/>
          <w:color w:val="auto"/>
        </w:rPr>
        <w:t>, personas con discapacidad</w:t>
      </w:r>
      <w:r w:rsidRPr="008825F1">
        <w:rPr>
          <w:rFonts w:asciiTheme="minorHAnsi" w:hAnsiTheme="minorHAnsi" w:cstheme="minorHAnsi"/>
          <w:b/>
          <w:bCs/>
          <w:color w:val="auto"/>
        </w:rPr>
        <w:t xml:space="preserve"> y migrantes.</w:t>
      </w:r>
    </w:p>
    <w:p w14:paraId="4ED40D68" w14:textId="77777777" w:rsidR="00267E55" w:rsidRPr="008825F1" w:rsidRDefault="00267E55" w:rsidP="00267E55">
      <w:pPr>
        <w:pStyle w:val="Default"/>
        <w:numPr>
          <w:ilvl w:val="0"/>
          <w:numId w:val="4"/>
        </w:numPr>
        <w:spacing w:after="120"/>
        <w:ind w:left="714" w:hanging="357"/>
        <w:jc w:val="both"/>
        <w:rPr>
          <w:rFonts w:asciiTheme="minorHAnsi" w:hAnsiTheme="minorHAnsi" w:cstheme="minorHAnsi"/>
          <w:b/>
          <w:bCs/>
          <w:color w:val="auto"/>
        </w:rPr>
      </w:pPr>
      <w:r w:rsidRPr="008825F1">
        <w:rPr>
          <w:rFonts w:asciiTheme="minorHAnsi" w:hAnsiTheme="minorHAnsi" w:cstheme="minorHAnsi"/>
          <w:b/>
          <w:bCs/>
          <w:color w:val="auto"/>
        </w:rPr>
        <w:t xml:space="preserve">Cuáles son las medidas administrativas y legales adoptadas para evitar la postergación prolongada de la inserción laboral de las personas inmigrantes motivada por la carencia de documentación chilena </w:t>
      </w:r>
    </w:p>
    <w:p w14:paraId="381339C8" w14:textId="77777777"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b/>
          <w:bCs/>
          <w:color w:val="auto"/>
        </w:rPr>
        <w:t xml:space="preserve">Sector informal de la economía </w:t>
      </w:r>
    </w:p>
    <w:p w14:paraId="549C6FD1" w14:textId="77777777" w:rsidR="00267E55" w:rsidRPr="008825F1"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bCs/>
          <w:color w:val="auto"/>
        </w:rPr>
        <w:t xml:space="preserve">Cerca de un 29% de personas en Chile trabajan en el sector informal de la economía. De acuerdo a información difundida por el INE para el trimestre enero-marzo de 2019 las ramas de actividad económica con mayor proporción de ocupación informal fueron: actividades de los hogares como empleadores (55,9%), otras actividades de servicios (49,4%) y pesca (45,5%). Las menores proporciones de informalidad se encuentran en las </w:t>
      </w:r>
      <w:r w:rsidRPr="008825F1">
        <w:rPr>
          <w:rFonts w:asciiTheme="minorHAnsi" w:hAnsiTheme="minorHAnsi" w:cstheme="minorHAnsi"/>
          <w:bCs/>
          <w:color w:val="auto"/>
        </w:rPr>
        <w:lastRenderedPageBreak/>
        <w:t>áreas de la administración pública (10,4%), enseñanza (11,3%) y actividades profesionales (12,3%).</w:t>
      </w:r>
    </w:p>
    <w:p w14:paraId="107A8DAE" w14:textId="77777777" w:rsidR="00267E55" w:rsidRPr="008825F1"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bCs/>
          <w:color w:val="auto"/>
        </w:rPr>
        <w:t>Desglosando por grupo ocupacional, el INE señala que en el mismo período la mayor tasa de ocupación informal se encuentra en los agricultores y trabajadores calificados agropecuarios y pesqueros (63%) y en oficiales, operarios y artesanos de artes mecánicas y otros oficios (42,8%). La menor proporción se encuentra en empleados de oficina (9,8%) y profesionales, científicos e intelectuales (9,8%).</w:t>
      </w:r>
    </w:p>
    <w:p w14:paraId="4899FD24" w14:textId="77777777" w:rsidR="00267E55" w:rsidRPr="008825F1"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bCs/>
          <w:color w:val="auto"/>
        </w:rPr>
        <w:t>Del total de trabajadores y trabajadoras informales, 65,8% corresponden a trabajadores por cuenta propia y 33,2% a asalariados privados.</w:t>
      </w:r>
    </w:p>
    <w:p w14:paraId="56911901" w14:textId="77777777" w:rsidR="00267E55" w:rsidRPr="008825F1"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bCs/>
          <w:color w:val="auto"/>
        </w:rPr>
        <w:t xml:space="preserve">Desagregando por sexo, la tasa de ocupación informal femenina se situó en 29,8% y la masculina en 27,7%.  Desagregando por edad, la tasa de ocupación informal más alta del trimestre se observó en el tramo de 65 años y más (52,4%), aumentando 1,5% en 12 meses, seguido por el segmento de 15 a 24 años (37,4%). </w:t>
      </w:r>
    </w:p>
    <w:p w14:paraId="17792DC8" w14:textId="77777777" w:rsidR="00267E55" w:rsidRPr="008825F1"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bCs/>
          <w:color w:val="auto"/>
        </w:rPr>
        <w:t>La tasa de informalidad más alta se observa en aquellos/as trabajadores/as con nivel de educación primaria (50,4%), de los cuales 55,9% corresponden a mujeres y 47,5% a hombres; le siguen educación secundaria (29,1%), educación técnica (18,2%) y, finalmente, educación superior (15,5%).</w:t>
      </w:r>
    </w:p>
    <w:p w14:paraId="1EDE1325" w14:textId="77777777" w:rsidR="00267E55" w:rsidRPr="008825F1" w:rsidRDefault="00267E55" w:rsidP="00267E55">
      <w:pPr>
        <w:pStyle w:val="Default"/>
        <w:spacing w:after="120"/>
        <w:jc w:val="both"/>
        <w:rPr>
          <w:rFonts w:asciiTheme="minorHAnsi" w:hAnsiTheme="minorHAnsi"/>
          <w:b/>
          <w:bCs/>
          <w:color w:val="auto"/>
          <w:sz w:val="20"/>
          <w:szCs w:val="20"/>
        </w:rPr>
      </w:pPr>
      <w:r w:rsidRPr="008825F1">
        <w:rPr>
          <w:rFonts w:asciiTheme="minorHAnsi" w:hAnsiTheme="minorHAnsi" w:cstheme="minorHAnsi"/>
          <w:bCs/>
          <w:color w:val="auto"/>
        </w:rPr>
        <w:t>En base a las unidades económicas, las de menos de 5 personas contienen la mayor tasa de ocupación informal (61,5%), disminuyendo a medida que crece el tamaño de la unidad económica.</w:t>
      </w:r>
      <w:r w:rsidRPr="008825F1">
        <w:rPr>
          <w:rFonts w:asciiTheme="minorHAnsi" w:hAnsiTheme="minorHAnsi"/>
          <w:color w:val="auto"/>
        </w:rPr>
        <w:t xml:space="preserve"> Así, las unidades económicas de hasta 10 personas concentraron 79,6% del total de ocupados informales, mientras que 12,3% se desempeñó en unidades de 50 personas o más.</w:t>
      </w:r>
    </w:p>
    <w:p w14:paraId="489142D7" w14:textId="77777777" w:rsidR="00267E55" w:rsidRPr="008825F1"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bCs/>
          <w:color w:val="auto"/>
        </w:rPr>
        <w:t>Particularmente en la población inmigrante hay una predisposición a la realización de trabajos informales, para poder subsistir en las primeras etapas de residencia en el país, por falta de documentación y desconocimiento de la legislación laboral.</w:t>
      </w:r>
    </w:p>
    <w:p w14:paraId="07BE0820" w14:textId="77777777" w:rsidR="00267E55" w:rsidRPr="008825F1"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bCs/>
          <w:color w:val="auto"/>
        </w:rPr>
        <w:t xml:space="preserve">En síntesis, la informalidad ocupacional es mayor en las mujeres, en las personas mayores, en los/las jóvenes, en las personas con bajos niveles educacionales, en los inmigrantes en su primer período en el país y en las unidades económicas pequeñas. </w:t>
      </w:r>
    </w:p>
    <w:p w14:paraId="204A7B2F" w14:textId="77777777" w:rsidR="00267E55" w:rsidRPr="008825F1" w:rsidRDefault="00267E55" w:rsidP="00267E55">
      <w:pPr>
        <w:pStyle w:val="Default"/>
        <w:jc w:val="both"/>
        <w:rPr>
          <w:rFonts w:asciiTheme="minorHAnsi" w:hAnsiTheme="minorHAnsi" w:cstheme="minorHAnsi"/>
          <w:b/>
          <w:bCs/>
          <w:color w:val="auto"/>
        </w:rPr>
      </w:pPr>
      <w:r w:rsidRPr="008825F1">
        <w:rPr>
          <w:rFonts w:asciiTheme="minorHAnsi" w:hAnsiTheme="minorHAnsi" w:cstheme="minorHAnsi"/>
          <w:b/>
          <w:bCs/>
          <w:color w:val="auto"/>
        </w:rPr>
        <w:t>Se solicita al Comité consultar al Estado sobre:</w:t>
      </w:r>
    </w:p>
    <w:p w14:paraId="64647F75" w14:textId="77777777" w:rsidR="00267E55" w:rsidRPr="008825F1" w:rsidRDefault="00267E55" w:rsidP="00267E55">
      <w:pPr>
        <w:pStyle w:val="Default"/>
        <w:numPr>
          <w:ilvl w:val="0"/>
          <w:numId w:val="4"/>
        </w:numPr>
        <w:ind w:left="714" w:hanging="357"/>
        <w:jc w:val="both"/>
        <w:rPr>
          <w:rFonts w:asciiTheme="minorHAnsi" w:hAnsiTheme="minorHAnsi" w:cstheme="minorHAnsi"/>
          <w:b/>
          <w:bCs/>
          <w:color w:val="auto"/>
        </w:rPr>
      </w:pPr>
      <w:r w:rsidRPr="008825F1">
        <w:rPr>
          <w:rFonts w:asciiTheme="minorHAnsi" w:hAnsiTheme="minorHAnsi" w:cstheme="minorHAnsi"/>
          <w:b/>
          <w:bCs/>
          <w:color w:val="auto"/>
        </w:rPr>
        <w:t>Qué políticas y medidas a nivel administrativo, laboral, de seguridad social, de fomento productivo, etc., ha generado para regularizar al sector informal de la economía.</w:t>
      </w:r>
    </w:p>
    <w:p w14:paraId="7E7A8CFB" w14:textId="77777777" w:rsidR="00267E55" w:rsidRPr="008825F1" w:rsidRDefault="00267E55" w:rsidP="00267E55">
      <w:pPr>
        <w:pStyle w:val="Default"/>
        <w:numPr>
          <w:ilvl w:val="0"/>
          <w:numId w:val="4"/>
        </w:numPr>
        <w:spacing w:after="120"/>
        <w:ind w:left="714" w:hanging="357"/>
        <w:jc w:val="both"/>
        <w:rPr>
          <w:rFonts w:asciiTheme="minorHAnsi" w:hAnsiTheme="minorHAnsi" w:cstheme="minorHAnsi"/>
          <w:b/>
          <w:bCs/>
          <w:color w:val="auto"/>
        </w:rPr>
      </w:pPr>
      <w:r w:rsidRPr="008825F1">
        <w:rPr>
          <w:rFonts w:asciiTheme="minorHAnsi" w:hAnsiTheme="minorHAnsi" w:cstheme="minorHAnsi"/>
          <w:b/>
          <w:bCs/>
          <w:color w:val="auto"/>
        </w:rPr>
        <w:t xml:space="preserve">Qué medidas ha implementado, y qué resultados han tenido, para evitar las demoras administrativas que arrastran a la informalidad a personas inmigrantes, especialmente en el primer período en que se encuentran en el país. </w:t>
      </w:r>
    </w:p>
    <w:p w14:paraId="3E7F8573" w14:textId="77777777"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b/>
          <w:bCs/>
          <w:color w:val="auto"/>
        </w:rPr>
        <w:t xml:space="preserve">Condiciones laborales de trabajadoras de casa particular </w:t>
      </w:r>
    </w:p>
    <w:p w14:paraId="3D2F67D1" w14:textId="77777777" w:rsidR="00267E55" w:rsidRPr="008825F1" w:rsidRDefault="00267E55" w:rsidP="00267E55">
      <w:pPr>
        <w:pStyle w:val="Default"/>
        <w:spacing w:after="120"/>
        <w:jc w:val="both"/>
        <w:rPr>
          <w:rFonts w:asciiTheme="minorHAnsi" w:hAnsiTheme="minorHAnsi" w:cstheme="minorHAnsi"/>
          <w:color w:val="auto"/>
          <w:shd w:val="clear" w:color="auto" w:fill="FFFFFF"/>
        </w:rPr>
      </w:pPr>
      <w:r w:rsidRPr="008825F1">
        <w:rPr>
          <w:rFonts w:asciiTheme="minorHAnsi" w:hAnsiTheme="minorHAnsi" w:cstheme="minorHAnsi"/>
          <w:bCs/>
          <w:color w:val="auto"/>
        </w:rPr>
        <w:t>Las condiciones laborales de las trabajadoras de casa particular cambiaron a partir de noviembre de 2015. En efecto, quienes trabajan “puertas afuera”, es decir, sin pernoctar en la casa del empleador, tiene una j</w:t>
      </w:r>
      <w:r w:rsidRPr="008825F1">
        <w:rPr>
          <w:rFonts w:asciiTheme="minorHAnsi" w:hAnsiTheme="minorHAnsi" w:cstheme="minorHAnsi"/>
          <w:color w:val="auto"/>
          <w:shd w:val="clear" w:color="auto" w:fill="FFFFFF"/>
        </w:rPr>
        <w:t xml:space="preserve">ornada ordinaria de 45 horas semanales, las que pueden ser distribuidas hasta en 6 días. Se contempla la realización de horas adicionales, </w:t>
      </w:r>
      <w:r w:rsidRPr="008825F1">
        <w:rPr>
          <w:rFonts w:asciiTheme="minorHAnsi" w:hAnsiTheme="minorHAnsi" w:cstheme="minorHAnsi"/>
          <w:color w:val="auto"/>
          <w:shd w:val="clear" w:color="auto" w:fill="FFFFFF"/>
        </w:rPr>
        <w:lastRenderedPageBreak/>
        <w:t>las que pueden alcanzar las 15 horas semanales que deberán ser remuneradas con un recargo mínimo del 50% sobre el valor hora correspondiente a la jornada ordinaria. Asimismo, la ley ha establecido la división de la jornada en dos partes, destinando un tiempo intermedio mínimo de 30 minutos para colación, período que no se considera trabajado para el cómputo de la aludida jornada diaria, La jornada diaria máxima es de 12 horas, tiempo en el que se considera el período de descanso o colación.</w:t>
      </w:r>
    </w:p>
    <w:p w14:paraId="5EAE8B00" w14:textId="77777777" w:rsidR="00267E55" w:rsidRPr="008825F1" w:rsidRDefault="00267E55" w:rsidP="00267E55">
      <w:pPr>
        <w:pStyle w:val="Default"/>
        <w:spacing w:after="120"/>
        <w:jc w:val="both"/>
        <w:rPr>
          <w:rFonts w:asciiTheme="minorHAnsi" w:hAnsiTheme="minorHAnsi" w:cstheme="minorHAnsi"/>
          <w:color w:val="auto"/>
          <w:shd w:val="clear" w:color="auto" w:fill="FFFFFF"/>
        </w:rPr>
      </w:pPr>
      <w:r w:rsidRPr="008825F1">
        <w:rPr>
          <w:rFonts w:asciiTheme="minorHAnsi" w:hAnsiTheme="minorHAnsi" w:cstheme="minorHAnsi"/>
          <w:color w:val="auto"/>
          <w:shd w:val="clear" w:color="auto" w:fill="FFFFFF"/>
        </w:rPr>
        <w:t>Los trabajadores y trabajadoras de casa particular que no vivan en el domicilio del empleador tienen derecho a un descanso semanal que corresponde, a lo menos, a los días domingo y festivos de cada semana. Sin embargo, las trabajadoras de casa particular que vivan en la casa del empleador no estarán sujetas a horario. Aun así, deberán gozar de un descanso mínimo de 12 horas diarias y, entre el término de la jornada diaria y el inicio de la siguiente, el descanso habrá de ser ininterrumpido y de un mínimo de 9 horas. La Dirección del trabajo señala en su página web que dada la dificultad de controlar la jornada de trabajo de quienes trabajan “puertas adentro”, la reforma realizada en esta materia ha privilegiado el aumento de los días de descanso.</w:t>
      </w:r>
    </w:p>
    <w:p w14:paraId="6917632D" w14:textId="77777777" w:rsidR="00267E55" w:rsidRPr="008825F1" w:rsidRDefault="00267E55" w:rsidP="00267E55">
      <w:pPr>
        <w:pStyle w:val="Default"/>
        <w:spacing w:after="120"/>
        <w:jc w:val="both"/>
        <w:rPr>
          <w:rFonts w:asciiTheme="minorHAnsi" w:hAnsiTheme="minorHAnsi" w:cstheme="minorHAnsi"/>
          <w:color w:val="auto"/>
          <w:shd w:val="clear" w:color="auto" w:fill="FFFFFF"/>
        </w:rPr>
      </w:pPr>
      <w:r w:rsidRPr="008825F1">
        <w:rPr>
          <w:rFonts w:asciiTheme="minorHAnsi" w:hAnsiTheme="minorHAnsi" w:cstheme="minorHAnsi"/>
          <w:color w:val="auto"/>
          <w:shd w:val="clear" w:color="auto" w:fill="FFFFFF"/>
        </w:rPr>
        <w:t xml:space="preserve">En lo concerniente a los trabajadores(as) de casa particular puertas adentro, el inciso 2º reformado del artículo 150 del Código del Trabajo, contempla el siguiente régimen de descanso semanal: derecho a descanso semanal los días domingo; derecho a descanso los días sábado (Desde el 21 de noviembre de 2015), los cuales, de común acuerdo, podrán acumularse –en cuyo caso deberán ser otorgados por el empleador dentro del respectivo mes calendario-, fraccionarse o intercambiarse por otros días de la semana y no podrán ser compensados en dinero mientras la relación laboral se encuentre vigente; tendrán derecho a descanso todos los días que la ley declare festivos, aun cuando con anterioridad a ellos, las partes podrán pactar por escrito que el descanso se efectúe en un día distinto que no podrá fijarse más allá de los noventa días siguientes al respectivo festivo, de lo contrario caducarán. </w:t>
      </w:r>
    </w:p>
    <w:p w14:paraId="4144AFEE" w14:textId="77777777" w:rsidR="00267E55" w:rsidRPr="008825F1" w:rsidRDefault="00267E55" w:rsidP="00267E55">
      <w:pPr>
        <w:pStyle w:val="Default"/>
        <w:spacing w:after="120"/>
        <w:jc w:val="both"/>
        <w:rPr>
          <w:rFonts w:asciiTheme="minorHAnsi" w:hAnsiTheme="minorHAnsi" w:cstheme="minorHAnsi"/>
          <w:color w:val="auto"/>
          <w:shd w:val="clear" w:color="auto" w:fill="FFFFFF"/>
        </w:rPr>
      </w:pPr>
      <w:r w:rsidRPr="008825F1">
        <w:rPr>
          <w:rFonts w:asciiTheme="minorHAnsi" w:hAnsiTheme="minorHAnsi" w:cstheme="minorHAnsi"/>
          <w:color w:val="auto"/>
          <w:shd w:val="clear" w:color="auto" w:fill="FFFFFF"/>
        </w:rPr>
        <w:t>Cabe hacer notar que los días de descanso no fueron considerados irrenunciables en la ley, lo que fragiliza la posibilidad de que efectivamente las trabajadoras estén haciendo uso de esos descansos.</w:t>
      </w:r>
    </w:p>
    <w:p w14:paraId="031E1D99" w14:textId="77777777" w:rsidR="00267E55" w:rsidRPr="008825F1" w:rsidRDefault="00267E55" w:rsidP="00267E55">
      <w:pPr>
        <w:pStyle w:val="Default"/>
        <w:spacing w:after="120"/>
        <w:jc w:val="both"/>
        <w:rPr>
          <w:rFonts w:asciiTheme="minorHAnsi" w:hAnsiTheme="minorHAnsi" w:cstheme="minorHAnsi"/>
          <w:color w:val="auto"/>
          <w:shd w:val="clear" w:color="auto" w:fill="FFFFFF"/>
        </w:rPr>
      </w:pPr>
      <w:r w:rsidRPr="008825F1">
        <w:rPr>
          <w:rFonts w:asciiTheme="minorHAnsi" w:hAnsiTheme="minorHAnsi" w:cstheme="minorHAnsi"/>
          <w:color w:val="auto"/>
          <w:shd w:val="clear" w:color="auto" w:fill="FFFFFF"/>
        </w:rPr>
        <w:t xml:space="preserve">Por otra parte, la misma Dirección del Trabajo reconoce la dificultad de fiscalizar el cumplimiento de la ley, por lo que ha dispuesto la Dirección del Trabajo podrá solicitar el ingreso a un domicilio particular para verificar las condiciones laborales que se desarrollan en su interior, acceso que en todo caso deberá ser previamente autorizado por el empleador o quien lo represente. En caso que el empleador no acceda a la visita </w:t>
      </w:r>
      <w:proofErr w:type="spellStart"/>
      <w:r w:rsidRPr="008825F1">
        <w:rPr>
          <w:rFonts w:asciiTheme="minorHAnsi" w:hAnsiTheme="minorHAnsi" w:cstheme="minorHAnsi"/>
          <w:color w:val="auto"/>
          <w:shd w:val="clear" w:color="auto" w:fill="FFFFFF"/>
        </w:rPr>
        <w:t>inspectiva</w:t>
      </w:r>
      <w:proofErr w:type="spellEnd"/>
      <w:r w:rsidRPr="008825F1">
        <w:rPr>
          <w:rFonts w:asciiTheme="minorHAnsi" w:hAnsiTheme="minorHAnsi" w:cstheme="minorHAnsi"/>
          <w:color w:val="auto"/>
          <w:shd w:val="clear" w:color="auto" w:fill="FFFFFF"/>
        </w:rPr>
        <w:t>, se dejará constancia de esta circunstancia y se le citará a las dependencias de las Inspección del Trabajo, bajo apercibimiento de multa en caso de no comparecencia.</w:t>
      </w:r>
    </w:p>
    <w:p w14:paraId="35622BC8" w14:textId="77777777" w:rsidR="00267E55" w:rsidRPr="008825F1" w:rsidRDefault="00267E55" w:rsidP="00267E55">
      <w:pPr>
        <w:pStyle w:val="Default"/>
        <w:spacing w:after="120"/>
        <w:jc w:val="both"/>
        <w:rPr>
          <w:rFonts w:asciiTheme="minorHAnsi" w:hAnsiTheme="minorHAnsi" w:cstheme="minorHAnsi"/>
          <w:color w:val="auto"/>
          <w:shd w:val="clear" w:color="auto" w:fill="FFFFFF"/>
        </w:rPr>
      </w:pPr>
      <w:r w:rsidRPr="008825F1">
        <w:rPr>
          <w:rFonts w:asciiTheme="minorHAnsi" w:hAnsiTheme="minorHAnsi" w:cstheme="minorHAnsi"/>
          <w:color w:val="auto"/>
          <w:shd w:val="clear" w:color="auto" w:fill="FFFFFF"/>
        </w:rPr>
        <w:t>Los cambios operados en la legislación han permitido que las trabajadoras de casa particular accedan a los mismos derechos que el resto de los trabajadores del país, por lo que sus salarios no pueden ser inferiores al salario mínimo legal.</w:t>
      </w:r>
    </w:p>
    <w:p w14:paraId="12367027" w14:textId="77777777" w:rsidR="00267E55" w:rsidRPr="008825F1" w:rsidRDefault="00267E55" w:rsidP="00267E55">
      <w:pPr>
        <w:pStyle w:val="Default"/>
        <w:spacing w:after="120"/>
        <w:jc w:val="both"/>
        <w:rPr>
          <w:rFonts w:asciiTheme="minorHAnsi" w:hAnsiTheme="minorHAnsi" w:cstheme="minorHAnsi"/>
          <w:color w:val="auto"/>
          <w:shd w:val="clear" w:color="auto" w:fill="FFFFFF"/>
        </w:rPr>
      </w:pPr>
      <w:r w:rsidRPr="008825F1">
        <w:rPr>
          <w:rFonts w:asciiTheme="minorHAnsi" w:hAnsiTheme="minorHAnsi" w:cstheme="minorHAnsi"/>
          <w:color w:val="auto"/>
          <w:shd w:val="clear" w:color="auto" w:fill="FFFFFF"/>
        </w:rPr>
        <w:lastRenderedPageBreak/>
        <w:t>De acuerdo a los datos entregados por la Encuesta CASEN 2017, el 3,5% de la población ocupada lo está en servicio doméstico. De ella, un 0</w:t>
      </w:r>
      <w:r>
        <w:rPr>
          <w:rFonts w:asciiTheme="minorHAnsi" w:hAnsiTheme="minorHAnsi" w:cstheme="minorHAnsi"/>
          <w:color w:val="auto"/>
          <w:shd w:val="clear" w:color="auto" w:fill="FFFFFF"/>
        </w:rPr>
        <w:t>,</w:t>
      </w:r>
      <w:r w:rsidRPr="008825F1">
        <w:rPr>
          <w:rFonts w:asciiTheme="minorHAnsi" w:hAnsiTheme="minorHAnsi" w:cstheme="minorHAnsi"/>
          <w:color w:val="auto"/>
          <w:shd w:val="clear" w:color="auto" w:fill="FFFFFF"/>
        </w:rPr>
        <w:t>2% corresponde a hombres y un 7,9% a mujeres.</w:t>
      </w:r>
    </w:p>
    <w:p w14:paraId="4D794024" w14:textId="77777777" w:rsidR="00267E55" w:rsidRPr="008825F1" w:rsidRDefault="00267E55" w:rsidP="00267E55">
      <w:pPr>
        <w:pStyle w:val="Default"/>
        <w:jc w:val="both"/>
        <w:rPr>
          <w:rFonts w:asciiTheme="minorHAnsi" w:hAnsiTheme="minorHAnsi" w:cstheme="minorHAnsi"/>
          <w:b/>
          <w:color w:val="auto"/>
          <w:shd w:val="clear" w:color="auto" w:fill="FFFFFF"/>
        </w:rPr>
      </w:pPr>
      <w:r w:rsidRPr="008825F1">
        <w:rPr>
          <w:rFonts w:asciiTheme="minorHAnsi" w:hAnsiTheme="minorHAnsi" w:cstheme="minorHAnsi"/>
          <w:b/>
          <w:color w:val="auto"/>
          <w:shd w:val="clear" w:color="auto" w:fill="FFFFFF"/>
        </w:rPr>
        <w:t>Se solicita al Comité consultar al Estado sobre:</w:t>
      </w:r>
    </w:p>
    <w:p w14:paraId="3F9E72DB" w14:textId="77777777" w:rsidR="00267E55" w:rsidRPr="008825F1" w:rsidRDefault="00267E55" w:rsidP="00267E55">
      <w:pPr>
        <w:pStyle w:val="Default"/>
        <w:numPr>
          <w:ilvl w:val="0"/>
          <w:numId w:val="4"/>
        </w:numPr>
        <w:spacing w:after="120"/>
        <w:jc w:val="both"/>
        <w:rPr>
          <w:rFonts w:asciiTheme="minorHAnsi" w:hAnsiTheme="minorHAnsi" w:cstheme="minorHAnsi"/>
          <w:b/>
          <w:bCs/>
          <w:color w:val="auto"/>
        </w:rPr>
      </w:pPr>
      <w:r w:rsidRPr="008825F1">
        <w:rPr>
          <w:rFonts w:asciiTheme="minorHAnsi" w:hAnsiTheme="minorHAnsi" w:cstheme="minorHAnsi"/>
          <w:b/>
          <w:color w:val="auto"/>
          <w:shd w:val="clear" w:color="auto" w:fill="FFFFFF"/>
        </w:rPr>
        <w:t>Número de fiscalizaciones realizadas anualmente y resultado de las mismas</w:t>
      </w:r>
      <w:r>
        <w:rPr>
          <w:rFonts w:asciiTheme="minorHAnsi" w:hAnsiTheme="minorHAnsi" w:cstheme="minorHAnsi"/>
          <w:b/>
          <w:color w:val="auto"/>
          <w:shd w:val="clear" w:color="auto" w:fill="FFFFFF"/>
        </w:rPr>
        <w:t>.</w:t>
      </w:r>
    </w:p>
    <w:p w14:paraId="3CA903DD" w14:textId="77777777"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b/>
          <w:bCs/>
          <w:color w:val="auto"/>
        </w:rPr>
        <w:t xml:space="preserve">Salario igual por trabajo de igual valor </w:t>
      </w:r>
    </w:p>
    <w:p w14:paraId="3B0619FD" w14:textId="77777777" w:rsidR="00267E55" w:rsidRPr="008825F1"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bCs/>
          <w:color w:val="auto"/>
        </w:rPr>
        <w:t xml:space="preserve">En abril de 2014 un grupo de senadoras y senadores ingresa un proyecto de ley que “Modifica Código del Trabajo, en materia de discriminación e igualdad de remuneraciones, de hombres y mujeres” (Boletín N° 9322-13). Este proyecto de ley busca contribuir al perfeccionamiento de la legislación en la materia dado que la </w:t>
      </w:r>
      <w:r>
        <w:rPr>
          <w:rFonts w:asciiTheme="minorHAnsi" w:hAnsiTheme="minorHAnsi" w:cstheme="minorHAnsi"/>
          <w:bCs/>
          <w:color w:val="auto"/>
        </w:rPr>
        <w:t>L</w:t>
      </w:r>
      <w:r w:rsidRPr="008825F1">
        <w:rPr>
          <w:rFonts w:asciiTheme="minorHAnsi" w:hAnsiTheme="minorHAnsi" w:cstheme="minorHAnsi"/>
          <w:bCs/>
          <w:color w:val="auto"/>
        </w:rPr>
        <w:t>ey 20</w:t>
      </w:r>
      <w:r>
        <w:rPr>
          <w:rFonts w:asciiTheme="minorHAnsi" w:hAnsiTheme="minorHAnsi" w:cstheme="minorHAnsi"/>
          <w:bCs/>
          <w:color w:val="auto"/>
        </w:rPr>
        <w:t>.</w:t>
      </w:r>
      <w:r w:rsidRPr="008825F1">
        <w:rPr>
          <w:rFonts w:asciiTheme="minorHAnsi" w:hAnsiTheme="minorHAnsi" w:cstheme="minorHAnsi"/>
          <w:bCs/>
          <w:color w:val="auto"/>
        </w:rPr>
        <w:t xml:space="preserve">348 del año 2009 que resguarda el derecho de igualdad de remuneraciones entre hombres y mujeres, tiene severas observaciones conceptuales y grandes limitaciones de aplicación práctica. </w:t>
      </w:r>
    </w:p>
    <w:p w14:paraId="741FDD8B" w14:textId="77777777" w:rsidR="00267E55" w:rsidRPr="008825F1"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bCs/>
          <w:color w:val="auto"/>
        </w:rPr>
        <w:t xml:space="preserve">Entre los fundamentos que se mencionan en la moción presentada en 2014 figura como antecedente que la propia Cámara de Diputados realizó un estudio a cargo de un Comité de Evaluación sobre la aplicación de la </w:t>
      </w:r>
      <w:r>
        <w:rPr>
          <w:rFonts w:asciiTheme="minorHAnsi" w:hAnsiTheme="minorHAnsi" w:cstheme="minorHAnsi"/>
          <w:bCs/>
          <w:color w:val="auto"/>
        </w:rPr>
        <w:t>L</w:t>
      </w:r>
      <w:r w:rsidRPr="008825F1">
        <w:rPr>
          <w:rFonts w:asciiTheme="minorHAnsi" w:hAnsiTheme="minorHAnsi" w:cstheme="minorHAnsi"/>
          <w:bCs/>
          <w:color w:val="auto"/>
        </w:rPr>
        <w:t>ey 20</w:t>
      </w:r>
      <w:r>
        <w:rPr>
          <w:rFonts w:asciiTheme="minorHAnsi" w:hAnsiTheme="minorHAnsi" w:cstheme="minorHAnsi"/>
          <w:bCs/>
          <w:color w:val="auto"/>
        </w:rPr>
        <w:t>.</w:t>
      </w:r>
      <w:r w:rsidRPr="008825F1">
        <w:rPr>
          <w:rFonts w:asciiTheme="minorHAnsi" w:hAnsiTheme="minorHAnsi" w:cstheme="minorHAnsi"/>
          <w:bCs/>
          <w:color w:val="auto"/>
        </w:rPr>
        <w:t xml:space="preserve">348. Entre las observaciones y recomendaciones emanadas del estudio están la necesidad de hacer algunas reformas legislativas, la revisión de políticas públicas y la mejora en los procedimientos administrativos.  </w:t>
      </w:r>
    </w:p>
    <w:p w14:paraId="05830726" w14:textId="77777777" w:rsidR="00267E55" w:rsidRPr="008825F1"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bCs/>
          <w:color w:val="auto"/>
        </w:rPr>
        <w:t>En enero de 2018 el Senado aprueba la iniciativa y pasa a la Comisión de Trabajo y Seguridad Social de la Cámara de Diputados para continuar con el Segundo Trámite Constitucional. Hasta la fecha este proyecto de ley no ha sido puesto en tabla en la Comisión de Trabajo y Seguridad Social de la Cámara de Diputados para su aprobación.</w:t>
      </w:r>
    </w:p>
    <w:p w14:paraId="0EB5F4C8" w14:textId="77777777" w:rsidR="00267E55" w:rsidRPr="008825F1" w:rsidRDefault="00267E55" w:rsidP="00267E55">
      <w:pPr>
        <w:pStyle w:val="Default"/>
        <w:jc w:val="both"/>
        <w:rPr>
          <w:rFonts w:asciiTheme="minorHAnsi" w:hAnsiTheme="minorHAnsi" w:cstheme="minorHAnsi"/>
          <w:b/>
          <w:bCs/>
          <w:color w:val="auto"/>
        </w:rPr>
      </w:pPr>
      <w:r w:rsidRPr="008825F1">
        <w:rPr>
          <w:rFonts w:asciiTheme="minorHAnsi" w:hAnsiTheme="minorHAnsi" w:cstheme="minorHAnsi"/>
          <w:b/>
          <w:bCs/>
          <w:color w:val="auto"/>
        </w:rPr>
        <w:t>Se solicita al Comité consultar al Estado sobre:</w:t>
      </w:r>
    </w:p>
    <w:p w14:paraId="757C4411" w14:textId="77777777" w:rsidR="00267E55" w:rsidRPr="008825F1" w:rsidRDefault="00267E55" w:rsidP="00267E55">
      <w:pPr>
        <w:pStyle w:val="Default"/>
        <w:numPr>
          <w:ilvl w:val="0"/>
          <w:numId w:val="4"/>
        </w:numPr>
        <w:spacing w:after="120"/>
        <w:jc w:val="both"/>
        <w:rPr>
          <w:rFonts w:asciiTheme="minorHAnsi" w:hAnsiTheme="minorHAnsi" w:cstheme="minorHAnsi"/>
          <w:b/>
          <w:bCs/>
          <w:color w:val="auto"/>
        </w:rPr>
      </w:pPr>
      <w:r w:rsidRPr="008825F1">
        <w:rPr>
          <w:rFonts w:asciiTheme="minorHAnsi" w:hAnsiTheme="minorHAnsi" w:cstheme="minorHAnsi"/>
          <w:b/>
          <w:bCs/>
          <w:color w:val="auto"/>
        </w:rPr>
        <w:t>Cuáles han sido las gestiones realizadas para lograr la aprobación del proyecto de ley que modifica el Código del Trabajo, en materia de discriminación e igualdad de remuneraciones, de hombres y mujeres</w:t>
      </w:r>
      <w:r>
        <w:rPr>
          <w:rFonts w:asciiTheme="minorHAnsi" w:hAnsiTheme="minorHAnsi" w:cstheme="minorHAnsi"/>
          <w:b/>
          <w:bCs/>
          <w:color w:val="auto"/>
        </w:rPr>
        <w:t>, y de personas con discapacidad</w:t>
      </w:r>
      <w:r w:rsidRPr="008825F1">
        <w:rPr>
          <w:rFonts w:asciiTheme="minorHAnsi" w:hAnsiTheme="minorHAnsi" w:cstheme="minorHAnsi"/>
          <w:b/>
          <w:bCs/>
          <w:color w:val="auto"/>
        </w:rPr>
        <w:t>.</w:t>
      </w:r>
    </w:p>
    <w:p w14:paraId="3B4C2ED8" w14:textId="77777777"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b/>
          <w:bCs/>
          <w:color w:val="auto"/>
        </w:rPr>
        <w:t xml:space="preserve">Derechos sindicales </w:t>
      </w:r>
    </w:p>
    <w:p w14:paraId="74ADF93F" w14:textId="77777777" w:rsidR="00267E55" w:rsidRPr="008825F1" w:rsidRDefault="00267E55" w:rsidP="00267E55">
      <w:pPr>
        <w:pStyle w:val="NormalWeb"/>
        <w:shd w:val="clear" w:color="auto" w:fill="FFFFFF"/>
        <w:spacing w:before="0" w:beforeAutospacing="0" w:after="120" w:afterAutospacing="0"/>
        <w:jc w:val="both"/>
        <w:rPr>
          <w:rFonts w:asciiTheme="minorHAnsi" w:hAnsiTheme="minorHAnsi" w:cstheme="minorHAnsi"/>
        </w:rPr>
      </w:pPr>
      <w:r w:rsidRPr="008825F1">
        <w:rPr>
          <w:rFonts w:asciiTheme="minorHAnsi" w:hAnsiTheme="minorHAnsi" w:cstheme="minorHAnsi"/>
        </w:rPr>
        <w:t xml:space="preserve">La Constitución Política consagra la libertad sindical y la huelga como derecho de los trabajadores está expresamente consagrada </w:t>
      </w:r>
      <w:bookmarkStart w:id="1" w:name="81"/>
      <w:bookmarkEnd w:id="1"/>
      <w:r w:rsidRPr="008825F1">
        <w:rPr>
          <w:rFonts w:asciiTheme="minorHAnsi" w:hAnsiTheme="minorHAnsi" w:cstheme="minorHAnsi"/>
        </w:rPr>
        <w:t>el Código del Trabajo, donde se define la huelga como un “derecho que tienen los trabajadores y trabajadoras involucrados en procesos de negociación colectiva reglada para suspender las actividades a que se encuentran obligados en conformidad a sus contratos individuales, habiendo cumplido los demás requisitos legales”. Por tanto, los trabajadores con derecho a huelga son quienes pueden encontrase involucrados en procesos de negociación colectiva.</w:t>
      </w:r>
    </w:p>
    <w:p w14:paraId="513FCB7D" w14:textId="77777777" w:rsidR="00267E55" w:rsidRPr="008825F1" w:rsidRDefault="00267E55" w:rsidP="00267E55">
      <w:pPr>
        <w:spacing w:after="120" w:line="240" w:lineRule="auto"/>
        <w:rPr>
          <w:rFonts w:asciiTheme="minorHAnsi" w:hAnsiTheme="minorHAnsi" w:cstheme="minorHAnsi"/>
          <w:sz w:val="24"/>
          <w:shd w:val="clear" w:color="auto" w:fill="FFFFFF"/>
        </w:rPr>
      </w:pPr>
      <w:r w:rsidRPr="008825F1">
        <w:rPr>
          <w:rFonts w:asciiTheme="minorHAnsi" w:hAnsiTheme="minorHAnsi" w:cstheme="minorHAnsi"/>
          <w:sz w:val="24"/>
        </w:rPr>
        <w:t>El año 2000, Chile promulgó el Convenio 151 de la OIT, referido a las relaciones de trabajo en la administración pública, el cual señala en su Art. 7° que “D</w:t>
      </w:r>
      <w:r w:rsidRPr="008825F1">
        <w:rPr>
          <w:rFonts w:asciiTheme="minorHAnsi" w:hAnsiTheme="minorHAnsi" w:cstheme="minorHAnsi"/>
          <w:sz w:val="24"/>
          <w:shd w:val="clear" w:color="auto" w:fill="FFFFFF"/>
        </w:rPr>
        <w:t xml:space="preserve">eberán adoptarse, de ser necesario, medidas adecuadas a las condiciones nacionales para estimular y fomentar el pleno desarrollo y utilización de procedimientos de negociación entre las autoridades públicas competentes y las organizaciones de empleados públicos acerca de las </w:t>
      </w:r>
      <w:r w:rsidRPr="008825F1">
        <w:rPr>
          <w:rFonts w:asciiTheme="minorHAnsi" w:hAnsiTheme="minorHAnsi" w:cstheme="minorHAnsi"/>
          <w:sz w:val="24"/>
          <w:shd w:val="clear" w:color="auto" w:fill="FFFFFF"/>
        </w:rPr>
        <w:lastRenderedPageBreak/>
        <w:t>condiciones de empleo, o de cualesquiera otros métodos que permitan a los representantes de los empleados públicos participar en la determinación de dichas condiciones”.</w:t>
      </w:r>
      <w:r w:rsidRPr="008825F1">
        <w:rPr>
          <w:rFonts w:asciiTheme="minorHAnsi" w:hAnsiTheme="minorHAnsi" w:cstheme="minorHAnsi"/>
          <w:sz w:val="24"/>
        </w:rPr>
        <w:t xml:space="preserve"> Sin</w:t>
      </w:r>
      <w:r w:rsidRPr="008825F1">
        <w:rPr>
          <w:rFonts w:asciiTheme="minorHAnsi" w:hAnsiTheme="minorHAnsi" w:cstheme="minorHAnsi"/>
          <w:sz w:val="24"/>
          <w:shd w:val="clear" w:color="auto" w:fill="FFFFFF"/>
        </w:rPr>
        <w:t xml:space="preserve"> embargo, de acuerdo al Estatuto Administrativo –que rige las relaciones laborales entre los empleados públicos y sus empleadores estatales- los funcionarios públicos tienen prohibición de negociar colectivamente y de ejercer el derecho a la huelga, hecho que proviene de la prohibición constitucional que señala que “no podrán declararse en huelga los funcionarios del Estado ni de las municipalidades. Tampoco podrán hacerlo las personas que trabajen en corporaciones o empresas, cualquiera sea su naturaleza, finalidad o función, que atiendan servicios de utilidad pública o cuya paralización cause grave daño a la salud, a la economía del país, al abastecimiento de la población o a la seguridad nacional. La ley establecerá los procedimientos para determinar las corporaciones o empresas cuyos trabajadores estarán sometidos a la prohibición que establece este inciso”. Lo anterior es refrendado en el artículo 362 del Código del Trabajo. </w:t>
      </w:r>
    </w:p>
    <w:p w14:paraId="176E5FF1" w14:textId="77777777" w:rsidR="00267E55" w:rsidRPr="008825F1" w:rsidRDefault="00267E55" w:rsidP="00267E55">
      <w:pPr>
        <w:spacing w:after="120" w:line="240" w:lineRule="auto"/>
        <w:rPr>
          <w:rFonts w:asciiTheme="minorHAnsi" w:hAnsiTheme="minorHAnsi" w:cstheme="minorHAnsi"/>
          <w:sz w:val="24"/>
          <w:shd w:val="clear" w:color="auto" w:fill="FFFFFF"/>
        </w:rPr>
      </w:pPr>
      <w:r w:rsidRPr="008825F1">
        <w:rPr>
          <w:rFonts w:asciiTheme="minorHAnsi" w:hAnsiTheme="minorHAnsi" w:cstheme="minorHAnsi"/>
          <w:sz w:val="24"/>
          <w:shd w:val="clear" w:color="auto" w:fill="FFFFFF"/>
        </w:rPr>
        <w:t>Dado que a 19 años de promulgado el Convenio 151 aún no se elabora el reglamento que permitiría su aplicación en el país, por lo que el funcionariado público no tiene sindicatos pero sí asociaciones de funcionarios y no tiene, por tanto, derecho a huelga ni a negociar colectivamente, pero si puede paralizar sus actividades y negociar con las autoridades estatales, fundamentalmente porque logra movilizar a la gran mayoría del funcionariado público.</w:t>
      </w:r>
    </w:p>
    <w:p w14:paraId="006358C0" w14:textId="77777777" w:rsidR="00267E55" w:rsidRPr="008825F1" w:rsidRDefault="00267E55" w:rsidP="00267E55">
      <w:pPr>
        <w:spacing w:after="120" w:line="240" w:lineRule="auto"/>
        <w:rPr>
          <w:rFonts w:asciiTheme="minorHAnsi" w:hAnsiTheme="minorHAnsi" w:cstheme="minorHAnsi"/>
          <w:sz w:val="24"/>
          <w:shd w:val="clear" w:color="auto" w:fill="FFFFFF"/>
        </w:rPr>
      </w:pPr>
      <w:r w:rsidRPr="008825F1">
        <w:rPr>
          <w:rFonts w:asciiTheme="minorHAnsi" w:hAnsiTheme="minorHAnsi" w:cstheme="minorHAnsi"/>
          <w:sz w:val="24"/>
          <w:shd w:val="clear" w:color="auto" w:fill="FFFFFF"/>
        </w:rPr>
        <w:t>La señalada prohibición de realizar huelgas para empresas del sector privado (que atiendan servicios de utilidad pública o cuya paralización cause grave daño a la salud, a la economía del país, al abastecimiento de la población o a la seguridad nacional), se hace extensiva a toda la empresa y no solo a aquellos procesos definidos como imprescindibles para la población, privando en la práctica del derecho a huelga a cientos de trabajadores privados que se  suman a los cientos de miles de funcionarios públicos y municipales sobre los cuales recae la misma prohibición.</w:t>
      </w:r>
    </w:p>
    <w:p w14:paraId="7E507A10"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El artículo 304 del Código del Trabajo no permite la negociación colectiva en las empresas del Estado dependientes del Ministerio de Defensa Nacional o que se relacionen con el Supremo Gobierno a través de este Ministerio y en aquellas en que las leyes especiales las prohíban, ni en las empresas o instituciones públicas o privadas cuyos presupuestos, en cualquiera de los dos últimos años calendario, hayan sido financiadas en más de un 50 por ciento por el Estado (por ejemplo, universidades públicas) ya sea directamente o a través de derechos o impuestos.</w:t>
      </w:r>
    </w:p>
    <w:p w14:paraId="7067C07B"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La actual definición otorgada por la dictación de la Ley N°20.940 que moderniza las relaciones laborales (reforma laboral del gobierno de la Presidenta Bachelet), incluye la incorporación de al menos un tercio de mujeres en las directivas sindicales y contempla la institución de los servicios mínimos como limitación al derecho a la huelga. Esto último ha sido criticado por la amplitud de la definición de los mismos, lo que ha resultado en la práctica que cualquier empresa, sin importar su giro, solicita los servicios mínimos, reduciendo las posibilidades de los trabajadores de ejercer su derecho a huelga.</w:t>
      </w:r>
    </w:p>
    <w:p w14:paraId="575022E5"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 xml:space="preserve">Durante el proceso de promulgación de la ley 20.940, el Tribunal Constitucional declaró la “inconstitucionalidad” de la titularidad sindical, permitiendo la existencia de los grupos </w:t>
      </w:r>
      <w:r w:rsidRPr="008825F1">
        <w:rPr>
          <w:rFonts w:asciiTheme="minorHAnsi" w:hAnsiTheme="minorHAnsi" w:cstheme="minorHAnsi"/>
          <w:sz w:val="24"/>
        </w:rPr>
        <w:lastRenderedPageBreak/>
        <w:t>negociadores, incluso en aquellas empresas con presencia de sindicatos, siendo aquello un serio retroceso en el reconocimiento de los sindicatos como sujetos de derecho colectivo en la empresa y un claro y evidente desincentivo a formar parte de un sindicato. Debe agregarse el encapsulamiento de la negociación colectiva sólo a nivel de empresa, prohibiéndose o no reconociéndose la negociación supra empresa (por rama de actividad económica, como si existe en la mayoría de los países).</w:t>
      </w:r>
    </w:p>
    <w:p w14:paraId="3857A0E8"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 xml:space="preserve">El bajo quórum exigido para conformar un sindicato, incentiva el paralelismo sindical y aumenta el número de sindicatos, disminuyendo la capacidad para negociar con la contraparte por la constitución de sindicatos menos fuertes. A ello se suma que solo cerca del 20% de los y las trabajadoras están sindicalizados en Chile. </w:t>
      </w:r>
    </w:p>
    <w:p w14:paraId="14C4A579" w14:textId="77777777" w:rsidR="00267E55" w:rsidRPr="008825F1" w:rsidRDefault="00267E55" w:rsidP="00267E55">
      <w:pPr>
        <w:pStyle w:val="Ttulo1"/>
        <w:spacing w:before="0" w:after="120" w:line="240" w:lineRule="auto"/>
        <w:rPr>
          <w:rFonts w:asciiTheme="minorHAnsi" w:hAnsiTheme="minorHAnsi" w:cstheme="minorHAnsi"/>
          <w:b w:val="0"/>
          <w:color w:val="auto"/>
          <w:sz w:val="24"/>
          <w:szCs w:val="24"/>
          <w:shd w:val="clear" w:color="auto" w:fill="FFFFFF"/>
        </w:rPr>
      </w:pPr>
      <w:r w:rsidRPr="00704558">
        <w:rPr>
          <w:rFonts w:asciiTheme="minorHAnsi" w:hAnsiTheme="minorHAnsi" w:cstheme="minorHAnsi"/>
          <w:b w:val="0"/>
          <w:color w:val="auto"/>
          <w:sz w:val="24"/>
          <w:szCs w:val="24"/>
        </w:rPr>
        <w:t xml:space="preserve">En mayo de 2019, el gobierno presento un proyecto de ley </w:t>
      </w:r>
      <w:r w:rsidRPr="00704558">
        <w:rPr>
          <w:rFonts w:asciiTheme="minorHAnsi" w:hAnsiTheme="minorHAnsi" w:cstheme="minorHAnsi"/>
          <w:color w:val="auto"/>
          <w:sz w:val="24"/>
          <w:szCs w:val="24"/>
        </w:rPr>
        <w:t>“</w:t>
      </w:r>
      <w:r w:rsidRPr="00704558">
        <w:rPr>
          <w:rStyle w:val="Textoennegrita"/>
          <w:rFonts w:asciiTheme="minorHAnsi" w:hAnsiTheme="minorHAnsi" w:cstheme="minorHAnsi"/>
          <w:color w:val="auto"/>
          <w:sz w:val="24"/>
          <w:szCs w:val="24"/>
          <w:shd w:val="clear" w:color="auto" w:fill="FFFFFF"/>
        </w:rPr>
        <w:t>sobre modernización laboral para la conciliación, familia e inclusión” (Boletín N°</w:t>
      </w:r>
      <w:r w:rsidRPr="00704558">
        <w:rPr>
          <w:rFonts w:asciiTheme="minorHAnsi" w:hAnsiTheme="minorHAnsi" w:cstheme="minorHAnsi"/>
          <w:b w:val="0"/>
          <w:color w:val="auto"/>
          <w:sz w:val="24"/>
          <w:szCs w:val="24"/>
        </w:rPr>
        <w:t xml:space="preserve">12.618-13). </w:t>
      </w:r>
      <w:r w:rsidRPr="00704558">
        <w:rPr>
          <w:rFonts w:asciiTheme="minorHAnsi" w:hAnsiTheme="minorHAnsi" w:cstheme="minorHAnsi"/>
          <w:b w:val="0"/>
          <w:color w:val="auto"/>
          <w:sz w:val="24"/>
          <w:szCs w:val="24"/>
          <w:shd w:val="clear" w:color="auto" w:fill="FFFFFF"/>
        </w:rPr>
        <w:t>La discusión legislativa sobre este proyecto recién comienza, pero</w:t>
      </w:r>
      <w:r w:rsidRPr="008825F1">
        <w:rPr>
          <w:rFonts w:asciiTheme="minorHAnsi" w:hAnsiTheme="minorHAnsi" w:cstheme="minorHAnsi"/>
          <w:b w:val="0"/>
          <w:color w:val="auto"/>
          <w:sz w:val="24"/>
          <w:szCs w:val="24"/>
          <w:shd w:val="clear" w:color="auto" w:fill="FFFFFF"/>
        </w:rPr>
        <w:t xml:space="preserve"> ya han comenzado críticas respecto a las flexibilizaciones que dicho proyecto señala, particularmente por la disparidad de poder entre sindicatos y empleadores para realizar negociaciones de este tipo y la posible precarización del empleo que podría entrañar.</w:t>
      </w:r>
    </w:p>
    <w:p w14:paraId="570CC77B" w14:textId="77777777" w:rsidR="00267E55" w:rsidRPr="008825F1" w:rsidRDefault="00267E55" w:rsidP="00267E55">
      <w:pPr>
        <w:spacing w:line="240" w:lineRule="auto"/>
        <w:rPr>
          <w:rFonts w:asciiTheme="minorHAnsi" w:hAnsiTheme="minorHAnsi" w:cstheme="minorHAnsi"/>
          <w:b/>
          <w:bCs/>
          <w:sz w:val="24"/>
        </w:rPr>
      </w:pPr>
      <w:r w:rsidRPr="008825F1">
        <w:rPr>
          <w:rStyle w:val="Textoennegrita"/>
          <w:rFonts w:ascii="Arial" w:eastAsia="Arial Unicode MS" w:hAnsi="Arial" w:cs="Arial"/>
          <w:shd w:val="clear" w:color="auto" w:fill="FFFFFF"/>
        </w:rPr>
        <w:t xml:space="preserve"> </w:t>
      </w:r>
      <w:r w:rsidRPr="008825F1">
        <w:rPr>
          <w:rFonts w:asciiTheme="minorHAnsi" w:hAnsiTheme="minorHAnsi" w:cstheme="minorHAnsi"/>
          <w:b/>
          <w:bCs/>
          <w:sz w:val="24"/>
        </w:rPr>
        <w:t>Se le solicita al Comité consultar al Estado sobre:</w:t>
      </w:r>
    </w:p>
    <w:p w14:paraId="204DA030" w14:textId="77777777" w:rsidR="00267E55" w:rsidRPr="008825F1" w:rsidRDefault="00267E55" w:rsidP="00267E55">
      <w:pPr>
        <w:pStyle w:val="Default"/>
        <w:numPr>
          <w:ilvl w:val="0"/>
          <w:numId w:val="4"/>
        </w:numPr>
        <w:jc w:val="both"/>
        <w:rPr>
          <w:rFonts w:asciiTheme="minorHAnsi" w:hAnsiTheme="minorHAnsi" w:cstheme="minorHAnsi"/>
          <w:b/>
          <w:bCs/>
          <w:color w:val="auto"/>
        </w:rPr>
      </w:pPr>
      <w:r w:rsidRPr="008825F1">
        <w:rPr>
          <w:rFonts w:asciiTheme="minorHAnsi" w:hAnsiTheme="minorHAnsi" w:cstheme="minorHAnsi"/>
          <w:b/>
          <w:bCs/>
          <w:color w:val="auto"/>
        </w:rPr>
        <w:t>Qué medidas y plazos se han puesto para la reglamentación y plena aplicación del Convenio 151 de OIT sobre derecho a sindicalización de los empleados públicos.</w:t>
      </w:r>
    </w:p>
    <w:p w14:paraId="5D07177E" w14:textId="77777777" w:rsidR="00267E55" w:rsidRPr="008825F1" w:rsidRDefault="00267E55" w:rsidP="00267E55">
      <w:pPr>
        <w:pStyle w:val="Default"/>
        <w:numPr>
          <w:ilvl w:val="0"/>
          <w:numId w:val="4"/>
        </w:numPr>
        <w:spacing w:after="120"/>
        <w:jc w:val="both"/>
        <w:rPr>
          <w:rFonts w:asciiTheme="minorHAnsi" w:hAnsiTheme="minorHAnsi" w:cstheme="minorHAnsi"/>
          <w:b/>
          <w:bCs/>
          <w:color w:val="auto"/>
        </w:rPr>
      </w:pPr>
      <w:r w:rsidRPr="008825F1">
        <w:rPr>
          <w:rFonts w:asciiTheme="minorHAnsi" w:hAnsiTheme="minorHAnsi" w:cstheme="minorHAnsi"/>
          <w:b/>
          <w:bCs/>
          <w:color w:val="auto"/>
        </w:rPr>
        <w:t>Cuáles son las medidas que ha implementado para proteger y promover los derechos sindicales, en particular la capacidad de negociación colectiva, la constitucionalidad de la titularidad sindical y la incorporación de al menos un tercio de mujeres en las directivas sindicales.</w:t>
      </w:r>
    </w:p>
    <w:p w14:paraId="741D369B" w14:textId="77777777"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b/>
          <w:bCs/>
          <w:color w:val="auto"/>
        </w:rPr>
        <w:t xml:space="preserve">Sistema de seguridad social </w:t>
      </w:r>
    </w:p>
    <w:p w14:paraId="1FC4BF7D" w14:textId="77777777" w:rsidR="00267E55" w:rsidRPr="008825F1"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bCs/>
          <w:color w:val="auto"/>
        </w:rPr>
        <w:t xml:space="preserve">Al 31 de marzo de 2019, según datos del INE, 10.292.310 personas se encuentran afiliadas en las Administradoras de Fondos de Pensiones (AFP), 53,4% de hombres y 46,6% de mujeres. </w:t>
      </w:r>
    </w:p>
    <w:p w14:paraId="59F2D688" w14:textId="77777777" w:rsidR="00267E55" w:rsidRPr="008825F1"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bCs/>
          <w:color w:val="auto"/>
        </w:rPr>
        <w:t xml:space="preserve">En los últimos años la conformación </w:t>
      </w:r>
      <w:r>
        <w:rPr>
          <w:rFonts w:asciiTheme="minorHAnsi" w:hAnsiTheme="minorHAnsi" w:cstheme="minorHAnsi"/>
          <w:bCs/>
          <w:color w:val="auto"/>
        </w:rPr>
        <w:t xml:space="preserve">de </w:t>
      </w:r>
      <w:r w:rsidRPr="008825F1">
        <w:rPr>
          <w:rFonts w:asciiTheme="minorHAnsi" w:hAnsiTheme="minorHAnsi" w:cstheme="minorHAnsi"/>
          <w:bCs/>
          <w:color w:val="auto"/>
        </w:rPr>
        <w:t xml:space="preserve">un movimiento social denominado “No + AFP” ha logrado masivas movilizaciones ciudadanas, instalando el problema del sistema de pensiones como un tema a resolver urgentemente por el Estado. </w:t>
      </w:r>
    </w:p>
    <w:p w14:paraId="541CFB1E" w14:textId="77777777" w:rsidR="00267E55" w:rsidRPr="008825F1"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bCs/>
          <w:color w:val="auto"/>
        </w:rPr>
        <w:t xml:space="preserve">Esta presión ciudadana llevó al gobierno anterior y al actual a proponer fórmulas destinadas a elevar las pensiones recibidas, pero todas ellas enmarcadas en mantener el sistema de capitalización individual, que es lo que rechaza este movimiento. Las respuestas refieren a aumentar el porcentaje del salario destinado a ahorro individual, ya sea a cargo del empleador, del trabajador o mixto, lo que ha provocado resistencias en la población movilizada cuya consigna es “Ni un peso más para las AFP”. </w:t>
      </w:r>
    </w:p>
    <w:p w14:paraId="76DA9453" w14:textId="77777777" w:rsidR="00267E55" w:rsidRPr="008825F1" w:rsidRDefault="00267E55" w:rsidP="00267E55">
      <w:pPr>
        <w:pStyle w:val="Default"/>
        <w:spacing w:after="120"/>
        <w:jc w:val="both"/>
        <w:rPr>
          <w:rFonts w:asciiTheme="minorHAnsi" w:hAnsiTheme="minorHAnsi" w:cstheme="minorHAnsi"/>
          <w:color w:val="auto"/>
          <w:shd w:val="clear" w:color="auto" w:fill="FFFFFF"/>
          <w:lang w:eastAsia="es-ES"/>
        </w:rPr>
      </w:pPr>
      <w:r w:rsidRPr="008825F1">
        <w:rPr>
          <w:rFonts w:asciiTheme="minorHAnsi" w:hAnsiTheme="minorHAnsi" w:cstheme="minorHAnsi"/>
          <w:bCs/>
          <w:color w:val="auto"/>
        </w:rPr>
        <w:t>En noviembre de 2018 el actual gobierno ingresó al Congreso un proyecto de ley “</w:t>
      </w:r>
      <w:r w:rsidRPr="008825F1">
        <w:rPr>
          <w:rFonts w:asciiTheme="minorHAnsi" w:hAnsiTheme="minorHAnsi" w:cstheme="minorHAnsi"/>
          <w:color w:val="auto"/>
          <w:shd w:val="clear" w:color="auto" w:fill="FFFFFF"/>
          <w:lang w:eastAsia="es-ES"/>
        </w:rPr>
        <w:t xml:space="preserve">que aumenta la tasa de cotización para el financiamiento de las pensiones; reforma y fortalece el sistema solidario de pensiones; introduce nuevos beneficios de pensión para la clase media y las mujeres; introduce un subsidio y seguro en caso de dependencia funcional </w:t>
      </w:r>
      <w:r w:rsidRPr="008825F1">
        <w:rPr>
          <w:rFonts w:asciiTheme="minorHAnsi" w:hAnsiTheme="minorHAnsi" w:cstheme="minorHAnsi"/>
          <w:color w:val="auto"/>
          <w:shd w:val="clear" w:color="auto" w:fill="FFFFFF"/>
          <w:lang w:eastAsia="es-ES"/>
        </w:rPr>
        <w:lastRenderedPageBreak/>
        <w:t xml:space="preserve">severa de los adultos mayores de 65 años de edad; modifica la regulación del sistema de pensiones de ahorro individual para facilitar la competencia en la industria de administración de fondos de pensiones; introduce un nuevo mecanismo de educación previsional; fortalece la fiscalización del sistema de pensiones e introduce otros cambios al sistema de pensiones de ahorro individual”. A pesar de la urgencia que le ha colocado el </w:t>
      </w:r>
      <w:r>
        <w:rPr>
          <w:rFonts w:asciiTheme="minorHAnsi" w:hAnsiTheme="minorHAnsi" w:cstheme="minorHAnsi"/>
          <w:color w:val="auto"/>
          <w:shd w:val="clear" w:color="auto" w:fill="FFFFFF"/>
          <w:lang w:eastAsia="es-ES"/>
        </w:rPr>
        <w:t>E</w:t>
      </w:r>
      <w:r w:rsidRPr="008825F1">
        <w:rPr>
          <w:rFonts w:asciiTheme="minorHAnsi" w:hAnsiTheme="minorHAnsi" w:cstheme="minorHAnsi"/>
          <w:color w:val="auto"/>
          <w:shd w:val="clear" w:color="auto" w:fill="FFFFFF"/>
          <w:lang w:eastAsia="es-ES"/>
        </w:rPr>
        <w:t>jecutivo en distintas etapas de su discusión legislativa, el proyecto sigue en discusión y su formulación no logra satisfacer las demandas de la ciudadanía ni provocar los consensos necesarios para su avance más acelerado en el Congreso.</w:t>
      </w:r>
    </w:p>
    <w:p w14:paraId="3A79199B" w14:textId="77777777" w:rsidR="00267E55" w:rsidRDefault="00267E55" w:rsidP="00267E55">
      <w:pPr>
        <w:autoSpaceDE w:val="0"/>
        <w:autoSpaceDN w:val="0"/>
        <w:adjustRightInd w:val="0"/>
        <w:spacing w:after="120" w:line="240" w:lineRule="auto"/>
        <w:rPr>
          <w:rFonts w:asciiTheme="minorHAnsi" w:eastAsiaTheme="minorHAnsi" w:hAnsiTheme="minorHAnsi" w:cstheme="minorHAnsi"/>
          <w:sz w:val="24"/>
          <w:lang w:val="es-CL" w:eastAsia="en-US"/>
        </w:rPr>
      </w:pPr>
      <w:r w:rsidRPr="008825F1">
        <w:rPr>
          <w:rFonts w:asciiTheme="minorHAnsi" w:eastAsiaTheme="minorHAnsi" w:hAnsiTheme="minorHAnsi" w:cstheme="minorHAnsi"/>
          <w:sz w:val="24"/>
          <w:lang w:val="es-CL" w:eastAsia="en-US"/>
        </w:rPr>
        <w:t>En estudio realizado por Fundación Sol</w:t>
      </w:r>
      <w:r w:rsidRPr="008825F1">
        <w:rPr>
          <w:rStyle w:val="Refdenotaalpie"/>
          <w:rFonts w:asciiTheme="minorHAnsi" w:eastAsiaTheme="minorHAnsi" w:hAnsiTheme="minorHAnsi" w:cstheme="minorHAnsi"/>
          <w:sz w:val="24"/>
          <w:lang w:val="es-CL" w:eastAsia="en-US"/>
        </w:rPr>
        <w:footnoteReference w:id="11"/>
      </w:r>
      <w:r w:rsidRPr="008825F1">
        <w:rPr>
          <w:rFonts w:asciiTheme="minorHAnsi" w:eastAsiaTheme="minorHAnsi" w:hAnsiTheme="minorHAnsi" w:cstheme="minorHAnsi"/>
          <w:sz w:val="24"/>
          <w:lang w:val="es-CL" w:eastAsia="en-US"/>
        </w:rPr>
        <w:t>, se da cuenta de que a diciembre de 2018, “el 50% de las 684 mil jubilados que recibieron una pensión de vejez por edad (la modalidad de pensión más masiva) obtuvieron menos de $151 mil” equivalentes a US$214 ($135 mil equivalentes a US$191 si no se incluyera el Aporte Previsional Solidario del Estado).” Incluso, en el tramo de aquellas personas que cotizaron entre 30 y 35 años, el 50% recibió una pensión menor a $296.332” equivalentes a US$420, “valor levemente superior al Salario Mínimo de fines de 2018, pero inferior al Salario Mínimo actual”. “Esta grave crisis previsional, se acentúa en el caso de las mujeres, ya que el 50% de las 394.643 jubiladas por vejez edad, recibe una pensión menor a $138mil” equivalente a US$196 ($107 mil equivalentes a US$152 si no se incluyera el Aporte Previsional Solidario del Estado) “y la pensión mediana para quienes cotizaron entre 30 y 35 años, vale decir, casi toda una vida laboral, llega a sólo $281.722” equivalentes a US$399. Esta situación, señalan, es aún más cr</w:t>
      </w:r>
      <w:r>
        <w:rPr>
          <w:rFonts w:asciiTheme="minorHAnsi" w:eastAsiaTheme="minorHAnsi" w:hAnsiTheme="minorHAnsi" w:cstheme="minorHAnsi"/>
          <w:sz w:val="24"/>
          <w:lang w:val="es-CL" w:eastAsia="en-US"/>
        </w:rPr>
        <w:t>í</w:t>
      </w:r>
      <w:r w:rsidRPr="008825F1">
        <w:rPr>
          <w:rFonts w:asciiTheme="minorHAnsi" w:eastAsiaTheme="minorHAnsi" w:hAnsiTheme="minorHAnsi" w:cstheme="minorHAnsi"/>
          <w:sz w:val="24"/>
          <w:lang w:val="es-CL" w:eastAsia="en-US"/>
        </w:rPr>
        <w:t>tica para quienes se pensionaron durante 2018, lo que les permite concluir que “8 de cada 10 nuevos pensionados en Chile, ni siquiera logra autofinanciar una pensión superior a la línea de la pobreza„ lo cual demuestra que el sistema de cuentas individuales administrado por las AFP fracasó, ya que después de casi cuarenta años de funcionamiento, no logró cumplir el objetivo fundamental para cualquier sistema de pensiones en el mundo: pagar pensiones suficientes. Y, debido a la caída en la tasa de rentabilidad registrada en los últimos 20 años, tampoco podrá cumplir este objetivo en el futuro, aunque se realicen cambios paramétricos, como aumentar la tasa de cotización”.</w:t>
      </w:r>
    </w:p>
    <w:p w14:paraId="52D8270C" w14:textId="77777777" w:rsidR="00267E55" w:rsidRPr="008825F1" w:rsidRDefault="00267E55" w:rsidP="00267E55">
      <w:pPr>
        <w:autoSpaceDE w:val="0"/>
        <w:autoSpaceDN w:val="0"/>
        <w:adjustRightInd w:val="0"/>
        <w:spacing w:after="120" w:line="240" w:lineRule="auto"/>
        <w:rPr>
          <w:rFonts w:asciiTheme="minorHAnsi" w:eastAsiaTheme="minorHAnsi" w:hAnsiTheme="minorHAnsi" w:cstheme="minorHAnsi"/>
          <w:sz w:val="24"/>
          <w:lang w:val="es-CL" w:eastAsia="en-US"/>
        </w:rPr>
      </w:pPr>
      <w:r>
        <w:rPr>
          <w:rFonts w:asciiTheme="minorHAnsi" w:eastAsiaTheme="minorHAnsi" w:hAnsiTheme="minorHAnsi" w:cstheme="minorHAnsi"/>
          <w:sz w:val="24"/>
          <w:lang w:val="es-CL" w:eastAsia="en-US"/>
        </w:rPr>
        <w:t>Cabe señalar que la crisis del sistema de pensiones chileno es una de las principales causas del estallido social que sacude al país desde el 18 de octubre del presente año. Las bajas pensiones que recibe la gran mayoría de las y los trabajadores han contribuido al desarrollo de una extendida frustración ciudadana. Es así que la demanda por un verdadero sistema de seguridad social se ha convertido tal vez en la demanda de mayor relevancia para la población movilizada a través de masivas manifestaciones pacíficas desde el 18 de octubre de 2019.</w:t>
      </w:r>
    </w:p>
    <w:p w14:paraId="495EEC19" w14:textId="77777777" w:rsidR="00267E55" w:rsidRPr="008825F1" w:rsidRDefault="00267E55" w:rsidP="00267E55">
      <w:pPr>
        <w:shd w:val="clear" w:color="auto" w:fill="FFFFFF"/>
        <w:spacing w:after="120" w:line="240" w:lineRule="auto"/>
        <w:outlineLvl w:val="2"/>
        <w:rPr>
          <w:rFonts w:asciiTheme="minorHAnsi" w:hAnsiTheme="minorHAnsi" w:cstheme="minorHAnsi"/>
          <w:sz w:val="24"/>
          <w:lang w:eastAsia="es-CL"/>
        </w:rPr>
      </w:pPr>
      <w:r w:rsidRPr="008825F1">
        <w:rPr>
          <w:rFonts w:asciiTheme="minorHAnsi" w:hAnsiTheme="minorHAnsi" w:cstheme="minorHAnsi"/>
          <w:sz w:val="24"/>
          <w:lang w:val="es-CL" w:eastAsia="es-CL"/>
        </w:rPr>
        <w:t>En relación a las personas con discapacidad, d</w:t>
      </w:r>
      <w:proofErr w:type="spellStart"/>
      <w:r>
        <w:rPr>
          <w:rFonts w:asciiTheme="minorHAnsi" w:hAnsiTheme="minorHAnsi" w:cstheme="minorHAnsi"/>
          <w:sz w:val="24"/>
          <w:lang w:eastAsia="es-CL"/>
        </w:rPr>
        <w:t>e</w:t>
      </w:r>
      <w:proofErr w:type="spellEnd"/>
      <w:r w:rsidRPr="008825F1">
        <w:rPr>
          <w:rFonts w:asciiTheme="minorHAnsi" w:hAnsiTheme="minorHAnsi" w:cstheme="minorHAnsi"/>
          <w:sz w:val="24"/>
          <w:lang w:eastAsia="es-CL"/>
        </w:rPr>
        <w:t xml:space="preserve"> acuerdo con el Segundo E</w:t>
      </w:r>
      <w:r>
        <w:rPr>
          <w:rFonts w:asciiTheme="minorHAnsi" w:hAnsiTheme="minorHAnsi" w:cstheme="minorHAnsi"/>
          <w:sz w:val="24"/>
          <w:lang w:eastAsia="es-CL"/>
        </w:rPr>
        <w:t>studio Nacional de Discapacidad</w:t>
      </w:r>
      <w:r w:rsidRPr="008825F1">
        <w:rPr>
          <w:rFonts w:asciiTheme="minorHAnsi" w:hAnsiTheme="minorHAnsi" w:cstheme="minorHAnsi"/>
          <w:sz w:val="24"/>
          <w:lang w:eastAsia="es-CL"/>
        </w:rPr>
        <w:t xml:space="preserve"> (SENADIS), en 2015 se estimaba que un 40,4% (algo más de un millón de habitantes) de la población adulta en situación de discapacidad se encontraba en condición de dependencia funcional, es decir, requiriendo apoyo permanente para realizar </w:t>
      </w:r>
      <w:r w:rsidRPr="008825F1">
        <w:rPr>
          <w:rFonts w:asciiTheme="minorHAnsi" w:hAnsiTheme="minorHAnsi" w:cstheme="minorHAnsi"/>
          <w:sz w:val="24"/>
          <w:lang w:eastAsia="es-CL"/>
        </w:rPr>
        <w:lastRenderedPageBreak/>
        <w:t xml:space="preserve">actividades cotidianas básicas. Su cuidado está principalmente a cargo de mujeres que no cuentan con una red de servicios suficiente y que ven severamente limitados sus derechos de acceso al trabajo remunerado, al descanso, a la salud física y mental y a la participación política y social. La insuficiente disponibilidad de servicios afecta además a las personas dependientes, que también son mujeres en su mayoría. </w:t>
      </w:r>
    </w:p>
    <w:p w14:paraId="599454C5" w14:textId="77777777" w:rsidR="00267E55" w:rsidRPr="008825F1" w:rsidRDefault="00267E55" w:rsidP="00267E55">
      <w:pPr>
        <w:shd w:val="clear" w:color="auto" w:fill="FFFFFF"/>
        <w:spacing w:after="120" w:line="240" w:lineRule="auto"/>
        <w:outlineLvl w:val="2"/>
        <w:rPr>
          <w:rFonts w:asciiTheme="minorHAnsi" w:hAnsiTheme="minorHAnsi" w:cstheme="minorHAnsi"/>
          <w:sz w:val="24"/>
          <w:lang w:eastAsia="es-CL"/>
        </w:rPr>
      </w:pPr>
      <w:r w:rsidRPr="008825F1">
        <w:rPr>
          <w:rFonts w:asciiTheme="minorHAnsi" w:hAnsiTheme="minorHAnsi" w:cstheme="minorHAnsi"/>
          <w:sz w:val="24"/>
          <w:lang w:eastAsia="es-CL"/>
        </w:rPr>
        <w:t xml:space="preserve">Para responder a esta creciente necesidad, durante el año 2016 se puso en marcha un Sistema Nacional de Apoyos y Cuidado (SNAC), como parte del Sistema Intersectorial de Protección Social, coordinado por el Ministerio de Desarrollo Social, con la misión de acompañar, promover y apoyar a las personas dependientes y a su red de apoyo, con especial interés en las cuidadoras o cuidadores familiares, el que se concibió como “tercer pilar” de la protección social.   </w:t>
      </w:r>
    </w:p>
    <w:p w14:paraId="2A84F3AB" w14:textId="77777777" w:rsidR="00267E55" w:rsidRPr="008825F1" w:rsidRDefault="00267E55" w:rsidP="00267E55">
      <w:pPr>
        <w:shd w:val="clear" w:color="auto" w:fill="FFFFFF"/>
        <w:spacing w:after="120" w:line="240" w:lineRule="auto"/>
        <w:outlineLvl w:val="2"/>
        <w:rPr>
          <w:rFonts w:asciiTheme="minorHAnsi" w:hAnsiTheme="minorHAnsi" w:cstheme="minorHAnsi"/>
          <w:sz w:val="24"/>
          <w:lang w:eastAsia="es-CL"/>
        </w:rPr>
      </w:pPr>
      <w:r w:rsidRPr="008825F1">
        <w:rPr>
          <w:rFonts w:asciiTheme="minorHAnsi" w:hAnsiTheme="minorHAnsi" w:cstheme="minorHAnsi"/>
          <w:sz w:val="24"/>
          <w:lang w:eastAsia="es-CL"/>
        </w:rPr>
        <w:t xml:space="preserve">Llama poderosamente la atención que el Ministerio de Desarrollo Social no haya informado sobre la continuidad y expansión del sistema, que no ha avanzado más allá de 22 comunas que se incorporaron inicialmente, ni se conozcan esfuerzos de integración intersectorial imprescindibles para avanzar en la materia. De hecho, se aprobó una reforma al Sistema de Protección Social que no tocó este punto. </w:t>
      </w:r>
    </w:p>
    <w:p w14:paraId="4984A264" w14:textId="77777777" w:rsidR="00267E55" w:rsidRPr="008825F1" w:rsidRDefault="00267E55" w:rsidP="00267E55">
      <w:pPr>
        <w:shd w:val="clear" w:color="auto" w:fill="FFFFFF"/>
        <w:spacing w:after="120" w:line="240" w:lineRule="auto"/>
        <w:outlineLvl w:val="2"/>
        <w:rPr>
          <w:rFonts w:asciiTheme="minorHAnsi" w:hAnsiTheme="minorHAnsi" w:cstheme="minorHAnsi"/>
          <w:bCs/>
          <w:sz w:val="24"/>
        </w:rPr>
      </w:pPr>
      <w:r w:rsidRPr="008825F1">
        <w:rPr>
          <w:rFonts w:asciiTheme="minorHAnsi" w:hAnsiTheme="minorHAnsi" w:cstheme="minorHAnsi"/>
          <w:sz w:val="24"/>
          <w:lang w:eastAsia="es-CL"/>
        </w:rPr>
        <w:t xml:space="preserve">El 2 de mayo de 2019 </w:t>
      </w:r>
      <w:r w:rsidRPr="008825F1">
        <w:rPr>
          <w:rFonts w:asciiTheme="minorHAnsi" w:hAnsiTheme="minorHAnsi" w:cstheme="minorHAnsi"/>
          <w:bCs/>
          <w:sz w:val="24"/>
        </w:rPr>
        <w:t>se publicó la ley N° 21.155 que modifica el Sistema Intersectorial de Protección Social (creado en 2009), agregando entre sus responsabilidades la de promover la lactancia materna hasta los seis meses y su continuación hasta los dos años.  La norma consagra la lactancia mate</w:t>
      </w:r>
      <w:r>
        <w:rPr>
          <w:rFonts w:asciiTheme="minorHAnsi" w:hAnsiTheme="minorHAnsi" w:cstheme="minorHAnsi"/>
          <w:bCs/>
          <w:sz w:val="24"/>
        </w:rPr>
        <w:t>rna como un derecho de la niñez</w:t>
      </w:r>
      <w:r w:rsidRPr="008825F1">
        <w:rPr>
          <w:rFonts w:asciiTheme="minorHAnsi" w:hAnsiTheme="minorHAnsi" w:cstheme="minorHAnsi"/>
          <w:bCs/>
          <w:sz w:val="24"/>
        </w:rPr>
        <w:t xml:space="preserve"> y el derecho de las madres al “libre amamantamiento”, y sanciona cualquier discriminación arbitraria al ejercicio del derecho  a la lactancia materna.  </w:t>
      </w:r>
    </w:p>
    <w:p w14:paraId="0056A3CF" w14:textId="77777777" w:rsidR="00267E55" w:rsidRPr="008825F1" w:rsidRDefault="00267E55" w:rsidP="00267E55">
      <w:pPr>
        <w:shd w:val="clear" w:color="auto" w:fill="FFFFFF"/>
        <w:spacing w:after="120" w:line="240" w:lineRule="auto"/>
        <w:outlineLvl w:val="2"/>
        <w:rPr>
          <w:rFonts w:asciiTheme="minorHAnsi" w:hAnsiTheme="minorHAnsi" w:cstheme="minorHAnsi"/>
          <w:bCs/>
          <w:sz w:val="24"/>
        </w:rPr>
      </w:pPr>
      <w:r w:rsidRPr="008825F1">
        <w:rPr>
          <w:rFonts w:asciiTheme="minorHAnsi" w:hAnsiTheme="minorHAnsi" w:cstheme="minorHAnsi"/>
          <w:bCs/>
          <w:sz w:val="24"/>
        </w:rPr>
        <w:t>No obstante, el derecho al libre amamantamiento se plantea de manera ambigua en cuanto a la libertad de la madre, ya que si no amamanta podría entenderse como una vulneración al derecho del o la lactante, y hacerse acreedora a la denuncia contemplada en el artículo 5° para quien infringe la ley.  Esta ambigüedad no se da en el título II de la ley, que modifica el artículo 18 del  Código Sanitario</w:t>
      </w:r>
      <w:r w:rsidRPr="008825F1">
        <w:rPr>
          <w:rFonts w:asciiTheme="minorHAnsi" w:hAnsiTheme="minorHAnsi" w:cstheme="minorHAnsi"/>
          <w:bCs/>
          <w:sz w:val="24"/>
          <w:vertAlign w:val="superscript"/>
        </w:rPr>
        <w:footnoteReference w:id="12"/>
      </w:r>
      <w:r w:rsidRPr="008825F1">
        <w:rPr>
          <w:rFonts w:asciiTheme="minorHAnsi" w:hAnsiTheme="minorHAnsi" w:cstheme="minorHAnsi"/>
          <w:bCs/>
          <w:sz w:val="24"/>
        </w:rPr>
        <w:t>, estableciendo … “el derecho preferente  del hijo ser amamantado directamente por su madre, salvo que por indicación médica o decisión de la madre se resuelva lo contrario” (art.6°). Este cambio es muy positivo, y no se entiende por qué no se incluyó en los artículos centrales de la ley.</w:t>
      </w:r>
    </w:p>
    <w:p w14:paraId="16D6E8A2" w14:textId="77777777" w:rsidR="00267E55" w:rsidRPr="008825F1" w:rsidRDefault="00267E55" w:rsidP="00267E55">
      <w:pPr>
        <w:shd w:val="clear" w:color="auto" w:fill="FFFFFF"/>
        <w:spacing w:after="120" w:line="240" w:lineRule="auto"/>
        <w:outlineLvl w:val="2"/>
        <w:rPr>
          <w:rFonts w:asciiTheme="minorHAnsi" w:hAnsiTheme="minorHAnsi" w:cstheme="minorHAnsi"/>
          <w:bCs/>
          <w:sz w:val="24"/>
        </w:rPr>
      </w:pPr>
      <w:r w:rsidRPr="008825F1">
        <w:rPr>
          <w:rFonts w:asciiTheme="minorHAnsi" w:hAnsiTheme="minorHAnsi" w:cstheme="minorHAnsi"/>
          <w:bCs/>
          <w:sz w:val="24"/>
        </w:rPr>
        <w:t xml:space="preserve">Preocupa, en el mismo sentido, que la norma no considere otras opciones a la leche materna, más allá de la extracción de la propia leche, o de la donación de leche materna, sin establecer garantías de provisión de sucedáneos de buena calidad a la leche materna. Esto, aun cuando muchas mujeres no están en condiciones de dar de mamar, </w:t>
      </w:r>
      <w:proofErr w:type="gramStart"/>
      <w:r w:rsidRPr="008825F1">
        <w:rPr>
          <w:rFonts w:asciiTheme="minorHAnsi" w:hAnsiTheme="minorHAnsi" w:cstheme="minorHAnsi"/>
          <w:bCs/>
          <w:sz w:val="24"/>
        </w:rPr>
        <w:t>tienen</w:t>
      </w:r>
      <w:proofErr w:type="gramEnd"/>
      <w:r w:rsidRPr="008825F1">
        <w:rPr>
          <w:rFonts w:asciiTheme="minorHAnsi" w:hAnsiTheme="minorHAnsi" w:cstheme="minorHAnsi"/>
          <w:bCs/>
          <w:sz w:val="24"/>
        </w:rPr>
        <w:t xml:space="preserve"> dificultades para hacerlo o bien no desean amamantar por seis meses, lo que no se reconoce de manera explícita. Más aún, situar en la ley largos plazos de amamantamiento es un potente llamado al ejercicio de roles tradicionales por las mujeres y un obstáculo adicional a su autonomía.</w:t>
      </w:r>
    </w:p>
    <w:p w14:paraId="4DA75DAD" w14:textId="77777777" w:rsidR="00267E55" w:rsidRPr="008825F1" w:rsidRDefault="00267E55" w:rsidP="00267E55">
      <w:pPr>
        <w:autoSpaceDE w:val="0"/>
        <w:autoSpaceDN w:val="0"/>
        <w:adjustRightInd w:val="0"/>
        <w:spacing w:after="120" w:line="240" w:lineRule="auto"/>
        <w:rPr>
          <w:rFonts w:asciiTheme="minorHAnsi" w:hAnsiTheme="minorHAnsi" w:cstheme="minorHAnsi"/>
          <w:sz w:val="24"/>
        </w:rPr>
      </w:pPr>
      <w:r w:rsidRPr="008825F1">
        <w:rPr>
          <w:rFonts w:asciiTheme="minorHAnsi" w:eastAsia="Calibri" w:hAnsiTheme="minorHAnsi" w:cstheme="minorHAnsi"/>
          <w:bCs/>
          <w:sz w:val="24"/>
        </w:rPr>
        <w:lastRenderedPageBreak/>
        <w:t xml:space="preserve">En octubre de 2011 entró en vigencia la Ley de Postnatal Parental que permite que la madre transfiera el beneficio de postnatal al padre. El objetivo era impulsar la corresponsabilidad en el cuidado de los hijos. Un balance de la aplicación de la norma, dado </w:t>
      </w:r>
      <w:r>
        <w:rPr>
          <w:rFonts w:asciiTheme="minorHAnsi" w:eastAsia="Calibri" w:hAnsiTheme="minorHAnsi" w:cstheme="minorHAnsi"/>
          <w:bCs/>
          <w:sz w:val="24"/>
        </w:rPr>
        <w:t xml:space="preserve">a </w:t>
      </w:r>
      <w:r w:rsidRPr="008825F1">
        <w:rPr>
          <w:rFonts w:asciiTheme="minorHAnsi" w:eastAsia="Calibri" w:hAnsiTheme="minorHAnsi" w:cstheme="minorHAnsi"/>
          <w:bCs/>
          <w:sz w:val="24"/>
        </w:rPr>
        <w:t>conocer en octubre de 2018 por la Superintendencia de Seguridad Social y de la Subsecretaría de Previsión Social, da cuenta de que en los siete años transcurridos sólo se solicitaron 1.556 traspasos a hombres, el 0,23% del total de 678.328 permisos iniciados. Considerando sólo el año más próximo, de acuerdo a las estadísticas del mismo organismo, durante 2018 se iniciaron 95.439 subsidios por permiso post natal parental, de los cuales solo 227 fueron traspasados a los padres.</w:t>
      </w:r>
      <w:r w:rsidRPr="008825F1">
        <w:rPr>
          <w:rStyle w:val="Refdenotaalpie"/>
          <w:rFonts w:asciiTheme="minorHAnsi" w:eastAsia="Calibri" w:hAnsiTheme="minorHAnsi" w:cstheme="minorHAnsi"/>
          <w:sz w:val="24"/>
        </w:rPr>
        <w:footnoteReference w:id="13"/>
      </w:r>
      <w:r w:rsidRPr="008825F1">
        <w:rPr>
          <w:rFonts w:asciiTheme="minorHAnsi" w:hAnsiTheme="minorHAnsi" w:cstheme="minorHAnsi"/>
          <w:sz w:val="24"/>
        </w:rPr>
        <w:t xml:space="preserve"> </w:t>
      </w:r>
    </w:p>
    <w:p w14:paraId="28C1A15A" w14:textId="77777777" w:rsidR="00267E55" w:rsidRPr="008825F1" w:rsidRDefault="00267E55" w:rsidP="00267E55">
      <w:pPr>
        <w:autoSpaceDE w:val="0"/>
        <w:autoSpaceDN w:val="0"/>
        <w:adjustRightInd w:val="0"/>
        <w:spacing w:after="120" w:line="240" w:lineRule="auto"/>
        <w:rPr>
          <w:rFonts w:asciiTheme="minorHAnsi" w:hAnsiTheme="minorHAnsi" w:cstheme="minorHAnsi"/>
          <w:sz w:val="24"/>
        </w:rPr>
      </w:pPr>
      <w:r w:rsidRPr="008825F1">
        <w:rPr>
          <w:rFonts w:asciiTheme="minorHAnsi" w:eastAsia="Calibri" w:hAnsiTheme="minorHAnsi" w:cstheme="minorHAnsi"/>
          <w:bCs/>
          <w:sz w:val="24"/>
        </w:rPr>
        <w:t>El mínimo uso que hacen los padres de esta norma hace evidente que no está contribuyendo a una mayor corresponsabilidad en las labores de crianza, situación que ha generado diversas iniciativas. En mayo recién pasado, se informó que l</w:t>
      </w:r>
      <w:r w:rsidRPr="008825F1">
        <w:rPr>
          <w:rFonts w:asciiTheme="minorHAnsi" w:hAnsiTheme="minorHAnsi" w:cstheme="minorHAnsi"/>
          <w:sz w:val="24"/>
        </w:rPr>
        <w:t>a Comisión de Mujeres y Equidad de Género de la Cámara de Diputados analiza un proyecto que fusionó cinco mociones que modifican el Código del Trabajo, relativas a avanzar en la corresponsabilidad parental y que extienden beneficios a los hombres para la crianza de los hijos, que no habría tenido buena acogida en el gobierno.</w:t>
      </w:r>
    </w:p>
    <w:p w14:paraId="2757CE24" w14:textId="77777777" w:rsidR="00267E55" w:rsidRPr="008825F1" w:rsidRDefault="00267E55" w:rsidP="00267E55">
      <w:pPr>
        <w:autoSpaceDE w:val="0"/>
        <w:autoSpaceDN w:val="0"/>
        <w:adjustRightInd w:val="0"/>
        <w:spacing w:after="120" w:line="240" w:lineRule="auto"/>
        <w:rPr>
          <w:rFonts w:asciiTheme="minorHAnsi" w:hAnsiTheme="minorHAnsi" w:cstheme="minorHAnsi"/>
          <w:sz w:val="24"/>
        </w:rPr>
      </w:pPr>
      <w:r w:rsidRPr="008825F1">
        <w:rPr>
          <w:rFonts w:asciiTheme="minorHAnsi" w:hAnsiTheme="minorHAnsi" w:cstheme="minorHAnsi"/>
          <w:sz w:val="24"/>
        </w:rPr>
        <w:t xml:space="preserve">En el tema de la portabilidad de fondos previsionales de las personas inmigrantes, la ley N° 18156 que “establece exención de cotizaciones previsionales a los técnicos extranjeros y a las empresas que los contraten bajo las condiciones que se indican” y sus modificaciones, </w:t>
      </w:r>
      <w:r w:rsidRPr="008825F1">
        <w:rPr>
          <w:rStyle w:val="Textoennegrita"/>
          <w:rFonts w:asciiTheme="minorHAnsi" w:eastAsia="Arial Unicode MS" w:hAnsiTheme="minorHAnsi" w:cstheme="minorHAnsi"/>
        </w:rPr>
        <w:t>no permite acceder a esta devolución a todas las personas por las dificultades para cumplir con unos requisitos, a menudo confusos</w:t>
      </w:r>
      <w:r w:rsidRPr="008825F1">
        <w:rPr>
          <w:rFonts w:asciiTheme="minorHAnsi" w:hAnsiTheme="minorHAnsi" w:cstheme="minorHAnsi"/>
          <w:sz w:val="24"/>
        </w:rPr>
        <w:t>. Las tres condiciones que permiten pedir a las AFP la devolución de los fondos previsionales acumulados son: tener la condición de técnico o profesional reconocida legalmente en Chile, disponer de una declaración en el contrato de trabajo que explicite que las cotizaciones que paga la empresa a las AFP podrán ser retornadas, y disponer de un certificado que sostenga que en el país de origen se dispone de cobertura de invalidez, pensión por jubilación y en caso de fallecimiento. Esto ha excluido a una cantidad importante de personas que incluso ya no residen en Chile y deberán esperar a su jubilación para cobrar lo generado en este país, sin poder acumularlo a en el país donde jubila.</w:t>
      </w:r>
      <w:r w:rsidRPr="008825F1">
        <w:rPr>
          <w:rFonts w:asciiTheme="minorHAnsi" w:hAnsiTheme="minorHAnsi" w:cstheme="minorHAnsi"/>
          <w:bCs/>
          <w:sz w:val="24"/>
        </w:rPr>
        <w:t xml:space="preserve"> La opción anunciada por el gobierno se orienta a convenios bilaterales que no abordan el conjunto de los trabajares migrantes sino a los trabajadores más numerosos provenientes de unos pocos países.</w:t>
      </w:r>
    </w:p>
    <w:p w14:paraId="6E8C09C0" w14:textId="77777777" w:rsidR="00267E55" w:rsidRPr="008825F1" w:rsidRDefault="00267E55" w:rsidP="00267E55">
      <w:pPr>
        <w:shd w:val="clear" w:color="auto" w:fill="FFFFFF"/>
        <w:spacing w:after="120" w:line="240" w:lineRule="auto"/>
        <w:outlineLvl w:val="2"/>
        <w:rPr>
          <w:rFonts w:asciiTheme="minorHAnsi" w:hAnsiTheme="minorHAnsi" w:cstheme="minorHAnsi"/>
          <w:bCs/>
          <w:sz w:val="24"/>
        </w:rPr>
      </w:pPr>
      <w:r w:rsidRPr="008825F1">
        <w:rPr>
          <w:rFonts w:asciiTheme="minorHAnsi" w:hAnsiTheme="minorHAnsi" w:cstheme="minorHAnsi"/>
          <w:bCs/>
          <w:sz w:val="24"/>
        </w:rPr>
        <w:t>Según la Superintendencia de Pensiones los extranjeros</w:t>
      </w:r>
      <w:r>
        <w:rPr>
          <w:rFonts w:asciiTheme="minorHAnsi" w:hAnsiTheme="minorHAnsi" w:cstheme="minorHAnsi"/>
          <w:bCs/>
          <w:sz w:val="24"/>
        </w:rPr>
        <w:t xml:space="preserve"> cotizando serían a marzo 2019 </w:t>
      </w:r>
      <w:r w:rsidRPr="008825F1">
        <w:rPr>
          <w:rFonts w:asciiTheme="minorHAnsi" w:hAnsiTheme="minorHAnsi" w:cstheme="minorHAnsi"/>
          <w:bCs/>
          <w:sz w:val="24"/>
        </w:rPr>
        <w:t xml:space="preserve">alrededor de 484.819 personas, de las cuales 41,9% son mujeres. </w:t>
      </w:r>
    </w:p>
    <w:p w14:paraId="0D5F0051" w14:textId="77777777" w:rsidR="00267E55" w:rsidRPr="008825F1" w:rsidRDefault="00267E55" w:rsidP="00267E55">
      <w:pPr>
        <w:pStyle w:val="Default"/>
        <w:jc w:val="both"/>
        <w:rPr>
          <w:rFonts w:asciiTheme="minorHAnsi" w:hAnsiTheme="minorHAnsi" w:cstheme="minorHAnsi"/>
          <w:b/>
          <w:bCs/>
          <w:color w:val="auto"/>
        </w:rPr>
      </w:pPr>
      <w:r w:rsidRPr="008825F1">
        <w:rPr>
          <w:rFonts w:asciiTheme="minorHAnsi" w:hAnsiTheme="minorHAnsi" w:cstheme="minorHAnsi"/>
          <w:b/>
          <w:bCs/>
          <w:color w:val="auto"/>
        </w:rPr>
        <w:t>Se solicita al Comité consultar al Estado:</w:t>
      </w:r>
    </w:p>
    <w:p w14:paraId="109BD6C1" w14:textId="77777777" w:rsidR="00267E55" w:rsidRPr="008825F1" w:rsidRDefault="00267E55" w:rsidP="00267E55">
      <w:pPr>
        <w:pStyle w:val="Default"/>
        <w:numPr>
          <w:ilvl w:val="0"/>
          <w:numId w:val="4"/>
        </w:numPr>
        <w:jc w:val="both"/>
        <w:rPr>
          <w:rFonts w:asciiTheme="minorHAnsi" w:hAnsiTheme="minorHAnsi" w:cstheme="minorHAnsi"/>
          <w:b/>
          <w:bCs/>
          <w:color w:val="auto"/>
        </w:rPr>
      </w:pPr>
      <w:r>
        <w:rPr>
          <w:rFonts w:asciiTheme="minorHAnsi" w:hAnsiTheme="minorHAnsi" w:cstheme="minorHAnsi"/>
          <w:b/>
          <w:bCs/>
          <w:color w:val="auto"/>
        </w:rPr>
        <w:t xml:space="preserve">Qué medidas tomará para subsanar la incapacidad del </w:t>
      </w:r>
      <w:r w:rsidRPr="00DB0B88">
        <w:rPr>
          <w:rFonts w:asciiTheme="minorHAnsi" w:hAnsiTheme="minorHAnsi" w:cstheme="minorHAnsi"/>
          <w:b/>
          <w:bCs/>
          <w:color w:val="auto"/>
        </w:rPr>
        <w:t>sistema de capitalización individual administrado por las AFP</w:t>
      </w:r>
      <w:r>
        <w:rPr>
          <w:rFonts w:asciiTheme="minorHAnsi" w:hAnsiTheme="minorHAnsi" w:cstheme="minorHAnsi"/>
          <w:b/>
          <w:bCs/>
          <w:color w:val="auto"/>
        </w:rPr>
        <w:t xml:space="preserve"> para garantizar pensiones que permitan hacer efectivo el derecho de toda persona a la seguridad social.</w:t>
      </w:r>
    </w:p>
    <w:p w14:paraId="458A6DD9" w14:textId="77777777" w:rsidR="00267E55" w:rsidRPr="008825F1" w:rsidRDefault="00267E55" w:rsidP="00267E55">
      <w:pPr>
        <w:pStyle w:val="Default"/>
        <w:numPr>
          <w:ilvl w:val="0"/>
          <w:numId w:val="4"/>
        </w:numPr>
        <w:jc w:val="both"/>
        <w:rPr>
          <w:rFonts w:asciiTheme="minorHAnsi" w:hAnsiTheme="minorHAnsi" w:cstheme="minorHAnsi"/>
          <w:b/>
          <w:bCs/>
          <w:color w:val="auto"/>
        </w:rPr>
      </w:pPr>
      <w:r w:rsidRPr="008825F1">
        <w:rPr>
          <w:rFonts w:asciiTheme="minorHAnsi" w:hAnsiTheme="minorHAnsi" w:cstheme="minorHAnsi"/>
          <w:b/>
          <w:bCs/>
          <w:color w:val="auto"/>
        </w:rPr>
        <w:t>Si el Ministerio de Desarrollo Social continuará y ampliará el sistema Nacional de Apoyos y Cuidados y cuáles son las coberturas y servicios que se ofrecerán, así como de qué manera se integrará a otros ministerios y servicios en este sistema.</w:t>
      </w:r>
    </w:p>
    <w:p w14:paraId="6AA4FF76" w14:textId="77777777" w:rsidR="00267E55" w:rsidRPr="008825F1" w:rsidRDefault="00267E55" w:rsidP="00267E55">
      <w:pPr>
        <w:pStyle w:val="Prrafodelista"/>
        <w:numPr>
          <w:ilvl w:val="0"/>
          <w:numId w:val="4"/>
        </w:numPr>
        <w:shd w:val="clear" w:color="auto" w:fill="FFFFFF"/>
        <w:spacing w:line="240" w:lineRule="auto"/>
        <w:outlineLvl w:val="2"/>
        <w:rPr>
          <w:rFonts w:asciiTheme="minorHAnsi" w:hAnsiTheme="minorHAnsi" w:cstheme="minorHAnsi"/>
          <w:b/>
          <w:bCs/>
          <w:sz w:val="24"/>
        </w:rPr>
      </w:pPr>
      <w:r w:rsidRPr="008825F1">
        <w:rPr>
          <w:rFonts w:asciiTheme="minorHAnsi" w:hAnsiTheme="minorHAnsi" w:cstheme="minorHAnsi"/>
          <w:b/>
          <w:bCs/>
          <w:sz w:val="24"/>
          <w:lang w:val="es-CL"/>
        </w:rPr>
        <w:lastRenderedPageBreak/>
        <w:t>Por</w:t>
      </w:r>
      <w:r w:rsidRPr="008825F1">
        <w:rPr>
          <w:rFonts w:asciiTheme="minorHAnsi" w:hAnsiTheme="minorHAnsi" w:cstheme="minorHAnsi"/>
          <w:b/>
          <w:bCs/>
          <w:sz w:val="24"/>
        </w:rPr>
        <w:t xml:space="preserve"> qué no incluyó la voluntad de la mujer en la definición de derechos de amamantamiento y de qué manera se garantiza el acceso a productos sucedáneos de buena calidad cuando la madre no está en condiciones de amamantar. </w:t>
      </w:r>
    </w:p>
    <w:p w14:paraId="56E945B5" w14:textId="77777777" w:rsidR="00267E55" w:rsidRPr="008825F1" w:rsidRDefault="00267E55" w:rsidP="00267E55">
      <w:pPr>
        <w:pStyle w:val="Prrafodelista"/>
        <w:numPr>
          <w:ilvl w:val="0"/>
          <w:numId w:val="4"/>
        </w:numPr>
        <w:shd w:val="clear" w:color="auto" w:fill="FFFFFF"/>
        <w:spacing w:after="120" w:line="240" w:lineRule="auto"/>
        <w:outlineLvl w:val="2"/>
        <w:rPr>
          <w:rFonts w:asciiTheme="minorHAnsi" w:hAnsiTheme="minorHAnsi" w:cstheme="minorHAnsi"/>
          <w:b/>
          <w:bCs/>
          <w:sz w:val="24"/>
        </w:rPr>
      </w:pPr>
      <w:r w:rsidRPr="008825F1">
        <w:rPr>
          <w:rFonts w:asciiTheme="minorHAnsi" w:hAnsiTheme="minorHAnsi" w:cstheme="minorHAnsi"/>
          <w:b/>
          <w:bCs/>
          <w:sz w:val="24"/>
        </w:rPr>
        <w:t xml:space="preserve">Qué </w:t>
      </w:r>
      <w:r w:rsidRPr="008825F1">
        <w:rPr>
          <w:rFonts w:asciiTheme="minorHAnsi" w:eastAsia="Calibri" w:hAnsiTheme="minorHAnsi" w:cstheme="minorHAnsi"/>
          <w:b/>
          <w:bCs/>
          <w:sz w:val="24"/>
        </w:rPr>
        <w:t xml:space="preserve">medidas se están implementando para un uso efectivo de la norma sobre permiso postnatal parental e incentivar la participación de los padres trabajadores en la crianza de sus hijos.  </w:t>
      </w:r>
    </w:p>
    <w:p w14:paraId="4E24038D" w14:textId="77777777" w:rsidR="00267E55" w:rsidRDefault="00267E55" w:rsidP="00267E55">
      <w:pPr>
        <w:pStyle w:val="Prrafodelista"/>
        <w:numPr>
          <w:ilvl w:val="0"/>
          <w:numId w:val="4"/>
        </w:numPr>
        <w:shd w:val="clear" w:color="auto" w:fill="FFFFFF"/>
        <w:spacing w:after="120" w:line="240" w:lineRule="auto"/>
        <w:outlineLvl w:val="2"/>
        <w:rPr>
          <w:rFonts w:asciiTheme="minorHAnsi" w:hAnsiTheme="minorHAnsi" w:cstheme="minorHAnsi"/>
          <w:b/>
          <w:bCs/>
          <w:sz w:val="24"/>
        </w:rPr>
      </w:pPr>
      <w:r w:rsidRPr="008825F1">
        <w:rPr>
          <w:rFonts w:asciiTheme="minorHAnsi" w:hAnsiTheme="minorHAnsi" w:cstheme="minorHAnsi"/>
          <w:b/>
          <w:bCs/>
          <w:sz w:val="24"/>
        </w:rPr>
        <w:t>Qué medidas tomará para solucionar el problema de portabilidad de fondos de pensiones para todas las personas migrantes sin discriminación por ocupación, nacionalidad o cualquier otra razón.</w:t>
      </w:r>
    </w:p>
    <w:p w14:paraId="56A9070C" w14:textId="77777777" w:rsidR="00267E55" w:rsidRPr="00F57037" w:rsidRDefault="00267E55" w:rsidP="00267E55">
      <w:pPr>
        <w:pStyle w:val="Prrafodelista"/>
        <w:numPr>
          <w:ilvl w:val="0"/>
          <w:numId w:val="4"/>
        </w:numPr>
        <w:shd w:val="clear" w:color="auto" w:fill="FFFFFF"/>
        <w:spacing w:after="120" w:line="240" w:lineRule="auto"/>
        <w:outlineLvl w:val="2"/>
        <w:rPr>
          <w:rFonts w:asciiTheme="minorHAnsi" w:hAnsiTheme="minorHAnsi" w:cstheme="minorHAnsi"/>
          <w:b/>
          <w:bCs/>
          <w:sz w:val="24"/>
        </w:rPr>
      </w:pPr>
      <w:r w:rsidRPr="002B5078">
        <w:rPr>
          <w:rFonts w:asciiTheme="minorHAnsi" w:hAnsiTheme="minorHAnsi" w:cstheme="minorHAnsi"/>
          <w:b/>
          <w:bCs/>
          <w:sz w:val="24"/>
        </w:rPr>
        <w:t>Qué medidas tomar</w:t>
      </w:r>
      <w:r>
        <w:rPr>
          <w:rFonts w:asciiTheme="minorHAnsi" w:hAnsiTheme="minorHAnsi" w:cstheme="minorHAnsi"/>
          <w:b/>
          <w:bCs/>
          <w:sz w:val="24"/>
        </w:rPr>
        <w:t>á</w:t>
      </w:r>
      <w:r w:rsidRPr="002B5078">
        <w:rPr>
          <w:rFonts w:asciiTheme="minorHAnsi" w:hAnsiTheme="minorHAnsi" w:cstheme="minorHAnsi"/>
          <w:b/>
          <w:bCs/>
          <w:sz w:val="24"/>
        </w:rPr>
        <w:t xml:space="preserve"> para </w:t>
      </w:r>
      <w:r>
        <w:rPr>
          <w:rFonts w:asciiTheme="minorHAnsi" w:hAnsiTheme="minorHAnsi" w:cstheme="minorHAnsi"/>
          <w:b/>
          <w:bCs/>
          <w:sz w:val="24"/>
        </w:rPr>
        <w:t xml:space="preserve">responder a la demanda de fortalecer </w:t>
      </w:r>
      <w:r w:rsidRPr="002B5078">
        <w:rPr>
          <w:rFonts w:asciiTheme="minorHAnsi" w:hAnsiTheme="minorHAnsi" w:cstheme="minorHAnsi"/>
          <w:b/>
          <w:sz w:val="24"/>
        </w:rPr>
        <w:t>el pilar solidario destinado a invalidez, con el fin de aumentar su cobertura a los grupos medios, equiparación al ingreso mínimo, sin ninguna restricción de rango etario</w:t>
      </w:r>
      <w:r>
        <w:rPr>
          <w:rFonts w:asciiTheme="minorHAnsi" w:hAnsiTheme="minorHAnsi" w:cstheme="minorHAnsi"/>
          <w:b/>
          <w:sz w:val="24"/>
        </w:rPr>
        <w:t>.</w:t>
      </w:r>
    </w:p>
    <w:p w14:paraId="2D80347F" w14:textId="77777777" w:rsidR="00267E55" w:rsidRPr="00F57037" w:rsidRDefault="00267E55" w:rsidP="00267E55">
      <w:pPr>
        <w:pStyle w:val="Prrafodelista"/>
        <w:numPr>
          <w:ilvl w:val="0"/>
          <w:numId w:val="4"/>
        </w:numPr>
        <w:shd w:val="clear" w:color="auto" w:fill="FFFFFF"/>
        <w:spacing w:after="120" w:line="240" w:lineRule="auto"/>
        <w:outlineLvl w:val="2"/>
        <w:rPr>
          <w:rFonts w:asciiTheme="minorHAnsi" w:hAnsiTheme="minorHAnsi" w:cstheme="minorHAnsi"/>
          <w:b/>
          <w:bCs/>
          <w:sz w:val="24"/>
        </w:rPr>
      </w:pPr>
      <w:r w:rsidRPr="00F57037">
        <w:rPr>
          <w:rFonts w:asciiTheme="minorHAnsi" w:hAnsiTheme="minorHAnsi" w:cstheme="minorHAnsi"/>
          <w:b/>
          <w:sz w:val="24"/>
        </w:rPr>
        <w:t>Qué medidas implementara para reformar el sistema de pensiones destinad</w:t>
      </w:r>
      <w:r>
        <w:rPr>
          <w:rFonts w:asciiTheme="minorHAnsi" w:hAnsiTheme="minorHAnsi" w:cstheme="minorHAnsi"/>
          <w:b/>
          <w:sz w:val="24"/>
        </w:rPr>
        <w:t>as</w:t>
      </w:r>
      <w:r w:rsidRPr="00F57037">
        <w:rPr>
          <w:rFonts w:asciiTheme="minorHAnsi" w:hAnsiTheme="minorHAnsi" w:cstheme="minorHAnsi"/>
          <w:b/>
          <w:sz w:val="24"/>
        </w:rPr>
        <w:t xml:space="preserve"> a las personas con discapacidad</w:t>
      </w:r>
      <w:r>
        <w:rPr>
          <w:rFonts w:asciiTheme="minorHAnsi" w:hAnsiTheme="minorHAnsi" w:cstheme="minorHAnsi"/>
          <w:b/>
          <w:sz w:val="24"/>
        </w:rPr>
        <w:t>.</w:t>
      </w:r>
    </w:p>
    <w:p w14:paraId="2A6ABD83" w14:textId="77777777" w:rsidR="00267E55" w:rsidRPr="008825F1" w:rsidRDefault="00267E55" w:rsidP="00267E55">
      <w:pPr>
        <w:pStyle w:val="Default"/>
        <w:spacing w:after="120"/>
        <w:jc w:val="both"/>
        <w:rPr>
          <w:rFonts w:asciiTheme="minorHAnsi" w:hAnsiTheme="minorHAnsi" w:cstheme="minorHAnsi"/>
          <w:b/>
          <w:color w:val="auto"/>
        </w:rPr>
      </w:pPr>
      <w:r w:rsidRPr="008825F1">
        <w:rPr>
          <w:rFonts w:asciiTheme="minorHAnsi" w:hAnsiTheme="minorHAnsi" w:cstheme="minorHAnsi"/>
          <w:b/>
          <w:bCs/>
          <w:color w:val="auto"/>
        </w:rPr>
        <w:t xml:space="preserve">Explotación económica de niños </w:t>
      </w:r>
    </w:p>
    <w:p w14:paraId="5BF5081B" w14:textId="585C8E5A" w:rsidR="00267E55" w:rsidRPr="008825F1"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bCs/>
          <w:color w:val="auto"/>
        </w:rPr>
        <w:t xml:space="preserve">Preocupa que las cifras sobre trabajo infantil no se actualicen desde el año 2012 (219.000), que </w:t>
      </w:r>
      <w:r>
        <w:rPr>
          <w:rFonts w:asciiTheme="minorHAnsi" w:hAnsiTheme="minorHAnsi" w:cstheme="minorHAnsi"/>
          <w:bCs/>
          <w:color w:val="auto"/>
        </w:rPr>
        <w:t>no</w:t>
      </w:r>
      <w:r w:rsidRPr="008825F1">
        <w:rPr>
          <w:rFonts w:asciiTheme="minorHAnsi" w:hAnsiTheme="minorHAnsi" w:cstheme="minorHAnsi"/>
          <w:bCs/>
          <w:color w:val="auto"/>
        </w:rPr>
        <w:t xml:space="preserve"> se den a conocer las cifras sobre peores formas de trabajo infantil</w:t>
      </w:r>
      <w:r>
        <w:rPr>
          <w:rFonts w:asciiTheme="minorHAnsi" w:hAnsiTheme="minorHAnsi" w:cstheme="minorHAnsi"/>
          <w:bCs/>
          <w:color w:val="auto"/>
        </w:rPr>
        <w:t xml:space="preserve">. Esto contribuye a la </w:t>
      </w:r>
      <w:proofErr w:type="spellStart"/>
      <w:r>
        <w:rPr>
          <w:rFonts w:asciiTheme="minorHAnsi" w:hAnsiTheme="minorHAnsi" w:cstheme="minorHAnsi"/>
          <w:bCs/>
          <w:color w:val="auto"/>
        </w:rPr>
        <w:t>invisibilización</w:t>
      </w:r>
      <w:proofErr w:type="spellEnd"/>
      <w:r>
        <w:rPr>
          <w:rFonts w:asciiTheme="minorHAnsi" w:hAnsiTheme="minorHAnsi" w:cstheme="minorHAnsi"/>
          <w:bCs/>
          <w:color w:val="auto"/>
        </w:rPr>
        <w:t xml:space="preserve"> del problema, cuestión que afecta su prevención, el desmontaje de prejuicios y la intervención terapéutica efectiva y oportuna</w:t>
      </w:r>
      <w:r w:rsidRPr="008825F1">
        <w:rPr>
          <w:rFonts w:asciiTheme="minorHAnsi" w:hAnsiTheme="minorHAnsi" w:cstheme="minorHAnsi"/>
          <w:bCs/>
          <w:color w:val="auto"/>
        </w:rPr>
        <w:t>.</w:t>
      </w:r>
      <w:r>
        <w:rPr>
          <w:rFonts w:asciiTheme="minorHAnsi" w:hAnsiTheme="minorHAnsi" w:cstheme="minorHAnsi"/>
          <w:bCs/>
          <w:color w:val="auto"/>
        </w:rPr>
        <w:t xml:space="preserve"> En este mismo sentido, es necesario profundizar y poder cuantificar con mayor precisión lo que ocurre con el </w:t>
      </w:r>
      <w:r w:rsidRPr="008825F1">
        <w:rPr>
          <w:rFonts w:asciiTheme="minorHAnsi" w:hAnsiTheme="minorHAnsi" w:cstheme="minorHAnsi"/>
          <w:bCs/>
          <w:color w:val="auto"/>
        </w:rPr>
        <w:t>trabajo doméstico</w:t>
      </w:r>
      <w:r>
        <w:rPr>
          <w:rFonts w:asciiTheme="minorHAnsi" w:hAnsiTheme="minorHAnsi" w:cstheme="minorHAnsi"/>
          <w:bCs/>
          <w:color w:val="auto"/>
        </w:rPr>
        <w:t xml:space="preserve">, si bien se sabe que son las niñas las que lo ejercen en mayor medida, al estar </w:t>
      </w:r>
      <w:proofErr w:type="spellStart"/>
      <w:r>
        <w:rPr>
          <w:rFonts w:asciiTheme="minorHAnsi" w:hAnsiTheme="minorHAnsi" w:cstheme="minorHAnsi"/>
          <w:bCs/>
          <w:color w:val="auto"/>
        </w:rPr>
        <w:t>invisibilizadas</w:t>
      </w:r>
      <w:proofErr w:type="spellEnd"/>
      <w:r>
        <w:rPr>
          <w:rFonts w:asciiTheme="minorHAnsi" w:hAnsiTheme="minorHAnsi" w:cstheme="minorHAnsi"/>
          <w:bCs/>
          <w:color w:val="auto"/>
        </w:rPr>
        <w:t xml:space="preserve"> estas situaciones, no existen medidas de prevención y de interrupción de estas. Por otra parte, la explotación sexual comercial sigue siendo una práctica abusiva recurrente, que si bien en Chile se cuentan con programas de reparación, es aún muy difícil la pesquisa (situación que se ha agravado por el uso de redes sociales) y más difícil aún la efectiva persecución penal de los clientes. </w:t>
      </w:r>
      <w:r w:rsidRPr="008825F1">
        <w:rPr>
          <w:rFonts w:asciiTheme="minorHAnsi" w:hAnsiTheme="minorHAnsi" w:cstheme="minorHAnsi"/>
          <w:bCs/>
          <w:color w:val="auto"/>
        </w:rPr>
        <w:t xml:space="preserve"> Resulta fundamental también</w:t>
      </w:r>
      <w:r>
        <w:rPr>
          <w:rFonts w:asciiTheme="minorHAnsi" w:hAnsiTheme="minorHAnsi" w:cstheme="minorHAnsi"/>
          <w:bCs/>
          <w:color w:val="auto"/>
        </w:rPr>
        <w:t xml:space="preserve">, en el contexto de migración que vive actualmente Chile, </w:t>
      </w:r>
      <w:r w:rsidRPr="008825F1">
        <w:rPr>
          <w:rFonts w:asciiTheme="minorHAnsi" w:hAnsiTheme="minorHAnsi" w:cstheme="minorHAnsi"/>
          <w:bCs/>
          <w:color w:val="auto"/>
        </w:rPr>
        <w:t>estar muy alertas</w:t>
      </w:r>
      <w:r>
        <w:rPr>
          <w:rFonts w:asciiTheme="minorHAnsi" w:hAnsiTheme="minorHAnsi" w:cstheme="minorHAnsi"/>
          <w:bCs/>
          <w:color w:val="auto"/>
        </w:rPr>
        <w:t xml:space="preserve"> para prevenir, detectar y castigar </w:t>
      </w:r>
      <w:r w:rsidRPr="008825F1">
        <w:rPr>
          <w:rFonts w:asciiTheme="minorHAnsi" w:hAnsiTheme="minorHAnsi" w:cstheme="minorHAnsi"/>
          <w:bCs/>
          <w:color w:val="auto"/>
        </w:rPr>
        <w:t>a las redes de trata de niños y niñas, ya que al no contar con una ley de migración y reglas poco claras en este ámbito</w:t>
      </w:r>
      <w:r>
        <w:rPr>
          <w:rFonts w:asciiTheme="minorHAnsi" w:hAnsiTheme="minorHAnsi" w:cstheme="minorHAnsi"/>
          <w:bCs/>
          <w:color w:val="auto"/>
        </w:rPr>
        <w:t xml:space="preserve">, puede ser un espacio muy vulnerable para se den este tipo </w:t>
      </w:r>
      <w:r w:rsidRPr="008825F1">
        <w:rPr>
          <w:rFonts w:asciiTheme="minorHAnsi" w:hAnsiTheme="minorHAnsi" w:cstheme="minorHAnsi"/>
          <w:bCs/>
          <w:color w:val="auto"/>
        </w:rPr>
        <w:t xml:space="preserve">de delitos. </w:t>
      </w:r>
    </w:p>
    <w:p w14:paraId="6244D284" w14:textId="77777777" w:rsidR="00267E55" w:rsidRPr="008825F1" w:rsidRDefault="00267E55" w:rsidP="00267E55">
      <w:pPr>
        <w:pStyle w:val="Default"/>
        <w:jc w:val="both"/>
        <w:rPr>
          <w:rFonts w:asciiTheme="minorHAnsi" w:hAnsiTheme="minorHAnsi" w:cstheme="minorHAnsi"/>
          <w:b/>
          <w:bCs/>
          <w:color w:val="auto"/>
        </w:rPr>
      </w:pPr>
      <w:r w:rsidRPr="008825F1">
        <w:rPr>
          <w:rFonts w:asciiTheme="minorHAnsi" w:hAnsiTheme="minorHAnsi" w:cstheme="minorHAnsi"/>
          <w:b/>
          <w:bCs/>
          <w:color w:val="auto"/>
        </w:rPr>
        <w:t>Se solicita al Comité consultar al Estado sobre:</w:t>
      </w:r>
    </w:p>
    <w:p w14:paraId="054D0293" w14:textId="77777777" w:rsidR="00267E55" w:rsidRDefault="00267E55" w:rsidP="00267E55">
      <w:pPr>
        <w:pStyle w:val="Default"/>
        <w:numPr>
          <w:ilvl w:val="0"/>
          <w:numId w:val="4"/>
        </w:numPr>
        <w:ind w:left="714" w:hanging="357"/>
        <w:jc w:val="both"/>
        <w:rPr>
          <w:rFonts w:asciiTheme="minorHAnsi" w:hAnsiTheme="minorHAnsi" w:cstheme="minorHAnsi"/>
          <w:b/>
          <w:bCs/>
          <w:color w:val="auto"/>
        </w:rPr>
      </w:pPr>
      <w:r w:rsidRPr="008825F1">
        <w:rPr>
          <w:rFonts w:asciiTheme="minorHAnsi" w:hAnsiTheme="minorHAnsi" w:cstheme="minorHAnsi"/>
          <w:b/>
          <w:bCs/>
          <w:color w:val="auto"/>
        </w:rPr>
        <w:t xml:space="preserve">Qué medidas ha implementado para </w:t>
      </w:r>
      <w:r>
        <w:rPr>
          <w:rFonts w:asciiTheme="minorHAnsi" w:hAnsiTheme="minorHAnsi" w:cstheme="minorHAnsi"/>
          <w:b/>
          <w:bCs/>
          <w:color w:val="auto"/>
        </w:rPr>
        <w:t>sensibilizar a la comunidad en la prevención, detección y erradicación de la explotación sexual comercial infantil.</w:t>
      </w:r>
    </w:p>
    <w:p w14:paraId="7668751A" w14:textId="77777777" w:rsidR="00267E55" w:rsidRDefault="00267E55" w:rsidP="00267E55">
      <w:pPr>
        <w:pStyle w:val="Default"/>
        <w:numPr>
          <w:ilvl w:val="0"/>
          <w:numId w:val="4"/>
        </w:numPr>
        <w:ind w:left="714" w:hanging="357"/>
        <w:jc w:val="both"/>
        <w:rPr>
          <w:rFonts w:asciiTheme="minorHAnsi" w:hAnsiTheme="minorHAnsi" w:cstheme="minorHAnsi"/>
          <w:b/>
          <w:bCs/>
          <w:color w:val="auto"/>
        </w:rPr>
      </w:pPr>
      <w:r>
        <w:rPr>
          <w:rFonts w:asciiTheme="minorHAnsi" w:hAnsiTheme="minorHAnsi" w:cstheme="minorHAnsi"/>
          <w:b/>
          <w:bCs/>
          <w:color w:val="auto"/>
        </w:rPr>
        <w:t>Qué medidas ha implementado para adoptar políticas intersectoriales destinadas a prevenir y reparar NNA víctimas de peores formas de trabajo infantil.</w:t>
      </w:r>
    </w:p>
    <w:p w14:paraId="20614D06" w14:textId="77777777" w:rsidR="00267E55" w:rsidRPr="008825F1" w:rsidRDefault="00267E55" w:rsidP="00267E55">
      <w:pPr>
        <w:pStyle w:val="Default"/>
        <w:numPr>
          <w:ilvl w:val="0"/>
          <w:numId w:val="4"/>
        </w:numPr>
        <w:spacing w:after="120"/>
        <w:ind w:left="714" w:hanging="357"/>
        <w:jc w:val="both"/>
        <w:rPr>
          <w:rFonts w:asciiTheme="minorHAnsi" w:hAnsiTheme="minorHAnsi" w:cstheme="minorHAnsi"/>
          <w:b/>
          <w:bCs/>
          <w:color w:val="auto"/>
        </w:rPr>
      </w:pPr>
      <w:r>
        <w:rPr>
          <w:rFonts w:asciiTheme="minorHAnsi" w:hAnsiTheme="minorHAnsi" w:cstheme="minorHAnsi"/>
          <w:b/>
          <w:bCs/>
          <w:color w:val="auto"/>
        </w:rPr>
        <w:t>Qué medidas ha tomado para mejorar la detección y sistematización de datos referentes al registro de peores formas de trabajo infantil.</w:t>
      </w:r>
    </w:p>
    <w:p w14:paraId="0F058904" w14:textId="77777777" w:rsidR="00267E55" w:rsidRDefault="00267E55">
      <w:pPr>
        <w:spacing w:after="200" w:line="276" w:lineRule="auto"/>
        <w:jc w:val="left"/>
        <w:rPr>
          <w:rFonts w:asciiTheme="minorHAnsi" w:eastAsiaTheme="minorHAnsi" w:hAnsiTheme="minorHAnsi" w:cstheme="minorHAnsi"/>
          <w:b/>
          <w:bCs/>
          <w:sz w:val="24"/>
          <w:lang w:val="es-CL" w:eastAsia="en-US"/>
        </w:rPr>
      </w:pPr>
      <w:r>
        <w:rPr>
          <w:rFonts w:asciiTheme="minorHAnsi" w:hAnsiTheme="minorHAnsi" w:cstheme="minorHAnsi"/>
          <w:b/>
          <w:bCs/>
        </w:rPr>
        <w:br w:type="page"/>
      </w:r>
    </w:p>
    <w:p w14:paraId="4FD4AC48" w14:textId="62661620"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b/>
          <w:bCs/>
          <w:color w:val="auto"/>
        </w:rPr>
        <w:lastRenderedPageBreak/>
        <w:t xml:space="preserve">Violencia contra niños </w:t>
      </w:r>
      <w:r>
        <w:rPr>
          <w:rFonts w:asciiTheme="minorHAnsi" w:hAnsiTheme="minorHAnsi" w:cstheme="minorHAnsi"/>
          <w:b/>
          <w:bCs/>
          <w:color w:val="auto"/>
        </w:rPr>
        <w:t>y niñas</w:t>
      </w:r>
    </w:p>
    <w:p w14:paraId="2CE21C7A" w14:textId="3AC4AF64" w:rsidR="00267E55"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color w:val="auto"/>
        </w:rPr>
        <w:t xml:space="preserve">Las cifras de violencia hacia </w:t>
      </w:r>
      <w:r>
        <w:rPr>
          <w:rFonts w:asciiTheme="minorHAnsi" w:hAnsiTheme="minorHAnsi" w:cstheme="minorHAnsi"/>
          <w:color w:val="auto"/>
        </w:rPr>
        <w:t xml:space="preserve">niños, niñas y adolescentes (NNA) </w:t>
      </w:r>
      <w:r w:rsidRPr="008825F1">
        <w:rPr>
          <w:rFonts w:asciiTheme="minorHAnsi" w:hAnsiTheme="minorHAnsi" w:cstheme="minorHAnsi"/>
          <w:color w:val="auto"/>
        </w:rPr>
        <w:t>continúa</w:t>
      </w:r>
      <w:r>
        <w:rPr>
          <w:rFonts w:asciiTheme="minorHAnsi" w:hAnsiTheme="minorHAnsi" w:cstheme="minorHAnsi"/>
          <w:color w:val="auto"/>
        </w:rPr>
        <w:t>n</w:t>
      </w:r>
      <w:r w:rsidRPr="008825F1">
        <w:rPr>
          <w:rFonts w:asciiTheme="minorHAnsi" w:hAnsiTheme="minorHAnsi" w:cstheme="minorHAnsi"/>
          <w:color w:val="auto"/>
        </w:rPr>
        <w:t xml:space="preserve"> siendo un problema para nuestro país. Las cifras que plantea UNICEF no han cambiado, así lo muestra también la encuesta EL</w:t>
      </w:r>
      <w:r>
        <w:rPr>
          <w:rFonts w:asciiTheme="minorHAnsi" w:hAnsiTheme="minorHAnsi" w:cstheme="minorHAnsi"/>
          <w:color w:val="auto"/>
        </w:rPr>
        <w:t>PI de 2017 que indica que un 56,</w:t>
      </w:r>
      <w:r w:rsidRPr="008825F1">
        <w:rPr>
          <w:rFonts w:asciiTheme="minorHAnsi" w:hAnsiTheme="minorHAnsi" w:cstheme="minorHAnsi"/>
          <w:color w:val="auto"/>
        </w:rPr>
        <w:t xml:space="preserve">9% de niños y niñas dice recibir agresión psicológica, un 32.5% cualquier castigo físico y un 62,5% cualquier método violento de disciplina. </w:t>
      </w:r>
    </w:p>
    <w:p w14:paraId="796B3162" w14:textId="48358F3A" w:rsidR="00267E55" w:rsidRPr="00603689" w:rsidRDefault="00267E55" w:rsidP="00267E55">
      <w:pPr>
        <w:pStyle w:val="Default"/>
        <w:spacing w:after="120"/>
        <w:jc w:val="both"/>
        <w:rPr>
          <w:rFonts w:asciiTheme="minorHAnsi" w:hAnsiTheme="minorHAnsi" w:cstheme="minorHAnsi"/>
          <w:color w:val="auto"/>
        </w:rPr>
      </w:pPr>
      <w:r w:rsidRPr="00603689">
        <w:rPr>
          <w:rFonts w:asciiTheme="minorHAnsi" w:hAnsiTheme="minorHAnsi" w:cstheme="minorHAnsi"/>
          <w:color w:val="auto"/>
        </w:rPr>
        <w:t>En relación a la violencia contra NNA bajo tutela del Estado, se observa una baja de la internación en centros residenciales del S</w:t>
      </w:r>
      <w:r>
        <w:rPr>
          <w:rFonts w:asciiTheme="minorHAnsi" w:hAnsiTheme="minorHAnsi" w:cstheme="minorHAnsi"/>
          <w:color w:val="auto"/>
        </w:rPr>
        <w:t>ervicio Nacional de Menores (SENAME)</w:t>
      </w:r>
      <w:r w:rsidRPr="00603689">
        <w:rPr>
          <w:rFonts w:asciiTheme="minorHAnsi" w:hAnsiTheme="minorHAnsi" w:cstheme="minorHAnsi"/>
          <w:color w:val="auto"/>
        </w:rPr>
        <w:t>, donde según informes de Naciones Unidas se han producido graves vulneraciones a los derechos humanos durante los últimos 40 años. Si bien se saludan avances en la paulatina creación de centros más pequeños y personalizados, el personal aún no cuenta con la especialización que requiere la intervención dada la compleja situación de los NNA internados, expuestos a altos grados de violencia y vulneraciones graves, lo cual requiere de una amplia gama de servicios para la efectiva restitución de sus derechos.</w:t>
      </w:r>
      <w:r>
        <w:rPr>
          <w:rFonts w:asciiTheme="minorHAnsi" w:hAnsiTheme="minorHAnsi" w:cstheme="minorHAnsi"/>
          <w:color w:val="auto"/>
        </w:rPr>
        <w:t xml:space="preserve"> Y a pesar de que en enero de 2019 se aprobó una ley para aumentar el presupuesto público para el cuidado residencial, la ley 21.140, dichos recursos no han sido entregados a las instituciones colaboradoras que ejecutan la mayoría de la oferta. </w:t>
      </w:r>
    </w:p>
    <w:p w14:paraId="20527E3B" w14:textId="77777777"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color w:val="auto"/>
        </w:rPr>
        <w:t>A lo anterior se suma la violencia naturalizada y desproporcionada que ejercen las policías contra adolescentes en el contexto de manifestaciones estudiantiles</w:t>
      </w:r>
      <w:r>
        <w:rPr>
          <w:rFonts w:asciiTheme="minorHAnsi" w:hAnsiTheme="minorHAnsi" w:cstheme="minorHAnsi"/>
          <w:color w:val="auto"/>
        </w:rPr>
        <w:t xml:space="preserve"> por la plena efectividad del derecho a la educación</w:t>
      </w:r>
      <w:r w:rsidRPr="008825F1">
        <w:rPr>
          <w:rFonts w:asciiTheme="minorHAnsi" w:hAnsiTheme="minorHAnsi" w:cstheme="minorHAnsi"/>
          <w:color w:val="auto"/>
        </w:rPr>
        <w:t>.</w:t>
      </w:r>
    </w:p>
    <w:p w14:paraId="17C15A34" w14:textId="77777777"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color w:val="auto"/>
        </w:rPr>
        <w:t>Preocupa que no existan políticas públicas que apunten a la prevención de la violencia y que la Ley integral de protección de derechos para niños y niñas siga aún en tramitación legislativa.</w:t>
      </w:r>
    </w:p>
    <w:p w14:paraId="6FAE3C47"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La Comisión de Observadores de Derechos Humanos de Casa Memoria José Domingo Cañas ha constatado, desde el 2011, casos de violencia excesiva por parte de las Fuerzas Especiales (FF.EE.) de Carabineros, quienes ingresan bajo la excusa del delito de “flagrancia” a los establecimientos educacionales, utilizando fuerza física, armas de fuego y armas químicas en horarios de clases, situación que est</w:t>
      </w:r>
      <w:r>
        <w:rPr>
          <w:rFonts w:asciiTheme="minorHAnsi" w:hAnsiTheme="minorHAnsi" w:cstheme="minorHAnsi"/>
          <w:sz w:val="24"/>
        </w:rPr>
        <w:t>e</w:t>
      </w:r>
      <w:r w:rsidRPr="008825F1">
        <w:rPr>
          <w:rFonts w:asciiTheme="minorHAnsi" w:hAnsiTheme="minorHAnsi" w:cstheme="minorHAnsi"/>
          <w:sz w:val="24"/>
        </w:rPr>
        <w:t xml:space="preserve"> año ha sido denunciada a la CIDH</w:t>
      </w:r>
      <w:r w:rsidRPr="008825F1">
        <w:rPr>
          <w:rStyle w:val="Refdenotaalpie"/>
          <w:rFonts w:asciiTheme="minorHAnsi" w:hAnsiTheme="minorHAnsi" w:cstheme="minorHAnsi"/>
          <w:sz w:val="24"/>
        </w:rPr>
        <w:footnoteReference w:id="14"/>
      </w:r>
      <w:r w:rsidRPr="008825F1">
        <w:rPr>
          <w:rFonts w:asciiTheme="minorHAnsi" w:hAnsiTheme="minorHAnsi" w:cstheme="minorHAnsi"/>
          <w:sz w:val="24"/>
        </w:rPr>
        <w:t xml:space="preserve">. FFEE de carabineros hace ingreso al interior de las salas, amedrentando, lanzando gases y deteniendo a estudiantes. Conjuntamente, no les permiten manifestarse en el espacio público, disolviendo dichas manifestaciones rápidamente con armas químicas, cuya composición y efectos se desconocen, y llevando detenidos a niños, niñas y adolescentes, golpeándoles en la vía pública, al interior de los carros y recintos policiales y en otros espacios bajo la custodia de la policía.  </w:t>
      </w:r>
    </w:p>
    <w:p w14:paraId="0A4B6343" w14:textId="71CDEEC8"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Es preocupante la criminalización de la protesta social como política de Estado. En este sentido, en el mensaje presidencial del 1 de junio de 2019</w:t>
      </w:r>
      <w:r w:rsidRPr="008825F1">
        <w:rPr>
          <w:rStyle w:val="Refdenotaalpie"/>
          <w:rFonts w:asciiTheme="minorHAnsi" w:hAnsiTheme="minorHAnsi" w:cstheme="minorHAnsi"/>
          <w:sz w:val="24"/>
        </w:rPr>
        <w:footnoteReference w:id="15"/>
      </w:r>
      <w:r w:rsidRPr="008825F1">
        <w:rPr>
          <w:rFonts w:asciiTheme="minorHAnsi" w:hAnsiTheme="minorHAnsi" w:cstheme="minorHAnsi"/>
          <w:sz w:val="24"/>
        </w:rPr>
        <w:t xml:space="preserve">, el presidente de la República </w:t>
      </w:r>
      <w:r w:rsidRPr="008825F1">
        <w:rPr>
          <w:rFonts w:asciiTheme="minorHAnsi" w:hAnsiTheme="minorHAnsi" w:cstheme="minorHAnsi"/>
          <w:sz w:val="24"/>
        </w:rPr>
        <w:lastRenderedPageBreak/>
        <w:t xml:space="preserve">de Chile, Sebastián Piñera Echenique, en la página 14, en su punto 5 párrafo 3 señala, refiriéndose a la educación pública de calidad para todos/as, que: “no permitiremos que un puñado de delincuentes sigan atentando con violencia y bombas molotov contra sus propios profesores, sus propios compañeros y sus propios establecimientos, destruyendo así nuestra educación pública.” </w:t>
      </w:r>
    </w:p>
    <w:p w14:paraId="092BB15F"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 xml:space="preserve">En consideración de las políticas que el Jefe de Estado ha promovido, hacemos notar que los principales derechos vulnerados son: el derecho a la integridad personal (estudiantes golpeados y escuelas gaseadas), el derecho a la libertad personal (más de 4.8 millones de controles de identidad), los principios de legalidad y de irretroactividad (proyecto para ampliar las facultades de control preventivo de identidad a menores de edad), el derecho a la protección de la honra y de la dignidad (expulsión de escuelas faltando al debido proceso), el derecho a la libertad de conciencia y de religión (ídem anterior), libertad de pensamiento y de expresión (permanencia de Fuerzas Especiales -FF.EE.- de Carabineros apostados de forma permanente en las afueras de establecimientos educacionales y represión académica y administrativo-disciplinaria por parte de docentes y funcionarios de los colegios y liceos públicos), el derecho de reunión (disolución de grupos de estudiantes en las afueras de los establecimientos educacionales  por parte de  FF.EE., y en el interior de los mismos por parte de docentes y funcionarios), la libertad de asociación (ídem anterior), los derechos del/a niño/a, el derecho de circulación (ídem anterior), los derechos políticos y el derecho al desarrollo progresivo de los derechos económicos, sociales y culturales (la privación de educación formal a estudiantes sujetos a procesos sancionatorios arbitrarios). </w:t>
      </w:r>
    </w:p>
    <w:p w14:paraId="6C404D8B"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Se constata también la represión por parte de los sostenedores de colegios y liceos, directivos y docentes de colegios y liceos, quienes restringen e impiden que los y las estudiantes se reúnan y organicen en el interior. Se está dando el caso en que se aplica a estudiantes la Ley 21.128 denominada “Aula Segura”, por participar en asambleas de Centros de Alumnos.</w:t>
      </w:r>
    </w:p>
    <w:p w14:paraId="79EBCAFF"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La ley establece que las reformas de los Manuales de Convivencia Escolar deben ser realizadas con participación de la comunidad, en la práctica, estos se han alterado para aumentar el número y la calificación de las normas internas que permitan sancionar y expulsar a estudiantes</w:t>
      </w:r>
      <w:r w:rsidRPr="008825F1">
        <w:rPr>
          <w:rStyle w:val="Refdenotaalpie"/>
          <w:rFonts w:asciiTheme="minorHAnsi" w:hAnsiTheme="minorHAnsi" w:cstheme="minorHAnsi"/>
          <w:sz w:val="24"/>
        </w:rPr>
        <w:footnoteReference w:id="16"/>
      </w:r>
      <w:r w:rsidRPr="008825F1">
        <w:rPr>
          <w:rFonts w:asciiTheme="minorHAnsi" w:hAnsiTheme="minorHAnsi" w:cstheme="minorHAnsi"/>
          <w:sz w:val="24"/>
        </w:rPr>
        <w:t xml:space="preserve">. La Comisión de Observadores de Derechos Humanos de Casa Memoria José Domingo Cañas cuenta con antecedentes sobre la alteración de los expedientes académicos y disciplinarios de estudiantes por parte de docentes y funcionarios para facilitar y posibilitar sus expulsiones desde los establecimientos cuando ellos realizan actividades políticas.  </w:t>
      </w:r>
    </w:p>
    <w:p w14:paraId="65D7A26E" w14:textId="77777777"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color w:val="auto"/>
        </w:rPr>
        <w:lastRenderedPageBreak/>
        <w:t>Preocupa la instalación de fuerzas de carabineros en los alrededores de los colegios</w:t>
      </w:r>
      <w:r w:rsidRPr="008825F1">
        <w:rPr>
          <w:rStyle w:val="Refdenotaalpie"/>
          <w:rFonts w:asciiTheme="minorHAnsi" w:hAnsiTheme="minorHAnsi" w:cstheme="minorHAnsi"/>
          <w:color w:val="auto"/>
        </w:rPr>
        <w:footnoteReference w:id="17"/>
      </w:r>
      <w:r w:rsidRPr="008825F1">
        <w:rPr>
          <w:rFonts w:asciiTheme="minorHAnsi" w:hAnsiTheme="minorHAnsi" w:cstheme="minorHAnsi"/>
          <w:color w:val="auto"/>
        </w:rPr>
        <w:t>, liceos y universidades, los cuales usan de manera indiscriminada y desproporcionada armamento “no letal”, como armas químicas, carros lanza agua, perdigones y bastones para reprimir reuniones de estudiantes</w:t>
      </w:r>
      <w:r w:rsidRPr="008825F1">
        <w:rPr>
          <w:rStyle w:val="Refdenotaalpie"/>
          <w:rFonts w:asciiTheme="minorHAnsi" w:hAnsiTheme="minorHAnsi" w:cstheme="minorHAnsi"/>
          <w:color w:val="auto"/>
        </w:rPr>
        <w:footnoteReference w:id="18"/>
      </w:r>
      <w:r w:rsidRPr="008825F1">
        <w:rPr>
          <w:rFonts w:asciiTheme="minorHAnsi" w:hAnsiTheme="minorHAnsi" w:cstheme="minorHAnsi"/>
          <w:color w:val="auto"/>
        </w:rPr>
        <w:t>. En este contexto, se observa la ocurrencia de detenciones arbitrarias en contra de menores de edad</w:t>
      </w:r>
      <w:r w:rsidRPr="008825F1">
        <w:rPr>
          <w:rStyle w:val="Refdenotaalpie"/>
          <w:rFonts w:asciiTheme="minorHAnsi" w:hAnsiTheme="minorHAnsi" w:cstheme="minorHAnsi"/>
          <w:color w:val="auto"/>
        </w:rPr>
        <w:footnoteReference w:id="19"/>
      </w:r>
      <w:r w:rsidRPr="008825F1">
        <w:rPr>
          <w:rFonts w:asciiTheme="minorHAnsi" w:hAnsiTheme="minorHAnsi" w:cstheme="minorHAnsi"/>
          <w:color w:val="auto"/>
        </w:rPr>
        <w:t>, la que se traduce con frecuencia en tortura, tratos crueles, inhumanos o degradantes en los momentos de detención, traslado y custodia por parte de Carabineros de Chile</w:t>
      </w:r>
      <w:r w:rsidRPr="008825F1">
        <w:rPr>
          <w:rStyle w:val="Refdenotaalpie"/>
          <w:rFonts w:asciiTheme="minorHAnsi" w:hAnsiTheme="minorHAnsi" w:cstheme="minorHAnsi"/>
          <w:color w:val="auto"/>
        </w:rPr>
        <w:footnoteReference w:id="20"/>
      </w:r>
      <w:r>
        <w:rPr>
          <w:rFonts w:asciiTheme="minorHAnsi" w:hAnsiTheme="minorHAnsi" w:cstheme="minorHAnsi"/>
          <w:color w:val="auto"/>
        </w:rPr>
        <w:t>.</w:t>
      </w:r>
      <w:r w:rsidRPr="008825F1">
        <w:rPr>
          <w:rFonts w:asciiTheme="minorHAnsi" w:hAnsiTheme="minorHAnsi" w:cstheme="minorHAnsi"/>
          <w:color w:val="auto"/>
        </w:rPr>
        <w:t xml:space="preserve"> Se ha hecho uso arbitrario, discriminador y fuera de la ley del Control de Identidad Preventivo como una forma de amedrentar y reprimir a estudiantes movilizados</w:t>
      </w:r>
      <w:r w:rsidRPr="008825F1">
        <w:rPr>
          <w:rStyle w:val="Refdenotaalpie"/>
          <w:rFonts w:asciiTheme="minorHAnsi" w:hAnsiTheme="minorHAnsi" w:cstheme="minorHAnsi"/>
          <w:color w:val="auto"/>
        </w:rPr>
        <w:footnoteReference w:id="21"/>
      </w:r>
      <w:r w:rsidRPr="008825F1">
        <w:rPr>
          <w:rFonts w:asciiTheme="minorHAnsi" w:hAnsiTheme="minorHAnsi" w:cstheme="minorHAnsi"/>
          <w:color w:val="auto"/>
        </w:rPr>
        <w:t>, a pesar de que este instrumento no permite el registro de menores de edad</w:t>
      </w:r>
      <w:r w:rsidRPr="008825F1">
        <w:rPr>
          <w:rStyle w:val="Refdenotaalpie"/>
          <w:rFonts w:asciiTheme="minorHAnsi" w:hAnsiTheme="minorHAnsi" w:cstheme="minorHAnsi"/>
          <w:color w:val="auto"/>
        </w:rPr>
        <w:footnoteReference w:id="22"/>
      </w:r>
      <w:r w:rsidRPr="008825F1">
        <w:rPr>
          <w:rFonts w:asciiTheme="minorHAnsi" w:hAnsiTheme="minorHAnsi" w:cstheme="minorHAnsi"/>
          <w:color w:val="auto"/>
        </w:rPr>
        <w:t xml:space="preserve">.  </w:t>
      </w:r>
    </w:p>
    <w:p w14:paraId="1C7F314D" w14:textId="77777777"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color w:val="auto"/>
        </w:rPr>
        <w:t xml:space="preserve">El poder político (por medio del Ministerio del Interior) ha puesto a madres y apoderadas a dialogar con Carabineros de Chile para la revisión de los protocolos de acción de FF.EE. y para la denuncia de los abusos cometidos por parte de éstas tras sus reiterados ingresos a los establecimientos educacionales. </w:t>
      </w:r>
      <w:r>
        <w:rPr>
          <w:rFonts w:asciiTheme="minorHAnsi" w:hAnsiTheme="minorHAnsi" w:cstheme="minorHAnsi"/>
          <w:color w:val="auto"/>
        </w:rPr>
        <w:t xml:space="preserve">Estos hechos se han visto agravados, luego del estallido social que comienza en octubre, donde la protesta social ha sido criminalizada, niños, niñas y adolescentes han sido detenidos (961 según datos del INDH al 30 de noviembre), gravemente golpeados, abusados, heridos con perdigones como también lo denuncian el Informe de Amnistía Internacional, Human </w:t>
      </w:r>
      <w:proofErr w:type="spellStart"/>
      <w:r>
        <w:rPr>
          <w:rFonts w:asciiTheme="minorHAnsi" w:hAnsiTheme="minorHAnsi" w:cstheme="minorHAnsi"/>
          <w:color w:val="auto"/>
        </w:rPr>
        <w:t>Rights</w:t>
      </w:r>
      <w:proofErr w:type="spellEnd"/>
      <w:r>
        <w:rPr>
          <w:rFonts w:asciiTheme="minorHAnsi" w:hAnsiTheme="minorHAnsi" w:cstheme="minorHAnsi"/>
          <w:color w:val="auto"/>
        </w:rPr>
        <w:t xml:space="preserve"> </w:t>
      </w:r>
      <w:proofErr w:type="spellStart"/>
      <w:r>
        <w:rPr>
          <w:rFonts w:asciiTheme="minorHAnsi" w:hAnsiTheme="minorHAnsi" w:cstheme="minorHAnsi"/>
          <w:color w:val="auto"/>
        </w:rPr>
        <w:t>Watch</w:t>
      </w:r>
      <w:proofErr w:type="spellEnd"/>
      <w:r>
        <w:rPr>
          <w:rFonts w:asciiTheme="minorHAnsi" w:hAnsiTheme="minorHAnsi" w:cstheme="minorHAnsi"/>
          <w:color w:val="auto"/>
        </w:rPr>
        <w:t xml:space="preserve"> entre otros informes que también han denunciado estas graves violaciones de Derechos Humanos. </w:t>
      </w:r>
    </w:p>
    <w:p w14:paraId="56931A8F" w14:textId="77777777"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color w:val="auto"/>
        </w:rPr>
        <w:t xml:space="preserve">Carabineros de Chile es una entidad no deliberante y supeditada al poder civil, por lo que el enviarla a dialogar les entrega capacidades deliberativas y ejecutivas que constitucionalmente no poseen.  </w:t>
      </w:r>
    </w:p>
    <w:p w14:paraId="646EB3A4" w14:textId="77777777" w:rsidR="00267E55" w:rsidRPr="008825F1" w:rsidRDefault="00267E55" w:rsidP="00267E55">
      <w:pPr>
        <w:spacing w:line="240" w:lineRule="auto"/>
        <w:rPr>
          <w:rFonts w:asciiTheme="minorHAnsi" w:hAnsiTheme="minorHAnsi" w:cstheme="minorHAnsi"/>
          <w:b/>
          <w:bCs/>
          <w:sz w:val="24"/>
        </w:rPr>
      </w:pPr>
      <w:r w:rsidRPr="008825F1">
        <w:rPr>
          <w:rFonts w:asciiTheme="minorHAnsi" w:hAnsiTheme="minorHAnsi" w:cstheme="minorHAnsi"/>
          <w:b/>
          <w:bCs/>
          <w:sz w:val="24"/>
        </w:rPr>
        <w:t>Se solicita al Comité consultar al Estado:</w:t>
      </w:r>
    </w:p>
    <w:p w14:paraId="05EE96AA" w14:textId="77777777" w:rsidR="00267E55" w:rsidRPr="005458B5" w:rsidRDefault="00267E55" w:rsidP="00267E55">
      <w:pPr>
        <w:pStyle w:val="Prrafodelista"/>
        <w:numPr>
          <w:ilvl w:val="0"/>
          <w:numId w:val="4"/>
        </w:numPr>
        <w:shd w:val="clear" w:color="auto" w:fill="FFFFFF" w:themeFill="background1"/>
        <w:spacing w:after="120" w:line="240" w:lineRule="auto"/>
        <w:rPr>
          <w:rFonts w:asciiTheme="minorHAnsi" w:hAnsiTheme="minorHAnsi" w:cstheme="minorHAnsi"/>
          <w:b/>
          <w:bCs/>
          <w:sz w:val="24"/>
        </w:rPr>
      </w:pPr>
      <w:r w:rsidRPr="005458B5">
        <w:rPr>
          <w:rFonts w:asciiTheme="minorHAnsi" w:hAnsiTheme="minorHAnsi" w:cstheme="minorHAnsi"/>
          <w:b/>
          <w:bCs/>
          <w:sz w:val="24"/>
        </w:rPr>
        <w:t xml:space="preserve">Qué avances puede mostrar en cuanto a la implementación de un plan nacional para la erradicación de la violencia contra NNA y qué medidas de sensibilización </w:t>
      </w:r>
      <w:r w:rsidRPr="005458B5">
        <w:rPr>
          <w:rFonts w:asciiTheme="minorHAnsi" w:hAnsiTheme="minorHAnsi" w:cstheme="minorHAnsi"/>
          <w:b/>
          <w:bCs/>
          <w:sz w:val="24"/>
        </w:rPr>
        <w:lastRenderedPageBreak/>
        <w:t>y prevención contra el maltrato infantil al interior de los hogares y el abuso sexual contra NNA se han implementado.</w:t>
      </w:r>
    </w:p>
    <w:p w14:paraId="2D16A371" w14:textId="77777777" w:rsidR="00267E55" w:rsidRPr="005458B5" w:rsidRDefault="00267E55" w:rsidP="00267E55">
      <w:pPr>
        <w:pStyle w:val="Prrafodelista"/>
        <w:numPr>
          <w:ilvl w:val="0"/>
          <w:numId w:val="4"/>
        </w:numPr>
        <w:shd w:val="clear" w:color="auto" w:fill="FFFFFF" w:themeFill="background1"/>
        <w:spacing w:after="120" w:line="240" w:lineRule="auto"/>
        <w:rPr>
          <w:rFonts w:asciiTheme="minorHAnsi" w:hAnsiTheme="minorHAnsi" w:cstheme="minorHAnsi"/>
          <w:b/>
          <w:bCs/>
          <w:sz w:val="24"/>
        </w:rPr>
      </w:pPr>
      <w:r w:rsidRPr="005458B5">
        <w:rPr>
          <w:rFonts w:asciiTheme="minorHAnsi" w:hAnsiTheme="minorHAnsi" w:cstheme="minorHAnsi"/>
          <w:b/>
          <w:bCs/>
          <w:sz w:val="24"/>
        </w:rPr>
        <w:t>Qué avances puede mostrar en materia de especialización del personal a cargo de los centros residenciales del SENAME, en el contexto de la creación de centros más pequeños y personalizados, y cómo se reflejan estas y otras medidas en el presupuesto de 2020.</w:t>
      </w:r>
    </w:p>
    <w:p w14:paraId="5888FBEB" w14:textId="77777777" w:rsidR="00267E55" w:rsidRPr="005458B5" w:rsidRDefault="00267E55" w:rsidP="00267E55">
      <w:pPr>
        <w:pStyle w:val="Prrafodelista"/>
        <w:numPr>
          <w:ilvl w:val="0"/>
          <w:numId w:val="4"/>
        </w:numPr>
        <w:shd w:val="clear" w:color="auto" w:fill="FFFFFF" w:themeFill="background1"/>
        <w:spacing w:after="120" w:line="240" w:lineRule="auto"/>
        <w:rPr>
          <w:rFonts w:asciiTheme="minorHAnsi" w:hAnsiTheme="minorHAnsi" w:cstheme="minorHAnsi"/>
          <w:b/>
          <w:bCs/>
          <w:sz w:val="24"/>
        </w:rPr>
      </w:pPr>
      <w:r w:rsidRPr="005458B5">
        <w:rPr>
          <w:rFonts w:asciiTheme="minorHAnsi" w:hAnsiTheme="minorHAnsi" w:cstheme="minorHAnsi"/>
          <w:b/>
          <w:bCs/>
          <w:sz w:val="24"/>
        </w:rPr>
        <w:t>Qué prioridad ha otorgado a la tramitación de la ley que crea el Sistema de garantías de los derechos de la niñez  y a los proyectos que dividen el SENAME en dos servicios, separando niños/as que requieren de protección especializada dependiente del Ministerio de Desarrollo Social y otro relativo a adolescentes en conflicto con la justicia.</w:t>
      </w:r>
    </w:p>
    <w:p w14:paraId="1A35465B" w14:textId="77777777" w:rsidR="00267E55" w:rsidRPr="008825F1" w:rsidRDefault="00267E55" w:rsidP="00267E55">
      <w:pPr>
        <w:pStyle w:val="Prrafodelista"/>
        <w:numPr>
          <w:ilvl w:val="0"/>
          <w:numId w:val="3"/>
        </w:numPr>
        <w:spacing w:after="120" w:line="240" w:lineRule="auto"/>
        <w:rPr>
          <w:rFonts w:asciiTheme="minorHAnsi" w:hAnsiTheme="minorHAnsi" w:cstheme="minorHAnsi"/>
          <w:b/>
          <w:bCs/>
          <w:sz w:val="24"/>
        </w:rPr>
      </w:pPr>
      <w:r w:rsidRPr="008825F1">
        <w:rPr>
          <w:rFonts w:asciiTheme="minorHAnsi" w:hAnsiTheme="minorHAnsi" w:cstheme="minorHAnsi"/>
          <w:b/>
          <w:bCs/>
          <w:sz w:val="24"/>
        </w:rPr>
        <w:t xml:space="preserve">Cuáles son los procedimientos que existen actualmente para evitar el daño a menores de edad en el contexto del uso de gases lacrimógenos, balines de goma, escopetas con perdigones y bastones y perros policiales en el contexto de manifestaciones públicas y al interior de establecimientos educacionales. </w:t>
      </w:r>
    </w:p>
    <w:p w14:paraId="08D8DEB0" w14:textId="77777777" w:rsidR="00267E55" w:rsidRPr="008825F1" w:rsidRDefault="00267E55" w:rsidP="00267E55">
      <w:pPr>
        <w:pStyle w:val="Prrafodelista"/>
        <w:numPr>
          <w:ilvl w:val="0"/>
          <w:numId w:val="3"/>
        </w:numPr>
        <w:spacing w:after="120" w:line="240" w:lineRule="auto"/>
        <w:rPr>
          <w:rFonts w:asciiTheme="minorHAnsi" w:hAnsiTheme="minorHAnsi" w:cstheme="minorHAnsi"/>
          <w:b/>
          <w:bCs/>
          <w:sz w:val="24"/>
        </w:rPr>
      </w:pPr>
      <w:r w:rsidRPr="008825F1">
        <w:rPr>
          <w:rFonts w:asciiTheme="minorHAnsi" w:hAnsiTheme="minorHAnsi" w:cstheme="minorHAnsi"/>
          <w:b/>
          <w:bCs/>
          <w:sz w:val="24"/>
        </w:rPr>
        <w:t>A nivel local, con qué estudios cuenta el Estado Chileno sobre los efectos físicos, fisiológicos, psicológicos y de desarrollo que tiene el uso de gases lacrimógenos, gas pimienta y químicos irritantes en el agua del carro lanza aguas, en el contexto de manifestaciones públicas y al interior de establecimientos educacionales</w:t>
      </w:r>
    </w:p>
    <w:p w14:paraId="02E3C050" w14:textId="77777777" w:rsidR="00267E55" w:rsidRPr="008825F1" w:rsidRDefault="00267E55" w:rsidP="00267E55">
      <w:pPr>
        <w:pStyle w:val="Prrafodelista"/>
        <w:numPr>
          <w:ilvl w:val="0"/>
          <w:numId w:val="3"/>
        </w:numPr>
        <w:spacing w:after="120" w:line="240" w:lineRule="auto"/>
        <w:rPr>
          <w:rFonts w:asciiTheme="minorHAnsi" w:hAnsiTheme="minorHAnsi" w:cstheme="minorHAnsi"/>
          <w:b/>
          <w:bCs/>
          <w:sz w:val="24"/>
        </w:rPr>
      </w:pPr>
      <w:r w:rsidRPr="008825F1">
        <w:rPr>
          <w:rFonts w:asciiTheme="minorHAnsi" w:hAnsiTheme="minorHAnsi" w:cstheme="minorHAnsi"/>
          <w:b/>
          <w:bCs/>
          <w:sz w:val="24"/>
        </w:rPr>
        <w:t>Cuál es la proporción de gasto en apoyo psicosocial a estudiantes de la Región Metropolitana, versus el gasto en compra de gases lacrimógenos, gas pimienta y químicos irritantes para el uso de la policía de Fuerzas Especiales</w:t>
      </w:r>
    </w:p>
    <w:p w14:paraId="76555D47" w14:textId="77777777" w:rsidR="00267E55" w:rsidRPr="008825F1" w:rsidRDefault="00267E55" w:rsidP="00267E55">
      <w:pPr>
        <w:pStyle w:val="Prrafodelista"/>
        <w:numPr>
          <w:ilvl w:val="0"/>
          <w:numId w:val="3"/>
        </w:numPr>
        <w:spacing w:after="120" w:line="240" w:lineRule="auto"/>
        <w:rPr>
          <w:rFonts w:asciiTheme="minorHAnsi" w:hAnsiTheme="minorHAnsi" w:cstheme="minorHAnsi"/>
          <w:b/>
          <w:bCs/>
          <w:sz w:val="24"/>
        </w:rPr>
      </w:pPr>
      <w:r w:rsidRPr="008825F1">
        <w:rPr>
          <w:rFonts w:asciiTheme="minorHAnsi" w:hAnsiTheme="minorHAnsi" w:cstheme="minorHAnsi"/>
          <w:b/>
          <w:bCs/>
          <w:sz w:val="24"/>
        </w:rPr>
        <w:t>De qué manera se ha coordinado a la policía con el Ministerio de Educación para canalizar acciones de mediación, diálogo y conciliación en el contexto de manifestaciones públicas en las que se encuentren presentes menores de edad.</w:t>
      </w:r>
    </w:p>
    <w:p w14:paraId="43E8710B" w14:textId="77777777" w:rsidR="00267E55" w:rsidRDefault="00267E55" w:rsidP="00267E55">
      <w:pPr>
        <w:pStyle w:val="Prrafodelista"/>
        <w:numPr>
          <w:ilvl w:val="0"/>
          <w:numId w:val="3"/>
        </w:numPr>
        <w:spacing w:after="120" w:line="240" w:lineRule="auto"/>
        <w:rPr>
          <w:rFonts w:asciiTheme="minorHAnsi" w:hAnsiTheme="minorHAnsi" w:cstheme="minorHAnsi"/>
          <w:b/>
          <w:bCs/>
          <w:sz w:val="24"/>
        </w:rPr>
      </w:pPr>
      <w:r w:rsidRPr="008825F1">
        <w:rPr>
          <w:rFonts w:asciiTheme="minorHAnsi" w:hAnsiTheme="minorHAnsi" w:cstheme="minorHAnsi"/>
          <w:b/>
          <w:bCs/>
          <w:sz w:val="24"/>
        </w:rPr>
        <w:t xml:space="preserve">Cuál es el protocolo con el que actúa el Ministerio del Interior para garantizar la seguridad de NNA detenidos en el contexto de movilizaciones estudiantiles y cómo fiscaliza su aplicación.   </w:t>
      </w:r>
    </w:p>
    <w:p w14:paraId="47459454" w14:textId="77777777" w:rsidR="00267E55" w:rsidRPr="00F57037" w:rsidRDefault="00267E55" w:rsidP="00267E55">
      <w:pPr>
        <w:pStyle w:val="Prrafodelista"/>
        <w:numPr>
          <w:ilvl w:val="0"/>
          <w:numId w:val="3"/>
        </w:numPr>
        <w:spacing w:after="120" w:line="240" w:lineRule="auto"/>
        <w:rPr>
          <w:rFonts w:asciiTheme="minorHAnsi" w:hAnsiTheme="minorHAnsi" w:cstheme="minorHAnsi"/>
          <w:b/>
          <w:bCs/>
          <w:sz w:val="24"/>
        </w:rPr>
      </w:pPr>
      <w:r w:rsidRPr="00F57037">
        <w:rPr>
          <w:rFonts w:asciiTheme="minorHAnsi" w:hAnsiTheme="minorHAnsi" w:cstheme="minorHAnsi"/>
          <w:b/>
          <w:bCs/>
          <w:sz w:val="24"/>
        </w:rPr>
        <w:t>Qué medidas implementara contra la violencia hacia la NNA indígenas con discapacidad en las comunidades indígenas</w:t>
      </w:r>
      <w:r>
        <w:rPr>
          <w:rFonts w:asciiTheme="minorHAnsi" w:hAnsiTheme="minorHAnsi" w:cstheme="minorHAnsi"/>
          <w:b/>
          <w:bCs/>
          <w:sz w:val="24"/>
        </w:rPr>
        <w:t>.</w:t>
      </w:r>
      <w:r w:rsidRPr="00F57037">
        <w:rPr>
          <w:rFonts w:asciiTheme="minorHAnsi" w:hAnsiTheme="minorHAnsi" w:cstheme="minorHAnsi"/>
          <w:b/>
          <w:bCs/>
          <w:sz w:val="24"/>
        </w:rPr>
        <w:t xml:space="preserve">  </w:t>
      </w:r>
    </w:p>
    <w:p w14:paraId="5358327B" w14:textId="7CEC8B9B" w:rsidR="00267E55" w:rsidRPr="008825F1" w:rsidRDefault="00267E55" w:rsidP="00267E55">
      <w:pPr>
        <w:pStyle w:val="Default"/>
        <w:spacing w:after="120"/>
        <w:jc w:val="both"/>
        <w:rPr>
          <w:rFonts w:asciiTheme="minorHAnsi" w:hAnsiTheme="minorHAnsi" w:cstheme="minorHAnsi"/>
          <w:b/>
          <w:color w:val="auto"/>
        </w:rPr>
      </w:pPr>
      <w:r w:rsidRPr="00F57037">
        <w:rPr>
          <w:rFonts w:asciiTheme="minorHAnsi" w:hAnsiTheme="minorHAnsi" w:cstheme="minorHAnsi"/>
          <w:b/>
          <w:bCs/>
          <w:color w:val="auto"/>
        </w:rPr>
        <w:t xml:space="preserve">Violencia </w:t>
      </w:r>
      <w:r w:rsidR="00F565A3">
        <w:rPr>
          <w:rFonts w:asciiTheme="minorHAnsi" w:hAnsiTheme="minorHAnsi" w:cstheme="minorHAnsi"/>
          <w:b/>
          <w:bCs/>
          <w:color w:val="auto"/>
        </w:rPr>
        <w:t>contra las mujeres</w:t>
      </w:r>
    </w:p>
    <w:p w14:paraId="79957BF6"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La legislación chilena adopta y mantiene una conceptualización limitada de la violencia contra las mujeres, centrada en la violencia familiar y en la tipificación de algunos delitos de violencia sexual, lo que da cuenta de la incomprensión del continuo de la violencia que se ejerce contra las mujeres en espacios privados y públicos, y dificulta el enfrentamiento de la violencia como resultado de las relaciones de poder entre hombres y mujeres y de la discriminación estructural que afecta a las mujeres.  Además</w:t>
      </w:r>
      <w:r>
        <w:rPr>
          <w:rFonts w:asciiTheme="minorHAnsi" w:hAnsiTheme="minorHAnsi" w:cstheme="minorHAnsi"/>
          <w:sz w:val="24"/>
        </w:rPr>
        <w:t>,</w:t>
      </w:r>
      <w:r w:rsidRPr="008825F1">
        <w:rPr>
          <w:rFonts w:asciiTheme="minorHAnsi" w:hAnsiTheme="minorHAnsi" w:cstheme="minorHAnsi"/>
          <w:sz w:val="24"/>
        </w:rPr>
        <w:t xml:space="preserve"> impide la protección de las mujeres frente a otras manifestaciones de violencia como la violencia en relaciones de pareja sin convivencia, el acoso sexual, la violencia obstétrica y la violencia cometida por agentes del Estado, entre otras expresiones de violencia de generalizada ocurrencia que no encuentran respuesta en el ordenamiento jurídico nacional.</w:t>
      </w:r>
    </w:p>
    <w:p w14:paraId="76C1800E"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 xml:space="preserve">La legislación chilena no establece con claridad las obligaciones específicas que corresponden a cada uno de los órganos del Estado en materia de prevención de la </w:t>
      </w:r>
      <w:r w:rsidRPr="008825F1">
        <w:rPr>
          <w:rFonts w:asciiTheme="minorHAnsi" w:hAnsiTheme="minorHAnsi" w:cstheme="minorHAnsi"/>
          <w:sz w:val="24"/>
        </w:rPr>
        <w:lastRenderedPageBreak/>
        <w:t>violencia contra las mujeres, protección de las víctimas y reparación de estas frente a la violación de sus derechos.</w:t>
      </w:r>
    </w:p>
    <w:p w14:paraId="785A844E" w14:textId="77777777" w:rsidR="00267E55" w:rsidRPr="008825F1" w:rsidRDefault="00267E55" w:rsidP="00267E55">
      <w:pPr>
        <w:spacing w:after="120" w:line="240" w:lineRule="auto"/>
        <w:rPr>
          <w:rFonts w:asciiTheme="minorHAnsi" w:hAnsiTheme="minorHAnsi" w:cstheme="minorHAnsi"/>
          <w:b/>
          <w:sz w:val="24"/>
        </w:rPr>
      </w:pPr>
      <w:r w:rsidRPr="008825F1">
        <w:rPr>
          <w:rFonts w:asciiTheme="minorHAnsi" w:hAnsiTheme="minorHAnsi" w:cstheme="minorHAnsi"/>
          <w:sz w:val="24"/>
        </w:rPr>
        <w:t xml:space="preserve">No existe un mecanismo de seguimiento o monitoreo, evaluación y revisión a las medidas de protección y/o cautelares que el Ministerio Público y los tribunales de justicia determinan en resguardo de las mujeres víctimas de violencia. </w:t>
      </w:r>
    </w:p>
    <w:p w14:paraId="4392A1D7"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La ley adopta un abordaje fragmentado que refiere únicamente a determinados hechos ilícitos o delictivos imposibilitando el enfrentar la subordinación y la situación de riesgo permanente en que las mujeres se encuentran en todos los ámbitos de la vida.</w:t>
      </w:r>
    </w:p>
    <w:p w14:paraId="6B579888"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Respecto de aquellos actos o episodios de violencia que la legislación reconoce en su ilicitud, la respuesta judicial como correlato se presenta nuevamente fragmentada. El conocimiento y eventual resolución de unos actos de violencia intrafamiliar, aquellos que conforme a la ley no resulten constitutivos de delito, se radica en tribunales de familia (ej. violencia psicológica, agresiones físicas que no causen lesiones visibles); mientras que actos de violencia catalogados como delictivos serán materia de investigación y respuesta del sistema penal.</w:t>
      </w:r>
    </w:p>
    <w:p w14:paraId="1A839B09" w14:textId="77777777" w:rsidR="00267E55" w:rsidRPr="008825F1" w:rsidRDefault="00267E55" w:rsidP="00267E55">
      <w:pPr>
        <w:spacing w:after="120" w:line="240" w:lineRule="auto"/>
        <w:rPr>
          <w:rFonts w:asciiTheme="minorHAnsi" w:hAnsiTheme="minorHAnsi" w:cstheme="minorHAnsi"/>
          <w:b/>
          <w:sz w:val="24"/>
        </w:rPr>
      </w:pPr>
      <w:r w:rsidRPr="008825F1">
        <w:rPr>
          <w:rFonts w:asciiTheme="minorHAnsi" w:hAnsiTheme="minorHAnsi" w:cstheme="minorHAnsi"/>
          <w:sz w:val="24"/>
        </w:rPr>
        <w:t xml:space="preserve">En la inmensa mayoría de los casos, las mujeres transitan entre uno y otro sistema sin que los tribunales de familia y organismos del sistema penal se coordinen entre sí, ni se brinde una respuesta judicial apropiada a la situación de violencia en que la víctima se encuentra, centrada en la protección de las mujeres y en la detención de la violencia. </w:t>
      </w:r>
    </w:p>
    <w:p w14:paraId="45DF6509"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En la inmensa mayoría de los casos la violencia contra las mujeres no es denunciada y cuando se denuncia, la respuesta preponderante es de impunidad. En menos del 10% de los casos por violencia intrafamiliar se dicta sentencia condenatoria, prevaleciendo como forma de cierre de los procedimientos judiciales, el archivo provisional y la suspensión condicional del procedimiento; que sumados representan casi la mitad de los motivos de término en del</w:t>
      </w:r>
      <w:r>
        <w:rPr>
          <w:rFonts w:asciiTheme="minorHAnsi" w:hAnsiTheme="minorHAnsi" w:cstheme="minorHAnsi"/>
          <w:sz w:val="24"/>
        </w:rPr>
        <w:t>itos de violencia intrafamiliar</w:t>
      </w:r>
      <w:r w:rsidRPr="008825F1">
        <w:rPr>
          <w:rFonts w:asciiTheme="minorHAnsi" w:hAnsiTheme="minorHAnsi" w:cstheme="minorHAnsi"/>
          <w:sz w:val="24"/>
        </w:rPr>
        <w:t>.</w:t>
      </w:r>
    </w:p>
    <w:p w14:paraId="2633F006"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 xml:space="preserve">La legislación chilena no aborda la </w:t>
      </w:r>
      <w:proofErr w:type="spellStart"/>
      <w:r w:rsidRPr="008825F1">
        <w:rPr>
          <w:rFonts w:asciiTheme="minorHAnsi" w:hAnsiTheme="minorHAnsi" w:cstheme="minorHAnsi"/>
          <w:sz w:val="24"/>
        </w:rPr>
        <w:t>interseccionalidad</w:t>
      </w:r>
      <w:proofErr w:type="spellEnd"/>
      <w:r w:rsidRPr="008825F1">
        <w:rPr>
          <w:rFonts w:asciiTheme="minorHAnsi" w:hAnsiTheme="minorHAnsi" w:cstheme="minorHAnsi"/>
          <w:sz w:val="24"/>
        </w:rPr>
        <w:t xml:space="preserve"> de la discriminación, a la base de la mayor </w:t>
      </w:r>
      <w:proofErr w:type="spellStart"/>
      <w:r w:rsidRPr="008825F1">
        <w:rPr>
          <w:rFonts w:asciiTheme="minorHAnsi" w:hAnsiTheme="minorHAnsi" w:cstheme="minorHAnsi"/>
          <w:sz w:val="24"/>
        </w:rPr>
        <w:t>vulnerabilización</w:t>
      </w:r>
      <w:proofErr w:type="spellEnd"/>
      <w:r w:rsidRPr="008825F1">
        <w:rPr>
          <w:rFonts w:asciiTheme="minorHAnsi" w:hAnsiTheme="minorHAnsi" w:cstheme="minorHAnsi"/>
          <w:sz w:val="24"/>
        </w:rPr>
        <w:t xml:space="preserve"> de las mujeres frente a la violencia. De acuerdo a la Declaración sobre la eliminación de la violencia contra la mujer, “algunos grupos de mujeres, como por ejemplo las mujeres pertenecientes a minorías, las mujeres indígenas, las refugiadas, las mujeres migrantes, las mujeres que habitan en comunidades rurales o remotas, las mujeres indigentes, las mujeres recluidas en instituciones o detenidas, las niñas, las mujeres con discapacidades, las ancianas y las mujeres en situaciones de conflicto armado son particularmente vulnerables a la violencia”.</w:t>
      </w:r>
      <w:r w:rsidRPr="008825F1">
        <w:rPr>
          <w:rStyle w:val="Refdenotaalpie"/>
          <w:rFonts w:asciiTheme="minorHAnsi" w:hAnsiTheme="minorHAnsi" w:cstheme="minorHAnsi"/>
          <w:sz w:val="24"/>
        </w:rPr>
        <w:footnoteReference w:id="23"/>
      </w:r>
    </w:p>
    <w:p w14:paraId="318BE348"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Se han presentado numerosos proyectos de ley en años recientes, tanto en la Cámara de Diputados como en el Senado de la República, formulados principalmente por congresistas, además de una iniciativa presentada por la ex Presidenta de la Repúb</w:t>
      </w:r>
      <w:r>
        <w:rPr>
          <w:rFonts w:asciiTheme="minorHAnsi" w:hAnsiTheme="minorHAnsi" w:cstheme="minorHAnsi"/>
          <w:sz w:val="24"/>
        </w:rPr>
        <w:t xml:space="preserve">lica Michelle Bachelet y otras </w:t>
      </w:r>
      <w:r w:rsidRPr="008825F1">
        <w:rPr>
          <w:rFonts w:asciiTheme="minorHAnsi" w:hAnsiTheme="minorHAnsi" w:cstheme="minorHAnsi"/>
          <w:sz w:val="24"/>
        </w:rPr>
        <w:t xml:space="preserve">dos por el Presidente Sebastián Piñera. Se trata de proyectos de ley que, con la única excepción de la propuesta sobre el derecho de las mujeres a una vida </w:t>
      </w:r>
      <w:r w:rsidRPr="008825F1">
        <w:rPr>
          <w:rFonts w:asciiTheme="minorHAnsi" w:hAnsiTheme="minorHAnsi" w:cstheme="minorHAnsi"/>
          <w:sz w:val="24"/>
        </w:rPr>
        <w:lastRenderedPageBreak/>
        <w:t>libre de violencia de la Presidenta Bachelet, solo abordan aspectos parciales de la violencia y presentan grados diversos de avance en su tramitación legislativa. De estas iniciativas destaca la aprobación de la Ley Nº 21.053 sobre acoso sexual en espacios públicos</w:t>
      </w:r>
      <w:r w:rsidRPr="008825F1">
        <w:rPr>
          <w:rStyle w:val="Refdenotaalpie"/>
          <w:rFonts w:asciiTheme="minorHAnsi" w:hAnsiTheme="minorHAnsi" w:cstheme="minorHAnsi"/>
          <w:sz w:val="24"/>
        </w:rPr>
        <w:footnoteReference w:id="24"/>
      </w:r>
      <w:r w:rsidRPr="008825F1">
        <w:rPr>
          <w:rFonts w:asciiTheme="minorHAnsi" w:hAnsiTheme="minorHAnsi" w:cstheme="minorHAnsi"/>
          <w:sz w:val="24"/>
        </w:rPr>
        <w:t>.</w:t>
      </w:r>
    </w:p>
    <w:p w14:paraId="5E9B1779"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 xml:space="preserve">Actualmente se encuentran en trámite ante el Poder Legislativo, entre otros, los siguientes proyectos de ley referidos a violencia contra las mujeres: Proyecto de ley sobre el derecho de las mujeres a una vida libre de violencia (Boletín Legislativo Nº 11.077-07); Proyecto de ley que modifica Ley de Violencia Intrafamiliar y otros cuerpos legales y establece ley sobre violencia en las relaciones íntimas de pareja sin convivencia (Boletín Legislativo Nº 8.851-18); Proyecto de ley que modifica el Código Penal en materia de tipificación del delito de violación (Boletín Legislativo Nº 11.714-07); Proyecto de ley que modifica el Código Penal en materia de tipificación del </w:t>
      </w:r>
      <w:proofErr w:type="spellStart"/>
      <w:r w:rsidRPr="008825F1">
        <w:rPr>
          <w:rFonts w:asciiTheme="minorHAnsi" w:hAnsiTheme="minorHAnsi" w:cstheme="minorHAnsi"/>
          <w:sz w:val="24"/>
        </w:rPr>
        <w:t>femicidio</w:t>
      </w:r>
      <w:proofErr w:type="spellEnd"/>
      <w:r w:rsidRPr="008825F1">
        <w:rPr>
          <w:rFonts w:asciiTheme="minorHAnsi" w:hAnsiTheme="minorHAnsi" w:cstheme="minorHAnsi"/>
          <w:sz w:val="24"/>
        </w:rPr>
        <w:t xml:space="preserve"> y de otros delitos contra las mujeres (Boletín Legislativo Nº 11.970-34); Proyectos de ley sobre acoso sexual en ámbito educativo (Boletines Legislativos </w:t>
      </w:r>
      <w:proofErr w:type="spellStart"/>
      <w:r w:rsidRPr="008825F1">
        <w:rPr>
          <w:rFonts w:asciiTheme="minorHAnsi" w:hAnsiTheme="minorHAnsi" w:cstheme="minorHAnsi"/>
          <w:sz w:val="24"/>
        </w:rPr>
        <w:t>Nºs</w:t>
      </w:r>
      <w:proofErr w:type="spellEnd"/>
      <w:r w:rsidRPr="008825F1">
        <w:rPr>
          <w:rFonts w:asciiTheme="minorHAnsi" w:hAnsiTheme="minorHAnsi" w:cstheme="minorHAnsi"/>
          <w:sz w:val="24"/>
        </w:rPr>
        <w:t xml:space="preserve"> 11.750-04, 11.797-04 y 11.845-04, refundidos); Proyecto de ley que sanciona el acoso por cualquier medio (Boletín Legislativo Nº 12.473-07); Proyectos de ley sobre violencia obstétrica (Boletín Legislativo Nº 9.902-11 y 11.549-11)</w:t>
      </w:r>
    </w:p>
    <w:p w14:paraId="7EE06062"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La multiplicidad de iniciativas legislativas da cuenta tanto de la gravedad del problema en el país como de la dificultad del Estado para abordar integralmente la violencia contra las mujeres.</w:t>
      </w:r>
    </w:p>
    <w:p w14:paraId="00DE913B"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 xml:space="preserve">Del proyecto de ley sobre el derecho de las mujeres a una vida libre de violencia preocupa el que no se aborda adecuadamente la violencia ejercida por agentes del Estado y no adopta una definición de la violencia obstétrica; no se explicita como objeto de la ley la protección de las víctimas y, además, no considera en lo absoluto la reparación a las víctimas de violencia; a pesar de señalar que está dirigido a todas las mujeres no incorpora un enfoque de </w:t>
      </w:r>
      <w:proofErr w:type="spellStart"/>
      <w:r w:rsidRPr="008825F1">
        <w:rPr>
          <w:rFonts w:asciiTheme="minorHAnsi" w:hAnsiTheme="minorHAnsi" w:cstheme="minorHAnsi"/>
          <w:sz w:val="24"/>
        </w:rPr>
        <w:t>interseccionalidad</w:t>
      </w:r>
      <w:proofErr w:type="spellEnd"/>
      <w:r w:rsidRPr="008825F1">
        <w:rPr>
          <w:rFonts w:asciiTheme="minorHAnsi" w:hAnsiTheme="minorHAnsi" w:cstheme="minorHAnsi"/>
          <w:sz w:val="24"/>
        </w:rPr>
        <w:t xml:space="preserve"> de la discriminación; no plantea medidas concretas respecto de otras manifestaciones de violencia distintas de la que en la actualidad se consideran como tales (violencia intrafamiliar y algunas figuras penales); entre otras.</w:t>
      </w:r>
    </w:p>
    <w:p w14:paraId="75764133"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La respuesta estatal frente a la violencia contra las mujeres exige la definición, implementación y evaluación de una política de Estado que comprenda programas, acciones y medidas en el ámbito de la prevención, de la investigación y sanción, de la protección y atención a las víctimas, y de su reparación. Ello requiere de la definición de una coordinación interinstitucional del más alto nivel (ej. un consejo interinstitucional), integrada por representantes del conjunto de órganos públicos involucrados, bajo la coordinación del Ministerio de la Mujer y la Equidad de Género, con mandatos y funciones claras, atribuciones concretas y presupuesto suficiente.</w:t>
      </w:r>
    </w:p>
    <w:p w14:paraId="54B02748"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Debe fortalecerse el componente de formación y capacitación que el proyecto contempla, conforme a las recomendaciones específicas formuladas por organismos internacionales, abarcando el conjunto de organismos públicos, y brindar especial prioridad a la formación de operadores/as de justicia, así como a funcionarios/as del sector salud y de educación.</w:t>
      </w:r>
    </w:p>
    <w:p w14:paraId="04DFCDCD" w14:textId="77777777" w:rsidR="00267E55" w:rsidRPr="008825F1" w:rsidRDefault="00267E55" w:rsidP="00267E55">
      <w:pPr>
        <w:pStyle w:val="Default"/>
        <w:jc w:val="both"/>
        <w:rPr>
          <w:rFonts w:asciiTheme="minorHAnsi" w:hAnsiTheme="minorHAnsi" w:cstheme="minorHAnsi"/>
          <w:b/>
          <w:bCs/>
          <w:color w:val="auto"/>
        </w:rPr>
      </w:pPr>
      <w:r w:rsidRPr="008825F1">
        <w:rPr>
          <w:rFonts w:asciiTheme="minorHAnsi" w:hAnsiTheme="minorHAnsi" w:cstheme="minorHAnsi"/>
          <w:b/>
          <w:bCs/>
          <w:color w:val="auto"/>
        </w:rPr>
        <w:lastRenderedPageBreak/>
        <w:t>Se solicita al Comité consultar al Estado sobre:</w:t>
      </w:r>
    </w:p>
    <w:p w14:paraId="18E6E061" w14:textId="77777777" w:rsidR="00267E55" w:rsidRPr="008825F1" w:rsidRDefault="00267E55" w:rsidP="00267E55">
      <w:pPr>
        <w:pStyle w:val="Default"/>
        <w:numPr>
          <w:ilvl w:val="0"/>
          <w:numId w:val="3"/>
        </w:numPr>
        <w:ind w:left="714" w:hanging="357"/>
        <w:jc w:val="both"/>
        <w:rPr>
          <w:rFonts w:asciiTheme="minorHAnsi" w:hAnsiTheme="minorHAnsi" w:cstheme="minorHAnsi"/>
          <w:b/>
          <w:bCs/>
          <w:color w:val="auto"/>
        </w:rPr>
      </w:pPr>
      <w:r w:rsidRPr="008825F1">
        <w:rPr>
          <w:rFonts w:asciiTheme="minorHAnsi" w:hAnsiTheme="minorHAnsi" w:cstheme="minorHAnsi"/>
          <w:b/>
          <w:bCs/>
          <w:color w:val="auto"/>
        </w:rPr>
        <w:t>Las partidas presupuestarias destinadas específicamente a la prevención de la violencia hacia las mujeres y las niñas.</w:t>
      </w:r>
    </w:p>
    <w:p w14:paraId="6C3AB7D6" w14:textId="77777777" w:rsidR="00267E55" w:rsidRPr="008825F1" w:rsidRDefault="00267E55" w:rsidP="00267E55">
      <w:pPr>
        <w:pStyle w:val="Default"/>
        <w:numPr>
          <w:ilvl w:val="0"/>
          <w:numId w:val="3"/>
        </w:numPr>
        <w:ind w:left="714" w:hanging="357"/>
        <w:jc w:val="both"/>
        <w:rPr>
          <w:rFonts w:asciiTheme="minorHAnsi" w:hAnsiTheme="minorHAnsi" w:cstheme="minorHAnsi"/>
          <w:b/>
          <w:bCs/>
          <w:color w:val="auto"/>
        </w:rPr>
      </w:pPr>
      <w:r w:rsidRPr="008825F1">
        <w:rPr>
          <w:rFonts w:asciiTheme="minorHAnsi" w:hAnsiTheme="minorHAnsi" w:cstheme="minorHAnsi"/>
          <w:b/>
          <w:bCs/>
          <w:color w:val="auto"/>
        </w:rPr>
        <w:t>Las partidas presupuestarias destinadas específicamente a la atención y protección de la violencia hacia las mujeres y las niñas.</w:t>
      </w:r>
    </w:p>
    <w:p w14:paraId="23AB7B57" w14:textId="77777777" w:rsidR="00267E55" w:rsidRPr="008825F1" w:rsidRDefault="00267E55" w:rsidP="00267E55">
      <w:pPr>
        <w:pStyle w:val="Default"/>
        <w:numPr>
          <w:ilvl w:val="0"/>
          <w:numId w:val="3"/>
        </w:numPr>
        <w:ind w:left="714" w:hanging="357"/>
        <w:jc w:val="both"/>
        <w:rPr>
          <w:rFonts w:asciiTheme="minorHAnsi" w:hAnsiTheme="minorHAnsi" w:cstheme="minorHAnsi"/>
          <w:b/>
          <w:bCs/>
          <w:color w:val="auto"/>
        </w:rPr>
      </w:pPr>
      <w:r w:rsidRPr="008825F1">
        <w:rPr>
          <w:rFonts w:asciiTheme="minorHAnsi" w:hAnsiTheme="minorHAnsi" w:cstheme="minorHAnsi"/>
          <w:b/>
          <w:bCs/>
          <w:color w:val="auto"/>
        </w:rPr>
        <w:t>Cuáles son los programas de formación y capacitaci</w:t>
      </w:r>
      <w:r w:rsidRPr="008825F1">
        <w:rPr>
          <w:rFonts w:asciiTheme="minorHAnsi" w:hAnsiTheme="minorHAnsi" w:cstheme="minorHAnsi"/>
          <w:bCs/>
          <w:color w:val="auto"/>
        </w:rPr>
        <w:t>ó</w:t>
      </w:r>
      <w:r w:rsidRPr="008825F1">
        <w:rPr>
          <w:rFonts w:asciiTheme="minorHAnsi" w:hAnsiTheme="minorHAnsi" w:cstheme="minorHAnsi"/>
          <w:b/>
          <w:bCs/>
          <w:color w:val="auto"/>
        </w:rPr>
        <w:t xml:space="preserve">n en derechos humanos y violencia contra las mujeres y las niñas dirigidos a funcionarios/as públicos/as, que contenidos abordan y cuál ha sido su impacto. </w:t>
      </w:r>
    </w:p>
    <w:p w14:paraId="04A76FFB" w14:textId="77777777" w:rsidR="00267E55" w:rsidRPr="008825F1" w:rsidRDefault="00267E55" w:rsidP="00267E55">
      <w:pPr>
        <w:pStyle w:val="Default"/>
        <w:numPr>
          <w:ilvl w:val="0"/>
          <w:numId w:val="3"/>
        </w:numPr>
        <w:ind w:left="714" w:hanging="357"/>
        <w:jc w:val="both"/>
        <w:rPr>
          <w:rFonts w:asciiTheme="minorHAnsi" w:hAnsiTheme="minorHAnsi" w:cstheme="minorHAnsi"/>
          <w:b/>
          <w:bCs/>
          <w:color w:val="auto"/>
        </w:rPr>
      </w:pPr>
      <w:r w:rsidRPr="008825F1">
        <w:rPr>
          <w:rFonts w:asciiTheme="minorHAnsi" w:hAnsiTheme="minorHAnsi" w:cstheme="minorHAnsi"/>
          <w:b/>
          <w:bCs/>
          <w:color w:val="auto"/>
        </w:rPr>
        <w:t>Cuáles son los programas de formación y capacitación en derechos humanos y violencia contra las mujeres y las niñas dirigidos a operadores/as de justicia y agentes del orden y seguridad, qué contenidos abordan, cuál ha sido el impacto de estos y a cuántos de ellos/ellas han capacitado.</w:t>
      </w:r>
    </w:p>
    <w:p w14:paraId="267FAC94" w14:textId="77777777" w:rsidR="00267E55" w:rsidRDefault="00267E55" w:rsidP="00267E55">
      <w:pPr>
        <w:pStyle w:val="Default"/>
        <w:numPr>
          <w:ilvl w:val="0"/>
          <w:numId w:val="3"/>
        </w:numPr>
        <w:ind w:left="714" w:hanging="357"/>
        <w:jc w:val="both"/>
        <w:rPr>
          <w:rFonts w:asciiTheme="minorHAnsi" w:hAnsiTheme="minorHAnsi" w:cstheme="minorHAnsi"/>
          <w:b/>
          <w:bCs/>
          <w:color w:val="auto"/>
        </w:rPr>
      </w:pPr>
      <w:r w:rsidRPr="008825F1">
        <w:rPr>
          <w:rFonts w:asciiTheme="minorHAnsi" w:hAnsiTheme="minorHAnsi" w:cstheme="minorHAnsi"/>
          <w:b/>
          <w:bCs/>
          <w:color w:val="auto"/>
        </w:rPr>
        <w:t>Cómo se garantizará en la ley sobre el derecho de las mujeres a una vida libre de violencia, actualmente en discusión legislativa, la asignación de presupuesto público para la prevención, atención y protección de las víctimas.</w:t>
      </w:r>
    </w:p>
    <w:p w14:paraId="0B0C6CAE" w14:textId="77777777" w:rsidR="00267E55" w:rsidRPr="00F57037" w:rsidRDefault="00267E55" w:rsidP="00267E55">
      <w:pPr>
        <w:pStyle w:val="Prrafodelista"/>
        <w:numPr>
          <w:ilvl w:val="0"/>
          <w:numId w:val="3"/>
        </w:numPr>
        <w:spacing w:after="120"/>
        <w:rPr>
          <w:rFonts w:asciiTheme="minorHAnsi" w:eastAsiaTheme="minorHAnsi" w:hAnsiTheme="minorHAnsi" w:cstheme="minorHAnsi"/>
          <w:b/>
          <w:bCs/>
          <w:sz w:val="24"/>
          <w:lang w:val="es-CL" w:eastAsia="en-US"/>
        </w:rPr>
      </w:pPr>
      <w:r w:rsidRPr="00F57037">
        <w:rPr>
          <w:rFonts w:asciiTheme="minorHAnsi" w:eastAsiaTheme="minorHAnsi" w:hAnsiTheme="minorHAnsi" w:cstheme="minorHAnsi"/>
          <w:b/>
          <w:bCs/>
          <w:sz w:val="24"/>
          <w:lang w:val="es-CL" w:eastAsia="en-US"/>
        </w:rPr>
        <w:t>Cuáles son las medidas pertinentes que financiar</w:t>
      </w:r>
      <w:r>
        <w:rPr>
          <w:rFonts w:asciiTheme="minorHAnsi" w:eastAsiaTheme="minorHAnsi" w:hAnsiTheme="minorHAnsi" w:cstheme="minorHAnsi"/>
          <w:b/>
          <w:bCs/>
          <w:sz w:val="24"/>
          <w:lang w:val="es-CL" w:eastAsia="en-US"/>
        </w:rPr>
        <w:t>á para erradicar</w:t>
      </w:r>
      <w:r w:rsidRPr="00F57037">
        <w:rPr>
          <w:rFonts w:asciiTheme="minorHAnsi" w:eastAsiaTheme="minorHAnsi" w:hAnsiTheme="minorHAnsi" w:cstheme="minorHAnsi"/>
          <w:b/>
          <w:bCs/>
          <w:sz w:val="24"/>
          <w:lang w:val="es-CL" w:eastAsia="en-US"/>
        </w:rPr>
        <w:t xml:space="preserve"> la violencia hacia mujeres y niñas con discapacidad.</w:t>
      </w:r>
    </w:p>
    <w:p w14:paraId="76B20A8D" w14:textId="77777777"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b/>
          <w:bCs/>
          <w:color w:val="auto"/>
        </w:rPr>
        <w:t xml:space="preserve">Pobreza y desigualdad </w:t>
      </w:r>
    </w:p>
    <w:p w14:paraId="274BBE08"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De acuerdo a los datos de la Encuesta CASEN 2017 respecto de la pobreza por ingresos, la pobreza extrema alcanza un 2.3% y la pobreza no extrema alcanza un 6,3%. De acuerdo a esta medición la pobreza en general alcanza un 8,6% del total de la población. Se excluye servicio doméstico puertas adentro y su núcleo familiar.</w:t>
      </w:r>
    </w:p>
    <w:p w14:paraId="1FC607A8"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Al analizar la pobreza por ingreso y por sexo las mujeres presentan un 9% de pobreza extrema y pobreza no extrema y los hombres un 8,2%. Respecto de la Incidencia de la pobreza en la población por zona urbana y rural, esta es mayor en zonas rurales. Vale resaltar que la región que presenta mayores niveles de pobreza extrema es la Araucanía con un 4,6% de su población en situación de pobreza extrema</w:t>
      </w:r>
    </w:p>
    <w:p w14:paraId="0B208E34"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 xml:space="preserve">La encuesta CASEN mide línea de pobreza a partir del Ingreso mínimo establecido por persona para satisfacer las necesidades básicas e incorpora la pobreza multidimensional, al medir otros indicadores: salud, educación, trabajo </w:t>
      </w:r>
      <w:r>
        <w:rPr>
          <w:rFonts w:asciiTheme="minorHAnsi" w:hAnsiTheme="minorHAnsi" w:cstheme="minorHAnsi"/>
          <w:sz w:val="24"/>
        </w:rPr>
        <w:t xml:space="preserve">y seguridad social, vivienda y </w:t>
      </w:r>
      <w:r w:rsidRPr="008825F1">
        <w:rPr>
          <w:rFonts w:asciiTheme="minorHAnsi" w:hAnsiTheme="minorHAnsi" w:cstheme="minorHAnsi"/>
          <w:sz w:val="24"/>
        </w:rPr>
        <w:t>entorno, redes y cohesión social. Respecto de estos indicadores la pobreza aumenta a un 20,7%, aumentando también las diferencias entre zonas. Así la incidencia en</w:t>
      </w:r>
      <w:r>
        <w:rPr>
          <w:rFonts w:asciiTheme="minorHAnsi" w:hAnsiTheme="minorHAnsi" w:cstheme="minorHAnsi"/>
          <w:sz w:val="24"/>
        </w:rPr>
        <w:t xml:space="preserve"> la zona rural es</w:t>
      </w:r>
      <w:r w:rsidRPr="008825F1">
        <w:rPr>
          <w:rFonts w:asciiTheme="minorHAnsi" w:hAnsiTheme="minorHAnsi" w:cstheme="minorHAnsi"/>
          <w:sz w:val="24"/>
        </w:rPr>
        <w:t xml:space="preserve"> de un  37,4% y la zona urbana de un 18, 3%. Lo mismo ocurre de acuerdo a la pertenencia a pueblos indígenas donde la pobreza multidimensional es de un 30,2%, cifra que se mantiene igual al 2015. </w:t>
      </w:r>
    </w:p>
    <w:p w14:paraId="7AFC1004"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Al analizar la incidencia de la pobreza multidimensional en la población por quintil de ingreso autónomo per cápita del hogar, se observan las mayores desigualdades. Mientras que en el quintil V de mayores ingresos la pobreza multidimensional es de un 4,2% en el de más bajos ingresos, quintil I, llega a 35.7%</w:t>
      </w:r>
    </w:p>
    <w:p w14:paraId="32FF7353"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 xml:space="preserve">Los niños y niñas de 0 a 3 años corresponden al grupo etario con mayor incidencia de pobreza y pobreza extrema (15,0% y 4,3% respectivamente), seguido por el grupo de </w:t>
      </w:r>
      <w:r w:rsidRPr="008825F1">
        <w:rPr>
          <w:rFonts w:asciiTheme="minorHAnsi" w:hAnsiTheme="minorHAnsi" w:cstheme="minorHAnsi"/>
          <w:sz w:val="24"/>
        </w:rPr>
        <w:lastRenderedPageBreak/>
        <w:t>niños, niñas y adolescentes de 4 a 17 años (13,6% y 3,7% respectivamente). Los adultos mayores, presentan los menores porcentajes (4,5% de pobreza total y 1,0% de pobreza extrema).</w:t>
      </w:r>
      <w:r w:rsidRPr="008825F1">
        <w:rPr>
          <w:rStyle w:val="Refdenotaalpie"/>
          <w:rFonts w:asciiTheme="minorHAnsi" w:hAnsiTheme="minorHAnsi" w:cstheme="minorHAnsi"/>
          <w:sz w:val="24"/>
        </w:rPr>
        <w:footnoteReference w:id="25"/>
      </w:r>
    </w:p>
    <w:p w14:paraId="0CF7F306"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En 2017, un 2,2% de los hogares estaban en situación de pobreza extrema por ingresos, lo que equivale a 128.081 hogares. En tanto, 311.801 hogares estaban en situación de pobreza no extrema, (5,4% del total de hogares), lo que equivale a una pobreza de 7,6% de los hogares del país.</w:t>
      </w:r>
    </w:p>
    <w:p w14:paraId="1F32E5AE"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Los hogares con jefatura femenina presentan mayores niveles de pobreza, 9,2%, frente a un 6,4% de hogares con jefatura masculina.</w:t>
      </w:r>
    </w:p>
    <w:p w14:paraId="7EA1F609"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Se reproduce a nivel de zonas, las diferencias entre rural y urbano de acuerdo a la medición de la incidencia de la pobreza multidimensional, así en zonas rurales aumenta a un 37,4% y en zonas urbanas 18,3%.</w:t>
      </w:r>
    </w:p>
    <w:p w14:paraId="2668AF75"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Al igual que como ocurre con la pobreza por ingresos, la región de La Araucanía presenta también la mayor incidencia de pobreza multidimensional en 2017 (28,5% de su población)</w:t>
      </w:r>
      <w:r w:rsidRPr="008825F1">
        <w:rPr>
          <w:rStyle w:val="Refdenotaalpie"/>
          <w:rFonts w:asciiTheme="minorHAnsi" w:hAnsiTheme="minorHAnsi" w:cstheme="minorHAnsi"/>
          <w:sz w:val="24"/>
        </w:rPr>
        <w:footnoteReference w:id="26"/>
      </w:r>
      <w:r>
        <w:rPr>
          <w:rFonts w:asciiTheme="minorHAnsi" w:hAnsiTheme="minorHAnsi" w:cstheme="minorHAnsi"/>
          <w:sz w:val="24"/>
        </w:rPr>
        <w:t>.</w:t>
      </w:r>
    </w:p>
    <w:p w14:paraId="191FDC78"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No se ha logrado bajar la brecha desde el 2015 respecto de la pobreza multidimensional que afecta a los pueblos indígenas, 30,2%, versus un 19,7% población no indígena.</w:t>
      </w:r>
    </w:p>
    <w:p w14:paraId="7659AD93" w14:textId="77777777" w:rsidR="00267E55" w:rsidRPr="008825F1"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bCs/>
          <w:color w:val="auto"/>
        </w:rPr>
        <w:t>Tampoco se ha logrado disminuir la desigualdad, la cual ha aumentado desde 2015. Según el índice de comparación 10/10 (10% de hogares más pobres comparados con el 10% de hogares más ricos) los últimos ganan 39,1 veces lo que gana el 10% de hogares más pobres (en 2015 la diferencia era de 33,9%), hecho que también muestra el coeficiente de GINI, que de un 0,493 en 2015 pasó un 0,501 en 2017.</w:t>
      </w:r>
    </w:p>
    <w:p w14:paraId="6964D344" w14:textId="77777777" w:rsidR="00267E55" w:rsidRPr="008825F1" w:rsidRDefault="00267E55" w:rsidP="00267E55">
      <w:pPr>
        <w:pStyle w:val="Default"/>
        <w:jc w:val="both"/>
        <w:rPr>
          <w:rFonts w:asciiTheme="minorHAnsi" w:hAnsiTheme="minorHAnsi" w:cstheme="minorHAnsi"/>
          <w:b/>
          <w:bCs/>
          <w:color w:val="auto"/>
        </w:rPr>
      </w:pPr>
      <w:r w:rsidRPr="008825F1">
        <w:rPr>
          <w:rFonts w:asciiTheme="minorHAnsi" w:hAnsiTheme="minorHAnsi" w:cstheme="minorHAnsi"/>
          <w:b/>
          <w:bCs/>
          <w:color w:val="auto"/>
        </w:rPr>
        <w:t>Se solicita al Comité consultar al Estado sobre:</w:t>
      </w:r>
    </w:p>
    <w:p w14:paraId="5C09C313" w14:textId="77777777" w:rsidR="00267E55" w:rsidRPr="008825F1" w:rsidRDefault="00267E55" w:rsidP="00267E55">
      <w:pPr>
        <w:pStyle w:val="Default"/>
        <w:numPr>
          <w:ilvl w:val="0"/>
          <w:numId w:val="3"/>
        </w:numPr>
        <w:jc w:val="both"/>
        <w:rPr>
          <w:rFonts w:asciiTheme="minorHAnsi" w:hAnsiTheme="minorHAnsi" w:cstheme="minorHAnsi"/>
          <w:b/>
          <w:bCs/>
          <w:color w:val="auto"/>
        </w:rPr>
      </w:pPr>
      <w:r>
        <w:rPr>
          <w:rFonts w:asciiTheme="minorHAnsi" w:hAnsiTheme="minorHAnsi" w:cstheme="minorHAnsi"/>
          <w:b/>
          <w:bCs/>
          <w:color w:val="auto"/>
        </w:rPr>
        <w:t>L</w:t>
      </w:r>
      <w:r w:rsidRPr="008825F1">
        <w:rPr>
          <w:rFonts w:asciiTheme="minorHAnsi" w:hAnsiTheme="minorHAnsi" w:cstheme="minorHAnsi"/>
          <w:b/>
          <w:bCs/>
          <w:color w:val="auto"/>
        </w:rPr>
        <w:t>as medidas implementadas para la disminución de la pobreza, particularmente la pobreza multidimensional, y el impacto que estas han tenido en distintos grupos de la población, particularmente mujeres, jóvenes y migrantes.</w:t>
      </w:r>
    </w:p>
    <w:p w14:paraId="7D8D94E7" w14:textId="77777777" w:rsidR="00267E55" w:rsidRPr="008825F1" w:rsidRDefault="00267E55" w:rsidP="00267E55">
      <w:pPr>
        <w:pStyle w:val="Default"/>
        <w:numPr>
          <w:ilvl w:val="0"/>
          <w:numId w:val="3"/>
        </w:numPr>
        <w:spacing w:after="120"/>
        <w:jc w:val="both"/>
        <w:rPr>
          <w:rFonts w:asciiTheme="minorHAnsi" w:hAnsiTheme="minorHAnsi" w:cstheme="minorHAnsi"/>
          <w:b/>
          <w:bCs/>
          <w:color w:val="auto"/>
        </w:rPr>
      </w:pPr>
      <w:r w:rsidRPr="008825F1">
        <w:rPr>
          <w:rFonts w:asciiTheme="minorHAnsi" w:hAnsiTheme="minorHAnsi" w:cstheme="minorHAnsi"/>
          <w:b/>
          <w:bCs/>
          <w:color w:val="auto"/>
        </w:rPr>
        <w:t xml:space="preserve">Las medidas implementadas para disminuir los altos índices de desigualdad entre hogares pobres y ricos en el país, y el impacto que ellas han tenido en distintos grupos particularmente </w:t>
      </w:r>
      <w:proofErr w:type="spellStart"/>
      <w:r w:rsidRPr="008825F1">
        <w:rPr>
          <w:rFonts w:asciiTheme="minorHAnsi" w:hAnsiTheme="minorHAnsi" w:cstheme="minorHAnsi"/>
          <w:b/>
          <w:bCs/>
          <w:color w:val="auto"/>
        </w:rPr>
        <w:t>vulnerabilizados</w:t>
      </w:r>
      <w:proofErr w:type="spellEnd"/>
      <w:r>
        <w:rPr>
          <w:rFonts w:asciiTheme="minorHAnsi" w:hAnsiTheme="minorHAnsi" w:cstheme="minorHAnsi"/>
          <w:b/>
          <w:bCs/>
          <w:color w:val="auto"/>
        </w:rPr>
        <w:t>.</w:t>
      </w:r>
    </w:p>
    <w:p w14:paraId="3B965C6D" w14:textId="77777777"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b/>
          <w:bCs/>
          <w:color w:val="auto"/>
        </w:rPr>
        <w:t xml:space="preserve">Derecho a la alimentación </w:t>
      </w:r>
    </w:p>
    <w:p w14:paraId="12649AD7" w14:textId="77777777"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color w:val="auto"/>
        </w:rPr>
        <w:t>Sigue siendo una preocupación el creciente índice de obesidad, especialmente en los niños y niñas del país, como lo indican las cifras de la JUNAEB, la tasa de obesidad infantil es de un 51.7%, siendo el promedio OCDE de 19.5%. Preocupa además que existan importantes diferencias en los índices de prevalencia de la obesidad entre diferentes niveles socioeconómicos, por ejemplo, la prevalencia de obesidad en quinto básico en Vitacura (NSE alto) es de un 9.2% en cambio en Cerro Navia (NSE bajo) esta cifra se eleva aún 30.4%.</w:t>
      </w:r>
    </w:p>
    <w:p w14:paraId="3894EA65" w14:textId="77777777"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color w:val="auto"/>
        </w:rPr>
        <w:lastRenderedPageBreak/>
        <w:t>Si bien existen políticas públicas relacionadas a este tema como el Programa Elige Vivir Sano, la Ley N° 20.060 de Etiquetados de Alimentos, no se han visto cambios significativos respecto a la disminución en los indicadores de sobrepeso y obesidad infantil.</w:t>
      </w:r>
    </w:p>
    <w:p w14:paraId="43F0F8B0" w14:textId="77777777" w:rsidR="00267E55" w:rsidRPr="008825F1" w:rsidRDefault="00267E55" w:rsidP="00267E55">
      <w:pPr>
        <w:pStyle w:val="Default"/>
        <w:jc w:val="both"/>
        <w:rPr>
          <w:rFonts w:asciiTheme="minorHAnsi" w:hAnsiTheme="minorHAnsi" w:cstheme="minorHAnsi"/>
          <w:b/>
          <w:color w:val="auto"/>
        </w:rPr>
      </w:pPr>
      <w:r w:rsidRPr="008825F1">
        <w:rPr>
          <w:rFonts w:asciiTheme="minorHAnsi" w:hAnsiTheme="minorHAnsi" w:cstheme="minorHAnsi"/>
          <w:b/>
          <w:color w:val="auto"/>
        </w:rPr>
        <w:t>Se le solicita al Comité consultar al Estado sobre:</w:t>
      </w:r>
    </w:p>
    <w:p w14:paraId="0E81432B" w14:textId="77777777" w:rsidR="00267E55" w:rsidRPr="008825F1" w:rsidRDefault="00267E55" w:rsidP="00267E55">
      <w:pPr>
        <w:pStyle w:val="Default"/>
        <w:numPr>
          <w:ilvl w:val="0"/>
          <w:numId w:val="3"/>
        </w:numPr>
        <w:jc w:val="both"/>
        <w:rPr>
          <w:rFonts w:asciiTheme="minorHAnsi" w:hAnsiTheme="minorHAnsi" w:cstheme="minorHAnsi"/>
          <w:b/>
          <w:color w:val="auto"/>
        </w:rPr>
      </w:pPr>
      <w:r w:rsidRPr="008825F1">
        <w:rPr>
          <w:rFonts w:asciiTheme="minorHAnsi" w:hAnsiTheme="minorHAnsi" w:cstheme="minorHAnsi"/>
          <w:b/>
          <w:color w:val="auto"/>
        </w:rPr>
        <w:t>Las políticas integrales implementadas en el país para abordar la promoción de una alimentación adecuada, donde se promuevan dietas más saludables</w:t>
      </w:r>
    </w:p>
    <w:p w14:paraId="0FFA8A30" w14:textId="77777777" w:rsidR="00267E55" w:rsidRPr="008825F1" w:rsidRDefault="00267E55" w:rsidP="00267E55">
      <w:pPr>
        <w:pStyle w:val="Default"/>
        <w:numPr>
          <w:ilvl w:val="0"/>
          <w:numId w:val="3"/>
        </w:numPr>
        <w:jc w:val="both"/>
        <w:rPr>
          <w:rFonts w:asciiTheme="minorHAnsi" w:hAnsiTheme="minorHAnsi" w:cstheme="minorHAnsi"/>
          <w:b/>
          <w:color w:val="auto"/>
        </w:rPr>
      </w:pPr>
      <w:r w:rsidRPr="008825F1">
        <w:rPr>
          <w:rFonts w:asciiTheme="minorHAnsi" w:hAnsiTheme="minorHAnsi" w:cstheme="minorHAnsi"/>
          <w:b/>
          <w:color w:val="auto"/>
        </w:rPr>
        <w:t>La existencia de políticas focalizadas de promoción de hábitos saludables</w:t>
      </w:r>
    </w:p>
    <w:p w14:paraId="763CB9F8" w14:textId="77777777" w:rsidR="00F565A3" w:rsidRDefault="00267E55" w:rsidP="00F565A3">
      <w:pPr>
        <w:pStyle w:val="Default"/>
        <w:numPr>
          <w:ilvl w:val="0"/>
          <w:numId w:val="3"/>
        </w:numPr>
        <w:spacing w:after="120"/>
        <w:jc w:val="both"/>
        <w:rPr>
          <w:rFonts w:asciiTheme="minorHAnsi" w:hAnsiTheme="minorHAnsi" w:cstheme="minorHAnsi"/>
          <w:b/>
          <w:color w:val="auto"/>
        </w:rPr>
      </w:pPr>
      <w:r w:rsidRPr="00F565A3">
        <w:rPr>
          <w:rFonts w:asciiTheme="minorHAnsi" w:hAnsiTheme="minorHAnsi" w:cstheme="minorHAnsi"/>
          <w:b/>
          <w:color w:val="auto"/>
        </w:rPr>
        <w:t>Cuál es el impacto que han tenido las políticas implementadas en este ámbito</w:t>
      </w:r>
    </w:p>
    <w:p w14:paraId="37AB1636" w14:textId="20A18ED8" w:rsidR="00267E55" w:rsidRPr="00F565A3" w:rsidRDefault="00267E55" w:rsidP="00F565A3">
      <w:pPr>
        <w:pStyle w:val="Default"/>
        <w:spacing w:after="120"/>
        <w:jc w:val="both"/>
        <w:rPr>
          <w:rFonts w:asciiTheme="minorHAnsi" w:hAnsiTheme="minorHAnsi" w:cstheme="minorHAnsi"/>
          <w:b/>
          <w:color w:val="auto"/>
        </w:rPr>
      </w:pPr>
      <w:r w:rsidRPr="00F565A3">
        <w:rPr>
          <w:rFonts w:asciiTheme="minorHAnsi" w:hAnsiTheme="minorHAnsi" w:cstheme="minorHAnsi"/>
          <w:b/>
          <w:bCs/>
          <w:color w:val="auto"/>
        </w:rPr>
        <w:t xml:space="preserve">Derecho a una vivienda adecuada </w:t>
      </w:r>
    </w:p>
    <w:p w14:paraId="397FD77B" w14:textId="77777777" w:rsidR="00267E55" w:rsidRPr="008825F1"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bCs/>
          <w:color w:val="auto"/>
        </w:rPr>
        <w:t xml:space="preserve">A pesar de los avances en las últimas décadas, persiste en Chile la falta de una estrategia </w:t>
      </w:r>
      <w:r w:rsidRPr="008825F1">
        <w:rPr>
          <w:rFonts w:asciiTheme="minorHAnsi" w:hAnsiTheme="minorHAnsi" w:cstheme="minorHAnsi"/>
          <w:color w:val="auto"/>
        </w:rPr>
        <w:t>integral para la vivienda social basada en derechos humanos (E/C.12/CHL/CO/4). En efecto, en primer lugar, l</w:t>
      </w:r>
      <w:r w:rsidRPr="008825F1">
        <w:rPr>
          <w:rFonts w:asciiTheme="minorHAnsi" w:hAnsiTheme="minorHAnsi" w:cstheme="minorHAnsi"/>
          <w:bCs/>
          <w:color w:val="auto"/>
        </w:rPr>
        <w:t xml:space="preserve">a Constitución de 1980 no reconoce el derecho a la vivienda como un derecho humano y no cuenta por lo mismo con una adecuada protección jurídica en el marco de los recursos constitucionales disponibles. </w:t>
      </w:r>
      <w:r w:rsidRPr="008825F1">
        <w:rPr>
          <w:rFonts w:asciiTheme="minorHAnsi" w:hAnsiTheme="minorHAnsi" w:cstheme="minorHAnsi"/>
          <w:color w:val="auto"/>
        </w:rPr>
        <w:t>Los</w:t>
      </w:r>
      <w:r w:rsidRPr="008825F1">
        <w:rPr>
          <w:rFonts w:asciiTheme="minorHAnsi" w:hAnsiTheme="minorHAnsi" w:cstheme="minorHAnsi"/>
          <w:bCs/>
          <w:color w:val="auto"/>
        </w:rPr>
        <w:t xml:space="preserve"> problemas en materia de realización del derecho a la vivienda son en general, el producto del rol central del mercado en su asignación y del estado subsidiario lo que determina altos grados de segmentación geográfica de la población de acuerdo al nivel socio-económico. A 2017 el déficit de vivienda era de </w:t>
      </w:r>
      <w:r w:rsidRPr="008825F1">
        <w:rPr>
          <w:rFonts w:asciiTheme="minorHAnsi" w:hAnsiTheme="minorHAnsi" w:cstheme="minorHAnsi"/>
          <w:color w:val="auto"/>
        </w:rPr>
        <w:t>390.000 viviendas a las que se suman más de 1,2 millones de viviendas que requieren mejoras y mantenimiento (un 88,2%), ampliación (un 20%) o acceso a servicios de saneamiento (un 19,9%)</w:t>
      </w:r>
      <w:r w:rsidRPr="008825F1">
        <w:rPr>
          <w:rFonts w:asciiTheme="minorHAnsi" w:hAnsiTheme="minorHAnsi" w:cstheme="minorHAnsi"/>
          <w:bCs/>
          <w:color w:val="auto"/>
        </w:rPr>
        <w:t>.</w:t>
      </w:r>
    </w:p>
    <w:p w14:paraId="787A568F" w14:textId="77777777" w:rsidR="00267E55" w:rsidRPr="008825F1" w:rsidRDefault="00267E55" w:rsidP="00267E55">
      <w:pPr>
        <w:pStyle w:val="Default"/>
        <w:spacing w:after="120"/>
        <w:jc w:val="both"/>
        <w:rPr>
          <w:rFonts w:asciiTheme="minorHAnsi" w:hAnsiTheme="minorHAnsi" w:cstheme="minorHAnsi"/>
          <w:color w:val="auto"/>
          <w:shd w:val="clear" w:color="auto" w:fill="FFFFFF"/>
        </w:rPr>
      </w:pPr>
      <w:r w:rsidRPr="008825F1">
        <w:rPr>
          <w:rFonts w:asciiTheme="minorHAnsi" w:hAnsiTheme="minorHAnsi" w:cstheme="minorHAnsi"/>
          <w:bCs/>
          <w:color w:val="auto"/>
        </w:rPr>
        <w:t xml:space="preserve">En particular, preocupa la situación de las personas sin hogar y de los asentamientos informales, los que han aumentado en el último período. De acuerdo al Registro Social Calle, en 2017 alrededor de 10.000 personas vivían en la calle, de ellos el 15% eran mujeres. </w:t>
      </w:r>
      <w:r w:rsidRPr="008825F1">
        <w:rPr>
          <w:rFonts w:asciiTheme="minorHAnsi" w:hAnsiTheme="minorHAnsi" w:cstheme="minorHAnsi"/>
          <w:color w:val="auto"/>
          <w:shd w:val="clear" w:color="auto" w:fill="FFFFFF"/>
        </w:rPr>
        <w:t>Dentro de los motivos que los entrevistados durante la elaboración del Registro indican como las principales causas de su situación de calle, se observa que el 62,8% llegó a la calle por problemas con su familia o pareja; el 15,0% por consumo problemático de alcohol y drogas; y por problemas económicos el 11,5%.</w:t>
      </w:r>
    </w:p>
    <w:p w14:paraId="085793BB" w14:textId="77777777"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bCs/>
          <w:color w:val="auto"/>
        </w:rPr>
        <w:t xml:space="preserve">Por otra parte, los campamentos (asentamientos informales) han aumentado de 660 en 2016 a 702 en 2017 y abarcan aproximadamente a un total de 17.000 familias en diferentes zonas del país, concentrándose en ellos personas de altos niveles de pobreza y migrantes. En algunas regiones se observa un incremento del 400% como en el caso de </w:t>
      </w:r>
      <w:r w:rsidRPr="008825F1">
        <w:rPr>
          <w:rFonts w:asciiTheme="minorHAnsi" w:hAnsiTheme="minorHAnsi" w:cstheme="minorHAnsi"/>
          <w:color w:val="auto"/>
        </w:rPr>
        <w:t xml:space="preserve">Antofagasta. </w:t>
      </w:r>
    </w:p>
    <w:p w14:paraId="22CB1014" w14:textId="77777777"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bCs/>
          <w:color w:val="auto"/>
        </w:rPr>
        <w:t>La alta concentración de familias migrantes en los campamentos tiene su origen en las restricciones que el Estado les impone para acceder a los subsidios en vivienda mientras no tengan residencia definitiva</w:t>
      </w:r>
      <w:r w:rsidRPr="008825F1">
        <w:rPr>
          <w:rFonts w:asciiTheme="minorHAnsi" w:hAnsiTheme="minorHAnsi" w:cstheme="minorHAnsi"/>
          <w:color w:val="auto"/>
        </w:rPr>
        <w:t xml:space="preserve">. Por su parte las familias no migrantes que allí viven si bien han solicitado viviendas sociales (subsidiadas), han terminado en dichos espacios producto de largas esperas, ubicaciones inadecuadas y falta de calidad de las viviendas que eventualmente se les asignan. </w:t>
      </w:r>
    </w:p>
    <w:p w14:paraId="63348A02" w14:textId="77777777" w:rsidR="00267E55" w:rsidRPr="008825F1"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color w:val="auto"/>
        </w:rPr>
        <w:t xml:space="preserve">A ello se suma el hacinamiento, la ausencia de servicios básicos y la ubicación en zonas de alto riesgo o de “sacrificio” y la imposibilidad de acceder a varias prestaciones sociales producto de no contar con una dirección oficial. Cuando los asentamientos corresponden </w:t>
      </w:r>
      <w:r w:rsidRPr="008825F1">
        <w:rPr>
          <w:rFonts w:asciiTheme="minorHAnsi" w:hAnsiTheme="minorHAnsi" w:cstheme="minorHAnsi"/>
          <w:color w:val="auto"/>
        </w:rPr>
        <w:lastRenderedPageBreak/>
        <w:t>a terrenos privados se han registrado desalojos forzados con uso excesivo de la fuerza por parte de la policía.</w:t>
      </w:r>
    </w:p>
    <w:p w14:paraId="719F5826" w14:textId="77777777" w:rsidR="00267E55" w:rsidRPr="008825F1" w:rsidRDefault="00267E55" w:rsidP="00267E55">
      <w:pPr>
        <w:pStyle w:val="Default"/>
        <w:jc w:val="both"/>
        <w:rPr>
          <w:rFonts w:asciiTheme="minorHAnsi" w:hAnsiTheme="minorHAnsi" w:cstheme="minorHAnsi"/>
          <w:b/>
          <w:color w:val="auto"/>
        </w:rPr>
      </w:pPr>
      <w:r w:rsidRPr="008825F1">
        <w:rPr>
          <w:rFonts w:asciiTheme="minorHAnsi" w:hAnsiTheme="minorHAnsi" w:cstheme="minorHAnsi"/>
          <w:b/>
          <w:color w:val="auto"/>
        </w:rPr>
        <w:t>Se solicita al Comité consultar al Estado:</w:t>
      </w:r>
    </w:p>
    <w:p w14:paraId="09059974" w14:textId="77777777" w:rsidR="00267E55" w:rsidRPr="008825F1" w:rsidRDefault="00267E55" w:rsidP="00267E55">
      <w:pPr>
        <w:pStyle w:val="Default"/>
        <w:numPr>
          <w:ilvl w:val="0"/>
          <w:numId w:val="3"/>
        </w:numPr>
        <w:jc w:val="both"/>
        <w:rPr>
          <w:b/>
          <w:bCs/>
          <w:color w:val="auto"/>
        </w:rPr>
      </w:pPr>
      <w:r w:rsidRPr="008825F1">
        <w:rPr>
          <w:rFonts w:asciiTheme="minorHAnsi" w:hAnsiTheme="minorHAnsi" w:cstheme="minorHAnsi"/>
          <w:b/>
          <w:color w:val="auto"/>
        </w:rPr>
        <w:t xml:space="preserve">Qué medidas legislativas ha adoptado o adoptará el Estado de Chile para reconocer explícitamente el derecho a la vivienda, la prohibición del desalojo forzado sin garantía de reemplazo de vivienda y mecanismos jurisdiccionales para su exigibilidad. </w:t>
      </w:r>
    </w:p>
    <w:p w14:paraId="36DC9D21" w14:textId="77777777" w:rsidR="00267E55" w:rsidRPr="00A56FED" w:rsidRDefault="00267E55" w:rsidP="00267E55">
      <w:pPr>
        <w:pStyle w:val="Default"/>
        <w:numPr>
          <w:ilvl w:val="0"/>
          <w:numId w:val="3"/>
        </w:numPr>
        <w:ind w:left="714" w:hanging="357"/>
        <w:jc w:val="both"/>
        <w:rPr>
          <w:b/>
          <w:bCs/>
          <w:color w:val="auto"/>
        </w:rPr>
      </w:pPr>
      <w:r w:rsidRPr="008825F1">
        <w:rPr>
          <w:rFonts w:asciiTheme="minorHAnsi" w:hAnsiTheme="minorHAnsi" w:cstheme="minorHAnsi"/>
          <w:b/>
          <w:color w:val="auto"/>
        </w:rPr>
        <w:t>Cuál es la estrategia para dotar a las personas y familias que residen en campamentos de acceso a la vivienda, especialmente a migrantes sin que deban esperar contar con la residencia definitiva.</w:t>
      </w:r>
    </w:p>
    <w:p w14:paraId="4884D859" w14:textId="77777777" w:rsidR="00267E55" w:rsidRPr="00A56FED" w:rsidRDefault="00267E55" w:rsidP="00267E55">
      <w:pPr>
        <w:pStyle w:val="Prrafodelista"/>
        <w:numPr>
          <w:ilvl w:val="0"/>
          <w:numId w:val="3"/>
        </w:numPr>
        <w:spacing w:after="120"/>
        <w:ind w:left="714" w:hanging="357"/>
        <w:rPr>
          <w:rFonts w:ascii="Times New Roman" w:eastAsiaTheme="minorHAnsi" w:hAnsi="Times New Roman"/>
          <w:b/>
          <w:bCs/>
          <w:sz w:val="24"/>
          <w:lang w:val="es-CL" w:eastAsia="en-US"/>
        </w:rPr>
      </w:pPr>
      <w:r w:rsidRPr="00A56FED">
        <w:rPr>
          <w:rFonts w:ascii="Times New Roman" w:eastAsiaTheme="minorHAnsi" w:hAnsi="Times New Roman"/>
          <w:b/>
          <w:bCs/>
          <w:sz w:val="24"/>
          <w:lang w:val="es-CL" w:eastAsia="en-US"/>
        </w:rPr>
        <w:t>Qué medidas implementar</w:t>
      </w:r>
      <w:r>
        <w:rPr>
          <w:rFonts w:ascii="Times New Roman" w:eastAsiaTheme="minorHAnsi" w:hAnsi="Times New Roman"/>
          <w:b/>
          <w:bCs/>
          <w:sz w:val="24"/>
          <w:lang w:val="es-CL" w:eastAsia="en-US"/>
        </w:rPr>
        <w:t>á</w:t>
      </w:r>
      <w:r w:rsidRPr="00A56FED">
        <w:rPr>
          <w:rFonts w:ascii="Times New Roman" w:eastAsiaTheme="minorHAnsi" w:hAnsi="Times New Roman"/>
          <w:b/>
          <w:bCs/>
          <w:sz w:val="24"/>
          <w:lang w:val="es-CL" w:eastAsia="en-US"/>
        </w:rPr>
        <w:t xml:space="preserve"> para </w:t>
      </w:r>
      <w:r>
        <w:rPr>
          <w:rFonts w:ascii="Times New Roman" w:eastAsiaTheme="minorHAnsi" w:hAnsi="Times New Roman"/>
          <w:b/>
          <w:bCs/>
          <w:sz w:val="24"/>
          <w:lang w:val="es-CL" w:eastAsia="en-US"/>
        </w:rPr>
        <w:t xml:space="preserve">garantizar </w:t>
      </w:r>
      <w:r w:rsidRPr="00A56FED">
        <w:rPr>
          <w:rFonts w:ascii="Times New Roman" w:eastAsiaTheme="minorHAnsi" w:hAnsi="Times New Roman"/>
          <w:b/>
          <w:bCs/>
          <w:sz w:val="24"/>
          <w:lang w:val="es-CL" w:eastAsia="en-US"/>
        </w:rPr>
        <w:t>viviendas sociales inclusivas, es decir, accesibles y asequibles para personas con discapacidad.</w:t>
      </w:r>
    </w:p>
    <w:p w14:paraId="2B6CB49C" w14:textId="77777777"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b/>
          <w:bCs/>
          <w:color w:val="auto"/>
        </w:rPr>
        <w:t xml:space="preserve">Derecho al agua potable y al saneamiento </w:t>
      </w:r>
    </w:p>
    <w:p w14:paraId="04599C31" w14:textId="77777777" w:rsidR="00267E55" w:rsidRPr="008825F1" w:rsidRDefault="00267E55" w:rsidP="00267E55">
      <w:pPr>
        <w:pStyle w:val="Default"/>
        <w:spacing w:after="120"/>
        <w:jc w:val="both"/>
        <w:rPr>
          <w:rFonts w:asciiTheme="minorHAnsi" w:hAnsiTheme="minorHAnsi" w:cstheme="minorHAnsi"/>
          <w:color w:val="auto"/>
          <w:shd w:val="clear" w:color="auto" w:fill="FFFFFF"/>
        </w:rPr>
      </w:pPr>
      <w:r w:rsidRPr="008825F1">
        <w:rPr>
          <w:rFonts w:asciiTheme="minorHAnsi" w:hAnsiTheme="minorHAnsi" w:cstheme="minorHAnsi"/>
          <w:bCs/>
          <w:color w:val="auto"/>
        </w:rPr>
        <w:t>Chile es un país abundante en recursos hídricos.</w:t>
      </w:r>
      <w:r w:rsidRPr="008825F1">
        <w:rPr>
          <w:rFonts w:asciiTheme="minorHAnsi" w:hAnsiTheme="minorHAnsi" w:cstheme="minorHAnsi"/>
          <w:b/>
          <w:bCs/>
          <w:color w:val="auto"/>
        </w:rPr>
        <w:t xml:space="preserve"> </w:t>
      </w:r>
      <w:r w:rsidRPr="008825F1">
        <w:rPr>
          <w:rFonts w:asciiTheme="minorHAnsi" w:hAnsiTheme="minorHAnsi" w:cstheme="minorHAnsi"/>
          <w:color w:val="auto"/>
          <w:shd w:val="clear" w:color="auto" w:fill="FFFFFF"/>
        </w:rPr>
        <w:t xml:space="preserve">Sin embargo, este patrimonio está irregularmente distribuido en el territorio nacional, a causa de las diversas condiciones físicas y climáticas. </w:t>
      </w:r>
    </w:p>
    <w:p w14:paraId="7CC9BD44" w14:textId="77777777" w:rsidR="00267E55" w:rsidRPr="008825F1" w:rsidRDefault="00267E55" w:rsidP="00267E55">
      <w:pPr>
        <w:pStyle w:val="Default"/>
        <w:spacing w:after="120"/>
        <w:jc w:val="both"/>
        <w:rPr>
          <w:rFonts w:asciiTheme="minorHAnsi" w:hAnsiTheme="minorHAnsi" w:cstheme="minorHAnsi"/>
          <w:color w:val="auto"/>
          <w:shd w:val="clear" w:color="auto" w:fill="FFFFFF"/>
        </w:rPr>
      </w:pPr>
      <w:r w:rsidRPr="008825F1">
        <w:rPr>
          <w:rFonts w:asciiTheme="minorHAnsi" w:hAnsiTheme="minorHAnsi" w:cstheme="minorHAnsi"/>
          <w:color w:val="auto"/>
          <w:shd w:val="clear" w:color="auto" w:fill="FFFFFF"/>
        </w:rPr>
        <w:t xml:space="preserve">El régimen jurídico de este recurso si bien no niega su carácter de bien de uso público, entrega su gestión en la práctica a criterios de asignación y transacciones de mercado en los que el Estado solo cumple un rol de administración y asignación </w:t>
      </w:r>
      <w:r w:rsidRPr="008825F1">
        <w:rPr>
          <w:rFonts w:asciiTheme="minorHAnsi" w:hAnsiTheme="minorHAnsi" w:cstheme="minorHAnsi"/>
          <w:color w:val="auto"/>
          <w:lang w:val="es-ES"/>
        </w:rPr>
        <w:t>de los derechos de aprovechamiento de aguas.</w:t>
      </w:r>
      <w:r w:rsidRPr="008825F1">
        <w:rPr>
          <w:rFonts w:asciiTheme="minorHAnsi" w:hAnsiTheme="minorHAnsi" w:cstheme="minorHAnsi"/>
          <w:color w:val="auto"/>
          <w:shd w:val="clear" w:color="auto" w:fill="FFFFFF"/>
        </w:rPr>
        <w:t xml:space="preserve"> </w:t>
      </w:r>
    </w:p>
    <w:p w14:paraId="626EE61E" w14:textId="77777777" w:rsidR="00267E55" w:rsidRPr="008825F1"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color w:val="auto"/>
          <w:shd w:val="clear" w:color="auto" w:fill="FFFFFF"/>
        </w:rPr>
        <w:t>Como consecuencia de la competencia entre los diferentes usos y derechos de propiedad de las aguas se ha favorecido la concentración de la propiedad de éstas en el sector eléctrico, minero y exportador, en perjuicio del acceso al recurso para la mayoría de la población y en particular para los sectores más marginados.</w:t>
      </w:r>
      <w:r w:rsidRPr="008825F1">
        <w:rPr>
          <w:rFonts w:asciiTheme="minorHAnsi" w:hAnsiTheme="minorHAnsi" w:cstheme="minorHAnsi"/>
          <w:b/>
          <w:bCs/>
          <w:color w:val="auto"/>
        </w:rPr>
        <w:t xml:space="preserve"> </w:t>
      </w:r>
      <w:r w:rsidRPr="008825F1">
        <w:rPr>
          <w:rFonts w:asciiTheme="minorHAnsi" w:hAnsiTheme="minorHAnsi" w:cstheme="minorHAnsi"/>
          <w:bCs/>
          <w:color w:val="auto"/>
        </w:rPr>
        <w:t xml:space="preserve">Así, el derecho al agua potable no está reconocido explícitamente en la Constitución y su regulación legal </w:t>
      </w:r>
      <w:r w:rsidRPr="008825F1">
        <w:rPr>
          <w:rFonts w:asciiTheme="minorHAnsi" w:hAnsiTheme="minorHAnsi" w:cstheme="minorHAnsi"/>
          <w:bCs/>
          <w:color w:val="auto"/>
          <w:lang w:val="es-ES"/>
        </w:rPr>
        <w:t>deriva en la</w:t>
      </w:r>
      <w:r w:rsidRPr="008825F1">
        <w:rPr>
          <w:rFonts w:asciiTheme="minorHAnsi" w:hAnsiTheme="minorHAnsi" w:cstheme="minorHAnsi"/>
          <w:b/>
          <w:bCs/>
          <w:color w:val="auto"/>
          <w:lang w:val="es-ES"/>
        </w:rPr>
        <w:t xml:space="preserve"> </w:t>
      </w:r>
      <w:r w:rsidRPr="008825F1">
        <w:rPr>
          <w:rFonts w:asciiTheme="minorHAnsi" w:hAnsiTheme="minorHAnsi" w:cstheme="minorHAnsi"/>
          <w:bCs/>
          <w:color w:val="auto"/>
          <w:lang w:val="es-ES"/>
        </w:rPr>
        <w:t xml:space="preserve">falta de obligatoriedad del uso a que se destina el agua aprovechada, permitiendo a sus titulares utilizar libremente el agua a que tienen derecho y/o transferirlo a otro por medio de una transacción privada. </w:t>
      </w:r>
      <w:r w:rsidRPr="008825F1">
        <w:rPr>
          <w:rFonts w:asciiTheme="minorHAnsi" w:hAnsiTheme="minorHAnsi" w:cstheme="minorHAnsi"/>
          <w:bCs/>
          <w:color w:val="auto"/>
        </w:rPr>
        <w:t xml:space="preserve"> </w:t>
      </w:r>
    </w:p>
    <w:p w14:paraId="537EF606" w14:textId="77777777" w:rsidR="00267E55" w:rsidRPr="008825F1" w:rsidRDefault="00267E55" w:rsidP="00267E55">
      <w:pPr>
        <w:pStyle w:val="Default"/>
        <w:spacing w:after="120"/>
        <w:jc w:val="both"/>
        <w:rPr>
          <w:rFonts w:ascii="Calibri" w:hAnsi="Calibri" w:cs="Calibri"/>
          <w:color w:val="auto"/>
          <w:lang w:val="es-ES"/>
        </w:rPr>
      </w:pPr>
      <w:r w:rsidRPr="008825F1">
        <w:rPr>
          <w:rFonts w:asciiTheme="minorHAnsi" w:hAnsiTheme="minorHAnsi" w:cstheme="minorHAnsi"/>
          <w:bCs/>
          <w:color w:val="auto"/>
          <w:lang w:val="es-ES"/>
        </w:rPr>
        <w:t xml:space="preserve">Los principales afectados por este modelo jurídico y de gestión de las aguas son las comunidades que habitan en zonas en las que se desarrollan proyectos productivos, sean </w:t>
      </w:r>
      <w:proofErr w:type="spellStart"/>
      <w:r w:rsidRPr="008825F1">
        <w:rPr>
          <w:rFonts w:asciiTheme="minorHAnsi" w:hAnsiTheme="minorHAnsi" w:cstheme="minorHAnsi"/>
          <w:bCs/>
          <w:color w:val="auto"/>
          <w:lang w:val="es-ES"/>
        </w:rPr>
        <w:t>silvoagropecuarios</w:t>
      </w:r>
      <w:proofErr w:type="spellEnd"/>
      <w:r w:rsidRPr="008825F1">
        <w:rPr>
          <w:rFonts w:asciiTheme="minorHAnsi" w:hAnsiTheme="minorHAnsi" w:cstheme="minorHAnsi"/>
          <w:bCs/>
          <w:color w:val="auto"/>
          <w:lang w:val="es-ES"/>
        </w:rPr>
        <w:t xml:space="preserve">, industriales o mineros, </w:t>
      </w:r>
      <w:r w:rsidRPr="008825F1">
        <w:rPr>
          <w:rFonts w:ascii="Calibri" w:hAnsi="Calibri" w:cs="Calibri"/>
          <w:color w:val="auto"/>
          <w:lang w:val="es-ES"/>
        </w:rPr>
        <w:t>quienes se han visto enfrentados a la escasez del recurso tanto por condiciones derivadas de su localización como producto del manejo en manos privadas de dichos procesos productivos.</w:t>
      </w:r>
    </w:p>
    <w:p w14:paraId="48B117F3" w14:textId="77777777"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color w:val="auto"/>
          <w:lang w:val="es-ES"/>
        </w:rPr>
        <w:t>Durante el año 2017 ingresó al Congreso el proyecto que reforma el Código de Aguas (</w:t>
      </w:r>
      <w:r w:rsidRPr="008825F1">
        <w:rPr>
          <w:rFonts w:asciiTheme="minorHAnsi" w:hAnsiTheme="minorHAnsi" w:cstheme="minorHAnsi"/>
          <w:color w:val="auto"/>
        </w:rPr>
        <w:t xml:space="preserve">Boletín N° 7543-12) que buscaba mejorar la gestión y sustentabilidad del agua, su reconocimiento como derecho y robustecer la institucionalidad pública y sus atribuciones en la materia. No obstante, la nueva administración incorporó una indicación sustitutiva del proyecto (2019) que retrocede respecto del anterior en la medida que no se garantizan lo mínimos esenciales de acceso al agua potable y saneamiento: no modifica la gestión y disponibilidad del recurso; si bien protege a quienes no sean titulares de derechos de agua garantizando su accesibilidad no garantiza la conexión a la red de agua </w:t>
      </w:r>
      <w:r w:rsidRPr="008825F1">
        <w:rPr>
          <w:rFonts w:asciiTheme="minorHAnsi" w:hAnsiTheme="minorHAnsi" w:cstheme="minorHAnsi"/>
          <w:color w:val="auto"/>
        </w:rPr>
        <w:lastRenderedPageBreak/>
        <w:t xml:space="preserve">potable; no incorpora mecanismos de reclamo frente a su carencia o limitación de su ejercicio; y no establece prioridades para su uso. </w:t>
      </w:r>
    </w:p>
    <w:p w14:paraId="4CF0A1F7" w14:textId="77777777" w:rsidR="00267E55" w:rsidRPr="008825F1" w:rsidRDefault="00267E55" w:rsidP="00267E55">
      <w:pPr>
        <w:pStyle w:val="Default"/>
        <w:spacing w:after="120"/>
        <w:jc w:val="both"/>
        <w:rPr>
          <w:rFonts w:asciiTheme="minorHAnsi" w:hAnsiTheme="minorHAnsi" w:cstheme="minorHAnsi"/>
          <w:bCs/>
          <w:color w:val="auto"/>
          <w:lang w:val="es-ES"/>
        </w:rPr>
      </w:pPr>
      <w:r w:rsidRPr="008825F1">
        <w:rPr>
          <w:rFonts w:asciiTheme="minorHAnsi" w:hAnsiTheme="minorHAnsi" w:cstheme="minorHAnsi"/>
          <w:bCs/>
          <w:color w:val="auto"/>
        </w:rPr>
        <w:t xml:space="preserve">En particular preocupa la situación de los pueblos indígenas puesto que la actual reforma </w:t>
      </w:r>
      <w:r w:rsidRPr="008825F1">
        <w:rPr>
          <w:rFonts w:asciiTheme="minorHAnsi" w:hAnsiTheme="minorHAnsi" w:cstheme="minorHAnsi"/>
          <w:bCs/>
          <w:color w:val="auto"/>
          <w:lang w:val="es-MX"/>
        </w:rPr>
        <w:t xml:space="preserve">no consagra un reconocimiento expreso y un tratamiento especial a la propiedad de los pueblos indígenas sobre sus tierras, territorios y recursos naturales de acuerdo al derecho internacional de los derechos humanos. Ello si bien está considerado en la Ley Indígena de principios de los </w:t>
      </w:r>
      <w:r>
        <w:rPr>
          <w:rFonts w:asciiTheme="minorHAnsi" w:hAnsiTheme="minorHAnsi" w:cstheme="minorHAnsi"/>
          <w:bCs/>
          <w:color w:val="auto"/>
          <w:lang w:val="es-MX"/>
        </w:rPr>
        <w:t>‘</w:t>
      </w:r>
      <w:r w:rsidRPr="008825F1">
        <w:rPr>
          <w:rFonts w:asciiTheme="minorHAnsi" w:hAnsiTheme="minorHAnsi" w:cstheme="minorHAnsi"/>
          <w:bCs/>
          <w:color w:val="auto"/>
          <w:lang w:val="es-MX"/>
        </w:rPr>
        <w:t>90</w:t>
      </w:r>
      <w:r>
        <w:rPr>
          <w:rFonts w:asciiTheme="minorHAnsi" w:hAnsiTheme="minorHAnsi" w:cstheme="minorHAnsi"/>
          <w:bCs/>
          <w:color w:val="auto"/>
          <w:lang w:val="es-MX"/>
        </w:rPr>
        <w:t>,</w:t>
      </w:r>
      <w:r w:rsidRPr="008825F1">
        <w:rPr>
          <w:rFonts w:asciiTheme="minorHAnsi" w:hAnsiTheme="minorHAnsi" w:cstheme="minorHAnsi"/>
          <w:bCs/>
          <w:color w:val="auto"/>
          <w:lang w:val="es-MX"/>
        </w:rPr>
        <w:t xml:space="preserve"> requería de una mayor profundización en el proyecto actual. Sin embargo, la indicación sustitutiva no tiene una consideración especial a dichos pueblos y más bien quedan exp</w:t>
      </w:r>
      <w:r>
        <w:rPr>
          <w:rFonts w:asciiTheme="minorHAnsi" w:hAnsiTheme="minorHAnsi" w:cstheme="minorHAnsi"/>
          <w:bCs/>
          <w:color w:val="auto"/>
          <w:lang w:val="es-MX"/>
        </w:rPr>
        <w:t xml:space="preserve">uestos al régimen estándar de </w:t>
      </w:r>
      <w:r w:rsidRPr="008825F1">
        <w:rPr>
          <w:rFonts w:asciiTheme="minorHAnsi" w:hAnsiTheme="minorHAnsi" w:cstheme="minorHAnsi"/>
          <w:bCs/>
          <w:color w:val="auto"/>
          <w:lang w:val="es-MX"/>
        </w:rPr>
        <w:t>regularización y a la posibilidad de caducidad o cobro por no uso, sin considerar el valor que dichos pueblos atribuyen al mismo. Por otra parte, la actual reforma (2019) elimina toda referencia a la protección del medioambiente y a una gestión del recurso sostenible en el tiempo, a excepción de las zonas declaradas de restricción y prohibición, al no otorgar mayores facultades para intervenir en casos de afectación ambiental.</w:t>
      </w:r>
      <w:r w:rsidRPr="008825F1">
        <w:rPr>
          <w:rFonts w:ascii="Garamond" w:eastAsia="Calibri" w:hAnsi="Garamond" w:cs="Calibri"/>
          <w:color w:val="auto"/>
          <w:lang w:eastAsia="ar-SA"/>
        </w:rPr>
        <w:t xml:space="preserve"> </w:t>
      </w:r>
      <w:r w:rsidRPr="008825F1">
        <w:rPr>
          <w:rFonts w:asciiTheme="minorHAnsi" w:eastAsia="Calibri" w:hAnsiTheme="minorHAnsi" w:cstheme="minorHAnsi"/>
          <w:color w:val="auto"/>
          <w:lang w:eastAsia="ar-SA"/>
        </w:rPr>
        <w:t>Es más</w:t>
      </w:r>
      <w:r w:rsidRPr="008825F1">
        <w:rPr>
          <w:rFonts w:asciiTheme="minorHAnsi" w:hAnsiTheme="minorHAnsi" w:cstheme="minorHAnsi"/>
          <w:bCs/>
          <w:color w:val="auto"/>
          <w:lang w:val="es-ES"/>
        </w:rPr>
        <w:t xml:space="preserve">, el actual proyecto elimina la prohibición de constituir derechos de aprovechamiento en zonas de protección de la biodiversidad. </w:t>
      </w:r>
    </w:p>
    <w:p w14:paraId="46824EA8" w14:textId="77777777" w:rsidR="00267E55" w:rsidRPr="008825F1" w:rsidRDefault="00267E55" w:rsidP="00267E55">
      <w:pPr>
        <w:pStyle w:val="Default"/>
        <w:jc w:val="both"/>
        <w:rPr>
          <w:rFonts w:asciiTheme="minorHAnsi" w:hAnsiTheme="minorHAnsi" w:cstheme="minorHAnsi"/>
          <w:b/>
          <w:bCs/>
          <w:color w:val="auto"/>
          <w:lang w:val="es-ES"/>
        </w:rPr>
      </w:pPr>
      <w:r w:rsidRPr="008825F1">
        <w:rPr>
          <w:rFonts w:asciiTheme="minorHAnsi" w:hAnsiTheme="minorHAnsi" w:cstheme="minorHAnsi"/>
          <w:b/>
          <w:bCs/>
          <w:color w:val="auto"/>
          <w:lang w:val="es-ES"/>
        </w:rPr>
        <w:t>Se le solicita al Comité consultar al Estado:</w:t>
      </w:r>
    </w:p>
    <w:p w14:paraId="10105947" w14:textId="77777777" w:rsidR="00267E55" w:rsidRPr="008825F1" w:rsidRDefault="00267E55" w:rsidP="00267E55">
      <w:pPr>
        <w:pStyle w:val="Default"/>
        <w:numPr>
          <w:ilvl w:val="0"/>
          <w:numId w:val="3"/>
        </w:numPr>
        <w:jc w:val="both"/>
        <w:rPr>
          <w:rFonts w:asciiTheme="minorHAnsi" w:hAnsiTheme="minorHAnsi" w:cstheme="minorHAnsi"/>
          <w:b/>
          <w:bCs/>
          <w:color w:val="auto"/>
        </w:rPr>
      </w:pPr>
      <w:r w:rsidRPr="008825F1">
        <w:rPr>
          <w:rFonts w:asciiTheme="minorHAnsi" w:hAnsiTheme="minorHAnsi" w:cstheme="minorHAnsi"/>
          <w:b/>
          <w:bCs/>
          <w:color w:val="auto"/>
          <w:lang w:val="es-ES"/>
        </w:rPr>
        <w:t>Cómo asegura el Estado de Chile los mínimos esenciales del derecho al agua, en particular en aquellas zonas que se han visto más afectadas en razón de su geografía o del uso del recurso hídrico por los proyectos productivos como la minería.</w:t>
      </w:r>
    </w:p>
    <w:p w14:paraId="5E3DAEE4" w14:textId="77777777" w:rsidR="00267E55" w:rsidRPr="008825F1" w:rsidRDefault="00267E55" w:rsidP="00267E55">
      <w:pPr>
        <w:pStyle w:val="Default"/>
        <w:numPr>
          <w:ilvl w:val="0"/>
          <w:numId w:val="3"/>
        </w:numPr>
        <w:jc w:val="both"/>
        <w:rPr>
          <w:rFonts w:asciiTheme="minorHAnsi" w:hAnsiTheme="minorHAnsi" w:cstheme="minorHAnsi"/>
          <w:b/>
          <w:bCs/>
          <w:color w:val="auto"/>
        </w:rPr>
      </w:pPr>
      <w:r w:rsidRPr="008825F1">
        <w:rPr>
          <w:rFonts w:asciiTheme="minorHAnsi" w:hAnsiTheme="minorHAnsi" w:cstheme="minorHAnsi"/>
          <w:b/>
          <w:bCs/>
          <w:color w:val="auto"/>
        </w:rPr>
        <w:t>Cómo garantiza que los sectores más marginados tengan garantizado el acceso a la red de agua potable.</w:t>
      </w:r>
    </w:p>
    <w:p w14:paraId="7F6B4035" w14:textId="77777777" w:rsidR="00267E55" w:rsidRPr="008825F1" w:rsidRDefault="00267E55" w:rsidP="00267E55">
      <w:pPr>
        <w:pStyle w:val="Default"/>
        <w:numPr>
          <w:ilvl w:val="0"/>
          <w:numId w:val="3"/>
        </w:numPr>
        <w:spacing w:after="120"/>
        <w:jc w:val="both"/>
        <w:rPr>
          <w:rFonts w:asciiTheme="minorHAnsi" w:hAnsiTheme="minorHAnsi" w:cstheme="minorHAnsi"/>
          <w:b/>
          <w:bCs/>
          <w:color w:val="auto"/>
        </w:rPr>
      </w:pPr>
      <w:r w:rsidRPr="008825F1">
        <w:rPr>
          <w:rFonts w:asciiTheme="minorHAnsi" w:hAnsiTheme="minorHAnsi" w:cstheme="minorHAnsi"/>
          <w:b/>
          <w:bCs/>
          <w:color w:val="auto"/>
        </w:rPr>
        <w:t xml:space="preserve">Cuáles son los mecanismos de reclamos existentes frente a la imposibilidad o limitación de acceso al agua potable y de saneamiento.   </w:t>
      </w:r>
    </w:p>
    <w:p w14:paraId="508B3A39" w14:textId="77777777"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b/>
          <w:bCs/>
          <w:color w:val="auto"/>
        </w:rPr>
        <w:t xml:space="preserve">Sistema de salud </w:t>
      </w:r>
    </w:p>
    <w:p w14:paraId="0845780C"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La Constitución Política de la República de Chile asegura a todas las personas “[e]</w:t>
      </w:r>
      <w:r w:rsidRPr="008825F1">
        <w:rPr>
          <w:rFonts w:asciiTheme="minorHAnsi" w:hAnsiTheme="minorHAnsi" w:cstheme="minorHAnsi"/>
          <w:i/>
          <w:sz w:val="24"/>
        </w:rPr>
        <w:t>l derecho a la protección de la salud. El Estado protege el libre e igualitario acceso a las acciones de promoción, protección y recuperación de la salud y de rehabilitación del individuo. Le corresponderá asimismo, la coordinación y control de las acciones relacionadas con la salud. Es deber preferente del Estado garantizar la ejecución de las acciones de salud, sea que se presten a través de instituciones públicas o privadas, en la forma y condiciones que determine la ley, la que podrá establecer cotizaciones obligatorias. Cada persona tendrá el derecho a elegir el sistema de salud al que desee acogerse, sea éste estatal o privado</w:t>
      </w:r>
      <w:r w:rsidRPr="008825F1">
        <w:rPr>
          <w:rFonts w:asciiTheme="minorHAnsi" w:hAnsiTheme="minorHAnsi" w:cstheme="minorHAnsi"/>
          <w:sz w:val="24"/>
        </w:rPr>
        <w:t>” (CPR, Art. 19 Nº 9).</w:t>
      </w:r>
    </w:p>
    <w:p w14:paraId="6C1B27F1"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 xml:space="preserve">Sin embargo, ello establece una norma programática orientadora de la acción estatal en lugar de reconocer un derecho subjetivo propiamente tal. Además, la protección de la salud –como en general los derechos económicos, sociales y culturales –se encuentra excluida de la tutela judicial que brinda la acción constitucional. Ello hace que los tribunales de justicia fundamenten sus resoluciones cuando este derecho es judicializado en el marco del derecho a la vida. En efecto, el recurso de protección únicamente se permite respecto del derecho a elegir entre un sistema estatal o privado, pero no frente a </w:t>
      </w:r>
      <w:r w:rsidRPr="008825F1">
        <w:rPr>
          <w:rFonts w:asciiTheme="minorHAnsi" w:hAnsiTheme="minorHAnsi" w:cstheme="minorHAnsi"/>
          <w:sz w:val="24"/>
        </w:rPr>
        <w:lastRenderedPageBreak/>
        <w:t xml:space="preserve">privaciones, perturbaciones o amenazas al resto de los componentes de la garantía constitucional (CPR, Art. 20). </w:t>
      </w:r>
    </w:p>
    <w:p w14:paraId="68D8429B" w14:textId="77777777" w:rsidR="00267E55"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El gasto público en salud en 2018 alcanzó el 5,2% del PIB, una caída de 0,18 puntos respecto a 2017, cuando el gasto fue el 5,38% del PIB</w:t>
      </w:r>
      <w:r w:rsidRPr="008825F1">
        <w:rPr>
          <w:rFonts w:asciiTheme="minorHAnsi" w:hAnsiTheme="minorHAnsi" w:cstheme="minorHAnsi"/>
          <w:sz w:val="24"/>
          <w:shd w:val="clear" w:color="auto" w:fill="FFF1E0"/>
        </w:rPr>
        <w:t xml:space="preserve">. </w:t>
      </w:r>
      <w:r w:rsidRPr="008825F1">
        <w:rPr>
          <w:rFonts w:asciiTheme="minorHAnsi" w:hAnsiTheme="minorHAnsi" w:cstheme="minorHAnsi"/>
          <w:sz w:val="24"/>
        </w:rPr>
        <w:t>La cobertura de atención médica en Chile es entregada principalmente o por el Fondo Nacional de Salud (FONASA), o por los esquemas de cobertura privada, las Instituciones de Salud Previsional (ISAPRE). De acuerdo a la Encuesta CASEN 2017, FONASA cubre al 78% de la población, las ISAPRES al 14.4%% de la población mientras que otro 2.8% es cubierto bajo un esquema de seguro de las Fuerzas Armadas y de Orden. La misma encuesta da cuenta de que en el 10% más pobre, un 92% está afiliado a FONASA y el 2% a ISAPRE, mientras que en el 10% más rico un 25,4% está en FONASA y un 68,2% en ISAPRE.</w:t>
      </w:r>
    </w:p>
    <w:p w14:paraId="4B803077" w14:textId="77777777" w:rsidR="00267E55" w:rsidRPr="005458B5" w:rsidRDefault="00267E55" w:rsidP="00267E55">
      <w:pPr>
        <w:spacing w:after="120" w:line="240" w:lineRule="auto"/>
        <w:rPr>
          <w:rFonts w:asciiTheme="minorHAnsi" w:hAnsiTheme="minorHAnsi" w:cstheme="minorHAnsi"/>
          <w:sz w:val="24"/>
        </w:rPr>
      </w:pPr>
      <w:r w:rsidRPr="005458B5">
        <w:rPr>
          <w:rFonts w:asciiTheme="minorHAnsi" w:hAnsiTheme="minorHAnsi" w:cstheme="minorHAnsi"/>
          <w:sz w:val="24"/>
        </w:rPr>
        <w:t>Esta estructura del sistema de salud ha construido un sistema que segrega a la población según su capacidad de pago y riesgo de enfermar. El acceso a la salud no responde a los principios del derecho a la salud o la seguridad social, sino a la lógica de los bienes de consumo, afectando la integralidad de la atención, el acceso en condiciones de igualdad y no discriminación y el fomento de la salud preventiva. En el sistema privado de ISAPRES, la ausencia de solidaridad y la tarificación del aseguramiento según riesgo de enfermar expulsa beneficiarios de mayor riesgo, al tiempo que les impone alzas injustificadas y unilaterales de precio, utilizando la pre-existencia de enfermedades como mecanismo de cautividad. En el sistema público de FONASA, en tanto, la disparidad entre la capacidad pública instalada y la satisfacción del derecho a la salud se acrecienta, toda vez que mediante el sistema de subsidios a la demanda se transfieren al sector privado los recursos que el sector público necesita para responder a la demanda sanitaria del 78% de la población.</w:t>
      </w:r>
    </w:p>
    <w:p w14:paraId="0FD01E40" w14:textId="77777777" w:rsidR="00267E55" w:rsidRPr="008825F1" w:rsidRDefault="00267E55" w:rsidP="00267E55">
      <w:pPr>
        <w:spacing w:after="120" w:line="240" w:lineRule="auto"/>
        <w:rPr>
          <w:rFonts w:asciiTheme="minorHAnsi" w:hAnsiTheme="minorHAnsi" w:cstheme="minorHAnsi"/>
          <w:sz w:val="24"/>
        </w:rPr>
      </w:pPr>
      <w:r w:rsidRPr="005458B5">
        <w:rPr>
          <w:rFonts w:asciiTheme="minorHAnsi" w:hAnsiTheme="minorHAnsi" w:cstheme="minorHAnsi"/>
          <w:sz w:val="24"/>
        </w:rPr>
        <w:t>Desde el 2005 la canasta de beneficios, bajo el sistema de salud pública en Chile, ha sido</w:t>
      </w:r>
      <w:r w:rsidRPr="008825F1">
        <w:rPr>
          <w:rFonts w:asciiTheme="minorHAnsi" w:hAnsiTheme="minorHAnsi" w:cstheme="minorHAnsi"/>
          <w:sz w:val="24"/>
        </w:rPr>
        <w:t xml:space="preserve"> fijada con un sistema de garantías explícitas. A los ciudadanos se les garantiza el acceso a esos tratamientos definidos bajo el ‘Acceso Universal con Garantías Explícitas’, o AUGE, el que es conocido sinónimamente como GES (Garantías Explícitas en Salud). Aplicable a todos los chilenos, tengan cobertura de FONASA o de ISAPRES, las garantías cubren disposiciones en torno al acceso, calidad, oportunidad y protección financiera. Esta reforma ha significado un aumento en el retraso de la atención de patologías no AUGE al no considerárseles prioritarias, identificándose extensas listas de espera para la atención </w:t>
      </w:r>
      <w:r w:rsidRPr="005458B5">
        <w:rPr>
          <w:rFonts w:asciiTheme="minorHAnsi" w:hAnsiTheme="minorHAnsi" w:cstheme="minorHAnsi"/>
          <w:sz w:val="24"/>
        </w:rPr>
        <w:t>de consultas médicas, cirugías e inclusive patologías GES</w:t>
      </w:r>
      <w:r w:rsidRPr="005458B5">
        <w:rPr>
          <w:rStyle w:val="Refdenotaalpie"/>
          <w:rFonts w:asciiTheme="minorHAnsi" w:hAnsiTheme="minorHAnsi" w:cstheme="minorHAnsi"/>
          <w:sz w:val="24"/>
        </w:rPr>
        <w:footnoteReference w:id="27"/>
      </w:r>
      <w:r w:rsidRPr="005458B5">
        <w:rPr>
          <w:rFonts w:asciiTheme="minorHAnsi" w:hAnsiTheme="minorHAnsi" w:cstheme="minorHAnsi"/>
          <w:sz w:val="24"/>
        </w:rPr>
        <w:t>. En 2018, más de 26 mil personas fallecieron en listas de espera del sistema de salud</w:t>
      </w:r>
      <w:r w:rsidRPr="005458B5">
        <w:rPr>
          <w:rStyle w:val="Refdenotaalpie"/>
          <w:rFonts w:asciiTheme="minorHAnsi" w:hAnsiTheme="minorHAnsi" w:cstheme="minorHAnsi"/>
          <w:sz w:val="24"/>
        </w:rPr>
        <w:footnoteReference w:id="28"/>
      </w:r>
      <w:r w:rsidRPr="005458B5">
        <w:rPr>
          <w:rFonts w:asciiTheme="minorHAnsi" w:hAnsiTheme="minorHAnsi" w:cstheme="minorHAnsi"/>
          <w:sz w:val="24"/>
        </w:rPr>
        <w:t xml:space="preserve">. Su crónico déficit de financiamiento, además, produjo un déficit de insumos básicos en hospitales que, de </w:t>
      </w:r>
      <w:r w:rsidRPr="005458B5">
        <w:rPr>
          <w:rFonts w:asciiTheme="minorHAnsi" w:hAnsiTheme="minorHAnsi" w:cstheme="minorHAnsi"/>
          <w:sz w:val="24"/>
        </w:rPr>
        <w:lastRenderedPageBreak/>
        <w:t>acuerdo al Colegio Médico, estuvo cerca de producir una crisis sanitaria en octubre de 2019 en la Región de Valparaíso</w:t>
      </w:r>
      <w:r w:rsidRPr="005458B5">
        <w:rPr>
          <w:rStyle w:val="Refdenotaalpie"/>
          <w:rFonts w:asciiTheme="minorHAnsi" w:hAnsiTheme="minorHAnsi" w:cstheme="minorHAnsi"/>
          <w:sz w:val="24"/>
        </w:rPr>
        <w:footnoteReference w:id="29"/>
      </w:r>
      <w:r w:rsidRPr="005458B5">
        <w:rPr>
          <w:rFonts w:asciiTheme="minorHAnsi" w:hAnsiTheme="minorHAnsi" w:cstheme="minorHAnsi"/>
          <w:sz w:val="24"/>
        </w:rPr>
        <w:t>.</w:t>
      </w:r>
    </w:p>
    <w:p w14:paraId="3E2528A2" w14:textId="77777777" w:rsidR="00267E55" w:rsidRPr="008825F1" w:rsidRDefault="00267E55" w:rsidP="00267E55">
      <w:pPr>
        <w:pStyle w:val="Cuerpo"/>
        <w:widowControl w:val="0"/>
        <w:spacing w:after="120"/>
        <w:jc w:val="both"/>
        <w:rPr>
          <w:rStyle w:val="Ninguno"/>
          <w:rFonts w:asciiTheme="minorHAnsi" w:hAnsiTheme="minorHAnsi" w:cstheme="minorHAnsi"/>
          <w:color w:val="auto"/>
          <w:lang w:val="es-ES_tradnl"/>
        </w:rPr>
      </w:pPr>
      <w:r w:rsidRPr="008825F1">
        <w:rPr>
          <w:rStyle w:val="Ninguno"/>
          <w:rFonts w:asciiTheme="minorHAnsi" w:hAnsiTheme="minorHAnsi" w:cstheme="minorHAnsi"/>
          <w:color w:val="auto"/>
          <w:lang w:val="es-ES_tradnl"/>
        </w:rPr>
        <w:t>Si bien existe la obligación legal para los establecimientos de salud de distribuir m</w:t>
      </w:r>
      <w:r w:rsidRPr="008825F1">
        <w:rPr>
          <w:rStyle w:val="Ninguno"/>
          <w:rFonts w:asciiTheme="minorHAnsi" w:hAnsiTheme="minorHAnsi" w:cstheme="minorHAnsi"/>
          <w:color w:val="auto"/>
          <w:lang w:val="fr-FR"/>
        </w:rPr>
        <w:t>é</w:t>
      </w:r>
      <w:r w:rsidRPr="008825F1">
        <w:rPr>
          <w:rStyle w:val="Ninguno"/>
          <w:rFonts w:asciiTheme="minorHAnsi" w:hAnsiTheme="minorHAnsi" w:cstheme="minorHAnsi"/>
          <w:color w:val="auto"/>
          <w:lang w:val="es-ES_tradnl"/>
        </w:rPr>
        <w:t xml:space="preserve">todos </w:t>
      </w:r>
      <w:r w:rsidRPr="008825F1">
        <w:rPr>
          <w:rStyle w:val="Ninguno"/>
          <w:rFonts w:asciiTheme="minorHAnsi" w:hAnsiTheme="minorHAnsi" w:cstheme="minorHAnsi"/>
          <w:bCs/>
          <w:color w:val="auto"/>
          <w:lang w:val="es-ES_tradnl"/>
        </w:rPr>
        <w:t>anticonceptivos</w:t>
      </w:r>
      <w:r w:rsidRPr="008825F1">
        <w:rPr>
          <w:rStyle w:val="Ninguno"/>
          <w:rFonts w:asciiTheme="minorHAnsi" w:hAnsiTheme="minorHAnsi" w:cstheme="minorHAnsi"/>
          <w:color w:val="auto"/>
          <w:lang w:val="es-ES_tradnl"/>
        </w:rPr>
        <w:t>, esta disposición no necesariamente se cumple en la práctica, porque ciertas autoridades instalan barreras a la distribución de determinados anticonceptivos sobre bases ideológicas y se observa un alto grado de discrecionalidad en su distribución. Se han registrado denuncias</w:t>
      </w:r>
      <w:r w:rsidRPr="008825F1">
        <w:rPr>
          <w:rStyle w:val="Refdenotaalpie"/>
          <w:rFonts w:asciiTheme="minorHAnsi" w:hAnsiTheme="minorHAnsi" w:cstheme="minorHAnsi"/>
          <w:color w:val="auto"/>
          <w:lang w:val="es-ES_tradnl"/>
        </w:rPr>
        <w:footnoteReference w:id="30"/>
      </w:r>
      <w:r w:rsidRPr="008825F1">
        <w:rPr>
          <w:rStyle w:val="Ninguno"/>
          <w:rFonts w:asciiTheme="minorHAnsi" w:hAnsiTheme="minorHAnsi" w:cstheme="minorHAnsi"/>
          <w:color w:val="auto"/>
          <w:position w:val="16"/>
        </w:rPr>
        <w:t xml:space="preserve"> </w:t>
      </w:r>
      <w:r w:rsidRPr="008825F1">
        <w:rPr>
          <w:rStyle w:val="Ninguno"/>
          <w:rFonts w:asciiTheme="minorHAnsi" w:hAnsiTheme="minorHAnsi" w:cstheme="minorHAnsi"/>
          <w:color w:val="auto"/>
          <w:lang w:val="es-ES_tradnl"/>
        </w:rPr>
        <w:t>que señalan la negativa de funcionarias/os públicas/os para entregar la píldora de anticoncepción de emergencia.</w:t>
      </w:r>
    </w:p>
    <w:p w14:paraId="3294AF36" w14:textId="77777777" w:rsidR="00267E55" w:rsidRPr="008825F1" w:rsidRDefault="00267E55" w:rsidP="00267E55">
      <w:pPr>
        <w:spacing w:after="120" w:line="240" w:lineRule="auto"/>
        <w:rPr>
          <w:rFonts w:asciiTheme="minorHAnsi" w:hAnsiTheme="minorHAnsi" w:cstheme="minorHAnsi"/>
          <w:bCs/>
          <w:sz w:val="24"/>
          <w:lang w:val="es-MX"/>
        </w:rPr>
      </w:pPr>
      <w:r w:rsidRPr="008825F1">
        <w:rPr>
          <w:rFonts w:asciiTheme="minorHAnsi" w:hAnsiTheme="minorHAnsi" w:cstheme="minorHAnsi"/>
          <w:bCs/>
          <w:sz w:val="24"/>
          <w:lang w:val="es-MX"/>
        </w:rPr>
        <w:t>A pesar de ello, en Chile ha disminuido en años recientes el número de niñas y adolescentes que tienen hijos. De acuerdo al Servicio de Registro Civil e Identificación en el año 2013 nacieron 33.292 hijos/as de madres de hasta 19 años (13% del total de nacimientos), mientras que 2016 se registran 22.349 nacimientos, que corresponde al 9% del total de nacidos en el país (</w:t>
      </w:r>
      <w:r w:rsidRPr="008825F1">
        <w:rPr>
          <w:rFonts w:asciiTheme="minorHAnsi" w:hAnsiTheme="minorHAnsi" w:cstheme="minorHAnsi"/>
          <w:sz w:val="24"/>
        </w:rPr>
        <w:t>247.609)</w:t>
      </w:r>
      <w:r w:rsidRPr="008825F1">
        <w:rPr>
          <w:rStyle w:val="Refdenotaalpie"/>
          <w:rFonts w:asciiTheme="minorHAnsi" w:hAnsiTheme="minorHAnsi" w:cstheme="minorHAnsi"/>
          <w:sz w:val="24"/>
          <w:lang w:val="es-MX"/>
        </w:rPr>
        <w:footnoteReference w:id="31"/>
      </w:r>
      <w:r w:rsidRPr="008825F1">
        <w:rPr>
          <w:rFonts w:asciiTheme="minorHAnsi" w:hAnsiTheme="minorHAnsi" w:cstheme="minorHAnsi"/>
          <w:bCs/>
          <w:sz w:val="24"/>
          <w:lang w:val="es-MX"/>
        </w:rPr>
        <w:t>. Cifras del INE de 2017 señalan que esta cifra disminuyó al 7,9%.</w:t>
      </w:r>
    </w:p>
    <w:p w14:paraId="0D1274BA" w14:textId="77777777" w:rsidR="00267E55" w:rsidRPr="008825F1" w:rsidRDefault="00267E55" w:rsidP="00267E55">
      <w:pPr>
        <w:shd w:val="clear" w:color="auto" w:fill="FFFFFF"/>
        <w:spacing w:after="120" w:line="240" w:lineRule="auto"/>
        <w:rPr>
          <w:rFonts w:asciiTheme="minorHAnsi" w:hAnsiTheme="minorHAnsi" w:cstheme="minorHAnsi"/>
          <w:sz w:val="24"/>
          <w:lang w:val="es-CL" w:eastAsia="es-CL"/>
        </w:rPr>
      </w:pPr>
      <w:r w:rsidRPr="008825F1">
        <w:rPr>
          <w:rFonts w:asciiTheme="minorHAnsi" w:hAnsiTheme="minorHAnsi" w:cstheme="minorHAnsi"/>
          <w:sz w:val="24"/>
          <w:lang w:val="es-CL" w:eastAsia="es-CL"/>
        </w:rPr>
        <w:t>El Programa Conjunto de las Naciones Unidas sobre el VIH/Sida (ONUSIDA) presentó en julio de 2019 su </w:t>
      </w:r>
      <w:r w:rsidRPr="008825F1">
        <w:rPr>
          <w:rFonts w:asciiTheme="minorHAnsi" w:hAnsiTheme="minorHAnsi" w:cstheme="minorHAnsi"/>
          <w:bCs/>
          <w:sz w:val="24"/>
          <w:lang w:val="es-CL" w:eastAsia="es-CL"/>
        </w:rPr>
        <w:t>reporte mundial sobre el VIH 2019</w:t>
      </w:r>
      <w:r w:rsidRPr="008825F1">
        <w:rPr>
          <w:rFonts w:asciiTheme="minorHAnsi" w:hAnsiTheme="minorHAnsi" w:cstheme="minorHAnsi"/>
          <w:sz w:val="24"/>
          <w:lang w:val="es-CL" w:eastAsia="es-CL"/>
        </w:rPr>
        <w:t> (con datos reportados por los países en 2018). En lo que respecta a Chile indica que </w:t>
      </w:r>
      <w:r w:rsidRPr="008825F1">
        <w:rPr>
          <w:rFonts w:asciiTheme="minorHAnsi" w:hAnsiTheme="minorHAnsi" w:cstheme="minorHAnsi"/>
          <w:bCs/>
          <w:sz w:val="24"/>
          <w:lang w:val="es-CL" w:eastAsia="es-CL"/>
        </w:rPr>
        <w:t>71 mil personas en el país viven con VIH</w:t>
      </w:r>
      <w:r w:rsidRPr="008825F1">
        <w:rPr>
          <w:rFonts w:asciiTheme="minorHAnsi" w:hAnsiTheme="minorHAnsi" w:cstheme="minorHAnsi"/>
          <w:sz w:val="24"/>
          <w:lang w:val="es-CL" w:eastAsia="es-CL"/>
        </w:rPr>
        <w:t>, lo que implica un aumento de cuatro mil personas más respecto al  2017, cuando se registraron  67 mil. Del universo de personas que viven con VIH, </w:t>
      </w:r>
      <w:r w:rsidRPr="008825F1">
        <w:rPr>
          <w:rFonts w:asciiTheme="minorHAnsi" w:hAnsiTheme="minorHAnsi" w:cstheme="minorHAnsi"/>
          <w:bCs/>
          <w:sz w:val="24"/>
          <w:lang w:val="es-CL" w:eastAsia="es-CL"/>
        </w:rPr>
        <w:t>61.660 han sido diagnosticadas</w:t>
      </w:r>
      <w:r w:rsidRPr="008825F1">
        <w:rPr>
          <w:rFonts w:asciiTheme="minorHAnsi" w:hAnsiTheme="minorHAnsi" w:cstheme="minorHAnsi"/>
          <w:sz w:val="24"/>
          <w:lang w:val="es-CL" w:eastAsia="es-CL"/>
        </w:rPr>
        <w:t>. Además, señala que 45.140 de las personas que viven con VIH </w:t>
      </w:r>
      <w:r w:rsidRPr="008825F1">
        <w:rPr>
          <w:rFonts w:asciiTheme="minorHAnsi" w:hAnsiTheme="minorHAnsi" w:cstheme="minorHAnsi"/>
          <w:bCs/>
          <w:sz w:val="24"/>
          <w:lang w:val="es-CL" w:eastAsia="es-CL"/>
        </w:rPr>
        <w:t>reciben tratamiento, es decir, 6.140 más que el año anterior</w:t>
      </w:r>
      <w:r w:rsidRPr="008825F1">
        <w:rPr>
          <w:rFonts w:asciiTheme="minorHAnsi" w:hAnsiTheme="minorHAnsi" w:cstheme="minorHAnsi"/>
          <w:sz w:val="24"/>
          <w:lang w:val="es-CL" w:eastAsia="es-CL"/>
        </w:rPr>
        <w:t xml:space="preserve">, pasando de 39 mil en 2017 a 45.140 en 2018. Mientras que las personas </w:t>
      </w:r>
      <w:proofErr w:type="gramStart"/>
      <w:r w:rsidRPr="008825F1">
        <w:rPr>
          <w:rFonts w:asciiTheme="minorHAnsi" w:hAnsiTheme="minorHAnsi" w:cstheme="minorHAnsi"/>
          <w:sz w:val="24"/>
          <w:lang w:val="es-CL" w:eastAsia="es-CL"/>
        </w:rPr>
        <w:t>seropositivas</w:t>
      </w:r>
      <w:proofErr w:type="gramEnd"/>
      <w:r w:rsidRPr="008825F1">
        <w:rPr>
          <w:rFonts w:asciiTheme="minorHAnsi" w:hAnsiTheme="minorHAnsi" w:cstheme="minorHAnsi"/>
          <w:sz w:val="24"/>
          <w:lang w:val="es-CL" w:eastAsia="es-CL"/>
        </w:rPr>
        <w:t xml:space="preserve"> con carga viral suprimida o indetectable, alcanzan a 39.690.</w:t>
      </w:r>
    </w:p>
    <w:p w14:paraId="1814A956" w14:textId="77777777" w:rsidR="00267E55" w:rsidRPr="008825F1" w:rsidRDefault="00267E55" w:rsidP="00267E55">
      <w:pPr>
        <w:pStyle w:val="Cuerpo"/>
        <w:widowControl w:val="0"/>
        <w:spacing w:after="120"/>
        <w:jc w:val="both"/>
        <w:rPr>
          <w:rStyle w:val="Ninguno"/>
          <w:rFonts w:asciiTheme="minorHAnsi" w:hAnsiTheme="minorHAnsi" w:cstheme="minorHAnsi"/>
          <w:color w:val="auto"/>
        </w:rPr>
      </w:pPr>
      <w:r w:rsidRPr="008825F1">
        <w:rPr>
          <w:rFonts w:asciiTheme="minorHAnsi" w:hAnsiTheme="minorHAnsi" w:cstheme="minorHAnsi"/>
          <w:color w:val="auto"/>
          <w:shd w:val="clear" w:color="auto" w:fill="FFFFFF"/>
        </w:rPr>
        <w:t xml:space="preserve">Uno de los factores que explicarían dicho aumento es el déficit en materia de prevención y la ausencia de campañas de sensibilización sostenidas en el tiempo. </w:t>
      </w:r>
      <w:r w:rsidRPr="008825F1">
        <w:rPr>
          <w:rStyle w:val="Ninguno"/>
          <w:rFonts w:asciiTheme="minorHAnsi" w:hAnsiTheme="minorHAnsi" w:cstheme="minorHAnsi"/>
          <w:color w:val="auto"/>
          <w:lang w:val="es-ES_tradnl"/>
        </w:rPr>
        <w:t xml:space="preserve">Preocupa, además el desabastecimiento en algunos hospitales de medicamentos retrovirales para el tratamiento del VIH/SIDA y la falta de respuesta del Estado ante la situación de aquellas mujeres VIH positivas que fueron víctimas de </w:t>
      </w:r>
      <w:r w:rsidRPr="008825F1">
        <w:rPr>
          <w:rStyle w:val="Ninguno"/>
          <w:rFonts w:asciiTheme="minorHAnsi" w:hAnsiTheme="minorHAnsi" w:cstheme="minorHAnsi"/>
          <w:bCs/>
          <w:color w:val="auto"/>
        </w:rPr>
        <w:t>esterilización</w:t>
      </w:r>
      <w:r w:rsidRPr="008825F1">
        <w:rPr>
          <w:rStyle w:val="Ninguno"/>
          <w:rFonts w:asciiTheme="minorHAnsi" w:hAnsiTheme="minorHAnsi" w:cstheme="minorHAnsi"/>
          <w:bCs/>
          <w:color w:val="auto"/>
          <w:lang w:val="es-ES_tradnl"/>
        </w:rPr>
        <w:t xml:space="preserve"> forzada</w:t>
      </w:r>
      <w:r w:rsidRPr="008825F1">
        <w:rPr>
          <w:rStyle w:val="Refdenotaalpie"/>
          <w:rFonts w:asciiTheme="minorHAnsi" w:hAnsiTheme="minorHAnsi" w:cstheme="minorHAnsi"/>
          <w:color w:val="auto"/>
          <w:lang w:val="es-ES_tradnl"/>
        </w:rPr>
        <w:footnoteReference w:id="32"/>
      </w:r>
      <w:r w:rsidRPr="008825F1">
        <w:rPr>
          <w:rStyle w:val="Ninguno"/>
          <w:rFonts w:asciiTheme="minorHAnsi" w:hAnsiTheme="minorHAnsi" w:cstheme="minorHAnsi"/>
          <w:color w:val="auto"/>
        </w:rPr>
        <w:t xml:space="preserve">. </w:t>
      </w:r>
    </w:p>
    <w:p w14:paraId="6BB110B2" w14:textId="77777777" w:rsidR="00267E55" w:rsidRDefault="00267E55" w:rsidP="00F565A3">
      <w:pPr>
        <w:pStyle w:val="Default"/>
        <w:spacing w:after="120"/>
        <w:jc w:val="both"/>
        <w:rPr>
          <w:rStyle w:val="Ninguno"/>
          <w:rFonts w:asciiTheme="minorHAnsi" w:hAnsiTheme="minorHAnsi" w:cstheme="minorHAnsi"/>
          <w:color w:val="auto"/>
        </w:rPr>
      </w:pPr>
      <w:r w:rsidRPr="00A56FED">
        <w:rPr>
          <w:rStyle w:val="Ninguno"/>
          <w:rFonts w:asciiTheme="minorHAnsi" w:hAnsiTheme="minorHAnsi" w:cstheme="minorHAnsi"/>
          <w:color w:val="auto"/>
        </w:rPr>
        <w:t xml:space="preserve">Con respecto a las personas con discapacidad, preocupa que </w:t>
      </w:r>
      <w:r>
        <w:rPr>
          <w:rStyle w:val="Ninguno"/>
          <w:rFonts w:asciiTheme="minorHAnsi" w:hAnsiTheme="minorHAnsi" w:cstheme="minorHAnsi"/>
          <w:color w:val="auto"/>
        </w:rPr>
        <w:t xml:space="preserve">entre </w:t>
      </w:r>
      <w:r w:rsidRPr="00A56FED">
        <w:rPr>
          <w:rStyle w:val="Ninguno"/>
          <w:rFonts w:asciiTheme="minorHAnsi" w:hAnsiTheme="minorHAnsi" w:cstheme="minorHAnsi"/>
          <w:color w:val="auto"/>
        </w:rPr>
        <w:t xml:space="preserve">2014 </w:t>
      </w:r>
      <w:r>
        <w:rPr>
          <w:rStyle w:val="Ninguno"/>
          <w:rFonts w:asciiTheme="minorHAnsi" w:hAnsiTheme="minorHAnsi" w:cstheme="minorHAnsi"/>
          <w:color w:val="auto"/>
        </w:rPr>
        <w:t>y</w:t>
      </w:r>
      <w:r w:rsidRPr="00A56FED">
        <w:rPr>
          <w:rStyle w:val="Ninguno"/>
          <w:rFonts w:asciiTheme="minorHAnsi" w:hAnsiTheme="minorHAnsi" w:cstheme="minorHAnsi"/>
          <w:color w:val="auto"/>
        </w:rPr>
        <w:t xml:space="preserve"> 2017, es decir en 4 años</w:t>
      </w:r>
      <w:r>
        <w:rPr>
          <w:rStyle w:val="Ninguno"/>
          <w:rFonts w:asciiTheme="minorHAnsi" w:hAnsiTheme="minorHAnsi" w:cstheme="minorHAnsi"/>
          <w:color w:val="auto"/>
        </w:rPr>
        <w:t>,</w:t>
      </w:r>
      <w:r w:rsidRPr="00A56FED">
        <w:rPr>
          <w:rStyle w:val="Ninguno"/>
          <w:rFonts w:asciiTheme="minorHAnsi" w:hAnsiTheme="minorHAnsi" w:cstheme="minorHAnsi"/>
          <w:color w:val="auto"/>
        </w:rPr>
        <w:t xml:space="preserve"> se han registrado un total de 67.499 ingresos forzados e involuntarios, de los cuales </w:t>
      </w:r>
      <w:r w:rsidRPr="00A56FED">
        <w:rPr>
          <w:rStyle w:val="Ninguno"/>
          <w:rFonts w:asciiTheme="minorHAnsi" w:hAnsiTheme="minorHAnsi" w:cstheme="minorHAnsi"/>
          <w:color w:val="auto"/>
        </w:rPr>
        <w:tab/>
        <w:t xml:space="preserve">han fallecido bajo custodia del </w:t>
      </w:r>
      <w:r>
        <w:rPr>
          <w:rStyle w:val="Ninguno"/>
          <w:rFonts w:asciiTheme="minorHAnsi" w:hAnsiTheme="minorHAnsi" w:cstheme="minorHAnsi"/>
          <w:color w:val="auto"/>
        </w:rPr>
        <w:t>E</w:t>
      </w:r>
      <w:r w:rsidRPr="00A56FED">
        <w:rPr>
          <w:rStyle w:val="Ninguno"/>
          <w:rFonts w:asciiTheme="minorHAnsi" w:hAnsiTheme="minorHAnsi" w:cstheme="minorHAnsi"/>
          <w:color w:val="auto"/>
        </w:rPr>
        <w:t xml:space="preserve">stado 163 pacientes y han resultado egresados </w:t>
      </w:r>
      <w:r w:rsidRPr="00A56FED">
        <w:rPr>
          <w:rStyle w:val="Ninguno"/>
          <w:rFonts w:asciiTheme="minorHAnsi" w:hAnsiTheme="minorHAnsi" w:cstheme="minorHAnsi"/>
          <w:color w:val="auto"/>
        </w:rPr>
        <w:lastRenderedPageBreak/>
        <w:t>vivos</w:t>
      </w:r>
      <w:r w:rsidRPr="00A56FED">
        <w:rPr>
          <w:rStyle w:val="Ninguno"/>
          <w:rFonts w:asciiTheme="minorHAnsi" w:hAnsiTheme="minorHAnsi" w:cstheme="minorHAnsi"/>
          <w:color w:val="auto"/>
        </w:rPr>
        <w:tab/>
        <w:t>67.662  pacientes. Además,</w:t>
      </w:r>
      <w:r>
        <w:rPr>
          <w:rStyle w:val="Ninguno"/>
          <w:rFonts w:asciiTheme="minorHAnsi" w:hAnsiTheme="minorHAnsi" w:cstheme="minorHAnsi"/>
          <w:color w:val="auto"/>
        </w:rPr>
        <w:t xml:space="preserve"> </w:t>
      </w:r>
      <w:r w:rsidRPr="00A56FED">
        <w:rPr>
          <w:rStyle w:val="Ninguno"/>
          <w:rFonts w:asciiTheme="minorHAnsi" w:hAnsiTheme="minorHAnsi" w:cstheme="minorHAnsi"/>
          <w:color w:val="auto"/>
        </w:rPr>
        <w:t>las órdenes para hospitalizar pacientes sin su consentimiento se han triplicado en los últimos 4 años.</w:t>
      </w:r>
      <w:r>
        <w:rPr>
          <w:rStyle w:val="Refdenotaalpie"/>
          <w:rFonts w:asciiTheme="minorHAnsi" w:hAnsiTheme="minorHAnsi" w:cstheme="minorHAnsi"/>
          <w:color w:val="auto"/>
        </w:rPr>
        <w:footnoteReference w:id="33"/>
      </w:r>
      <w:r w:rsidRPr="00A56FED">
        <w:rPr>
          <w:rStyle w:val="Ninguno"/>
          <w:rFonts w:asciiTheme="minorHAnsi" w:hAnsiTheme="minorHAnsi" w:cstheme="minorHAnsi"/>
          <w:color w:val="auto"/>
        </w:rPr>
        <w:t xml:space="preserve"> </w:t>
      </w:r>
    </w:p>
    <w:p w14:paraId="10ECD9E2" w14:textId="77777777" w:rsidR="00267E55" w:rsidRPr="009016A4" w:rsidRDefault="00267E55" w:rsidP="00F565A3">
      <w:pPr>
        <w:pStyle w:val="Default"/>
        <w:spacing w:after="120"/>
        <w:jc w:val="both"/>
        <w:rPr>
          <w:rFonts w:asciiTheme="minorHAnsi" w:hAnsiTheme="minorHAnsi" w:cstheme="minorHAnsi"/>
          <w:b/>
          <w:bCs/>
          <w:color w:val="auto"/>
        </w:rPr>
      </w:pPr>
      <w:r w:rsidRPr="00D70BF9">
        <w:rPr>
          <w:rFonts w:asciiTheme="minorHAnsi" w:hAnsiTheme="minorHAnsi" w:cstheme="minorHAnsi"/>
          <w:b/>
          <w:bCs/>
        </w:rPr>
        <w:t>Se solicita al Comité consultar al Estado sobre:</w:t>
      </w:r>
    </w:p>
    <w:p w14:paraId="696F5EB6" w14:textId="77777777" w:rsidR="00267E55" w:rsidRPr="009016A4" w:rsidRDefault="00267E55" w:rsidP="00267E55">
      <w:pPr>
        <w:pStyle w:val="Default"/>
        <w:numPr>
          <w:ilvl w:val="0"/>
          <w:numId w:val="3"/>
        </w:numPr>
        <w:jc w:val="both"/>
        <w:rPr>
          <w:rFonts w:asciiTheme="minorHAnsi" w:hAnsiTheme="minorHAnsi" w:cstheme="minorHAnsi"/>
          <w:b/>
          <w:bCs/>
          <w:color w:val="auto"/>
          <w:lang w:val="es-ES"/>
        </w:rPr>
      </w:pPr>
      <w:r w:rsidRPr="009016A4">
        <w:rPr>
          <w:rFonts w:asciiTheme="minorHAnsi" w:hAnsiTheme="minorHAnsi" w:cstheme="minorHAnsi"/>
          <w:b/>
          <w:bCs/>
          <w:color w:val="auto"/>
          <w:lang w:val="es-ES"/>
        </w:rPr>
        <w:t xml:space="preserve">Qué acciones ha desarrollado para fortalecer la capacidad del sistema público de salud, especialmente del sistema de atención primaria, en miras dar plena efectividad al derecho a la salud. </w:t>
      </w:r>
    </w:p>
    <w:p w14:paraId="70915204" w14:textId="77777777" w:rsidR="00267E55" w:rsidRPr="009016A4" w:rsidRDefault="00267E55" w:rsidP="00267E55">
      <w:pPr>
        <w:pStyle w:val="Default"/>
        <w:numPr>
          <w:ilvl w:val="0"/>
          <w:numId w:val="3"/>
        </w:numPr>
        <w:jc w:val="both"/>
        <w:rPr>
          <w:rFonts w:asciiTheme="minorHAnsi" w:hAnsiTheme="minorHAnsi" w:cstheme="minorHAnsi"/>
          <w:b/>
          <w:bCs/>
          <w:color w:val="auto"/>
          <w:lang w:val="es-ES"/>
        </w:rPr>
      </w:pPr>
      <w:r w:rsidRPr="009016A4">
        <w:rPr>
          <w:rFonts w:asciiTheme="minorHAnsi" w:hAnsiTheme="minorHAnsi" w:cstheme="minorHAnsi"/>
          <w:b/>
          <w:bCs/>
          <w:color w:val="auto"/>
          <w:lang w:val="es-ES"/>
        </w:rPr>
        <w:t>Qué medidas ha implementado para contener el abultamiento de las listas de espera para la atención de patologías no aranceladas en el sistema GES.</w:t>
      </w:r>
      <w:r w:rsidRPr="009016A4">
        <w:rPr>
          <w:rFonts w:asciiTheme="minorHAnsi" w:hAnsiTheme="minorHAnsi" w:cstheme="minorHAnsi"/>
          <w:b/>
          <w:bCs/>
          <w:color w:val="auto"/>
          <w:lang w:val="es-ES"/>
        </w:rPr>
        <w:tab/>
      </w:r>
    </w:p>
    <w:p w14:paraId="120464DB" w14:textId="77777777" w:rsidR="00267E55" w:rsidRDefault="00267E55" w:rsidP="00267E55">
      <w:pPr>
        <w:pStyle w:val="Default"/>
        <w:numPr>
          <w:ilvl w:val="0"/>
          <w:numId w:val="3"/>
        </w:numPr>
        <w:jc w:val="both"/>
        <w:rPr>
          <w:rFonts w:asciiTheme="minorHAnsi" w:hAnsiTheme="minorHAnsi" w:cstheme="minorHAnsi"/>
          <w:b/>
          <w:bCs/>
          <w:color w:val="auto"/>
          <w:lang w:val="es-ES"/>
        </w:rPr>
      </w:pPr>
      <w:r w:rsidRPr="009016A4">
        <w:rPr>
          <w:rFonts w:asciiTheme="minorHAnsi" w:hAnsiTheme="minorHAnsi" w:cstheme="minorHAnsi"/>
          <w:b/>
          <w:bCs/>
          <w:color w:val="auto"/>
          <w:lang w:val="es-ES"/>
        </w:rPr>
        <w:t>Qué medidas ha implementado para prevenir el contagio de VIH y otras ETS.</w:t>
      </w:r>
    </w:p>
    <w:p w14:paraId="4D9DF3B5" w14:textId="77777777" w:rsidR="00267E55" w:rsidRPr="005B297B" w:rsidRDefault="00267E55" w:rsidP="00267E55">
      <w:pPr>
        <w:pStyle w:val="Default"/>
        <w:widowControl w:val="0"/>
        <w:numPr>
          <w:ilvl w:val="0"/>
          <w:numId w:val="3"/>
        </w:numPr>
        <w:ind w:left="714" w:hanging="357"/>
        <w:jc w:val="both"/>
        <w:rPr>
          <w:rFonts w:asciiTheme="minorHAnsi" w:hAnsiTheme="minorHAnsi" w:cs="Times"/>
          <w:b/>
          <w:szCs w:val="22"/>
        </w:rPr>
      </w:pPr>
      <w:r w:rsidRPr="005B297B">
        <w:rPr>
          <w:rFonts w:asciiTheme="minorHAnsi" w:hAnsiTheme="minorHAnsi" w:cstheme="minorHAnsi"/>
          <w:b/>
          <w:bCs/>
          <w:color w:val="auto"/>
        </w:rPr>
        <w:t xml:space="preserve">Número de los ingresos forzados e involuntarios desde año 2000 al </w:t>
      </w:r>
      <w:proofErr w:type="gramStart"/>
      <w:r w:rsidRPr="005B297B">
        <w:rPr>
          <w:rFonts w:asciiTheme="minorHAnsi" w:hAnsiTheme="minorHAnsi" w:cstheme="minorHAnsi"/>
          <w:b/>
          <w:bCs/>
          <w:color w:val="auto"/>
        </w:rPr>
        <w:t>2019 ,</w:t>
      </w:r>
      <w:proofErr w:type="gramEnd"/>
      <w:r w:rsidRPr="005B297B">
        <w:rPr>
          <w:rFonts w:asciiTheme="minorHAnsi" w:hAnsiTheme="minorHAnsi" w:cstheme="minorHAnsi"/>
          <w:b/>
          <w:bCs/>
          <w:color w:val="auto"/>
        </w:rPr>
        <w:t xml:space="preserve"> la mortalidad por cama psiquiátrica en ese periodo y las causas de defunciones bajo custodia del Estado.</w:t>
      </w:r>
    </w:p>
    <w:p w14:paraId="3F9B51E7" w14:textId="77777777" w:rsidR="00267E55" w:rsidRPr="00A56FED" w:rsidRDefault="00267E55" w:rsidP="00267E55">
      <w:pPr>
        <w:pStyle w:val="Default"/>
        <w:widowControl w:val="0"/>
        <w:numPr>
          <w:ilvl w:val="0"/>
          <w:numId w:val="3"/>
        </w:numPr>
        <w:spacing w:after="120"/>
        <w:jc w:val="both"/>
        <w:rPr>
          <w:rFonts w:asciiTheme="minorHAnsi" w:hAnsiTheme="minorHAnsi" w:cstheme="minorHAnsi"/>
          <w:b/>
          <w:bCs/>
          <w:color w:val="auto"/>
          <w:lang w:val="es-ES"/>
        </w:rPr>
      </w:pPr>
      <w:r w:rsidRPr="005B297B">
        <w:rPr>
          <w:rFonts w:asciiTheme="minorHAnsi" w:hAnsiTheme="minorHAnsi" w:cs="Times"/>
          <w:b/>
          <w:szCs w:val="22"/>
        </w:rPr>
        <w:t>Qué medidas implementará para garantizar la salud mental y cómo garantizará la participación de organizaciones de usuarios y personas con discapacidad psicosocial en la discusión del proyecto de ley de Salud Mental.</w:t>
      </w:r>
    </w:p>
    <w:p w14:paraId="105C08F7" w14:textId="77777777" w:rsidR="00267E55" w:rsidRPr="00D70BF9" w:rsidRDefault="00267E55" w:rsidP="00267E55">
      <w:pPr>
        <w:pStyle w:val="Default"/>
        <w:spacing w:after="120"/>
        <w:jc w:val="both"/>
        <w:rPr>
          <w:rFonts w:asciiTheme="minorHAnsi" w:hAnsiTheme="minorHAnsi" w:cstheme="minorHAnsi"/>
          <w:color w:val="auto"/>
        </w:rPr>
      </w:pPr>
      <w:r w:rsidRPr="00D70BF9">
        <w:rPr>
          <w:rFonts w:asciiTheme="minorHAnsi" w:hAnsiTheme="minorHAnsi" w:cstheme="minorHAnsi"/>
          <w:b/>
          <w:bCs/>
          <w:color w:val="auto"/>
        </w:rPr>
        <w:t xml:space="preserve">Salud sexual y reproductiva </w:t>
      </w:r>
    </w:p>
    <w:p w14:paraId="35D09D69"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Desde septiembre de 2017 se permite en Chile la interrupción legal del embarazo en tres causales: riesgo vital para la mujer embarazada, inviabilidad del embrión o feto de carácter letal y violación sexual</w:t>
      </w:r>
      <w:r w:rsidRPr="008825F1">
        <w:rPr>
          <w:rStyle w:val="Refdenotaalpie"/>
          <w:rFonts w:asciiTheme="minorHAnsi" w:hAnsiTheme="minorHAnsi" w:cstheme="minorHAnsi"/>
          <w:sz w:val="24"/>
        </w:rPr>
        <w:footnoteReference w:id="34"/>
      </w:r>
      <w:r w:rsidRPr="008825F1">
        <w:rPr>
          <w:rFonts w:asciiTheme="minorHAnsi" w:hAnsiTheme="minorHAnsi" w:cstheme="minorHAnsi"/>
          <w:sz w:val="24"/>
        </w:rPr>
        <w:t xml:space="preserve">. La causal violación sexual está sujeta a plazos en extremo limitados, 12 semanas para mujeres y adolescentes, y 14 semanas para niñas menores de 14 años. </w:t>
      </w:r>
    </w:p>
    <w:p w14:paraId="1F338908"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El derecho al aborto en tres causales es limitado en la misma ley 21030, que permite de manera amplia la objeción de conciencia a médicos/as y otros integrantes del equipo de salud e incluso de manera inédita, considera la legitimidad de que instituciones y personas jurídicas se declaren objetoras (objeción de conciencia institucional). Esto último a raíz de la decisión adoptada por el Tribunal Constitucional</w:t>
      </w:r>
      <w:r w:rsidRPr="008825F1">
        <w:rPr>
          <w:rStyle w:val="Refdenotaalpie"/>
          <w:rFonts w:asciiTheme="minorHAnsi" w:hAnsiTheme="minorHAnsi" w:cstheme="minorHAnsi"/>
          <w:sz w:val="24"/>
        </w:rPr>
        <w:footnoteReference w:id="35"/>
      </w:r>
      <w:r w:rsidRPr="008825F1">
        <w:rPr>
          <w:rFonts w:asciiTheme="minorHAnsi" w:hAnsiTheme="minorHAnsi" w:cstheme="minorHAnsi"/>
          <w:sz w:val="24"/>
        </w:rPr>
        <w:t>.</w:t>
      </w:r>
    </w:p>
    <w:p w14:paraId="171CC11D"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Asimismo, el reglamento del Ministerio de Salud</w:t>
      </w:r>
      <w:r w:rsidRPr="008825F1">
        <w:rPr>
          <w:rStyle w:val="Refdenotaalpie"/>
          <w:rFonts w:asciiTheme="minorHAnsi" w:hAnsiTheme="minorHAnsi" w:cstheme="minorHAnsi"/>
          <w:sz w:val="24"/>
        </w:rPr>
        <w:footnoteReference w:id="36"/>
      </w:r>
      <w:r w:rsidRPr="008825F1">
        <w:rPr>
          <w:rFonts w:asciiTheme="minorHAnsi" w:hAnsiTheme="minorHAnsi" w:cstheme="minorHAnsi"/>
          <w:sz w:val="24"/>
        </w:rPr>
        <w:t xml:space="preserve"> facilita al máximo la posibilidad de acogerse a la objeción de conciencia disponiendo que para ello </w:t>
      </w:r>
      <w:proofErr w:type="gramStart"/>
      <w:r w:rsidRPr="008825F1">
        <w:rPr>
          <w:rFonts w:asciiTheme="minorHAnsi" w:hAnsiTheme="minorHAnsi" w:cstheme="minorHAnsi"/>
          <w:sz w:val="24"/>
        </w:rPr>
        <w:t>basta</w:t>
      </w:r>
      <w:proofErr w:type="gramEnd"/>
      <w:r w:rsidRPr="008825F1">
        <w:rPr>
          <w:rFonts w:asciiTheme="minorHAnsi" w:hAnsiTheme="minorHAnsi" w:cstheme="minorHAnsi"/>
          <w:sz w:val="24"/>
        </w:rPr>
        <w:t xml:space="preserve"> completar un formulario tipo, sin que se requiera ninguna clase de fundamentación basada en las convicciones o creencias morales o religiosas. Tampoco se plantea respecto de quienes se </w:t>
      </w:r>
      <w:r w:rsidRPr="008825F1">
        <w:rPr>
          <w:rFonts w:asciiTheme="minorHAnsi" w:hAnsiTheme="minorHAnsi" w:cstheme="minorHAnsi"/>
          <w:sz w:val="24"/>
        </w:rPr>
        <w:lastRenderedPageBreak/>
        <w:t>declaren objetores/as alguna clase de contraprestación o servicio en compensación a las atenciones de salud que se les faculta no brindar. En tanto, a los establecimientos de salud no se les exige contar con al menos un equipo no objetor que pueda realizar la interrupción del embarazo en las causales previstas en la ley, permitiéndoles derivar a la mujer o niña a otro recinto. Además, el referido reglamento consagra la reserva de la información sobre objetores/as de conciencia individual, disponiendo que tales datos se rigen por la ley Nº 19.628 sobre protección de la vida privada, por lo que las pacientes no pueden conocer la calidad de los equipos que las atienden.</w:t>
      </w:r>
    </w:p>
    <w:p w14:paraId="45293AC5"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A partir de esta regulación el 50,5% de los y las médicos obstetras que trabajan en hospitales públicos se ha acogido a la objeción de conciencia en la causal violación sexual, el 28,6% en caso de inviabilidad fetal y el 20,7% frente a riesgo vital de la mujer embarazada.</w:t>
      </w:r>
      <w:r w:rsidRPr="008825F1">
        <w:rPr>
          <w:rStyle w:val="Refdenotaalpie"/>
          <w:rFonts w:asciiTheme="minorHAnsi" w:hAnsiTheme="minorHAnsi" w:cstheme="minorHAnsi"/>
          <w:sz w:val="24"/>
        </w:rPr>
        <w:footnoteReference w:id="37"/>
      </w:r>
    </w:p>
    <w:p w14:paraId="59C06B1C"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De esta manera, ni la ley Nº 21.030 ni el reglamento para ejercer objeción de conciencia resguardan el carácter excepcional que, de acuerdo a los estándares internacionales</w:t>
      </w:r>
      <w:r w:rsidRPr="008825F1">
        <w:rPr>
          <w:rStyle w:val="Refdenotaalpie"/>
          <w:rFonts w:asciiTheme="minorHAnsi" w:hAnsiTheme="minorHAnsi" w:cstheme="minorHAnsi"/>
          <w:sz w:val="24"/>
        </w:rPr>
        <w:footnoteReference w:id="38"/>
      </w:r>
      <w:r w:rsidRPr="008825F1">
        <w:rPr>
          <w:rFonts w:asciiTheme="minorHAnsi" w:hAnsiTheme="minorHAnsi" w:cstheme="minorHAnsi"/>
          <w:sz w:val="24"/>
        </w:rPr>
        <w:t>, dicha figura debe tener, ni cautela adecuadamente los derechos de mujeres y niñas. De ello derivan importantes dificultades a quienes se encuentran en alguna de las tres causales, para acceder a la atención de salud que requieren y que la ley les reconoce.</w:t>
      </w:r>
    </w:p>
    <w:p w14:paraId="45D9FF51" w14:textId="77777777" w:rsidR="00267E55" w:rsidRPr="008825F1" w:rsidRDefault="00267E55" w:rsidP="00267E55">
      <w:pPr>
        <w:autoSpaceDE w:val="0"/>
        <w:autoSpaceDN w:val="0"/>
        <w:adjustRightInd w:val="0"/>
        <w:spacing w:after="120" w:line="240" w:lineRule="auto"/>
        <w:rPr>
          <w:rFonts w:asciiTheme="minorHAnsi" w:hAnsiTheme="minorHAnsi" w:cstheme="minorHAnsi"/>
          <w:sz w:val="24"/>
        </w:rPr>
      </w:pPr>
      <w:r w:rsidRPr="008825F1">
        <w:rPr>
          <w:rFonts w:asciiTheme="minorHAnsi" w:hAnsiTheme="minorHAnsi" w:cstheme="minorHAnsi"/>
          <w:sz w:val="24"/>
        </w:rPr>
        <w:t>De acuerdo al Informe de Monitoreo Social sobre la implementación de la ley realizado en 2019 por la Mesa Acción por el Aborto en Chile en 7 territorios, existen omisiones y falencias en la atención a las mujeres que se convierten para ellas en obstáculos para la toma de decisión sobre sus embarazos y el acceso expedito a la interrupción, si esa es su opción.</w:t>
      </w:r>
    </w:p>
    <w:p w14:paraId="5724A0B7" w14:textId="77777777" w:rsidR="00267E55" w:rsidRPr="008825F1" w:rsidRDefault="00267E55" w:rsidP="00267E55">
      <w:pPr>
        <w:autoSpaceDE w:val="0"/>
        <w:autoSpaceDN w:val="0"/>
        <w:adjustRightInd w:val="0"/>
        <w:spacing w:after="120" w:line="240" w:lineRule="auto"/>
        <w:rPr>
          <w:rFonts w:asciiTheme="minorHAnsi" w:hAnsiTheme="minorHAnsi" w:cstheme="minorHAnsi"/>
          <w:sz w:val="24"/>
        </w:rPr>
      </w:pPr>
      <w:r w:rsidRPr="008825F1">
        <w:rPr>
          <w:rFonts w:asciiTheme="minorHAnsi" w:eastAsiaTheme="minorHAnsi" w:hAnsiTheme="minorHAnsi" w:cstheme="minorHAnsi"/>
          <w:sz w:val="24"/>
          <w:lang w:val="es-CL" w:eastAsia="en-US"/>
        </w:rPr>
        <w:t>“El monitoreo da cuenta de un gran déficit de información a las mujeres y comunidades en general. La IVE</w:t>
      </w:r>
      <w:r w:rsidRPr="008825F1">
        <w:rPr>
          <w:rStyle w:val="Refdenotaalpie"/>
          <w:rFonts w:asciiTheme="minorHAnsi" w:eastAsiaTheme="minorHAnsi" w:hAnsiTheme="minorHAnsi" w:cstheme="minorHAnsi"/>
          <w:sz w:val="24"/>
          <w:lang w:val="es-CL" w:eastAsia="en-US"/>
        </w:rPr>
        <w:footnoteReference w:id="39"/>
      </w:r>
      <w:r w:rsidRPr="008825F1">
        <w:rPr>
          <w:rFonts w:asciiTheme="minorHAnsi" w:eastAsiaTheme="minorHAnsi" w:hAnsiTheme="minorHAnsi" w:cstheme="minorHAnsi"/>
          <w:sz w:val="24"/>
          <w:lang w:val="es-CL" w:eastAsia="en-US"/>
        </w:rPr>
        <w:t xml:space="preserve"> es una prestación no informada. Las mujeres manifiestan falta de conocimiento sobre las causales, cómo acceder y donde orientarse. El Ministerio de Salud no ha distribuido material de información a las mujeres en los consultorios y en las comunidades. Resulta sorprendente que, hasta marzo de 2019, el material disponible que aparece mencionado en este monitoreo lo haya producido el propio personal de salud y que además sea de circulación restringida. La falta de información sobre la ley afecta la posibilidad de acceder al derecho a la IVE en estas causales pues sobre el aborto hay </w:t>
      </w:r>
      <w:r w:rsidRPr="008825F1">
        <w:rPr>
          <w:rFonts w:asciiTheme="minorHAnsi" w:eastAsiaTheme="minorHAnsi" w:hAnsiTheme="minorHAnsi" w:cstheme="minorHAnsi"/>
          <w:sz w:val="24"/>
          <w:lang w:val="es-CL" w:eastAsia="en-US"/>
        </w:rPr>
        <w:lastRenderedPageBreak/>
        <w:t>estigma y las mujeres evitan consultar. Si es así con las adultas, la distancia al ejercicio es aún mayor en el caso de las niñas y las adolescentes”</w:t>
      </w:r>
      <w:r w:rsidRPr="008825F1">
        <w:rPr>
          <w:rStyle w:val="Refdenotaalpie"/>
          <w:rFonts w:asciiTheme="minorHAnsi" w:eastAsiaTheme="minorHAnsi" w:hAnsiTheme="minorHAnsi" w:cstheme="minorHAnsi"/>
          <w:sz w:val="24"/>
          <w:lang w:val="es-CL" w:eastAsia="en-US"/>
        </w:rPr>
        <w:footnoteReference w:id="40"/>
      </w:r>
      <w:r w:rsidRPr="008825F1">
        <w:rPr>
          <w:rFonts w:asciiTheme="minorHAnsi" w:eastAsiaTheme="minorHAnsi" w:hAnsiTheme="minorHAnsi" w:cstheme="minorHAnsi"/>
          <w:sz w:val="24"/>
          <w:lang w:val="es-CL" w:eastAsia="en-US"/>
        </w:rPr>
        <w:t>.</w:t>
      </w:r>
      <w:r w:rsidRPr="008825F1">
        <w:rPr>
          <w:rFonts w:asciiTheme="minorHAnsi" w:hAnsiTheme="minorHAnsi" w:cstheme="minorHAnsi"/>
          <w:sz w:val="24"/>
        </w:rPr>
        <w:t xml:space="preserve"> </w:t>
      </w:r>
    </w:p>
    <w:p w14:paraId="3336619A" w14:textId="77777777" w:rsidR="00267E55" w:rsidRPr="008825F1" w:rsidRDefault="00267E55" w:rsidP="00267E55">
      <w:pPr>
        <w:autoSpaceDE w:val="0"/>
        <w:autoSpaceDN w:val="0"/>
        <w:adjustRightInd w:val="0"/>
        <w:spacing w:after="120" w:line="240" w:lineRule="auto"/>
        <w:rPr>
          <w:rFonts w:asciiTheme="minorHAnsi" w:hAnsiTheme="minorHAnsi" w:cstheme="minorHAnsi"/>
          <w:sz w:val="24"/>
        </w:rPr>
      </w:pPr>
      <w:r w:rsidRPr="008825F1">
        <w:rPr>
          <w:rFonts w:asciiTheme="minorHAnsi" w:eastAsiaTheme="minorHAnsi" w:hAnsiTheme="minorHAnsi" w:cstheme="minorHAnsi"/>
          <w:sz w:val="24"/>
          <w:lang w:eastAsia="en-US"/>
        </w:rPr>
        <w:t>“</w:t>
      </w:r>
      <w:r w:rsidRPr="008825F1">
        <w:rPr>
          <w:rFonts w:asciiTheme="minorHAnsi" w:eastAsiaTheme="minorHAnsi" w:hAnsiTheme="minorHAnsi" w:cstheme="minorHAnsi"/>
          <w:sz w:val="24"/>
          <w:lang w:val="es-CL" w:eastAsia="en-US"/>
        </w:rPr>
        <w:t>En la red asistencial, es decir cuando ya se está la ruta de atención, los problemas con la información se mantienen. En la APS</w:t>
      </w:r>
      <w:r w:rsidRPr="008825F1">
        <w:rPr>
          <w:rStyle w:val="Refdenotaalpie"/>
          <w:rFonts w:asciiTheme="minorHAnsi" w:eastAsiaTheme="minorHAnsi" w:hAnsiTheme="minorHAnsi" w:cstheme="minorHAnsi"/>
          <w:sz w:val="24"/>
          <w:lang w:val="es-CL" w:eastAsia="en-US"/>
        </w:rPr>
        <w:footnoteReference w:id="41"/>
      </w:r>
      <w:r w:rsidRPr="008825F1">
        <w:rPr>
          <w:rFonts w:asciiTheme="minorHAnsi" w:eastAsiaTheme="minorHAnsi" w:hAnsiTheme="minorHAnsi" w:cstheme="minorHAnsi"/>
          <w:sz w:val="24"/>
          <w:lang w:val="es-CL" w:eastAsia="en-US"/>
        </w:rPr>
        <w:t>, la gran mayoría de los establecimientos carece de protocolos para informar, y se da cuenta de situaciones donde mujeres que pudieran haber estado en las causales fueron derivadas sin información suficiente, e incluso se detecta una instrucción de evitar informar antes de derivar. En los ARO</w:t>
      </w:r>
      <w:r w:rsidRPr="008825F1">
        <w:rPr>
          <w:rStyle w:val="Refdenotaalpie"/>
          <w:rFonts w:asciiTheme="minorHAnsi" w:eastAsiaTheme="minorHAnsi" w:hAnsiTheme="minorHAnsi" w:cstheme="minorHAnsi"/>
          <w:sz w:val="24"/>
          <w:lang w:val="es-CL" w:eastAsia="en-US"/>
        </w:rPr>
        <w:footnoteReference w:id="42"/>
      </w:r>
      <w:r w:rsidRPr="008825F1">
        <w:rPr>
          <w:rFonts w:asciiTheme="minorHAnsi" w:eastAsiaTheme="minorHAnsi" w:hAnsiTheme="minorHAnsi" w:cstheme="minorHAnsi"/>
          <w:sz w:val="24"/>
          <w:lang w:val="es-CL" w:eastAsia="en-US"/>
        </w:rPr>
        <w:t>, aparecen relatos que muestran poca empatía y lenguaje técnico, y escasa información sobre procesos y procedimientos”</w:t>
      </w:r>
      <w:r w:rsidRPr="008825F1">
        <w:rPr>
          <w:rStyle w:val="Refdenotaalpie"/>
          <w:rFonts w:asciiTheme="minorHAnsi" w:eastAsiaTheme="minorHAnsi" w:hAnsiTheme="minorHAnsi" w:cstheme="minorHAnsi"/>
          <w:sz w:val="24"/>
          <w:lang w:val="es-CL" w:eastAsia="en-US"/>
        </w:rPr>
        <w:footnoteReference w:id="43"/>
      </w:r>
      <w:r w:rsidRPr="008825F1">
        <w:rPr>
          <w:rFonts w:asciiTheme="minorHAnsi" w:eastAsiaTheme="minorHAnsi" w:hAnsiTheme="minorHAnsi" w:cstheme="minorHAnsi"/>
          <w:sz w:val="24"/>
          <w:lang w:val="es-CL" w:eastAsia="en-US"/>
        </w:rPr>
        <w:t>.</w:t>
      </w:r>
    </w:p>
    <w:p w14:paraId="484B119C" w14:textId="77777777" w:rsidR="00267E55" w:rsidRPr="008825F1" w:rsidRDefault="00267E55" w:rsidP="00267E55">
      <w:pPr>
        <w:spacing w:after="120" w:line="240" w:lineRule="auto"/>
        <w:rPr>
          <w:rFonts w:asciiTheme="minorHAnsi" w:hAnsiTheme="minorHAnsi" w:cstheme="minorHAnsi"/>
          <w:b/>
          <w:sz w:val="24"/>
          <w:u w:val="single"/>
        </w:rPr>
      </w:pPr>
      <w:r w:rsidRPr="008825F1">
        <w:rPr>
          <w:rFonts w:asciiTheme="minorHAnsi" w:hAnsiTheme="minorHAnsi" w:cstheme="minorHAnsi"/>
          <w:sz w:val="24"/>
        </w:rPr>
        <w:t xml:space="preserve">En el caso de las mujeres privadas de libertad, no existen registros referentes a salud sexual y reproductiva y a Infecciones y Enfermedades de Transmisión Sexual. Tampoco sobre morbilidad y la real cobertura de los servicios de salud. Todo lo anterior supone una vulneración de su derecho a la salud. </w:t>
      </w:r>
    </w:p>
    <w:p w14:paraId="02EF5E26" w14:textId="77777777" w:rsidR="00267E55" w:rsidRPr="008825F1" w:rsidRDefault="00267E55" w:rsidP="00267E55">
      <w:pPr>
        <w:pStyle w:val="Default"/>
        <w:jc w:val="both"/>
        <w:rPr>
          <w:rFonts w:asciiTheme="minorHAnsi" w:hAnsiTheme="minorHAnsi" w:cstheme="minorHAnsi"/>
          <w:b/>
          <w:bCs/>
          <w:color w:val="auto"/>
          <w:lang w:val="es-ES"/>
        </w:rPr>
      </w:pPr>
      <w:r w:rsidRPr="008825F1">
        <w:rPr>
          <w:rFonts w:asciiTheme="minorHAnsi" w:hAnsiTheme="minorHAnsi" w:cstheme="minorHAnsi"/>
          <w:b/>
          <w:bCs/>
          <w:color w:val="auto"/>
          <w:lang w:val="es-ES"/>
        </w:rPr>
        <w:t>Se le solicita al Comité consultar al Estado:</w:t>
      </w:r>
    </w:p>
    <w:p w14:paraId="33FB8E6E" w14:textId="77777777" w:rsidR="00267E55" w:rsidRPr="008825F1" w:rsidRDefault="00267E55" w:rsidP="00267E55">
      <w:pPr>
        <w:pStyle w:val="Default"/>
        <w:numPr>
          <w:ilvl w:val="0"/>
          <w:numId w:val="3"/>
        </w:numPr>
        <w:jc w:val="both"/>
        <w:rPr>
          <w:rFonts w:asciiTheme="minorHAnsi" w:hAnsiTheme="minorHAnsi" w:cstheme="minorHAnsi"/>
          <w:b/>
          <w:bCs/>
          <w:color w:val="auto"/>
          <w:lang w:val="es-ES"/>
        </w:rPr>
      </w:pPr>
      <w:r w:rsidRPr="008825F1">
        <w:rPr>
          <w:rFonts w:asciiTheme="minorHAnsi" w:hAnsiTheme="minorHAnsi" w:cstheme="minorHAnsi"/>
          <w:b/>
          <w:bCs/>
          <w:color w:val="auto"/>
          <w:lang w:val="es-ES"/>
        </w:rPr>
        <w:t>Qué medidas ha implementado para garantizar a las mujeres el derecho que les otorga la Ley N°21.030</w:t>
      </w:r>
      <w:r>
        <w:rPr>
          <w:rFonts w:asciiTheme="minorHAnsi" w:hAnsiTheme="minorHAnsi" w:cstheme="minorHAnsi"/>
          <w:b/>
          <w:bCs/>
          <w:color w:val="auto"/>
          <w:lang w:val="es-ES"/>
        </w:rPr>
        <w:t>.</w:t>
      </w:r>
      <w:r w:rsidRPr="008825F1">
        <w:rPr>
          <w:rFonts w:asciiTheme="minorHAnsi" w:hAnsiTheme="minorHAnsi" w:cstheme="minorHAnsi"/>
          <w:b/>
          <w:bCs/>
          <w:color w:val="auto"/>
          <w:lang w:val="es-ES"/>
        </w:rPr>
        <w:t xml:space="preserve"> </w:t>
      </w:r>
    </w:p>
    <w:p w14:paraId="5493D566" w14:textId="77777777" w:rsidR="00267E55" w:rsidRPr="008825F1" w:rsidRDefault="00267E55" w:rsidP="00267E55">
      <w:pPr>
        <w:pStyle w:val="Default"/>
        <w:numPr>
          <w:ilvl w:val="0"/>
          <w:numId w:val="3"/>
        </w:numPr>
        <w:jc w:val="both"/>
        <w:rPr>
          <w:rFonts w:asciiTheme="minorHAnsi" w:hAnsiTheme="minorHAnsi" w:cstheme="minorHAnsi"/>
          <w:b/>
          <w:bCs/>
          <w:color w:val="auto"/>
          <w:lang w:val="es-ES"/>
        </w:rPr>
      </w:pPr>
      <w:r w:rsidRPr="008825F1">
        <w:rPr>
          <w:rFonts w:asciiTheme="minorHAnsi" w:hAnsiTheme="minorHAnsi" w:cstheme="minorHAnsi"/>
          <w:b/>
          <w:bCs/>
          <w:color w:val="auto"/>
          <w:lang w:val="es-ES"/>
        </w:rPr>
        <w:t>Qué acciones de monitoreo ha implementado para evaluar las eventuales dificultades con que se encuentran las mujeres para acceder a la IVE por las tres causales</w:t>
      </w:r>
      <w:r>
        <w:rPr>
          <w:rFonts w:asciiTheme="minorHAnsi" w:hAnsiTheme="minorHAnsi" w:cstheme="minorHAnsi"/>
          <w:b/>
          <w:bCs/>
          <w:color w:val="auto"/>
          <w:lang w:val="es-ES"/>
        </w:rPr>
        <w:t>.</w:t>
      </w:r>
    </w:p>
    <w:p w14:paraId="466E86D1" w14:textId="77777777" w:rsidR="00267E55" w:rsidRPr="008825F1" w:rsidRDefault="00267E55" w:rsidP="00267E55">
      <w:pPr>
        <w:pStyle w:val="Default"/>
        <w:numPr>
          <w:ilvl w:val="0"/>
          <w:numId w:val="3"/>
        </w:numPr>
        <w:jc w:val="both"/>
        <w:rPr>
          <w:rFonts w:asciiTheme="minorHAnsi" w:hAnsiTheme="minorHAnsi" w:cstheme="minorHAnsi"/>
          <w:b/>
          <w:bCs/>
          <w:color w:val="auto"/>
          <w:lang w:val="es-ES"/>
        </w:rPr>
      </w:pPr>
      <w:r w:rsidRPr="008825F1">
        <w:rPr>
          <w:rFonts w:asciiTheme="minorHAnsi" w:hAnsiTheme="minorHAnsi" w:cstheme="minorHAnsi"/>
          <w:b/>
          <w:bCs/>
          <w:color w:val="auto"/>
          <w:lang w:val="es-ES"/>
        </w:rPr>
        <w:t>Qué medidas ha implementado para garantizar a las mujeres privadas de libertad sus derechos sexuales y reproductivos.</w:t>
      </w:r>
    </w:p>
    <w:p w14:paraId="1936D4D2" w14:textId="77777777" w:rsidR="00267E55" w:rsidRDefault="00267E55" w:rsidP="00267E55">
      <w:pPr>
        <w:pStyle w:val="Default"/>
        <w:numPr>
          <w:ilvl w:val="0"/>
          <w:numId w:val="3"/>
        </w:numPr>
        <w:jc w:val="both"/>
        <w:rPr>
          <w:rFonts w:asciiTheme="minorHAnsi" w:hAnsiTheme="minorHAnsi" w:cstheme="minorHAnsi"/>
          <w:b/>
          <w:bCs/>
          <w:color w:val="auto"/>
          <w:lang w:val="es-ES"/>
        </w:rPr>
      </w:pPr>
      <w:r w:rsidRPr="008825F1">
        <w:rPr>
          <w:rFonts w:asciiTheme="minorHAnsi" w:hAnsiTheme="minorHAnsi" w:cstheme="minorHAnsi"/>
          <w:b/>
          <w:bCs/>
          <w:color w:val="auto"/>
          <w:lang w:val="es-ES"/>
        </w:rPr>
        <w:t xml:space="preserve">Qué medidas ha tomado para dejar de reconocer la objeción de conciencia como un derecho de las instituciones  privadas para no cumplir la ley, para reducir la objeción de conciencia individual y para asegurar la disponibilidad de profesionales no objetores/as en todos los establecimientos de salud que entregan atención </w:t>
      </w:r>
      <w:proofErr w:type="spellStart"/>
      <w:r w:rsidRPr="008825F1">
        <w:rPr>
          <w:rFonts w:asciiTheme="minorHAnsi" w:hAnsiTheme="minorHAnsi" w:cstheme="minorHAnsi"/>
          <w:b/>
          <w:bCs/>
          <w:color w:val="auto"/>
          <w:lang w:val="es-ES"/>
        </w:rPr>
        <w:t>gineco</w:t>
      </w:r>
      <w:proofErr w:type="spellEnd"/>
      <w:r w:rsidRPr="008825F1">
        <w:rPr>
          <w:rFonts w:asciiTheme="minorHAnsi" w:hAnsiTheme="minorHAnsi" w:cstheme="minorHAnsi"/>
          <w:b/>
          <w:bCs/>
          <w:color w:val="auto"/>
          <w:lang w:val="es-ES"/>
        </w:rPr>
        <w:t xml:space="preserve">-obstétrica con fondos públicos. </w:t>
      </w:r>
    </w:p>
    <w:p w14:paraId="678F4E69" w14:textId="77777777" w:rsidR="00267E55" w:rsidRPr="003321B9" w:rsidRDefault="00267E55" w:rsidP="00267E55">
      <w:pPr>
        <w:pStyle w:val="Default"/>
        <w:numPr>
          <w:ilvl w:val="0"/>
          <w:numId w:val="3"/>
        </w:numPr>
        <w:spacing w:after="120"/>
        <w:jc w:val="both"/>
        <w:rPr>
          <w:rFonts w:asciiTheme="minorHAnsi" w:hAnsiTheme="minorHAnsi" w:cs="Times"/>
          <w:b/>
          <w:szCs w:val="22"/>
        </w:rPr>
      </w:pPr>
      <w:r w:rsidRPr="003321B9">
        <w:rPr>
          <w:rFonts w:asciiTheme="minorHAnsi" w:hAnsiTheme="minorHAnsi" w:cs="Times"/>
          <w:b/>
          <w:szCs w:val="22"/>
        </w:rPr>
        <w:t>Qué medidas tomará para garantizar apoyo materno-infantil para madres con discapacidad y cómo planea otorgar educación sexual integral, accesible y pertinente para mujeres y niñas con discapacidad</w:t>
      </w:r>
    </w:p>
    <w:p w14:paraId="7FBFEEFA" w14:textId="77777777"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b/>
          <w:bCs/>
          <w:color w:val="auto"/>
        </w:rPr>
        <w:t xml:space="preserve">Derecho a la educación </w:t>
      </w:r>
    </w:p>
    <w:p w14:paraId="013FEF0D" w14:textId="77777777" w:rsidR="00267E55" w:rsidRPr="008825F1"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color w:val="auto"/>
        </w:rPr>
        <w:t>Preocupan los intentos legislativos por parte del actual gobierno de volver a la segregación escolar según rendimiento académico, lo que va en contra de los avances que se estaban dando con la ley de Inclusión ya que, en un intento de revertirla</w:t>
      </w:r>
      <w:r w:rsidRPr="008825F1">
        <w:rPr>
          <w:rFonts w:asciiTheme="minorHAnsi" w:hAnsiTheme="minorHAnsi" w:cstheme="minorHAnsi"/>
          <w:bCs/>
          <w:color w:val="auto"/>
        </w:rPr>
        <w:t>, la actual administración presentó en marzo de 2019 un proyecto de ley que “</w:t>
      </w:r>
      <w:r w:rsidRPr="008825F1">
        <w:rPr>
          <w:rFonts w:asciiTheme="minorHAnsi" w:hAnsiTheme="minorHAnsi" w:cstheme="minorHAnsi"/>
          <w:color w:val="auto"/>
          <w:shd w:val="clear" w:color="auto" w:fill="FFFFFF"/>
        </w:rPr>
        <w:t>Establece un sistema de selección por mérito con inclusión en los establecimientos educacionales de alta exigencia académica y de especialización temprana” (</w:t>
      </w:r>
      <w:r w:rsidRPr="008825F1">
        <w:rPr>
          <w:rFonts w:asciiTheme="minorHAnsi" w:hAnsiTheme="minorHAnsi" w:cstheme="minorHAnsi"/>
          <w:bCs/>
          <w:color w:val="auto"/>
        </w:rPr>
        <w:t xml:space="preserve">Boletín 12488-049) cuyo objetivo, de acuerdo al mensaje </w:t>
      </w:r>
      <w:r w:rsidRPr="008825F1">
        <w:rPr>
          <w:rFonts w:asciiTheme="minorHAnsi" w:hAnsiTheme="minorHAnsi" w:cstheme="minorHAnsi"/>
          <w:bCs/>
          <w:color w:val="auto"/>
        </w:rPr>
        <w:lastRenderedPageBreak/>
        <w:t>presidencial que lo sustenta, es “</w:t>
      </w:r>
      <w:r w:rsidRPr="008825F1">
        <w:rPr>
          <w:rFonts w:asciiTheme="minorHAnsi" w:hAnsiTheme="minorHAnsi" w:cstheme="minorHAnsi"/>
          <w:color w:val="auto"/>
        </w:rPr>
        <w:t>modificar las normas de admisión para establecimientos de alta exigencia y especialización temprana contenidas en la ley N° 20.845, permitiendo que los establecimientos educacionales de alta exigencia puedan establecer procedimientos propios de admisión que consideren el rendimiento académico, de acuerdo a criterios objetivos, a partir de séptimo básico. También se permite que los establecimientos educacionales de especialización temprana tengan sus propios procesos de admisión”. No obstante, el proyecto fue rechazado por la Cámara de Diputados y la Ministra de Educación ha anunciado su reposición dentro de un año.</w:t>
      </w:r>
    </w:p>
    <w:p w14:paraId="0CC26D83" w14:textId="77777777" w:rsidR="00267E55" w:rsidRPr="009016A4" w:rsidRDefault="00267E55" w:rsidP="00267E55">
      <w:pPr>
        <w:pStyle w:val="Default"/>
        <w:spacing w:after="120"/>
        <w:jc w:val="both"/>
        <w:rPr>
          <w:rFonts w:asciiTheme="minorHAnsi" w:hAnsiTheme="minorHAnsi" w:cstheme="minorHAnsi"/>
          <w:color w:val="auto"/>
        </w:rPr>
      </w:pPr>
      <w:r w:rsidRPr="009016A4">
        <w:rPr>
          <w:rFonts w:asciiTheme="minorHAnsi" w:hAnsiTheme="minorHAnsi" w:cstheme="minorHAnsi"/>
          <w:color w:val="auto"/>
        </w:rPr>
        <w:t xml:space="preserve">Continúan grandes diferencias tanto en infraestructura, recursos, personal y resultados académicos entre colegios privados y públicos. Si bien la Ley 21.040 estableció una nueva arquitectura organizacional para la educación pública, no contempló un cambio al sistema de financiamiento basado en </w:t>
      </w:r>
      <w:proofErr w:type="spellStart"/>
      <w:r w:rsidRPr="009016A4">
        <w:rPr>
          <w:rFonts w:asciiTheme="minorHAnsi" w:hAnsiTheme="minorHAnsi" w:cstheme="minorHAnsi"/>
          <w:i/>
          <w:color w:val="auto"/>
        </w:rPr>
        <w:t>vouchers</w:t>
      </w:r>
      <w:proofErr w:type="spellEnd"/>
      <w:r w:rsidRPr="009016A4">
        <w:rPr>
          <w:rFonts w:asciiTheme="minorHAnsi" w:hAnsiTheme="minorHAnsi" w:cstheme="minorHAnsi"/>
          <w:color w:val="auto"/>
        </w:rPr>
        <w:t xml:space="preserve"> por asistencia de estudiantes</w:t>
      </w:r>
      <w:r w:rsidRPr="009016A4">
        <w:rPr>
          <w:rFonts w:asciiTheme="minorHAnsi" w:hAnsiTheme="minorHAnsi" w:cstheme="minorHAnsi"/>
          <w:i/>
          <w:color w:val="auto"/>
        </w:rPr>
        <w:t>.</w:t>
      </w:r>
      <w:r w:rsidRPr="009016A4">
        <w:rPr>
          <w:rFonts w:asciiTheme="minorHAnsi" w:hAnsiTheme="minorHAnsi" w:cstheme="minorHAnsi"/>
          <w:color w:val="auto"/>
        </w:rPr>
        <w:t xml:space="preserve"> Este incentivo a la competencia entre escuelas entrega recursos variables a una estructura de costos fijos, afectando especialmente a las escuelas de sectores de bajos ingresos, donde aumentan tanto el ausentismo como el costo por estudiante, y al objetivo de reducir el promedio de estudiantes por aula y la segregación social de la calidad de la educación.</w:t>
      </w:r>
    </w:p>
    <w:p w14:paraId="19EFFF61" w14:textId="77777777" w:rsidR="00267E55" w:rsidRPr="009016A4" w:rsidRDefault="00267E55" w:rsidP="00267E55">
      <w:pPr>
        <w:pStyle w:val="Default"/>
        <w:spacing w:after="120"/>
        <w:jc w:val="both"/>
        <w:rPr>
          <w:rFonts w:asciiTheme="minorHAnsi" w:hAnsiTheme="minorHAnsi" w:cstheme="minorHAnsi"/>
          <w:color w:val="auto"/>
        </w:rPr>
      </w:pPr>
      <w:r w:rsidRPr="009016A4">
        <w:rPr>
          <w:rFonts w:asciiTheme="minorHAnsi" w:hAnsiTheme="minorHAnsi" w:cstheme="minorHAnsi"/>
          <w:color w:val="auto"/>
        </w:rPr>
        <w:t xml:space="preserve">En materia de educación pre-escolar, preocupan la ausencia de oferta pública universal y la desvalorización del trabajo docente de educadoras/es de párvulos y diferenciales. Al no existir educación </w:t>
      </w:r>
      <w:proofErr w:type="spellStart"/>
      <w:r w:rsidRPr="009016A4">
        <w:rPr>
          <w:rFonts w:asciiTheme="minorHAnsi" w:hAnsiTheme="minorHAnsi" w:cstheme="minorHAnsi"/>
          <w:color w:val="auto"/>
        </w:rPr>
        <w:t>parvularia</w:t>
      </w:r>
      <w:proofErr w:type="spellEnd"/>
      <w:r w:rsidRPr="009016A4">
        <w:rPr>
          <w:rFonts w:asciiTheme="minorHAnsi" w:hAnsiTheme="minorHAnsi" w:cstheme="minorHAnsi"/>
          <w:color w:val="auto"/>
        </w:rPr>
        <w:t xml:space="preserve"> pública para sectores medios y altos, sino sólo para la población calificada como vulnerable, existen pocos incentivos políticos para comprometer al Estado con el mejoramiento de su calidad e integralidad, así como para contrarrestar la segmentación social de la oferta en un nivel de vital importancia para el desarrollo de la infancia. Síntoma y reacción contra esta deuda fue la importante movilización nacional del gremio docente en 2019, en la que por primera vez adquirieron protagonismo demandas de educadoras iniciales y diferenciales, como el no pago del Bono de Reconocimiento Profesional que les corresponde por la Ley 20.158 aprobada en 2006.</w:t>
      </w:r>
    </w:p>
    <w:p w14:paraId="2724E17A" w14:textId="77777777" w:rsidR="00267E55" w:rsidRPr="000733D3" w:rsidRDefault="00267E55" w:rsidP="00267E55">
      <w:pPr>
        <w:pStyle w:val="Default"/>
        <w:spacing w:after="120"/>
        <w:jc w:val="both"/>
        <w:rPr>
          <w:rFonts w:asciiTheme="minorHAnsi" w:hAnsiTheme="minorHAnsi" w:cstheme="minorHAnsi"/>
          <w:color w:val="auto"/>
        </w:rPr>
      </w:pPr>
      <w:r w:rsidRPr="009016A4">
        <w:rPr>
          <w:rFonts w:asciiTheme="minorHAnsi" w:hAnsiTheme="minorHAnsi" w:cstheme="minorHAnsi"/>
          <w:color w:val="auto"/>
        </w:rPr>
        <w:t>En el ámbito de la educación sexual, se observa una ausencia de políticas efectivas que garanticen el derecho de niñas, niños adolescentes a recibir educación afectiva y en sexualidad, contribuyendo a la prevención de contagios de VIH y enfermedades de transmisión sexual, así como del abuso sexual infantil y la violencia de género, ámbitos en los que se registran alarmantes aumentos en años recientes.</w:t>
      </w:r>
    </w:p>
    <w:p w14:paraId="4CEACE1D" w14:textId="77777777" w:rsidR="00267E55"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bCs/>
          <w:color w:val="auto"/>
        </w:rPr>
        <w:t xml:space="preserve">A principios de 2019, el Estado de Chile promulgó la ley 21.128 denominada “Aula Segura”, que permite la expulsión de estudiantes por vía administrativa, medida que se está aplicando sin resguardo al debido proceso. Los procesos denominados “Aula Segura” se inician tras la detención de estudiantes al interior de los establecimientos en los cuales se están desarrollando acciones de movilización y protesta, sin distinguir si estos participan o no de los incidentes, imputándoseles cargos sin pruebas, tales como la confección, porte y lanzamiento de material incendiario, vulnerando el principio de inocencia y la consideración de que todos los estudiantes son menores de edad. Las notificaciones de aplicación de esta Ley son firmadas por los directores de los respectivos liceos. Los descargos o defensas se deben dirigir por escrito al mismo director que acusa. </w:t>
      </w:r>
      <w:r w:rsidRPr="008825F1">
        <w:rPr>
          <w:rFonts w:asciiTheme="minorHAnsi" w:hAnsiTheme="minorHAnsi" w:cstheme="minorHAnsi"/>
          <w:bCs/>
          <w:color w:val="auto"/>
        </w:rPr>
        <w:lastRenderedPageBreak/>
        <w:t xml:space="preserve">Es decir, son Juez y parte en estos procesos. Paralelamente, los y las estudiantes son suspendidos por 10 días en esta fase investigativa, en circunstancias que dicha medida precautoria está indicada en la ley en la fase sancionatoria. En muchos casos los y las estudiantes se ven privados además de su almuerzo escolar, provisto por el Estado, producto de esta medida. No existe aún un reglamento para la aplicación de esta ley y, en la mayoría de los casos, se aplica sin la actualización de los Manuales de Convivencia, como ha sucedido en el Instituto Nacional José Miguel Carrera. </w:t>
      </w:r>
    </w:p>
    <w:p w14:paraId="66F206FC" w14:textId="77777777" w:rsidR="00267E55" w:rsidRPr="008825F1" w:rsidRDefault="00267E55" w:rsidP="00267E55">
      <w:pPr>
        <w:pStyle w:val="Default"/>
        <w:spacing w:after="120"/>
        <w:jc w:val="both"/>
        <w:rPr>
          <w:rFonts w:asciiTheme="minorHAnsi" w:hAnsiTheme="minorHAnsi" w:cstheme="minorHAnsi"/>
          <w:bCs/>
          <w:color w:val="auto"/>
        </w:rPr>
      </w:pPr>
      <w:r>
        <w:rPr>
          <w:rFonts w:asciiTheme="minorHAnsi" w:hAnsiTheme="minorHAnsi" w:cstheme="minorHAnsi"/>
          <w:bCs/>
          <w:color w:val="auto"/>
        </w:rPr>
        <w:t>La ley Aula Segura tampoco contempla un resguardo efectivo del derecho a la educación de los estudiantes. Si bien la ley obliga a las escuelas a encontrar cupo en otro establecimiento al estudiante expulsado, se han conocido casos de liceos que amenazan a los adolescentes y sus familias con la aplicación de Aula Segura para forzar su salida “voluntaria”, desligando así a la institución de su responsabilidad con el derecho a la educación del estudiante en cuestión.</w:t>
      </w:r>
    </w:p>
    <w:p w14:paraId="6E02EEF9" w14:textId="77777777" w:rsidR="00267E55" w:rsidRPr="008825F1" w:rsidRDefault="00267E55" w:rsidP="00267E55">
      <w:pPr>
        <w:pStyle w:val="NormalWeb"/>
        <w:spacing w:before="0" w:beforeAutospacing="0" w:after="120" w:afterAutospacing="0"/>
        <w:jc w:val="both"/>
        <w:rPr>
          <w:rFonts w:asciiTheme="minorHAnsi" w:hAnsiTheme="minorHAnsi" w:cstheme="minorHAnsi"/>
        </w:rPr>
      </w:pPr>
      <w:r w:rsidRPr="008825F1">
        <w:rPr>
          <w:rFonts w:asciiTheme="minorHAnsi" w:hAnsiTheme="minorHAnsi" w:cstheme="minorHAnsi"/>
        </w:rPr>
        <w:t>El movimiento estudiantil secundario lleva muchos años solicitando educación pública, gratuita y de calidad. Los petitorios de los colegios, en general, solicitan además el dignificar las condiciones en las que estudian. A modo de ejemplo, el Instituto Nacional José Miguel Carrera, de la comuna de Santiago, en la Región Metropolitana, en su petitorio 2019</w:t>
      </w:r>
      <w:r w:rsidRPr="008825F1">
        <w:rPr>
          <w:rStyle w:val="Refdenotaalpie"/>
          <w:rFonts w:asciiTheme="minorHAnsi" w:hAnsiTheme="minorHAnsi" w:cstheme="minorHAnsi"/>
        </w:rPr>
        <w:footnoteReference w:id="44"/>
      </w:r>
      <w:r w:rsidRPr="008825F1">
        <w:rPr>
          <w:rFonts w:asciiTheme="minorHAnsi" w:hAnsiTheme="minorHAnsi" w:cstheme="minorHAnsi"/>
        </w:rPr>
        <w:t xml:space="preserve"> demanda la implementación y/o mejora de la educación sexual, cívica y </w:t>
      </w:r>
      <w:r w:rsidRPr="00704558">
        <w:rPr>
          <w:rFonts w:asciiTheme="minorHAnsi" w:hAnsiTheme="minorHAnsi" w:cstheme="minorHAnsi"/>
        </w:rPr>
        <w:t>mental dentro del plan común del currículo escolar, todo esto en miras de un establecimiento </w:t>
      </w:r>
      <w:proofErr w:type="spellStart"/>
      <w:r w:rsidRPr="00704558">
        <w:rPr>
          <w:rFonts w:asciiTheme="minorHAnsi" w:hAnsiTheme="minorHAnsi" w:cstheme="minorHAnsi"/>
        </w:rPr>
        <w:t>plurisexual</w:t>
      </w:r>
      <w:proofErr w:type="spellEnd"/>
      <w:r w:rsidRPr="00704558">
        <w:rPr>
          <w:rFonts w:asciiTheme="minorHAnsi" w:hAnsiTheme="minorHAnsi" w:cstheme="minorHAnsi"/>
        </w:rPr>
        <w:t xml:space="preserve"> y </w:t>
      </w:r>
      <w:proofErr w:type="spellStart"/>
      <w:r w:rsidRPr="00704558">
        <w:rPr>
          <w:rFonts w:asciiTheme="minorHAnsi" w:hAnsiTheme="minorHAnsi" w:cstheme="minorHAnsi"/>
        </w:rPr>
        <w:t>coeducativo</w:t>
      </w:r>
      <w:proofErr w:type="spellEnd"/>
      <w:r w:rsidRPr="00704558">
        <w:rPr>
          <w:rFonts w:asciiTheme="minorHAnsi" w:hAnsiTheme="minorHAnsi" w:cstheme="minorHAnsi"/>
        </w:rPr>
        <w:t>. También</w:t>
      </w:r>
      <w:r w:rsidRPr="00704558">
        <w:rPr>
          <w:rFonts w:asciiTheme="minorHAnsi" w:hAnsiTheme="minorHAnsi" w:cstheme="minorHAnsi"/>
          <w:b/>
        </w:rPr>
        <w:t xml:space="preserve"> </w:t>
      </w:r>
      <w:r w:rsidRPr="00704558">
        <w:rPr>
          <w:rStyle w:val="Textoennegrita"/>
          <w:rFonts w:asciiTheme="minorHAnsi" w:eastAsia="Arial Unicode MS" w:hAnsiTheme="minorHAnsi" w:cstheme="minorHAnsi"/>
          <w:b w:val="0"/>
        </w:rPr>
        <w:t>exigen mayor transparencia en cuanto a la rendición de cuentas de los fondos Subvención Escolar Preferencial y de la subvención escolar. S</w:t>
      </w:r>
      <w:r w:rsidRPr="00704558">
        <w:rPr>
          <w:rFonts w:asciiTheme="minorHAnsi" w:hAnsiTheme="minorHAnsi" w:cstheme="minorHAnsi"/>
        </w:rPr>
        <w:t>olicitan generar foros Inter estamentales constantes para tratar y</w:t>
      </w:r>
      <w:r w:rsidRPr="008825F1">
        <w:rPr>
          <w:rFonts w:asciiTheme="minorHAnsi" w:hAnsiTheme="minorHAnsi" w:cstheme="minorHAnsi"/>
        </w:rPr>
        <w:t xml:space="preserve"> avanzar en temas de convivencia escolar dentro de la comunidad educativa. Exigen medidas del ámbito de la salubridad, como lo es la reparación de filtraciones de cañerías, agua caliente en calderas, adaptación de baños, solución de problemas del cableado eléctrico, control de plaga de ratones. En el plano nacional, piden la derogación de la ley Aula Segura, la </w:t>
      </w:r>
      <w:proofErr w:type="spellStart"/>
      <w:r w:rsidRPr="008825F1">
        <w:rPr>
          <w:rFonts w:asciiTheme="minorHAnsi" w:hAnsiTheme="minorHAnsi" w:cstheme="minorHAnsi"/>
        </w:rPr>
        <w:t>desmunicipalización</w:t>
      </w:r>
      <w:proofErr w:type="spellEnd"/>
      <w:r w:rsidRPr="008825F1">
        <w:rPr>
          <w:rFonts w:asciiTheme="minorHAnsi" w:hAnsiTheme="minorHAnsi" w:cstheme="minorHAnsi"/>
        </w:rPr>
        <w:t xml:space="preserve"> efectiva y el fin al sistema de “</w:t>
      </w:r>
      <w:proofErr w:type="spellStart"/>
      <w:r w:rsidRPr="008825F1">
        <w:rPr>
          <w:rFonts w:asciiTheme="minorHAnsi" w:hAnsiTheme="minorHAnsi" w:cstheme="minorHAnsi"/>
        </w:rPr>
        <w:t>voucher</w:t>
      </w:r>
      <w:proofErr w:type="spellEnd"/>
      <w:r w:rsidRPr="008825F1">
        <w:rPr>
          <w:rFonts w:asciiTheme="minorHAnsi" w:hAnsiTheme="minorHAnsi" w:cstheme="minorHAnsi"/>
        </w:rPr>
        <w:t>” de financiamiento. Asimismo, rechazan el proyecto de ley Admisión Justa y la ley de Control preventivo de identidad a menores de edad.</w:t>
      </w:r>
    </w:p>
    <w:p w14:paraId="0196C936" w14:textId="77777777"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color w:val="auto"/>
        </w:rPr>
        <w:t>Estas demandas son similares a las de otros liceos de la Comuna de Santiago. El Municipio en su calidad de Sostenedor de estos colegios y liceos, no ha respondido adecuadamente a dichas demandas. Sin embargo, en el Instituto Nacional, en vez de invertir en infraestructura, ha invertido en cámaras de vigilancia</w:t>
      </w:r>
      <w:r w:rsidRPr="008825F1">
        <w:rPr>
          <w:rStyle w:val="Refdenotaalpie"/>
          <w:rFonts w:asciiTheme="minorHAnsi" w:hAnsiTheme="minorHAnsi" w:cstheme="minorHAnsi"/>
          <w:color w:val="auto"/>
        </w:rPr>
        <w:footnoteReference w:id="45"/>
      </w:r>
      <w:r w:rsidRPr="008825F1">
        <w:rPr>
          <w:rFonts w:asciiTheme="minorHAnsi" w:hAnsiTheme="minorHAnsi" w:cstheme="minorHAnsi"/>
          <w:color w:val="auto"/>
        </w:rPr>
        <w:t xml:space="preserve">. </w:t>
      </w:r>
    </w:p>
    <w:p w14:paraId="4B9BD229" w14:textId="77777777" w:rsidR="00704558" w:rsidRDefault="00704558">
      <w:pPr>
        <w:spacing w:after="200" w:line="276" w:lineRule="auto"/>
        <w:jc w:val="left"/>
        <w:rPr>
          <w:rFonts w:asciiTheme="minorHAnsi" w:eastAsiaTheme="minorHAnsi" w:hAnsiTheme="minorHAnsi" w:cstheme="minorHAnsi"/>
          <w:b/>
          <w:bCs/>
          <w:sz w:val="24"/>
          <w:lang w:val="es-CL" w:eastAsia="en-US"/>
        </w:rPr>
      </w:pPr>
      <w:r>
        <w:rPr>
          <w:rFonts w:asciiTheme="minorHAnsi" w:hAnsiTheme="minorHAnsi" w:cstheme="minorHAnsi"/>
          <w:b/>
          <w:bCs/>
        </w:rPr>
        <w:br w:type="page"/>
      </w:r>
    </w:p>
    <w:p w14:paraId="10B1CEBF" w14:textId="044E5191" w:rsidR="00267E55" w:rsidRPr="009016A4" w:rsidRDefault="00267E55" w:rsidP="00267E55">
      <w:pPr>
        <w:pStyle w:val="Default"/>
        <w:jc w:val="both"/>
        <w:rPr>
          <w:rFonts w:asciiTheme="minorHAnsi" w:hAnsiTheme="minorHAnsi" w:cstheme="minorHAnsi"/>
          <w:b/>
          <w:bCs/>
          <w:color w:val="auto"/>
        </w:rPr>
      </w:pPr>
      <w:r w:rsidRPr="009016A4">
        <w:rPr>
          <w:rFonts w:asciiTheme="minorHAnsi" w:hAnsiTheme="minorHAnsi" w:cstheme="minorHAnsi"/>
          <w:b/>
          <w:bCs/>
          <w:color w:val="auto"/>
        </w:rPr>
        <w:lastRenderedPageBreak/>
        <w:t>Se solicita al Comité consultar al Estado sobre:</w:t>
      </w:r>
    </w:p>
    <w:p w14:paraId="10553CB9" w14:textId="77777777" w:rsidR="00267E55" w:rsidRPr="009016A4" w:rsidRDefault="00267E55" w:rsidP="00267E55">
      <w:pPr>
        <w:pStyle w:val="Default"/>
        <w:numPr>
          <w:ilvl w:val="0"/>
          <w:numId w:val="1"/>
        </w:numPr>
        <w:jc w:val="both"/>
        <w:rPr>
          <w:rFonts w:asciiTheme="minorHAnsi" w:hAnsiTheme="minorHAnsi" w:cstheme="minorHAnsi"/>
          <w:b/>
          <w:bCs/>
          <w:color w:val="auto"/>
        </w:rPr>
      </w:pPr>
      <w:r w:rsidRPr="009016A4">
        <w:rPr>
          <w:rFonts w:asciiTheme="minorHAnsi" w:hAnsiTheme="minorHAnsi" w:cstheme="minorHAnsi"/>
          <w:b/>
          <w:bCs/>
          <w:color w:val="auto"/>
        </w:rPr>
        <w:t>Cómo ha procurado un sistema de financiamiento para la educación escolar pública que garantice el derecho a la educación en condiciones de igualdad y no discriminación.</w:t>
      </w:r>
    </w:p>
    <w:p w14:paraId="31074130" w14:textId="77777777" w:rsidR="00267E55" w:rsidRPr="009016A4" w:rsidRDefault="00267E55" w:rsidP="00267E55">
      <w:pPr>
        <w:pStyle w:val="Prrafodelista"/>
        <w:numPr>
          <w:ilvl w:val="0"/>
          <w:numId w:val="1"/>
        </w:numPr>
        <w:rPr>
          <w:rFonts w:asciiTheme="minorHAnsi" w:eastAsiaTheme="minorHAnsi" w:hAnsiTheme="minorHAnsi" w:cstheme="minorHAnsi"/>
          <w:b/>
          <w:bCs/>
          <w:sz w:val="24"/>
          <w:lang w:val="es-CL" w:eastAsia="en-US"/>
        </w:rPr>
      </w:pPr>
      <w:r w:rsidRPr="009016A4">
        <w:rPr>
          <w:rFonts w:asciiTheme="minorHAnsi" w:eastAsiaTheme="minorHAnsi" w:hAnsiTheme="minorHAnsi" w:cstheme="minorHAnsi"/>
          <w:b/>
          <w:bCs/>
          <w:sz w:val="24"/>
          <w:lang w:val="es-CL" w:eastAsia="en-US"/>
        </w:rPr>
        <w:t>Qué medidas ha implementado para universalizar la oferta pública en el ámbito de la educación pre-escolar y mejorar las condiciones formativas y de trabajo de las y los educadores iniciales.</w:t>
      </w:r>
    </w:p>
    <w:p w14:paraId="7E5CA490" w14:textId="77777777" w:rsidR="00267E55" w:rsidRPr="009016A4" w:rsidRDefault="00267E55" w:rsidP="00267E55">
      <w:pPr>
        <w:pStyle w:val="Prrafodelista"/>
        <w:numPr>
          <w:ilvl w:val="0"/>
          <w:numId w:val="1"/>
        </w:numPr>
        <w:rPr>
          <w:rFonts w:asciiTheme="minorHAnsi" w:eastAsiaTheme="minorHAnsi" w:hAnsiTheme="minorHAnsi" w:cstheme="minorHAnsi"/>
          <w:b/>
          <w:bCs/>
          <w:sz w:val="24"/>
          <w:lang w:val="es-CL" w:eastAsia="en-US"/>
        </w:rPr>
      </w:pPr>
      <w:r w:rsidRPr="009016A4">
        <w:rPr>
          <w:rFonts w:asciiTheme="minorHAnsi" w:eastAsiaTheme="minorHAnsi" w:hAnsiTheme="minorHAnsi" w:cstheme="minorHAnsi"/>
          <w:b/>
          <w:bCs/>
          <w:sz w:val="24"/>
          <w:lang w:val="es-CL" w:eastAsia="en-US"/>
        </w:rPr>
        <w:t>Qué avances puede informar sobre la implementación de programas de educación sexual y afectiva en los establecimientos educacionales reconocidos por el Estado.</w:t>
      </w:r>
    </w:p>
    <w:p w14:paraId="432233DE" w14:textId="77777777" w:rsidR="00267E55" w:rsidRPr="008825F1" w:rsidRDefault="00267E55" w:rsidP="00267E55">
      <w:pPr>
        <w:pStyle w:val="Default"/>
        <w:numPr>
          <w:ilvl w:val="0"/>
          <w:numId w:val="1"/>
        </w:numPr>
        <w:jc w:val="both"/>
        <w:rPr>
          <w:rFonts w:asciiTheme="minorHAnsi" w:hAnsiTheme="minorHAnsi" w:cstheme="minorHAnsi"/>
          <w:b/>
          <w:bCs/>
          <w:color w:val="auto"/>
        </w:rPr>
      </w:pPr>
      <w:r w:rsidRPr="009016A4">
        <w:rPr>
          <w:rFonts w:asciiTheme="minorHAnsi" w:hAnsiTheme="minorHAnsi" w:cstheme="minorHAnsi"/>
          <w:b/>
          <w:bCs/>
          <w:color w:val="auto"/>
        </w:rPr>
        <w:t>Qué evidencia tiene el Estado de Chile sobre el efecto de la ley 21.128,</w:t>
      </w:r>
      <w:r w:rsidRPr="008825F1">
        <w:rPr>
          <w:rFonts w:asciiTheme="minorHAnsi" w:hAnsiTheme="minorHAnsi" w:cstheme="minorHAnsi"/>
          <w:b/>
          <w:bCs/>
          <w:color w:val="auto"/>
        </w:rPr>
        <w:t xml:space="preserve"> denominada “Aula Segura” para el cumplimiento del derecho a la No Discriminación.</w:t>
      </w:r>
    </w:p>
    <w:p w14:paraId="122C9E26" w14:textId="77777777" w:rsidR="00267E55" w:rsidRPr="008825F1" w:rsidRDefault="00267E55" w:rsidP="00267E55">
      <w:pPr>
        <w:pStyle w:val="Default"/>
        <w:numPr>
          <w:ilvl w:val="0"/>
          <w:numId w:val="1"/>
        </w:numPr>
        <w:jc w:val="both"/>
        <w:rPr>
          <w:rFonts w:asciiTheme="minorHAnsi" w:hAnsiTheme="minorHAnsi" w:cstheme="minorHAnsi"/>
          <w:b/>
          <w:bCs/>
          <w:color w:val="auto"/>
        </w:rPr>
      </w:pPr>
      <w:r w:rsidRPr="008825F1">
        <w:rPr>
          <w:rFonts w:asciiTheme="minorHAnsi" w:hAnsiTheme="minorHAnsi" w:cstheme="minorHAnsi"/>
          <w:b/>
          <w:bCs/>
          <w:color w:val="auto"/>
        </w:rPr>
        <w:t xml:space="preserve">De qué manera son compatibles los procesos y procedimientos de expulsión existentes en </w:t>
      </w:r>
      <w:proofErr w:type="gramStart"/>
      <w:r w:rsidRPr="008825F1">
        <w:rPr>
          <w:rFonts w:asciiTheme="minorHAnsi" w:hAnsiTheme="minorHAnsi" w:cstheme="minorHAnsi"/>
          <w:b/>
          <w:bCs/>
          <w:color w:val="auto"/>
        </w:rPr>
        <w:t>la legislación chilena y reforzados</w:t>
      </w:r>
      <w:proofErr w:type="gramEnd"/>
      <w:r w:rsidRPr="008825F1">
        <w:rPr>
          <w:rFonts w:asciiTheme="minorHAnsi" w:hAnsiTheme="minorHAnsi" w:cstheme="minorHAnsi"/>
          <w:b/>
          <w:bCs/>
          <w:color w:val="auto"/>
        </w:rPr>
        <w:t xml:space="preserve"> a través de la ley 21.128, denominada “Aula Segura”</w:t>
      </w:r>
      <w:r>
        <w:rPr>
          <w:rFonts w:asciiTheme="minorHAnsi" w:hAnsiTheme="minorHAnsi" w:cstheme="minorHAnsi"/>
          <w:b/>
          <w:bCs/>
          <w:color w:val="auto"/>
        </w:rPr>
        <w:t>,</w:t>
      </w:r>
      <w:r w:rsidRPr="008825F1">
        <w:rPr>
          <w:rFonts w:asciiTheme="minorHAnsi" w:hAnsiTheme="minorHAnsi" w:cstheme="minorHAnsi"/>
          <w:b/>
          <w:bCs/>
          <w:color w:val="auto"/>
        </w:rPr>
        <w:t xml:space="preserve"> con el cumplimiento del principio de Inclusión en el sistema de Educación Pública.</w:t>
      </w:r>
    </w:p>
    <w:p w14:paraId="54BBCAC1" w14:textId="77777777" w:rsidR="00267E55" w:rsidRDefault="00267E55" w:rsidP="00267E55">
      <w:pPr>
        <w:pStyle w:val="Default"/>
        <w:numPr>
          <w:ilvl w:val="0"/>
          <w:numId w:val="1"/>
        </w:numPr>
        <w:jc w:val="both"/>
        <w:rPr>
          <w:rFonts w:asciiTheme="minorHAnsi" w:hAnsiTheme="minorHAnsi" w:cstheme="minorHAnsi"/>
          <w:b/>
          <w:bCs/>
          <w:color w:val="auto"/>
        </w:rPr>
      </w:pPr>
      <w:r w:rsidRPr="008825F1">
        <w:rPr>
          <w:rFonts w:asciiTheme="minorHAnsi" w:hAnsiTheme="minorHAnsi" w:cstheme="minorHAnsi"/>
          <w:b/>
          <w:bCs/>
          <w:color w:val="auto"/>
        </w:rPr>
        <w:t>Cómo ha compatibilizado el Ministerio de Educación su campaña en contra de la Ley de Inclusión con su obligación legal de asegurar su implementación efectiva.</w:t>
      </w:r>
    </w:p>
    <w:p w14:paraId="435E3BBC" w14:textId="77777777" w:rsidR="00267E55" w:rsidRPr="008825F1" w:rsidRDefault="00267E55" w:rsidP="00267E55">
      <w:pPr>
        <w:pStyle w:val="Default"/>
        <w:numPr>
          <w:ilvl w:val="0"/>
          <w:numId w:val="1"/>
        </w:numPr>
        <w:jc w:val="both"/>
        <w:rPr>
          <w:rFonts w:asciiTheme="minorHAnsi" w:hAnsiTheme="minorHAnsi" w:cstheme="minorHAnsi"/>
          <w:b/>
          <w:bCs/>
          <w:color w:val="auto"/>
        </w:rPr>
      </w:pPr>
      <w:r w:rsidRPr="008825F1">
        <w:rPr>
          <w:rFonts w:asciiTheme="minorHAnsi" w:hAnsiTheme="minorHAnsi" w:cstheme="minorHAnsi"/>
          <w:b/>
          <w:bCs/>
          <w:color w:val="auto"/>
        </w:rPr>
        <w:t xml:space="preserve">De qué manera el Estado favorece la gobernanza democrática y participativa del sistema educacional.  </w:t>
      </w:r>
    </w:p>
    <w:p w14:paraId="11266B2C" w14:textId="77777777" w:rsidR="00267E55" w:rsidRPr="008825F1" w:rsidRDefault="00267E55" w:rsidP="00267E55">
      <w:pPr>
        <w:pStyle w:val="Default"/>
        <w:numPr>
          <w:ilvl w:val="0"/>
          <w:numId w:val="1"/>
        </w:numPr>
        <w:jc w:val="both"/>
        <w:rPr>
          <w:rFonts w:asciiTheme="minorHAnsi" w:hAnsiTheme="minorHAnsi" w:cstheme="minorHAnsi"/>
          <w:b/>
          <w:bCs/>
          <w:color w:val="auto"/>
        </w:rPr>
      </w:pPr>
      <w:r w:rsidRPr="008825F1">
        <w:rPr>
          <w:rFonts w:asciiTheme="minorHAnsi" w:hAnsiTheme="minorHAnsi" w:cstheme="minorHAnsi"/>
          <w:b/>
          <w:bCs/>
          <w:color w:val="auto"/>
        </w:rPr>
        <w:t>De qué manera ha canalizado institucionalmente el Ministerio de Educación, las demandas de la ciudadanía en general, y del estudiantado de liceos públicos en particular, de mejoras a la infraestructura y personal docente</w:t>
      </w:r>
      <w:r>
        <w:rPr>
          <w:rFonts w:asciiTheme="minorHAnsi" w:hAnsiTheme="minorHAnsi" w:cstheme="minorHAnsi"/>
          <w:b/>
          <w:bCs/>
          <w:color w:val="auto"/>
        </w:rPr>
        <w:t>.</w:t>
      </w:r>
    </w:p>
    <w:p w14:paraId="09EA4297" w14:textId="77777777" w:rsidR="00267E55" w:rsidRDefault="00267E55" w:rsidP="00267E55">
      <w:pPr>
        <w:pStyle w:val="Default"/>
        <w:numPr>
          <w:ilvl w:val="0"/>
          <w:numId w:val="1"/>
        </w:numPr>
        <w:jc w:val="both"/>
        <w:rPr>
          <w:rFonts w:asciiTheme="minorHAnsi" w:hAnsiTheme="minorHAnsi" w:cstheme="minorHAnsi"/>
          <w:b/>
          <w:bCs/>
          <w:color w:val="auto"/>
        </w:rPr>
      </w:pPr>
      <w:r w:rsidRPr="008825F1">
        <w:rPr>
          <w:rFonts w:asciiTheme="minorHAnsi" w:hAnsiTheme="minorHAnsi" w:cstheme="minorHAnsi"/>
          <w:b/>
          <w:bCs/>
          <w:color w:val="auto"/>
        </w:rPr>
        <w:t>En la comuna de Santiago, cuál es la proporción de gasto del Estado en ítems de seguridad escolar versus mejoras de infraestructura, y cómo se justifica el nivel de gasto en medidas de seguridad, considerando los bajos niveles de violencia en el aula medidos a través de las pruebas PIRLS, TIMSS, GSHS, PISA y TERCE</w:t>
      </w:r>
      <w:r>
        <w:rPr>
          <w:rFonts w:asciiTheme="minorHAnsi" w:hAnsiTheme="minorHAnsi" w:cstheme="minorHAnsi"/>
          <w:b/>
          <w:bCs/>
          <w:color w:val="auto"/>
        </w:rPr>
        <w:t>.</w:t>
      </w:r>
      <w:r w:rsidRPr="00012681">
        <w:rPr>
          <w:rFonts w:asciiTheme="minorHAnsi" w:hAnsiTheme="minorHAnsi" w:cstheme="minorHAnsi"/>
          <w:b/>
          <w:bCs/>
          <w:color w:val="auto"/>
        </w:rPr>
        <w:t xml:space="preserve"> </w:t>
      </w:r>
    </w:p>
    <w:p w14:paraId="7B0958E5" w14:textId="77777777" w:rsidR="00267E55" w:rsidRDefault="00267E55" w:rsidP="00267E55">
      <w:pPr>
        <w:pStyle w:val="Default"/>
        <w:numPr>
          <w:ilvl w:val="0"/>
          <w:numId w:val="1"/>
        </w:numPr>
        <w:jc w:val="both"/>
        <w:rPr>
          <w:rFonts w:asciiTheme="minorHAnsi" w:hAnsiTheme="minorHAnsi" w:cstheme="minorHAnsi"/>
          <w:b/>
          <w:bCs/>
          <w:color w:val="auto"/>
        </w:rPr>
      </w:pPr>
      <w:r>
        <w:rPr>
          <w:rFonts w:asciiTheme="minorHAnsi" w:hAnsiTheme="minorHAnsi" w:cstheme="minorHAnsi"/>
          <w:b/>
          <w:bCs/>
          <w:color w:val="auto"/>
        </w:rPr>
        <w:t>Cómo ha compatibilizado el Ministerio de Educación el uso de mediciones estandarizadas del rendimiento escolar como la prueba SIMCE con el desarrollo de un currículum que garantice el derecho a una educación integral.</w:t>
      </w:r>
    </w:p>
    <w:p w14:paraId="30A43251" w14:textId="77777777" w:rsidR="00267E55" w:rsidRPr="003321B9" w:rsidRDefault="00267E55" w:rsidP="00267E55">
      <w:pPr>
        <w:pStyle w:val="Default"/>
        <w:numPr>
          <w:ilvl w:val="0"/>
          <w:numId w:val="1"/>
        </w:numPr>
        <w:jc w:val="both"/>
        <w:rPr>
          <w:rFonts w:asciiTheme="minorHAnsi" w:hAnsiTheme="minorHAnsi" w:cstheme="minorHAnsi"/>
          <w:b/>
          <w:bCs/>
          <w:color w:val="auto"/>
        </w:rPr>
      </w:pPr>
      <w:r w:rsidRPr="003321B9">
        <w:rPr>
          <w:rFonts w:asciiTheme="minorHAnsi" w:hAnsiTheme="minorHAnsi" w:cstheme="minorHAnsi"/>
          <w:b/>
          <w:bCs/>
          <w:color w:val="auto"/>
        </w:rPr>
        <w:t xml:space="preserve">De qué manera </w:t>
      </w:r>
      <w:r>
        <w:rPr>
          <w:rFonts w:asciiTheme="minorHAnsi" w:hAnsiTheme="minorHAnsi" w:cstheme="minorHAnsi"/>
          <w:b/>
          <w:bCs/>
          <w:color w:val="auto"/>
        </w:rPr>
        <w:t>responderá a la</w:t>
      </w:r>
      <w:r w:rsidRPr="003321B9">
        <w:rPr>
          <w:rFonts w:asciiTheme="minorHAnsi" w:hAnsiTheme="minorHAnsi" w:cstheme="minorHAnsi"/>
          <w:b/>
          <w:bCs/>
          <w:color w:val="auto"/>
        </w:rPr>
        <w:t xml:space="preserve"> demanda social por un Plan Nacional de Transición a la Educación Inclusiva que abarque desde los apoyos tempranos, todos los niveles de educación con planes de integración, hasta la capacitación para la vida laboral</w:t>
      </w:r>
    </w:p>
    <w:p w14:paraId="262B2146" w14:textId="77777777" w:rsidR="00267E55" w:rsidRPr="003321B9" w:rsidRDefault="00267E55" w:rsidP="00267E55">
      <w:pPr>
        <w:pStyle w:val="Default"/>
        <w:numPr>
          <w:ilvl w:val="0"/>
          <w:numId w:val="1"/>
        </w:numPr>
        <w:spacing w:after="120"/>
        <w:rPr>
          <w:rFonts w:asciiTheme="minorHAnsi" w:hAnsiTheme="minorHAnsi" w:cstheme="minorHAnsi"/>
          <w:b/>
          <w:bCs/>
          <w:color w:val="auto"/>
        </w:rPr>
      </w:pPr>
      <w:r w:rsidRPr="003321B9">
        <w:rPr>
          <w:rFonts w:asciiTheme="minorHAnsi" w:hAnsiTheme="minorHAnsi" w:cstheme="minorHAnsi"/>
          <w:b/>
          <w:bCs/>
          <w:color w:val="auto"/>
        </w:rPr>
        <w:t>C</w:t>
      </w:r>
      <w:r>
        <w:rPr>
          <w:rFonts w:asciiTheme="minorHAnsi" w:hAnsiTheme="minorHAnsi" w:cstheme="minorHAnsi"/>
          <w:b/>
          <w:bCs/>
          <w:color w:val="auto"/>
        </w:rPr>
        <w:t>ómo garantizará</w:t>
      </w:r>
      <w:r w:rsidRPr="003321B9">
        <w:rPr>
          <w:rFonts w:asciiTheme="minorHAnsi" w:hAnsiTheme="minorHAnsi" w:cstheme="minorHAnsi"/>
          <w:b/>
          <w:bCs/>
          <w:color w:val="auto"/>
        </w:rPr>
        <w:t xml:space="preserve">  las ayudas técnicas desde </w:t>
      </w:r>
      <w:r>
        <w:rPr>
          <w:rFonts w:asciiTheme="minorHAnsi" w:hAnsiTheme="minorHAnsi" w:cstheme="minorHAnsi"/>
          <w:b/>
          <w:bCs/>
          <w:color w:val="auto"/>
        </w:rPr>
        <w:t xml:space="preserve">el </w:t>
      </w:r>
      <w:r w:rsidRPr="003321B9">
        <w:rPr>
          <w:rFonts w:asciiTheme="minorHAnsi" w:hAnsiTheme="minorHAnsi" w:cstheme="minorHAnsi"/>
          <w:b/>
          <w:bCs/>
          <w:color w:val="auto"/>
        </w:rPr>
        <w:t xml:space="preserve">Ministerio de Educación para una educación accesible </w:t>
      </w:r>
      <w:r>
        <w:rPr>
          <w:rFonts w:asciiTheme="minorHAnsi" w:hAnsiTheme="minorHAnsi" w:cstheme="minorHAnsi"/>
          <w:b/>
          <w:bCs/>
          <w:color w:val="auto"/>
        </w:rPr>
        <w:t>para</w:t>
      </w:r>
      <w:r w:rsidRPr="003321B9">
        <w:rPr>
          <w:rFonts w:asciiTheme="minorHAnsi" w:hAnsiTheme="minorHAnsi" w:cstheme="minorHAnsi"/>
          <w:b/>
          <w:bCs/>
          <w:color w:val="auto"/>
        </w:rPr>
        <w:t xml:space="preserve"> las personas con discapacidad</w:t>
      </w:r>
      <w:r>
        <w:rPr>
          <w:rFonts w:asciiTheme="minorHAnsi" w:hAnsiTheme="minorHAnsi" w:cstheme="minorHAnsi"/>
          <w:b/>
          <w:bCs/>
          <w:color w:val="auto"/>
        </w:rPr>
        <w:t>.</w:t>
      </w:r>
    </w:p>
    <w:p w14:paraId="5FA837B8" w14:textId="77777777"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b/>
          <w:bCs/>
          <w:color w:val="auto"/>
        </w:rPr>
        <w:t xml:space="preserve">Derechos culturales </w:t>
      </w:r>
    </w:p>
    <w:p w14:paraId="536E7E03"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Entre julio de 2018 y marzo de 2019 se realizó</w:t>
      </w:r>
      <w:r w:rsidRPr="008825F1">
        <w:rPr>
          <w:rFonts w:asciiTheme="minorHAnsi" w:hAnsiTheme="minorHAnsi" w:cstheme="minorHAnsi"/>
          <w:bCs/>
          <w:sz w:val="24"/>
        </w:rPr>
        <w:t xml:space="preserve"> la consulta indígena que según MINEDUC </w:t>
      </w:r>
      <w:hyperlink r:id="rId10" w:history="1">
        <w:r w:rsidRPr="00704558">
          <w:rPr>
            <w:rStyle w:val="Hipervnculo"/>
            <w:rFonts w:asciiTheme="minorHAnsi" w:hAnsiTheme="minorHAnsi" w:cstheme="minorHAnsi"/>
            <w:color w:val="auto"/>
            <w:sz w:val="24"/>
            <w:u w:val="none"/>
          </w:rPr>
          <w:t>permitirá contar con la nueva asignatura de Lengua y Cultura de los Pueblos Originarios Ancestrales</w:t>
        </w:r>
      </w:hyperlink>
      <w:r w:rsidRPr="00704558">
        <w:rPr>
          <w:rFonts w:asciiTheme="minorHAnsi" w:hAnsiTheme="minorHAnsi" w:cstheme="minorHAnsi"/>
          <w:sz w:val="24"/>
        </w:rPr>
        <w:t>,</w:t>
      </w:r>
      <w:r w:rsidRPr="008825F1">
        <w:rPr>
          <w:rFonts w:asciiTheme="minorHAnsi" w:hAnsiTheme="minorHAnsi" w:cstheme="minorHAnsi"/>
          <w:sz w:val="24"/>
        </w:rPr>
        <w:t xml:space="preserve"> la que se impartirá de 1° a 6° básico</w:t>
      </w:r>
      <w:r>
        <w:rPr>
          <w:rFonts w:asciiTheme="minorHAnsi" w:hAnsiTheme="minorHAnsi" w:cstheme="minorHAnsi"/>
          <w:sz w:val="24"/>
        </w:rPr>
        <w:t>.</w:t>
      </w:r>
      <w:r w:rsidRPr="008825F1">
        <w:rPr>
          <w:rFonts w:asciiTheme="minorHAnsi" w:hAnsiTheme="minorHAnsi" w:cstheme="minorHAnsi"/>
          <w:sz w:val="24"/>
        </w:rPr>
        <w:t xml:space="preserve"> El Ministerio informa que hubo</w:t>
      </w:r>
      <w:r w:rsidRPr="008825F1">
        <w:rPr>
          <w:rFonts w:asciiTheme="minorHAnsi" w:hAnsiTheme="minorHAnsi" w:cstheme="minorHAnsi"/>
          <w:bCs/>
          <w:iCs/>
          <w:sz w:val="24"/>
        </w:rPr>
        <w:t xml:space="preserve"> </w:t>
      </w:r>
      <w:r w:rsidRPr="008825F1">
        <w:rPr>
          <w:rFonts w:asciiTheme="minorHAnsi" w:hAnsiTheme="minorHAnsi" w:cstheme="minorHAnsi"/>
          <w:sz w:val="24"/>
        </w:rPr>
        <w:t xml:space="preserve">acuerdo sobre el nombre de la asignatura, los propósitos formativos, los ejes y los objetivos de </w:t>
      </w:r>
      <w:r w:rsidRPr="008825F1">
        <w:rPr>
          <w:rFonts w:asciiTheme="minorHAnsi" w:hAnsiTheme="minorHAnsi" w:cstheme="minorHAnsi"/>
          <w:sz w:val="24"/>
        </w:rPr>
        <w:lastRenderedPageBreak/>
        <w:t>aprendizaje. También se concordó que habrá 10 programas de estudio, uno por cada pueblo y otro sobre interculturalidad.</w:t>
      </w:r>
      <w:r w:rsidRPr="008825F1">
        <w:rPr>
          <w:rStyle w:val="Refdenotaalpie"/>
          <w:rFonts w:asciiTheme="minorHAnsi" w:hAnsiTheme="minorHAnsi" w:cstheme="minorHAnsi"/>
          <w:sz w:val="24"/>
        </w:rPr>
        <w:footnoteReference w:id="46"/>
      </w:r>
    </w:p>
    <w:p w14:paraId="50E50FB5" w14:textId="77777777" w:rsidR="00267E55" w:rsidRPr="008825F1" w:rsidRDefault="00267E55" w:rsidP="00267E55">
      <w:pPr>
        <w:spacing w:after="120" w:line="240" w:lineRule="auto"/>
        <w:rPr>
          <w:rFonts w:asciiTheme="minorHAnsi" w:hAnsiTheme="minorHAnsi" w:cstheme="minorHAnsi"/>
          <w:sz w:val="24"/>
        </w:rPr>
      </w:pPr>
      <w:r w:rsidRPr="008825F1">
        <w:rPr>
          <w:rFonts w:asciiTheme="minorHAnsi" w:hAnsiTheme="minorHAnsi" w:cstheme="minorHAnsi"/>
          <w:sz w:val="24"/>
        </w:rPr>
        <w:t>No obstante, no hubo acuerdo sobre la propuesta ministerial</w:t>
      </w:r>
      <w:r w:rsidRPr="008825F1">
        <w:rPr>
          <w:rStyle w:val="Textoennegrita"/>
          <w:rFonts w:asciiTheme="minorHAnsi" w:eastAsia="Arial Unicode MS" w:hAnsiTheme="minorHAnsi" w:cstheme="minorHAnsi"/>
        </w:rPr>
        <w:t xml:space="preserve"> </w:t>
      </w:r>
      <w:r w:rsidRPr="00704558">
        <w:rPr>
          <w:rStyle w:val="Textoennegrita"/>
          <w:rFonts w:asciiTheme="minorHAnsi" w:eastAsia="Arial Unicode MS" w:hAnsiTheme="minorHAnsi" w:cstheme="minorHAnsi"/>
          <w:b w:val="0"/>
        </w:rPr>
        <w:t>de implementar el ramo sólo en colegios con un 20% de estudiantes pertenecientes a Pueblos Originarios, au</w:t>
      </w:r>
      <w:r w:rsidRPr="00704558">
        <w:rPr>
          <w:rFonts w:asciiTheme="minorHAnsi" w:hAnsiTheme="minorHAnsi" w:cstheme="minorHAnsi"/>
          <w:sz w:val="24"/>
        </w:rPr>
        <w:t xml:space="preserve">n </w:t>
      </w:r>
      <w:r w:rsidRPr="008825F1">
        <w:rPr>
          <w:rFonts w:asciiTheme="minorHAnsi" w:hAnsiTheme="minorHAnsi" w:cstheme="minorHAnsi"/>
          <w:sz w:val="24"/>
        </w:rPr>
        <w:t>cuando l</w:t>
      </w:r>
      <w:r w:rsidRPr="008825F1">
        <w:rPr>
          <w:rFonts w:asciiTheme="minorHAnsi" w:hAnsiTheme="minorHAnsi" w:cstheme="minorHAnsi"/>
          <w:bCs/>
          <w:sz w:val="24"/>
        </w:rPr>
        <w:t>os 9 Pueblos que participaron en la consulta habían consensuado que la asignatura sea realizada en la totalidad de los establecimientos educacionales de Chile.</w:t>
      </w:r>
      <w:r w:rsidRPr="008825F1">
        <w:rPr>
          <w:rFonts w:asciiTheme="minorHAnsi" w:hAnsiTheme="minorHAnsi" w:cstheme="minorHAnsi"/>
          <w:sz w:val="24"/>
        </w:rPr>
        <w:t xml:space="preserve"> El disenso motivó que se retiraran de la consulta los representantes de 12 regiones del pueblo mapuche</w:t>
      </w:r>
      <w:r w:rsidRPr="008825F1">
        <w:rPr>
          <w:rStyle w:val="Refdenotaalpie"/>
          <w:rFonts w:asciiTheme="minorHAnsi" w:hAnsiTheme="minorHAnsi" w:cstheme="minorHAnsi"/>
          <w:sz w:val="24"/>
        </w:rPr>
        <w:footnoteReference w:id="47"/>
      </w:r>
      <w:r w:rsidRPr="008825F1">
        <w:rPr>
          <w:rFonts w:asciiTheme="minorHAnsi" w:hAnsiTheme="minorHAnsi" w:cstheme="minorHAnsi"/>
          <w:sz w:val="24"/>
        </w:rPr>
        <w:t xml:space="preserve">. </w:t>
      </w:r>
    </w:p>
    <w:p w14:paraId="7E986BB1" w14:textId="77777777" w:rsidR="00267E55" w:rsidRPr="008825F1" w:rsidRDefault="00267E55" w:rsidP="00267E55">
      <w:pPr>
        <w:spacing w:after="120" w:line="240" w:lineRule="auto"/>
        <w:rPr>
          <w:rFonts w:asciiTheme="minorHAnsi" w:hAnsiTheme="minorHAnsi" w:cstheme="minorHAnsi"/>
          <w:bCs/>
          <w:iCs/>
          <w:sz w:val="24"/>
        </w:rPr>
      </w:pPr>
      <w:r w:rsidRPr="008825F1">
        <w:rPr>
          <w:rFonts w:asciiTheme="minorHAnsi" w:hAnsiTheme="minorHAnsi" w:cstheme="minorHAnsi"/>
          <w:sz w:val="24"/>
        </w:rPr>
        <w:t xml:space="preserve">Se anuncia que el Ministerio ajustará las Bases Curriculares, las que </w:t>
      </w:r>
      <w:r w:rsidRPr="008825F1">
        <w:rPr>
          <w:rFonts w:asciiTheme="minorHAnsi" w:hAnsiTheme="minorHAnsi" w:cstheme="minorHAnsi"/>
          <w:bCs/>
          <w:iCs/>
          <w:sz w:val="24"/>
        </w:rPr>
        <w:t>se presentarán al Consejo Nacional de Educación para su revisión y aprobación, y que se realizarán mesas de trabajo para la implementación posterior.</w:t>
      </w:r>
    </w:p>
    <w:p w14:paraId="38685671" w14:textId="77777777" w:rsidR="00267E55" w:rsidRPr="008825F1" w:rsidRDefault="00267E55" w:rsidP="00267E55">
      <w:pPr>
        <w:shd w:val="clear" w:color="auto" w:fill="FFFFFF"/>
        <w:spacing w:after="120" w:line="240" w:lineRule="auto"/>
        <w:rPr>
          <w:rFonts w:asciiTheme="minorHAnsi" w:hAnsiTheme="minorHAnsi" w:cstheme="minorHAnsi"/>
          <w:sz w:val="24"/>
          <w:lang w:eastAsia="es-CL"/>
        </w:rPr>
      </w:pPr>
      <w:r w:rsidRPr="008825F1">
        <w:rPr>
          <w:rFonts w:asciiTheme="minorHAnsi" w:hAnsiTheme="minorHAnsi" w:cstheme="minorHAnsi"/>
          <w:sz w:val="24"/>
          <w:lang w:eastAsia="es-CL"/>
        </w:rPr>
        <w:t xml:space="preserve">Durante el período transcurrido desde el informe DESC de 2015, se han llevado a cabo diversas iniciativas de gobierno y legislación que definen entre sus propósitos el reconocimiento y la promoción del patrimonio cultural indígena. Una de ellas es el Proyecto de ley que crea el Ministerio de Asuntos Indígenas (Boletín N° 10687-06), que permitiría diseñar una política integral de interculturalidad y reconocimiento de los pueblos originarios, facilitando la coordinación y efectividad de las múltiples y a menudo dispersas iniciativas ministeriales hoy en curso y transformaría a CONADI (Corporación Nacional de Desarrollo Indígena) en el Servicio Nacional encargado de ejecutar las políticas dirigidas a los pueblos originarios. Este proyecto se encuentra en discusión en el Senado, en segundo trámite. </w:t>
      </w:r>
    </w:p>
    <w:p w14:paraId="15C911AF" w14:textId="77777777" w:rsidR="00267E55" w:rsidRPr="008825F1" w:rsidRDefault="00267E55" w:rsidP="00267E55">
      <w:pPr>
        <w:shd w:val="clear" w:color="auto" w:fill="FFFFFF"/>
        <w:spacing w:after="120" w:line="240" w:lineRule="auto"/>
        <w:rPr>
          <w:rFonts w:asciiTheme="minorHAnsi" w:hAnsiTheme="minorHAnsi" w:cstheme="minorHAnsi"/>
          <w:sz w:val="24"/>
          <w:lang w:eastAsia="es-CL"/>
        </w:rPr>
      </w:pPr>
      <w:r w:rsidRPr="008825F1">
        <w:rPr>
          <w:rFonts w:asciiTheme="minorHAnsi" w:hAnsiTheme="minorHAnsi" w:cstheme="minorHAnsi"/>
          <w:sz w:val="24"/>
          <w:lang w:eastAsia="es-CL"/>
        </w:rPr>
        <w:t>En marzo de 2018 entró en funciones el Ministerio de las Culturas, las Artes y el Patrimonio con dos </w:t>
      </w:r>
      <w:hyperlink r:id="rId11" w:tooltip="Subsecretaría de Estado de Chile" w:history="1">
        <w:r w:rsidRPr="008825F1">
          <w:rPr>
            <w:rFonts w:asciiTheme="minorHAnsi" w:hAnsiTheme="minorHAnsi" w:cstheme="minorHAnsi"/>
            <w:sz w:val="24"/>
            <w:lang w:eastAsia="es-CL"/>
          </w:rPr>
          <w:t>subsecretarías</w:t>
        </w:r>
      </w:hyperlink>
      <w:r w:rsidRPr="008825F1">
        <w:rPr>
          <w:rFonts w:asciiTheme="minorHAnsi" w:hAnsiTheme="minorHAnsi" w:cstheme="minorHAnsi"/>
          <w:sz w:val="24"/>
          <w:lang w:eastAsia="es-CL"/>
        </w:rPr>
        <w:t xml:space="preserve"> (de las Culturas y las Artes y del Patrimonio Cultural) y un Servicio Nacional del Patrimonio Cultural.</w:t>
      </w:r>
      <w:r w:rsidRPr="008825F1">
        <w:rPr>
          <w:rFonts w:asciiTheme="minorHAnsi" w:hAnsiTheme="minorHAnsi" w:cstheme="minorHAnsi"/>
          <w:sz w:val="24"/>
          <w:shd w:val="clear" w:color="auto" w:fill="FFFFFF"/>
        </w:rPr>
        <w:t xml:space="preserve"> </w:t>
      </w:r>
      <w:r w:rsidRPr="008825F1">
        <w:rPr>
          <w:rFonts w:asciiTheme="minorHAnsi" w:hAnsiTheme="minorHAnsi" w:cstheme="minorHAnsi"/>
          <w:sz w:val="24"/>
          <w:lang w:eastAsia="es-CL"/>
        </w:rPr>
        <w:t xml:space="preserve">El organismo incluye entre sus principios rectores la diversidad cultural y el reconocimiento cultural de los pueblos indígenas, los que son explicitados como tarea del Departamento de Pueblos Originarios </w:t>
      </w:r>
      <w:r w:rsidRPr="008825F1">
        <w:rPr>
          <w:rFonts w:asciiTheme="minorHAnsi" w:hAnsiTheme="minorHAnsi" w:cstheme="minorHAnsi"/>
          <w:sz w:val="24"/>
        </w:rPr>
        <w:t>(DEPO, creado en 2015) que queda integrado a</w:t>
      </w:r>
      <w:r w:rsidRPr="008825F1">
        <w:rPr>
          <w:rFonts w:asciiTheme="minorHAnsi" w:hAnsiTheme="minorHAnsi" w:cstheme="minorHAnsi"/>
          <w:sz w:val="24"/>
          <w:lang w:eastAsia="es-CL"/>
        </w:rPr>
        <w:t xml:space="preserve"> este último servicio.  </w:t>
      </w:r>
      <w:r w:rsidRPr="008825F1">
        <w:rPr>
          <w:rFonts w:asciiTheme="minorHAnsi" w:hAnsiTheme="minorHAnsi" w:cstheme="minorHAnsi"/>
          <w:sz w:val="24"/>
        </w:rPr>
        <w:t>En el marco de este Departamento se realiza desde 2016 el Programa de Fomento y Difusión de las Artes y las Culturas de los Pueblos Indígenas, que incluye iniciativas regionales de revitalización cultural.</w:t>
      </w:r>
    </w:p>
    <w:p w14:paraId="5DB817E0" w14:textId="77777777" w:rsidR="00267E55" w:rsidRPr="008825F1" w:rsidRDefault="00267E55" w:rsidP="00267E55">
      <w:pPr>
        <w:shd w:val="clear" w:color="auto" w:fill="FFFFFF"/>
        <w:spacing w:after="120" w:line="240" w:lineRule="auto"/>
        <w:rPr>
          <w:rFonts w:asciiTheme="minorHAnsi" w:hAnsiTheme="minorHAnsi" w:cstheme="minorHAnsi"/>
          <w:sz w:val="24"/>
          <w:lang w:eastAsia="es-CL"/>
        </w:rPr>
      </w:pPr>
      <w:r w:rsidRPr="008825F1">
        <w:rPr>
          <w:rFonts w:asciiTheme="minorHAnsi" w:hAnsiTheme="minorHAnsi" w:cstheme="minorHAnsi"/>
          <w:sz w:val="24"/>
          <w:lang w:eastAsia="es-CL"/>
        </w:rPr>
        <w:t xml:space="preserve">CONADI, organismo situado hoy en el Ministerio de Desarrollo Social, implementa desde 1995, entre otras líneas de acción, </w:t>
      </w:r>
      <w:r w:rsidRPr="008825F1">
        <w:rPr>
          <w:rFonts w:asciiTheme="minorHAnsi" w:hAnsiTheme="minorHAnsi" w:cstheme="minorHAnsi"/>
          <w:sz w:val="24"/>
        </w:rPr>
        <w:t>el Fondo de Cultura y Educación destinado a la conservación y desarrollo de su patrimonio cultural material e inmaterial de los pueblos originarios y el establecimiento de las bases educacionales en beneficio de las nuevas generaciones.</w:t>
      </w:r>
    </w:p>
    <w:p w14:paraId="7A78DA24" w14:textId="77777777" w:rsidR="00267E55" w:rsidRDefault="00267E55" w:rsidP="00267E55">
      <w:pPr>
        <w:shd w:val="clear" w:color="auto" w:fill="FFFFFF"/>
        <w:spacing w:after="120" w:line="240" w:lineRule="auto"/>
        <w:rPr>
          <w:rFonts w:asciiTheme="minorHAnsi" w:hAnsiTheme="minorHAnsi" w:cstheme="minorHAnsi"/>
          <w:sz w:val="24"/>
          <w:lang w:eastAsia="es-CL"/>
        </w:rPr>
      </w:pPr>
      <w:r w:rsidRPr="008825F1">
        <w:rPr>
          <w:rFonts w:asciiTheme="minorHAnsi" w:hAnsiTheme="minorHAnsi" w:cstheme="minorHAnsi"/>
          <w:sz w:val="24"/>
          <w:lang w:eastAsia="es-CL"/>
        </w:rPr>
        <w:t xml:space="preserve">Sin embargo, son muchos los cuestionamientos sobre la efectividad de estas iniciativas: la creación del Ministerio Indígena no ha avanzado, en el marco del escaso avance del  Plan para la Araucanía, del fracaso de la consulta indígena impulsada para reformar la ley indígena  y la falta de confianza de los pueblos originarios, acentuada por la militarización </w:t>
      </w:r>
      <w:r w:rsidRPr="008825F1">
        <w:rPr>
          <w:rFonts w:asciiTheme="minorHAnsi" w:hAnsiTheme="minorHAnsi" w:cstheme="minorHAnsi"/>
          <w:sz w:val="24"/>
          <w:lang w:eastAsia="es-CL"/>
        </w:rPr>
        <w:lastRenderedPageBreak/>
        <w:t xml:space="preserve">de las zonas en conflicto, y por la violencia policial contra los mapuche; el Plan Araucanía – el principal esfuerzo del actual gobierno en relación a los pueblos originarios– pone su énfasis y sus recursos en el desarrollo productivo, en desmedro de las dimensiones culturales y políticas del desarrollo indígena. Dentro del Ministerio de Cultura no se conoce un diseño político de fortalecimiento cultural de los pueblos originarios y se desconoce la efectividad y continuidad del Programa de Fomento de las culturas indígenas, ya que la información disponible da cuenta de una variedad de pequeños proyectos participativos, para grupos reducidos de población, con un impacto discutible sobre las culturas originarias; el presupuesto presentado para CONADI por el gobierno para 2019 se redujo en 0,6% respecto del aprobado para 2018 y entre los rubros afectados se encuentra el </w:t>
      </w:r>
      <w:r w:rsidRPr="008825F1">
        <w:rPr>
          <w:rFonts w:asciiTheme="minorHAnsi" w:hAnsiTheme="minorHAnsi" w:cstheme="minorHAnsi"/>
          <w:sz w:val="24"/>
        </w:rPr>
        <w:t>Fondo de Cultura y Educación</w:t>
      </w:r>
      <w:r w:rsidRPr="008825F1">
        <w:rPr>
          <w:rStyle w:val="Refdenotaalpie"/>
          <w:rFonts w:asciiTheme="minorHAnsi" w:hAnsiTheme="minorHAnsi" w:cstheme="minorHAnsi"/>
          <w:sz w:val="24"/>
        </w:rPr>
        <w:footnoteReference w:id="48"/>
      </w:r>
      <w:r w:rsidRPr="008825F1">
        <w:rPr>
          <w:rFonts w:asciiTheme="minorHAnsi" w:hAnsiTheme="minorHAnsi" w:cstheme="minorHAnsi"/>
          <w:b/>
          <w:sz w:val="24"/>
        </w:rPr>
        <w:t xml:space="preserve"> </w:t>
      </w:r>
      <w:r w:rsidRPr="008825F1">
        <w:rPr>
          <w:rFonts w:asciiTheme="minorHAnsi" w:hAnsiTheme="minorHAnsi" w:cstheme="minorHAnsi"/>
          <w:sz w:val="24"/>
          <w:lang w:eastAsia="es-CL"/>
        </w:rPr>
        <w:t>y varios de sus programas,  como el de “Educación Intercultural e Indígena” y el de “Difusión y Fomento de Cultura Indígena”.</w:t>
      </w:r>
    </w:p>
    <w:p w14:paraId="09559B41" w14:textId="77777777" w:rsidR="00267E55" w:rsidRPr="008825F1" w:rsidRDefault="00267E55" w:rsidP="00267E55">
      <w:pPr>
        <w:shd w:val="clear" w:color="auto" w:fill="FFFFFF"/>
        <w:spacing w:after="120" w:line="240" w:lineRule="auto"/>
        <w:rPr>
          <w:rFonts w:asciiTheme="minorHAnsi" w:hAnsiTheme="minorHAnsi" w:cstheme="minorHAnsi"/>
          <w:sz w:val="24"/>
          <w:lang w:eastAsia="es-CL"/>
        </w:rPr>
      </w:pPr>
      <w:r w:rsidRPr="009016A4">
        <w:rPr>
          <w:rFonts w:asciiTheme="minorHAnsi" w:hAnsiTheme="minorHAnsi" w:cstheme="minorHAnsi"/>
          <w:sz w:val="24"/>
          <w:lang w:eastAsia="es-CL"/>
        </w:rPr>
        <w:t>En cuanto al patrimonio cultural de los pueblos indígenas en Chile, destaca el proyecto de Ley de Patrimonio enviado al Congreso en junio de 2019 que modifica la ley Nº17.288 para establecer una nueva institucionalidad y perfeccionar los mecanismos de protección del patrimonio cultural. Este proyecto no cumple con estándares de reconocimiento y protección a los derechos de los pueblos indígenas. Por un lado, no incorpora representantes de estos pueblos en los entes directivos de la institucionalidad patrimonial, como el Consejo Nacional de Patrimonio Cultural y los Consejos Regionales de Patrimonio Cultural. Por otro, sitúa bajo tuición del Estado de Chile so pretexto de su protección, patrimonio de pueblos indígenas como lugares ancestrales, restos humanos ancestrales y patrimonio biocultural fundamental para sus sistemas de producción de alimentos y otros modos de acceso a fuentes naturales. Si bien este marco normativo contribuye a evitar la profanación y destrucción de este tipo de patrimonio, niega el control de los pueblos indígenas sobre dicha protección, vulnerando así su derecho a perseguir libremente su desarrollo cultural.</w:t>
      </w:r>
    </w:p>
    <w:p w14:paraId="3431CFFA" w14:textId="77777777" w:rsidR="00267E55" w:rsidRPr="008825F1" w:rsidRDefault="00267E55" w:rsidP="00267E55">
      <w:pPr>
        <w:shd w:val="clear" w:color="auto" w:fill="FFFFFF"/>
        <w:spacing w:line="240" w:lineRule="auto"/>
        <w:rPr>
          <w:rFonts w:asciiTheme="minorHAnsi" w:hAnsiTheme="minorHAnsi" w:cstheme="minorHAnsi"/>
          <w:b/>
          <w:sz w:val="24"/>
          <w:lang w:eastAsia="es-CL"/>
        </w:rPr>
      </w:pPr>
      <w:r w:rsidRPr="008825F1">
        <w:rPr>
          <w:rFonts w:asciiTheme="minorHAnsi" w:hAnsiTheme="minorHAnsi" w:cstheme="minorHAnsi"/>
          <w:b/>
          <w:sz w:val="24"/>
          <w:lang w:eastAsia="es-CL"/>
        </w:rPr>
        <w:t>Se solicita al Comité consultar al Estado sobre:</w:t>
      </w:r>
    </w:p>
    <w:p w14:paraId="7604689B" w14:textId="77777777" w:rsidR="00267E55" w:rsidRPr="008825F1" w:rsidRDefault="00267E55" w:rsidP="00267E55">
      <w:pPr>
        <w:pStyle w:val="Prrafodelista"/>
        <w:numPr>
          <w:ilvl w:val="0"/>
          <w:numId w:val="5"/>
        </w:numPr>
        <w:shd w:val="clear" w:color="auto" w:fill="FFFFFF"/>
        <w:spacing w:line="240" w:lineRule="auto"/>
        <w:rPr>
          <w:rFonts w:asciiTheme="minorHAnsi" w:hAnsiTheme="minorHAnsi" w:cstheme="minorHAnsi"/>
          <w:bCs/>
          <w:iCs/>
          <w:sz w:val="24"/>
        </w:rPr>
      </w:pPr>
      <w:r w:rsidRPr="008825F1">
        <w:rPr>
          <w:rFonts w:asciiTheme="minorHAnsi" w:hAnsiTheme="minorHAnsi" w:cstheme="minorHAnsi"/>
          <w:b/>
          <w:sz w:val="24"/>
          <w:lang w:eastAsia="es-CL"/>
        </w:rPr>
        <w:t xml:space="preserve">De </w:t>
      </w:r>
      <w:r w:rsidRPr="008825F1">
        <w:rPr>
          <w:rFonts w:asciiTheme="minorHAnsi" w:hAnsiTheme="minorHAnsi" w:cstheme="minorHAnsi"/>
          <w:b/>
          <w:bCs/>
          <w:iCs/>
          <w:sz w:val="24"/>
        </w:rPr>
        <w:t xml:space="preserve">qué manera se pretende resguardar el derecho de los pueblos originarios a ser educados en su propia lengua cuando no se cumpla con el criterio de </w:t>
      </w:r>
      <w:r w:rsidRPr="008825F1">
        <w:rPr>
          <w:rStyle w:val="Textoennegrita"/>
          <w:rFonts w:asciiTheme="minorHAnsi" w:eastAsia="Arial Unicode MS" w:hAnsiTheme="minorHAnsi" w:cstheme="minorHAnsi"/>
        </w:rPr>
        <w:t>20% de estudiantes pertenecientes a Pueblos Originarios</w:t>
      </w:r>
      <w:r>
        <w:rPr>
          <w:rStyle w:val="Textoennegrita"/>
          <w:rFonts w:asciiTheme="minorHAnsi" w:eastAsia="Arial Unicode MS" w:hAnsiTheme="minorHAnsi" w:cstheme="minorHAnsi"/>
        </w:rPr>
        <w:t>.</w:t>
      </w:r>
      <w:r w:rsidRPr="008825F1">
        <w:rPr>
          <w:rFonts w:asciiTheme="minorHAnsi" w:hAnsiTheme="minorHAnsi" w:cstheme="minorHAnsi"/>
          <w:bCs/>
          <w:iCs/>
          <w:sz w:val="24"/>
        </w:rPr>
        <w:t xml:space="preserve"> </w:t>
      </w:r>
    </w:p>
    <w:p w14:paraId="222E0AC1" w14:textId="77777777" w:rsidR="00267E55" w:rsidRPr="008825F1" w:rsidRDefault="00267E55" w:rsidP="00267E55">
      <w:pPr>
        <w:pStyle w:val="Prrafodelista"/>
        <w:numPr>
          <w:ilvl w:val="0"/>
          <w:numId w:val="5"/>
        </w:numPr>
        <w:shd w:val="clear" w:color="auto" w:fill="FFFFFF"/>
        <w:spacing w:after="120" w:line="240" w:lineRule="auto"/>
        <w:rPr>
          <w:rFonts w:asciiTheme="minorHAnsi" w:hAnsiTheme="minorHAnsi" w:cstheme="minorHAnsi"/>
          <w:b/>
          <w:bCs/>
          <w:iCs/>
          <w:sz w:val="24"/>
        </w:rPr>
      </w:pPr>
      <w:r w:rsidRPr="008825F1">
        <w:rPr>
          <w:rFonts w:asciiTheme="minorHAnsi" w:hAnsiTheme="minorHAnsi" w:cstheme="minorHAnsi"/>
          <w:b/>
          <w:sz w:val="24"/>
          <w:lang w:eastAsia="es-CL"/>
        </w:rPr>
        <w:t>C</w:t>
      </w:r>
      <w:r w:rsidRPr="008825F1">
        <w:rPr>
          <w:rFonts w:asciiTheme="minorHAnsi" w:hAnsiTheme="minorHAnsi" w:cstheme="minorHAnsi"/>
          <w:b/>
          <w:bCs/>
          <w:iCs/>
          <w:sz w:val="24"/>
        </w:rPr>
        <w:t>ómo se pretende llevar adelante una educación intercultural, cuando de hecho el criterio de porcentaje mantiene a la mayoría de los niños y niñas ajenos al conocimiento de los idiomas originarios</w:t>
      </w:r>
      <w:r>
        <w:rPr>
          <w:rFonts w:asciiTheme="minorHAnsi" w:hAnsiTheme="minorHAnsi" w:cstheme="minorHAnsi"/>
          <w:b/>
          <w:bCs/>
          <w:iCs/>
          <w:sz w:val="24"/>
        </w:rPr>
        <w:t>.</w:t>
      </w:r>
    </w:p>
    <w:p w14:paraId="5B5F5F1C" w14:textId="77777777" w:rsidR="00267E55" w:rsidRPr="009016A4" w:rsidRDefault="00267E55" w:rsidP="00267E55">
      <w:pPr>
        <w:pStyle w:val="Prrafodelista"/>
        <w:numPr>
          <w:ilvl w:val="0"/>
          <w:numId w:val="5"/>
        </w:numPr>
        <w:shd w:val="clear" w:color="auto" w:fill="FFFFFF"/>
        <w:spacing w:after="120" w:line="240" w:lineRule="auto"/>
        <w:rPr>
          <w:rFonts w:asciiTheme="minorHAnsi" w:hAnsiTheme="minorHAnsi" w:cstheme="minorHAnsi"/>
          <w:b/>
          <w:sz w:val="24"/>
        </w:rPr>
      </w:pPr>
      <w:r w:rsidRPr="009016A4">
        <w:rPr>
          <w:rFonts w:asciiTheme="minorHAnsi" w:hAnsiTheme="minorHAnsi" w:cstheme="minorHAnsi"/>
          <w:b/>
          <w:sz w:val="24"/>
          <w:lang w:eastAsia="es-CL"/>
        </w:rPr>
        <w:t>Cómo fomenta la interculturalidad</w:t>
      </w:r>
      <w:r w:rsidRPr="009016A4">
        <w:rPr>
          <w:rFonts w:asciiTheme="minorHAnsi" w:hAnsiTheme="minorHAnsi" w:cstheme="minorHAnsi"/>
          <w:b/>
          <w:sz w:val="24"/>
        </w:rPr>
        <w:t xml:space="preserve"> el Gobierno de Chile.</w:t>
      </w:r>
    </w:p>
    <w:p w14:paraId="74D09C92" w14:textId="77777777" w:rsidR="00267E55" w:rsidRPr="009016A4" w:rsidRDefault="00267E55" w:rsidP="00267E55">
      <w:pPr>
        <w:pStyle w:val="Prrafodelista"/>
        <w:numPr>
          <w:ilvl w:val="0"/>
          <w:numId w:val="5"/>
        </w:numPr>
        <w:shd w:val="clear" w:color="auto" w:fill="FFFFFF"/>
        <w:spacing w:after="120" w:line="240" w:lineRule="auto"/>
        <w:rPr>
          <w:rFonts w:asciiTheme="minorHAnsi" w:hAnsiTheme="minorHAnsi" w:cstheme="minorHAnsi"/>
          <w:b/>
          <w:bCs/>
          <w:sz w:val="24"/>
        </w:rPr>
      </w:pPr>
      <w:r w:rsidRPr="009016A4">
        <w:rPr>
          <w:rFonts w:asciiTheme="minorHAnsi" w:hAnsiTheme="minorHAnsi" w:cstheme="minorHAnsi"/>
          <w:b/>
          <w:sz w:val="24"/>
          <w:lang w:eastAsia="es-CL"/>
        </w:rPr>
        <w:t>De qué manera pretende compatibilizar el derecho de los pueblos originarios a perseguir libremente su desarrollo cultural con la protección de su</w:t>
      </w:r>
      <w:r w:rsidRPr="009016A4">
        <w:rPr>
          <w:rFonts w:asciiTheme="minorHAnsi" w:hAnsiTheme="minorHAnsi" w:cstheme="minorHAnsi"/>
          <w:b/>
          <w:sz w:val="24"/>
        </w:rPr>
        <w:t xml:space="preserve"> patrimonio material e inmaterial.</w:t>
      </w:r>
    </w:p>
    <w:p w14:paraId="0213805C" w14:textId="77777777" w:rsidR="00267E55" w:rsidRDefault="00267E55" w:rsidP="00267E55">
      <w:pPr>
        <w:pStyle w:val="Prrafodelista"/>
        <w:numPr>
          <w:ilvl w:val="0"/>
          <w:numId w:val="5"/>
        </w:numPr>
        <w:shd w:val="clear" w:color="auto" w:fill="FFFFFF"/>
        <w:spacing w:after="120" w:line="240" w:lineRule="auto"/>
        <w:rPr>
          <w:rFonts w:asciiTheme="minorHAnsi" w:hAnsiTheme="minorHAnsi" w:cstheme="minorHAnsi"/>
          <w:b/>
          <w:sz w:val="24"/>
        </w:rPr>
      </w:pPr>
      <w:r w:rsidRPr="009016A4">
        <w:rPr>
          <w:rFonts w:asciiTheme="minorHAnsi" w:hAnsiTheme="minorHAnsi" w:cstheme="minorHAnsi"/>
          <w:b/>
          <w:sz w:val="24"/>
          <w:lang w:eastAsia="es-CL"/>
        </w:rPr>
        <w:lastRenderedPageBreak/>
        <w:t>Q</w:t>
      </w:r>
      <w:r w:rsidRPr="009016A4">
        <w:rPr>
          <w:rFonts w:asciiTheme="minorHAnsi" w:hAnsiTheme="minorHAnsi" w:cstheme="minorHAnsi"/>
          <w:b/>
          <w:sz w:val="24"/>
        </w:rPr>
        <w:t>ué recursos</w:t>
      </w:r>
      <w:r w:rsidRPr="008825F1">
        <w:rPr>
          <w:rFonts w:asciiTheme="minorHAnsi" w:hAnsiTheme="minorHAnsi" w:cstheme="minorHAnsi"/>
          <w:b/>
          <w:sz w:val="24"/>
        </w:rPr>
        <w:t xml:space="preserve"> del presupuesto nacional están destinados específicamente al patrimonio material e inmaterial indígena y qué incrementos puede mostrar ese presupuesto entre 2015 y 2019</w:t>
      </w:r>
      <w:r>
        <w:rPr>
          <w:rFonts w:asciiTheme="minorHAnsi" w:hAnsiTheme="minorHAnsi" w:cstheme="minorHAnsi"/>
          <w:b/>
          <w:sz w:val="24"/>
        </w:rPr>
        <w:t>.</w:t>
      </w:r>
    </w:p>
    <w:p w14:paraId="412FEB84" w14:textId="77777777" w:rsidR="00267E55" w:rsidRPr="003321B9" w:rsidRDefault="00267E55" w:rsidP="00267E55">
      <w:pPr>
        <w:pStyle w:val="Prrafodelista"/>
        <w:numPr>
          <w:ilvl w:val="0"/>
          <w:numId w:val="5"/>
        </w:numPr>
        <w:shd w:val="clear" w:color="auto" w:fill="FFFFFF"/>
        <w:spacing w:after="120" w:line="240" w:lineRule="auto"/>
        <w:rPr>
          <w:rFonts w:asciiTheme="minorHAnsi" w:hAnsiTheme="minorHAnsi" w:cstheme="minorHAnsi"/>
          <w:b/>
          <w:sz w:val="24"/>
        </w:rPr>
      </w:pPr>
      <w:r w:rsidRPr="003321B9">
        <w:rPr>
          <w:rFonts w:asciiTheme="minorHAnsi" w:hAnsiTheme="minorHAnsi" w:cstheme="minorHAnsi"/>
          <w:b/>
          <w:sz w:val="24"/>
        </w:rPr>
        <w:t xml:space="preserve">Qué medidas implementará para el reconocimiento del lenguaje de señas </w:t>
      </w:r>
      <w:proofErr w:type="spellStart"/>
      <w:r w:rsidRPr="003321B9">
        <w:rPr>
          <w:rFonts w:asciiTheme="minorHAnsi" w:hAnsiTheme="minorHAnsi" w:cstheme="minorHAnsi"/>
          <w:b/>
          <w:sz w:val="24"/>
        </w:rPr>
        <w:t>e</w:t>
      </w:r>
      <w:proofErr w:type="spellEnd"/>
      <w:r w:rsidRPr="003321B9">
        <w:rPr>
          <w:rFonts w:asciiTheme="minorHAnsi" w:hAnsiTheme="minorHAnsi" w:cstheme="minorHAnsi"/>
          <w:b/>
          <w:sz w:val="24"/>
        </w:rPr>
        <w:t xml:space="preserve"> identidad lingüística y cultural de las personas</w:t>
      </w:r>
      <w:r>
        <w:rPr>
          <w:rFonts w:asciiTheme="minorHAnsi" w:hAnsiTheme="minorHAnsi" w:cstheme="minorHAnsi"/>
          <w:b/>
          <w:sz w:val="24"/>
        </w:rPr>
        <w:t xml:space="preserve"> sordas.</w:t>
      </w:r>
    </w:p>
    <w:p w14:paraId="666AF33B" w14:textId="77777777" w:rsidR="00267E55" w:rsidRPr="008825F1" w:rsidRDefault="00267E55" w:rsidP="00267E55">
      <w:pPr>
        <w:pStyle w:val="Default"/>
        <w:spacing w:after="120"/>
        <w:jc w:val="both"/>
        <w:rPr>
          <w:rFonts w:asciiTheme="minorHAnsi" w:hAnsiTheme="minorHAnsi" w:cstheme="minorHAnsi"/>
          <w:color w:val="auto"/>
        </w:rPr>
      </w:pPr>
      <w:r w:rsidRPr="008825F1">
        <w:rPr>
          <w:rFonts w:asciiTheme="minorHAnsi" w:hAnsiTheme="minorHAnsi" w:cstheme="minorHAnsi"/>
          <w:b/>
          <w:bCs/>
          <w:color w:val="auto"/>
        </w:rPr>
        <w:t xml:space="preserve">D. Otras recomendaciones </w:t>
      </w:r>
    </w:p>
    <w:p w14:paraId="30020BD5" w14:textId="77777777" w:rsidR="00267E55" w:rsidRPr="008825F1" w:rsidRDefault="00267E55" w:rsidP="00267E55">
      <w:pPr>
        <w:pStyle w:val="Default"/>
        <w:spacing w:after="120"/>
        <w:jc w:val="both"/>
        <w:rPr>
          <w:rFonts w:asciiTheme="minorHAnsi" w:hAnsiTheme="minorHAnsi" w:cstheme="minorHAnsi"/>
          <w:b/>
          <w:bCs/>
          <w:color w:val="auto"/>
        </w:rPr>
      </w:pPr>
      <w:r w:rsidRPr="008825F1">
        <w:rPr>
          <w:rFonts w:asciiTheme="minorHAnsi" w:hAnsiTheme="minorHAnsi" w:cstheme="minorHAnsi"/>
          <w:b/>
          <w:bCs/>
          <w:color w:val="auto"/>
        </w:rPr>
        <w:t xml:space="preserve">Protocolo Facultativo de la Convención para la Eliminación de todas las Formas de Discriminación contra la Mujer. </w:t>
      </w:r>
    </w:p>
    <w:p w14:paraId="598CA559" w14:textId="77777777" w:rsidR="00267E55" w:rsidRPr="00704558" w:rsidRDefault="00267E55" w:rsidP="00267E55">
      <w:pPr>
        <w:pStyle w:val="Default"/>
        <w:spacing w:after="120"/>
        <w:jc w:val="both"/>
        <w:rPr>
          <w:rFonts w:asciiTheme="minorHAnsi" w:hAnsiTheme="minorHAnsi" w:cstheme="minorHAnsi"/>
          <w:b/>
          <w:color w:val="auto"/>
          <w:shd w:val="clear" w:color="auto" w:fill="FFFFFF"/>
        </w:rPr>
      </w:pPr>
      <w:r w:rsidRPr="008825F1">
        <w:rPr>
          <w:rFonts w:asciiTheme="minorHAnsi" w:hAnsiTheme="minorHAnsi" w:cstheme="minorHAnsi"/>
          <w:bCs/>
          <w:color w:val="auto"/>
        </w:rPr>
        <w:t xml:space="preserve">Desde el año 2000 se encuentra en el </w:t>
      </w:r>
      <w:r>
        <w:rPr>
          <w:rFonts w:asciiTheme="minorHAnsi" w:hAnsiTheme="minorHAnsi" w:cstheme="minorHAnsi"/>
          <w:bCs/>
          <w:color w:val="auto"/>
        </w:rPr>
        <w:t>Congreso</w:t>
      </w:r>
      <w:r w:rsidRPr="008825F1">
        <w:rPr>
          <w:rFonts w:asciiTheme="minorHAnsi" w:hAnsiTheme="minorHAnsi" w:cstheme="minorHAnsi"/>
          <w:bCs/>
          <w:color w:val="auto"/>
        </w:rPr>
        <w:t xml:space="preserve"> el Protocolo Facultativo de la CEDAW para su ratificación. Recientemente su tramitación comenzó a avanzar en el Senado, sin embargo, en julio de 2019, cuando </w:t>
      </w:r>
      <w:r w:rsidRPr="008825F1">
        <w:rPr>
          <w:rFonts w:asciiTheme="minorHAnsi" w:hAnsiTheme="minorHAnsi" w:cstheme="minorHAnsi"/>
          <w:color w:val="auto"/>
          <w:shd w:val="clear" w:color="auto" w:fill="FFFFFF"/>
        </w:rPr>
        <w:t>la Comisión de Relaciones Exteriores del Senado iba a votar acerca de su ratificación,  ésta se pospuso para agosto, a </w:t>
      </w:r>
      <w:r w:rsidRPr="00704558">
        <w:rPr>
          <w:rStyle w:val="Textoennegrita"/>
          <w:rFonts w:asciiTheme="minorHAnsi" w:hAnsiTheme="minorHAnsi" w:cstheme="minorHAnsi"/>
          <w:b w:val="0"/>
          <w:color w:val="auto"/>
          <w:shd w:val="clear" w:color="auto" w:fill="FFFFFF"/>
        </w:rPr>
        <w:t>petición de la Cancillería y con acuerdo de los parlamentarios</w:t>
      </w:r>
      <w:r w:rsidRPr="00704558">
        <w:rPr>
          <w:rFonts w:asciiTheme="minorHAnsi" w:hAnsiTheme="minorHAnsi" w:cstheme="minorHAnsi"/>
          <w:b/>
          <w:color w:val="auto"/>
          <w:shd w:val="clear" w:color="auto" w:fill="FFFFFF"/>
        </w:rPr>
        <w:t xml:space="preserve">. </w:t>
      </w:r>
    </w:p>
    <w:p w14:paraId="03B01F4D" w14:textId="77777777" w:rsidR="00267E55" w:rsidRPr="008825F1" w:rsidRDefault="00267E55" w:rsidP="00267E55">
      <w:pPr>
        <w:pStyle w:val="Default"/>
        <w:spacing w:after="120"/>
        <w:jc w:val="both"/>
        <w:rPr>
          <w:rFonts w:asciiTheme="minorHAnsi" w:hAnsiTheme="minorHAnsi" w:cstheme="minorHAnsi"/>
          <w:bCs/>
          <w:color w:val="auto"/>
        </w:rPr>
      </w:pPr>
      <w:r w:rsidRPr="008825F1">
        <w:rPr>
          <w:rFonts w:asciiTheme="minorHAnsi" w:hAnsiTheme="minorHAnsi" w:cstheme="minorHAnsi"/>
          <w:bCs/>
          <w:color w:val="auto"/>
        </w:rPr>
        <w:t xml:space="preserve">No hay argumentos razonables para la dilación en su aprobación considerando las innumerables recomendaciones que se le han hecho al Estado por el EPU (2019) y los órganos de supervisión de tratados. Más aún, el Estado de Chile, con excepción del Protocolo de San Salvador y el del PIDESC, ha ratificado todos los instrumentos que amplían la protección de quienes habitan en Chile. </w:t>
      </w:r>
    </w:p>
    <w:p w14:paraId="16AD89E4" w14:textId="77777777" w:rsidR="00267E55" w:rsidRPr="008825F1" w:rsidRDefault="00267E55" w:rsidP="00267E55">
      <w:pPr>
        <w:pStyle w:val="Default"/>
        <w:jc w:val="both"/>
        <w:rPr>
          <w:rFonts w:asciiTheme="minorHAnsi" w:hAnsiTheme="minorHAnsi" w:cstheme="minorHAnsi"/>
          <w:b/>
          <w:bCs/>
          <w:color w:val="auto"/>
        </w:rPr>
      </w:pPr>
      <w:r w:rsidRPr="008825F1">
        <w:rPr>
          <w:rFonts w:asciiTheme="minorHAnsi" w:hAnsiTheme="minorHAnsi" w:cstheme="minorHAnsi"/>
          <w:b/>
          <w:bCs/>
          <w:color w:val="auto"/>
        </w:rPr>
        <w:t>Se solicita al Comité consultar al Estado sobre:</w:t>
      </w:r>
    </w:p>
    <w:p w14:paraId="1A8FBD28" w14:textId="77777777" w:rsidR="00267E55" w:rsidRPr="008825F1" w:rsidRDefault="00267E55" w:rsidP="00267E55">
      <w:pPr>
        <w:pStyle w:val="Default"/>
        <w:numPr>
          <w:ilvl w:val="0"/>
          <w:numId w:val="1"/>
        </w:numPr>
        <w:spacing w:after="120"/>
        <w:jc w:val="both"/>
        <w:rPr>
          <w:rFonts w:asciiTheme="minorHAnsi" w:hAnsiTheme="minorHAnsi" w:cstheme="minorHAnsi"/>
          <w:b/>
          <w:bCs/>
          <w:color w:val="auto"/>
        </w:rPr>
      </w:pPr>
      <w:r w:rsidRPr="008825F1">
        <w:rPr>
          <w:rFonts w:asciiTheme="minorHAnsi" w:hAnsiTheme="minorHAnsi" w:cstheme="minorHAnsi"/>
          <w:b/>
          <w:bCs/>
          <w:color w:val="auto"/>
        </w:rPr>
        <w:t xml:space="preserve">Si considera en su agenda legislativa, a corto plazo, ratificar el Protocolo CEDAW, otorgándole el poder ejecutivo urgencia al proyecto </w:t>
      </w:r>
    </w:p>
    <w:p w14:paraId="17586C65" w14:textId="77777777" w:rsidR="00267E55" w:rsidRPr="008825F1" w:rsidRDefault="00267E55" w:rsidP="00267E55">
      <w:pPr>
        <w:pStyle w:val="Default"/>
        <w:spacing w:after="120"/>
        <w:jc w:val="both"/>
        <w:rPr>
          <w:rFonts w:asciiTheme="minorHAnsi" w:hAnsiTheme="minorHAnsi" w:cstheme="minorHAnsi"/>
          <w:b/>
          <w:color w:val="auto"/>
        </w:rPr>
      </w:pPr>
      <w:r w:rsidRPr="008825F1">
        <w:rPr>
          <w:rFonts w:asciiTheme="minorHAnsi" w:hAnsiTheme="minorHAnsi" w:cstheme="minorHAnsi"/>
          <w:b/>
          <w:color w:val="auto"/>
        </w:rPr>
        <w:t>Difusión recomendaciones</w:t>
      </w:r>
    </w:p>
    <w:p w14:paraId="36430F65" w14:textId="77777777" w:rsidR="00267E55" w:rsidRPr="008825F1" w:rsidRDefault="00267E55" w:rsidP="00267E55">
      <w:pPr>
        <w:spacing w:line="240" w:lineRule="auto"/>
        <w:rPr>
          <w:rFonts w:ascii="Calibri" w:hAnsi="Calibri" w:cs="Calibri"/>
          <w:b/>
          <w:sz w:val="24"/>
        </w:rPr>
      </w:pPr>
      <w:r w:rsidRPr="008825F1">
        <w:rPr>
          <w:rFonts w:ascii="Calibri" w:hAnsi="Calibri" w:cs="Calibri"/>
          <w:b/>
          <w:sz w:val="24"/>
        </w:rPr>
        <w:t>Se solicita al Comité consultar al Estado:</w:t>
      </w:r>
    </w:p>
    <w:p w14:paraId="45B27214" w14:textId="77777777" w:rsidR="00267E55" w:rsidRPr="008825F1" w:rsidRDefault="00267E55" w:rsidP="00267E55">
      <w:pPr>
        <w:spacing w:after="120" w:line="240" w:lineRule="auto"/>
      </w:pPr>
      <w:r w:rsidRPr="008825F1">
        <w:rPr>
          <w:rFonts w:ascii="Calibri" w:hAnsi="Calibri" w:cs="Calibri"/>
          <w:b/>
          <w:sz w:val="24"/>
        </w:rPr>
        <w:t>Con qué mecanismos de difusión cuenta el Estado de Chile para dar a conocer a la población las recomendaciones que realizan los órganos de supervisión de tratados, en particular a las poblaciones más marginalizadas o excluidas.</w:t>
      </w:r>
    </w:p>
    <w:p w14:paraId="443EAF06" w14:textId="77777777" w:rsidR="00267E55" w:rsidRPr="00913648" w:rsidRDefault="00267E55" w:rsidP="00267E55">
      <w:pPr>
        <w:pStyle w:val="Default"/>
        <w:spacing w:after="120"/>
        <w:jc w:val="both"/>
        <w:rPr>
          <w:rFonts w:asciiTheme="minorHAnsi" w:hAnsiTheme="minorHAnsi" w:cstheme="minorHAnsi"/>
          <w:b/>
          <w:bCs/>
          <w:color w:val="auto"/>
          <w:sz w:val="23"/>
          <w:szCs w:val="23"/>
          <w:lang w:val="es-ES"/>
        </w:rPr>
      </w:pPr>
    </w:p>
    <w:sectPr w:rsidR="00267E55" w:rsidRPr="0091364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8EDEC1" w14:textId="77777777" w:rsidR="00D56381" w:rsidRDefault="00D56381" w:rsidP="00267E55">
      <w:pPr>
        <w:spacing w:line="240" w:lineRule="auto"/>
      </w:pPr>
      <w:r>
        <w:separator/>
      </w:r>
    </w:p>
  </w:endnote>
  <w:endnote w:type="continuationSeparator" w:id="0">
    <w:p w14:paraId="3C93E006" w14:textId="77777777" w:rsidR="00D56381" w:rsidRDefault="00D56381" w:rsidP="00267E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Frutiger LT 47 LightCn">
    <w:altName w:val="Frutiger LT 47 LightCn"/>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545F6E" w14:textId="77777777" w:rsidR="00D56381" w:rsidRDefault="00D56381" w:rsidP="00267E55">
      <w:pPr>
        <w:spacing w:line="240" w:lineRule="auto"/>
      </w:pPr>
      <w:r>
        <w:separator/>
      </w:r>
    </w:p>
  </w:footnote>
  <w:footnote w:type="continuationSeparator" w:id="0">
    <w:p w14:paraId="37015719" w14:textId="77777777" w:rsidR="00D56381" w:rsidRDefault="00D56381" w:rsidP="00267E55">
      <w:pPr>
        <w:spacing w:line="240" w:lineRule="auto"/>
      </w:pPr>
      <w:r>
        <w:continuationSeparator/>
      </w:r>
    </w:p>
  </w:footnote>
  <w:footnote w:id="1">
    <w:p w14:paraId="69CF41AE" w14:textId="77777777" w:rsidR="00267E55" w:rsidRPr="00DD5D0A" w:rsidRDefault="00267E55" w:rsidP="00267E55">
      <w:pPr>
        <w:pStyle w:val="Textonotapie"/>
        <w:rPr>
          <w:lang w:val="es-CL"/>
        </w:rPr>
      </w:pPr>
      <w:r>
        <w:rPr>
          <w:rStyle w:val="Refdenotaalpie"/>
        </w:rPr>
        <w:footnoteRef/>
      </w:r>
      <w:r>
        <w:t xml:space="preserve"> </w:t>
      </w:r>
      <w:hyperlink r:id="rId1" w:history="1">
        <w:r>
          <w:rPr>
            <w:rStyle w:val="Hipervnculo"/>
          </w:rPr>
          <w:t>https://www.camara.cl/prensa/noticias_detalle.aspx?prmid=137317</w:t>
        </w:r>
      </w:hyperlink>
    </w:p>
  </w:footnote>
  <w:footnote w:id="2">
    <w:p w14:paraId="4F1796F0" w14:textId="77777777" w:rsidR="00267E55" w:rsidRPr="002B5078" w:rsidRDefault="00267E55" w:rsidP="00267E55">
      <w:pPr>
        <w:pStyle w:val="Textonotapie"/>
        <w:rPr>
          <w:rFonts w:asciiTheme="minorHAnsi" w:hAnsiTheme="minorHAnsi" w:cstheme="minorHAnsi"/>
          <w:sz w:val="20"/>
        </w:rPr>
      </w:pPr>
      <w:r w:rsidRPr="002B5078">
        <w:rPr>
          <w:rStyle w:val="Refdenotaalpie"/>
          <w:rFonts w:asciiTheme="minorHAnsi" w:hAnsiTheme="minorHAnsi" w:cstheme="minorHAnsi"/>
          <w:sz w:val="20"/>
        </w:rPr>
        <w:footnoteRef/>
      </w:r>
      <w:r w:rsidRPr="002B5078">
        <w:rPr>
          <w:rFonts w:asciiTheme="minorHAnsi" w:hAnsiTheme="minorHAnsi" w:cstheme="minorHAnsi"/>
          <w:sz w:val="20"/>
        </w:rPr>
        <w:t xml:space="preserve"> </w:t>
      </w:r>
      <w:hyperlink r:id="rId2" w:history="1">
        <w:r w:rsidRPr="002B5078">
          <w:rPr>
            <w:rStyle w:val="Hipervnculo"/>
            <w:rFonts w:asciiTheme="minorHAnsi" w:hAnsiTheme="minorHAnsi" w:cstheme="minorHAnsi"/>
            <w:sz w:val="20"/>
          </w:rPr>
          <w:t>https://www.latercera.com/nacional/noticia/siete-conflictos-socioambientales-ponen-jaque-la-agenda-verde-del-gobierno-ano-la-cop25/686013/</w:t>
        </w:r>
      </w:hyperlink>
    </w:p>
  </w:footnote>
  <w:footnote w:id="3">
    <w:p w14:paraId="57065026" w14:textId="77777777" w:rsidR="00267E55" w:rsidRPr="002B5078" w:rsidRDefault="00267E55" w:rsidP="00267E55">
      <w:pPr>
        <w:pStyle w:val="Textonotapie"/>
        <w:rPr>
          <w:rFonts w:asciiTheme="minorHAnsi" w:hAnsiTheme="minorHAnsi" w:cstheme="minorHAnsi"/>
          <w:sz w:val="20"/>
        </w:rPr>
      </w:pPr>
      <w:r w:rsidRPr="002B5078">
        <w:rPr>
          <w:rStyle w:val="Refdenotaalpie"/>
          <w:rFonts w:asciiTheme="minorHAnsi" w:hAnsiTheme="minorHAnsi" w:cstheme="minorHAnsi"/>
          <w:sz w:val="20"/>
        </w:rPr>
        <w:footnoteRef/>
      </w:r>
      <w:r w:rsidRPr="002B5078">
        <w:rPr>
          <w:rFonts w:asciiTheme="minorHAnsi" w:hAnsiTheme="minorHAnsi" w:cstheme="minorHAnsi"/>
          <w:sz w:val="20"/>
        </w:rPr>
        <w:t xml:space="preserve"> </w:t>
      </w:r>
      <w:hyperlink r:id="rId3" w:history="1">
        <w:r w:rsidRPr="002B5078">
          <w:rPr>
            <w:rStyle w:val="Hipervnculo"/>
            <w:rFonts w:asciiTheme="minorHAnsi" w:hAnsiTheme="minorHAnsi" w:cstheme="minorHAnsi"/>
            <w:sz w:val="20"/>
          </w:rPr>
          <w:t>http://ddhh.minjusticia.gob.cl/infografias-plan-de-accion-nacional-de-derechos-humanos-y-empresas/</w:t>
        </w:r>
      </w:hyperlink>
      <w:r w:rsidRPr="002B5078">
        <w:rPr>
          <w:rFonts w:asciiTheme="minorHAnsi" w:hAnsiTheme="minorHAnsi" w:cstheme="minorHAnsi"/>
          <w:sz w:val="20"/>
        </w:rPr>
        <w:t>, visitada en diciembre de 2019.</w:t>
      </w:r>
    </w:p>
  </w:footnote>
  <w:footnote w:id="4">
    <w:p w14:paraId="283DAF47" w14:textId="77777777" w:rsidR="00267E55" w:rsidRPr="008D7F89" w:rsidRDefault="00267E55" w:rsidP="00267E55">
      <w:pPr>
        <w:pStyle w:val="Textonotapie"/>
        <w:rPr>
          <w:rFonts w:asciiTheme="minorHAnsi" w:hAnsiTheme="minorHAnsi" w:cstheme="minorHAnsi"/>
          <w:sz w:val="20"/>
        </w:rPr>
      </w:pPr>
      <w:r w:rsidRPr="005458B5">
        <w:rPr>
          <w:rStyle w:val="Refdenotaalpie"/>
          <w:rFonts w:asciiTheme="minorHAnsi" w:hAnsiTheme="minorHAnsi" w:cstheme="minorHAnsi"/>
          <w:sz w:val="20"/>
        </w:rPr>
        <w:footnoteRef/>
      </w:r>
      <w:r w:rsidRPr="005458B5">
        <w:rPr>
          <w:rFonts w:asciiTheme="minorHAnsi" w:hAnsiTheme="minorHAnsi" w:cstheme="minorHAnsi"/>
          <w:sz w:val="20"/>
        </w:rPr>
        <w:t xml:space="preserve"> COMITÉ DE DERECHOS HUMANOS (2014), </w:t>
      </w:r>
      <w:r w:rsidRPr="005458B5">
        <w:rPr>
          <w:rFonts w:asciiTheme="minorHAnsi" w:hAnsiTheme="minorHAnsi" w:cstheme="minorHAnsi"/>
          <w:i/>
          <w:sz w:val="20"/>
        </w:rPr>
        <w:t>Observaciones finales sobre el sexto informe periódico de Chile</w:t>
      </w:r>
      <w:r w:rsidRPr="005458B5">
        <w:rPr>
          <w:rFonts w:asciiTheme="minorHAnsi" w:hAnsiTheme="minorHAnsi" w:cstheme="minorHAnsi"/>
          <w:sz w:val="20"/>
        </w:rPr>
        <w:t>,</w:t>
      </w:r>
      <w:r w:rsidRPr="008D7F89">
        <w:rPr>
          <w:rFonts w:asciiTheme="minorHAnsi" w:hAnsiTheme="minorHAnsi" w:cstheme="minorHAnsi"/>
          <w:sz w:val="20"/>
        </w:rPr>
        <w:t xml:space="preserve"> 111º período de sesiones, 13 de agosto de 2014, U.N. Doc. CCPR/C/CHL/CO/6, párr. 14; CONSEJO DE DERECHOS HUMANOS (2014), </w:t>
      </w:r>
      <w:r w:rsidRPr="008D7F89">
        <w:rPr>
          <w:rFonts w:asciiTheme="minorHAnsi" w:hAnsiTheme="minorHAnsi" w:cstheme="minorHAnsi"/>
          <w:i/>
          <w:sz w:val="20"/>
        </w:rPr>
        <w:t>Informe del Grupo de Trabajo sobre el Examen Periódico Universal, Chile</w:t>
      </w:r>
      <w:r w:rsidRPr="008D7F89">
        <w:rPr>
          <w:rFonts w:asciiTheme="minorHAnsi" w:hAnsiTheme="minorHAnsi" w:cstheme="minorHAnsi"/>
          <w:sz w:val="20"/>
        </w:rPr>
        <w:t xml:space="preserve">, 26° período de sesiones, 2 de abril de 2014, U.N. Doc. A/HRC/26/5, párr. 121.71; CONSEJO DE DERECHOS HUMANOS (2009), </w:t>
      </w:r>
      <w:r w:rsidRPr="008D7F89">
        <w:rPr>
          <w:rFonts w:asciiTheme="minorHAnsi" w:hAnsiTheme="minorHAnsi" w:cstheme="minorHAnsi"/>
          <w:i/>
          <w:sz w:val="20"/>
        </w:rPr>
        <w:t>Examen Periódico Universal, Informe del Grupo de Trabajo sobre el Examen Periódico Universal, Chile</w:t>
      </w:r>
      <w:r w:rsidRPr="008D7F89">
        <w:rPr>
          <w:rFonts w:asciiTheme="minorHAnsi" w:hAnsiTheme="minorHAnsi" w:cstheme="minorHAnsi"/>
          <w:sz w:val="20"/>
        </w:rPr>
        <w:t>, 12° período de sesiones, 4 de junio de 2009, U.N. Doc. A/HRC/12/10</w:t>
      </w:r>
      <w:r w:rsidRPr="008D7F89">
        <w:rPr>
          <w:rFonts w:asciiTheme="minorHAnsi" w:hAnsiTheme="minorHAnsi" w:cstheme="minorHAnsi"/>
          <w:bCs/>
          <w:sz w:val="20"/>
        </w:rPr>
        <w:t xml:space="preserve">, párr. 96.29; </w:t>
      </w:r>
      <w:r w:rsidRPr="008D7F89">
        <w:rPr>
          <w:rFonts w:asciiTheme="minorHAnsi" w:hAnsiTheme="minorHAnsi" w:cstheme="minorHAnsi"/>
          <w:sz w:val="20"/>
        </w:rPr>
        <w:t xml:space="preserve">COMITÉ DE LOS DERECHOS DEL NIÑO (2007), </w:t>
      </w:r>
      <w:r w:rsidRPr="008D7F89">
        <w:rPr>
          <w:rFonts w:asciiTheme="minorHAnsi" w:hAnsiTheme="minorHAnsi" w:cstheme="minorHAnsi"/>
          <w:i/>
          <w:sz w:val="20"/>
        </w:rPr>
        <w:t>Examen de los informes presentados por los Estados partes con arreglo al artículo 44 de la Convención, Observaciones finales, Chile</w:t>
      </w:r>
      <w:r w:rsidRPr="008D7F89">
        <w:rPr>
          <w:rFonts w:asciiTheme="minorHAnsi" w:hAnsiTheme="minorHAnsi" w:cstheme="minorHAnsi"/>
          <w:sz w:val="20"/>
        </w:rPr>
        <w:t>, 44° período de sesiones, 23 de abril de 2007, U.N. Doc. CRC/C/CHL/CO/3, párr. 29.</w:t>
      </w:r>
    </w:p>
  </w:footnote>
  <w:footnote w:id="5">
    <w:p w14:paraId="6179F8BA" w14:textId="77777777" w:rsidR="00267E55" w:rsidRPr="008D7F89" w:rsidRDefault="00267E55" w:rsidP="00267E55">
      <w:pPr>
        <w:pStyle w:val="Textonotapie"/>
        <w:rPr>
          <w:rFonts w:asciiTheme="minorHAnsi" w:hAnsiTheme="minorHAnsi" w:cstheme="minorHAnsi"/>
          <w:sz w:val="20"/>
          <w:lang w:val="es-ES_tradnl"/>
        </w:rPr>
      </w:pPr>
      <w:r w:rsidRPr="008D7F89">
        <w:rPr>
          <w:rStyle w:val="Refdenotaalpie"/>
          <w:rFonts w:asciiTheme="minorHAnsi" w:hAnsiTheme="minorHAnsi" w:cstheme="minorHAnsi"/>
          <w:sz w:val="20"/>
        </w:rPr>
        <w:footnoteRef/>
      </w:r>
      <w:r w:rsidRPr="008D7F89">
        <w:rPr>
          <w:rFonts w:asciiTheme="minorHAnsi" w:hAnsiTheme="minorHAnsi" w:cstheme="minorHAnsi"/>
          <w:sz w:val="20"/>
        </w:rPr>
        <w:t xml:space="preserve"> COMITÉ SOBRE LOS DERECHOS DE LAS PERSONAS CON DISCAPACIDAD (2016), </w:t>
      </w:r>
      <w:r w:rsidRPr="008D7F89">
        <w:rPr>
          <w:rFonts w:asciiTheme="minorHAnsi" w:hAnsiTheme="minorHAnsi" w:cstheme="minorHAnsi"/>
          <w:i/>
          <w:sz w:val="20"/>
        </w:rPr>
        <w:t>Observaciones finales sobre el informe inicial de Chile</w:t>
      </w:r>
      <w:r w:rsidRPr="008D7F89">
        <w:rPr>
          <w:rFonts w:asciiTheme="minorHAnsi" w:hAnsiTheme="minorHAnsi" w:cstheme="minorHAnsi"/>
          <w:sz w:val="20"/>
        </w:rPr>
        <w:t>, 15º período de sesiones, 13 de abril de 2016, U.N. Doc. CRPD/C/CHL/CO/1.</w:t>
      </w:r>
    </w:p>
  </w:footnote>
  <w:footnote w:id="6">
    <w:p w14:paraId="1F47F1C8" w14:textId="77777777" w:rsidR="00267E55" w:rsidRPr="008D7F89" w:rsidRDefault="00267E55" w:rsidP="00267E55">
      <w:pPr>
        <w:pStyle w:val="Textonotapie"/>
        <w:rPr>
          <w:rFonts w:asciiTheme="minorHAnsi" w:hAnsiTheme="minorHAnsi" w:cstheme="minorHAnsi"/>
          <w:sz w:val="20"/>
        </w:rPr>
      </w:pPr>
      <w:r w:rsidRPr="008D7F89">
        <w:rPr>
          <w:rStyle w:val="Refdenotaalpie"/>
          <w:rFonts w:asciiTheme="minorHAnsi" w:hAnsiTheme="minorHAnsi" w:cstheme="minorHAnsi"/>
          <w:sz w:val="20"/>
        </w:rPr>
        <w:footnoteRef/>
      </w:r>
      <w:r w:rsidRPr="008D7F89">
        <w:rPr>
          <w:rFonts w:asciiTheme="minorHAnsi" w:hAnsiTheme="minorHAnsi" w:cstheme="minorHAnsi"/>
          <w:sz w:val="20"/>
        </w:rPr>
        <w:t xml:space="preserve"> El proyecto se encuentra en segundo trámite en el Senado desde enero de 2019.</w:t>
      </w:r>
    </w:p>
  </w:footnote>
  <w:footnote w:id="7">
    <w:p w14:paraId="261342F3" w14:textId="77777777" w:rsidR="00267E55" w:rsidRPr="008D7F89" w:rsidRDefault="00267E55" w:rsidP="00267E55">
      <w:pPr>
        <w:pStyle w:val="Textonotapie"/>
        <w:rPr>
          <w:rFonts w:asciiTheme="minorHAnsi" w:hAnsiTheme="minorHAnsi" w:cstheme="minorHAnsi"/>
          <w:sz w:val="20"/>
          <w:lang w:val="es-ES_tradnl"/>
        </w:rPr>
      </w:pPr>
      <w:r w:rsidRPr="008D7F89">
        <w:rPr>
          <w:rStyle w:val="Refdenotaalpie"/>
          <w:rFonts w:asciiTheme="minorHAnsi" w:hAnsiTheme="minorHAnsi" w:cstheme="minorHAnsi"/>
          <w:sz w:val="20"/>
        </w:rPr>
        <w:footnoteRef/>
      </w:r>
      <w:r w:rsidRPr="008D7F89">
        <w:rPr>
          <w:rFonts w:asciiTheme="minorHAnsi" w:hAnsiTheme="minorHAnsi" w:cstheme="minorHAnsi"/>
          <w:sz w:val="20"/>
        </w:rPr>
        <w:t xml:space="preserve"> </w:t>
      </w:r>
      <w:r w:rsidRPr="008D7F89">
        <w:rPr>
          <w:rFonts w:asciiTheme="minorHAnsi" w:hAnsiTheme="minorHAnsi" w:cstheme="minorHAnsi"/>
          <w:sz w:val="20"/>
          <w:lang w:val="es-CL"/>
        </w:rPr>
        <w:t xml:space="preserve">COMISIÓN INTERAMERICANA DE DERECHOS HUMANOS (2007), </w:t>
      </w:r>
      <w:r w:rsidRPr="008D7F89">
        <w:rPr>
          <w:rFonts w:asciiTheme="minorHAnsi" w:hAnsiTheme="minorHAnsi" w:cstheme="minorHAnsi"/>
          <w:i/>
          <w:sz w:val="20"/>
          <w:lang w:val="es-CL"/>
        </w:rPr>
        <w:t>“Sonia Arce Esparza contra Estado de Chile”, Acuerdo de Solución Amistosa, Caso N° 12.433</w:t>
      </w:r>
      <w:r w:rsidRPr="008D7F89">
        <w:rPr>
          <w:rFonts w:asciiTheme="minorHAnsi" w:hAnsiTheme="minorHAnsi" w:cstheme="minorHAnsi"/>
          <w:sz w:val="20"/>
          <w:lang w:val="es-CL"/>
        </w:rPr>
        <w:t>, 5 de marzo de 2007. Publicado en el Diario Oficial de Chile con fecha 3 de mayo de 2008.</w:t>
      </w:r>
    </w:p>
  </w:footnote>
  <w:footnote w:id="8">
    <w:p w14:paraId="4BFC2E15" w14:textId="77777777" w:rsidR="00267E55" w:rsidRPr="008D7F89" w:rsidRDefault="00267E55" w:rsidP="00267E55">
      <w:pPr>
        <w:pStyle w:val="Textonotapie"/>
        <w:rPr>
          <w:rFonts w:asciiTheme="minorHAnsi" w:hAnsiTheme="minorHAnsi" w:cstheme="minorHAnsi"/>
          <w:sz w:val="20"/>
        </w:rPr>
      </w:pPr>
      <w:r w:rsidRPr="008D7F89">
        <w:rPr>
          <w:rStyle w:val="Refdenotaalpie"/>
          <w:rFonts w:asciiTheme="minorHAnsi" w:hAnsiTheme="minorHAnsi" w:cstheme="minorHAnsi"/>
          <w:sz w:val="20"/>
        </w:rPr>
        <w:footnoteRef/>
      </w:r>
      <w:r w:rsidRPr="008D7F89">
        <w:rPr>
          <w:rFonts w:asciiTheme="minorHAnsi" w:hAnsiTheme="minorHAnsi" w:cstheme="minorHAnsi"/>
          <w:sz w:val="20"/>
        </w:rPr>
        <w:t xml:space="preserve"> Indicadores de Género, Instituto Nacional de Estadísticas, revisar en: </w:t>
      </w:r>
      <w:hyperlink r:id="rId4" w:history="1">
        <w:r w:rsidRPr="008D7F89">
          <w:rPr>
            <w:rStyle w:val="Hipervnculo"/>
            <w:rFonts w:asciiTheme="minorHAnsi" w:hAnsiTheme="minorHAnsi" w:cstheme="minorHAnsi"/>
            <w:sz w:val="20"/>
          </w:rPr>
          <w:t>http://historico.ine.cl/genero/indicadores/autonomia_economica.php</w:t>
        </w:r>
      </w:hyperlink>
      <w:r w:rsidRPr="008D7F89">
        <w:rPr>
          <w:rFonts w:asciiTheme="minorHAnsi" w:hAnsiTheme="minorHAnsi" w:cstheme="minorHAnsi"/>
          <w:sz w:val="20"/>
        </w:rPr>
        <w:t xml:space="preserve"> (20/12/17, 17:43).</w:t>
      </w:r>
    </w:p>
  </w:footnote>
  <w:footnote w:id="9">
    <w:p w14:paraId="2480B23F" w14:textId="77777777" w:rsidR="00267E55" w:rsidRPr="00505476" w:rsidRDefault="00267E55" w:rsidP="00267E55">
      <w:pPr>
        <w:pStyle w:val="Textonotapie"/>
        <w:rPr>
          <w:rFonts w:asciiTheme="minorHAnsi" w:hAnsiTheme="minorHAnsi" w:cstheme="minorHAnsi"/>
          <w:sz w:val="20"/>
          <w:lang w:val="es-CL"/>
        </w:rPr>
      </w:pPr>
      <w:r w:rsidRPr="008D7F89">
        <w:rPr>
          <w:rStyle w:val="Refdenotaalpie"/>
          <w:rFonts w:asciiTheme="minorHAnsi" w:hAnsiTheme="minorHAnsi" w:cstheme="minorHAnsi"/>
          <w:sz w:val="20"/>
        </w:rPr>
        <w:footnoteRef/>
      </w:r>
      <w:r w:rsidRPr="008D7F89">
        <w:rPr>
          <w:rFonts w:asciiTheme="minorHAnsi" w:hAnsiTheme="minorHAnsi" w:cstheme="minorHAnsi"/>
          <w:sz w:val="20"/>
        </w:rPr>
        <w:t xml:space="preserve"> Banco Central de Chile, Mercado laboral: Hechos estilizados e implicancias macroeconómicas, Diciembre 2018.</w:t>
      </w:r>
    </w:p>
  </w:footnote>
  <w:footnote w:id="10">
    <w:p w14:paraId="7842F3D3" w14:textId="77777777" w:rsidR="00267E55" w:rsidRPr="008D7F89" w:rsidRDefault="00267E55" w:rsidP="00267E55">
      <w:pPr>
        <w:pStyle w:val="Textonotapie"/>
        <w:rPr>
          <w:rFonts w:asciiTheme="minorHAnsi" w:hAnsiTheme="minorHAnsi" w:cstheme="minorHAnsi"/>
          <w:sz w:val="20"/>
          <w:lang w:val="es-CL"/>
        </w:rPr>
      </w:pPr>
      <w:r w:rsidRPr="008D7F89">
        <w:rPr>
          <w:rStyle w:val="Refdenotaalpie"/>
          <w:rFonts w:asciiTheme="minorHAnsi" w:hAnsiTheme="minorHAnsi" w:cstheme="minorHAnsi"/>
          <w:sz w:val="20"/>
        </w:rPr>
        <w:footnoteRef/>
      </w:r>
      <w:r w:rsidRPr="008D7F89">
        <w:rPr>
          <w:rFonts w:asciiTheme="minorHAnsi" w:hAnsiTheme="minorHAnsi" w:cstheme="minorHAnsi"/>
          <w:sz w:val="20"/>
        </w:rPr>
        <w:t xml:space="preserve"> Banco Central de Chile, Mercado laboral: Hechos estilizados e implicancias macroeconómicas, Diciembre 2018</w:t>
      </w:r>
    </w:p>
    <w:p w14:paraId="3B90D6CB" w14:textId="77777777" w:rsidR="00267E55" w:rsidRPr="00CA40CB" w:rsidRDefault="00267E55" w:rsidP="00267E55">
      <w:pPr>
        <w:pStyle w:val="Textonotapie"/>
        <w:rPr>
          <w:lang w:val="es-CL"/>
        </w:rPr>
      </w:pPr>
    </w:p>
  </w:footnote>
  <w:footnote w:id="11">
    <w:p w14:paraId="3E8D0E60" w14:textId="77777777" w:rsidR="00267E55" w:rsidRPr="00C300CB" w:rsidRDefault="00267E55" w:rsidP="00267E55">
      <w:pPr>
        <w:pStyle w:val="Textonotapie"/>
        <w:rPr>
          <w:rFonts w:asciiTheme="minorHAnsi" w:hAnsiTheme="minorHAnsi" w:cstheme="minorHAnsi"/>
          <w:sz w:val="20"/>
        </w:rPr>
      </w:pPr>
      <w:r w:rsidRPr="00C300CB">
        <w:rPr>
          <w:rStyle w:val="Refdenotaalpie"/>
          <w:rFonts w:asciiTheme="minorHAnsi" w:hAnsiTheme="minorHAnsi" w:cstheme="minorHAnsi"/>
          <w:sz w:val="20"/>
        </w:rPr>
        <w:footnoteRef/>
      </w:r>
      <w:r w:rsidRPr="00C300CB">
        <w:rPr>
          <w:rFonts w:asciiTheme="minorHAnsi" w:hAnsiTheme="minorHAnsi" w:cstheme="minorHAnsi"/>
          <w:sz w:val="20"/>
        </w:rPr>
        <w:t xml:space="preserve"> Fundación Sol, “Pensiones bajo el mínimo. Resultados del sistema de capitalización individual en Chile”, julio 2018. Disponible en </w:t>
      </w:r>
      <w:hyperlink r:id="rId5" w:history="1">
        <w:r w:rsidRPr="00C300CB">
          <w:rPr>
            <w:rStyle w:val="Hipervnculo"/>
            <w:rFonts w:asciiTheme="minorHAnsi" w:hAnsiTheme="minorHAnsi" w:cstheme="minorHAnsi"/>
            <w:sz w:val="20"/>
          </w:rPr>
          <w:t>http://www.fundacionsol.cl/wp-content/uploads/2019/07/Pensiones-bajo-el-minimo-2019-1.pdf</w:t>
        </w:r>
      </w:hyperlink>
    </w:p>
  </w:footnote>
  <w:footnote w:id="12">
    <w:p w14:paraId="446D508B" w14:textId="77777777" w:rsidR="00267E55" w:rsidRPr="008D7F89" w:rsidRDefault="00267E55" w:rsidP="00267E55">
      <w:pPr>
        <w:pStyle w:val="Textonotapie"/>
        <w:rPr>
          <w:rFonts w:asciiTheme="minorHAnsi" w:hAnsiTheme="minorHAnsi" w:cstheme="minorHAnsi"/>
          <w:sz w:val="20"/>
        </w:rPr>
      </w:pPr>
      <w:r w:rsidRPr="00A57B1E">
        <w:rPr>
          <w:rStyle w:val="Refdenotaalpie"/>
          <w:rFonts w:asciiTheme="minorHAnsi" w:hAnsiTheme="minorHAnsi" w:cstheme="minorHAnsi"/>
          <w:sz w:val="20"/>
        </w:rPr>
        <w:footnoteRef/>
      </w:r>
      <w:r w:rsidRPr="00A57B1E">
        <w:rPr>
          <w:rFonts w:asciiTheme="minorHAnsi" w:hAnsiTheme="minorHAnsi" w:cstheme="minorHAnsi"/>
          <w:sz w:val="20"/>
        </w:rPr>
        <w:t xml:space="preserve"> El artículo 18 del Código Sanitario señalaba: “</w:t>
      </w:r>
      <w:r w:rsidRPr="00A57B1E">
        <w:rPr>
          <w:rFonts w:asciiTheme="minorHAnsi" w:hAnsiTheme="minorHAnsi" w:cstheme="minorHAnsi"/>
          <w:bCs/>
          <w:sz w:val="20"/>
        </w:rPr>
        <w:t xml:space="preserve">La leche de la madre es de </w:t>
      </w:r>
      <w:r w:rsidRPr="00A57B1E">
        <w:rPr>
          <w:rFonts w:asciiTheme="minorHAnsi" w:hAnsiTheme="minorHAnsi" w:cstheme="minorHAnsi"/>
          <w:b/>
          <w:bCs/>
          <w:sz w:val="20"/>
        </w:rPr>
        <w:t>propiedad exclusiva de su hijo</w:t>
      </w:r>
      <w:r w:rsidRPr="00A57B1E">
        <w:rPr>
          <w:rFonts w:asciiTheme="minorHAnsi" w:hAnsiTheme="minorHAnsi" w:cstheme="minorHAnsi"/>
          <w:bCs/>
          <w:sz w:val="20"/>
        </w:rPr>
        <w:t xml:space="preserve"> y, en consecuencia, </w:t>
      </w:r>
      <w:r w:rsidRPr="00A57B1E">
        <w:rPr>
          <w:rFonts w:asciiTheme="minorHAnsi" w:hAnsiTheme="minorHAnsi" w:cstheme="minorHAnsi"/>
          <w:b/>
          <w:bCs/>
          <w:sz w:val="20"/>
        </w:rPr>
        <w:t>está obligada a amamantarlo por sí misma</w:t>
      </w:r>
      <w:r w:rsidRPr="00A57B1E">
        <w:rPr>
          <w:rFonts w:asciiTheme="minorHAnsi" w:hAnsiTheme="minorHAnsi" w:cstheme="minorHAnsi"/>
          <w:bCs/>
          <w:sz w:val="20"/>
        </w:rPr>
        <w:t xml:space="preserve">, salvo que por </w:t>
      </w:r>
      <w:r w:rsidRPr="00A57B1E">
        <w:rPr>
          <w:rFonts w:asciiTheme="minorHAnsi" w:hAnsiTheme="minorHAnsi" w:cstheme="minorHAnsi"/>
          <w:b/>
          <w:bCs/>
          <w:sz w:val="20"/>
        </w:rPr>
        <w:t>indicación médica</w:t>
      </w:r>
      <w:r w:rsidRPr="00A57B1E">
        <w:rPr>
          <w:rFonts w:asciiTheme="minorHAnsi" w:hAnsiTheme="minorHAnsi" w:cstheme="minorHAnsi"/>
          <w:bCs/>
          <w:sz w:val="20"/>
        </w:rPr>
        <w:t xml:space="preserve"> se resuelva lo </w:t>
      </w:r>
      <w:r w:rsidRPr="008D7F89">
        <w:rPr>
          <w:rFonts w:asciiTheme="minorHAnsi" w:hAnsiTheme="minorHAnsi" w:cstheme="minorHAnsi"/>
          <w:bCs/>
          <w:sz w:val="20"/>
        </w:rPr>
        <w:t>contrario”. (negritas agregadas).</w:t>
      </w:r>
    </w:p>
  </w:footnote>
  <w:footnote w:id="13">
    <w:p w14:paraId="30B7ABE7" w14:textId="77777777" w:rsidR="00267E55" w:rsidRPr="008D7F89" w:rsidRDefault="00267E55" w:rsidP="00267E55">
      <w:pPr>
        <w:autoSpaceDE w:val="0"/>
        <w:autoSpaceDN w:val="0"/>
        <w:adjustRightInd w:val="0"/>
        <w:rPr>
          <w:rFonts w:asciiTheme="minorHAnsi" w:eastAsia="Calibri" w:hAnsiTheme="minorHAnsi" w:cstheme="minorHAnsi"/>
          <w:b/>
          <w:bCs/>
          <w:sz w:val="20"/>
          <w:szCs w:val="20"/>
        </w:rPr>
      </w:pPr>
      <w:r w:rsidRPr="008D7F89">
        <w:rPr>
          <w:rStyle w:val="Refdenotaalpie"/>
          <w:rFonts w:asciiTheme="minorHAnsi" w:hAnsiTheme="minorHAnsi" w:cstheme="minorHAnsi"/>
          <w:sz w:val="20"/>
          <w:szCs w:val="20"/>
        </w:rPr>
        <w:footnoteRef/>
      </w:r>
      <w:r w:rsidRPr="008D7F89">
        <w:rPr>
          <w:rFonts w:asciiTheme="minorHAnsi" w:hAnsiTheme="minorHAnsi" w:cstheme="minorHAnsi"/>
          <w:sz w:val="20"/>
          <w:szCs w:val="20"/>
        </w:rPr>
        <w:t xml:space="preserve"> En: </w:t>
      </w:r>
      <w:hyperlink r:id="rId6" w:history="1">
        <w:r w:rsidRPr="008D7F89">
          <w:rPr>
            <w:rFonts w:asciiTheme="minorHAnsi" w:hAnsiTheme="minorHAnsi" w:cstheme="minorHAnsi"/>
            <w:color w:val="0000FF"/>
            <w:sz w:val="20"/>
            <w:szCs w:val="20"/>
            <w:u w:val="single"/>
          </w:rPr>
          <w:t>https://www.suseso.cl/605/articles-578297_recurso_2.pdf</w:t>
        </w:r>
      </w:hyperlink>
      <w:r w:rsidRPr="008D7F89">
        <w:rPr>
          <w:rFonts w:asciiTheme="minorHAnsi" w:hAnsiTheme="minorHAnsi" w:cstheme="minorHAnsi"/>
          <w:sz w:val="20"/>
          <w:szCs w:val="20"/>
        </w:rPr>
        <w:t>).</w:t>
      </w:r>
    </w:p>
    <w:p w14:paraId="114A9ABB" w14:textId="77777777" w:rsidR="00267E55" w:rsidRPr="00DE1F8A" w:rsidRDefault="00267E55" w:rsidP="00267E55">
      <w:pPr>
        <w:pStyle w:val="Textonotapie"/>
      </w:pPr>
    </w:p>
  </w:footnote>
  <w:footnote w:id="14">
    <w:p w14:paraId="761EBB4B" w14:textId="77777777" w:rsidR="00267E55" w:rsidRPr="00565570" w:rsidRDefault="00267E55" w:rsidP="00267E55">
      <w:pPr>
        <w:pStyle w:val="Textonotapie"/>
        <w:rPr>
          <w:rFonts w:asciiTheme="minorHAnsi" w:hAnsiTheme="minorHAnsi" w:cstheme="minorHAnsi"/>
          <w:sz w:val="20"/>
        </w:rPr>
      </w:pPr>
      <w:r w:rsidRPr="00565570">
        <w:rPr>
          <w:rStyle w:val="Refdenotaalpie"/>
          <w:rFonts w:asciiTheme="minorHAnsi" w:hAnsiTheme="minorHAnsi" w:cstheme="minorHAnsi"/>
          <w:sz w:val="20"/>
        </w:rPr>
        <w:footnoteRef/>
      </w:r>
      <w:r w:rsidRPr="00565570">
        <w:rPr>
          <w:rFonts w:asciiTheme="minorHAnsi" w:hAnsiTheme="minorHAnsi" w:cstheme="minorHAnsi"/>
          <w:sz w:val="20"/>
        </w:rPr>
        <w:t xml:space="preserve"> </w:t>
      </w:r>
      <w:hyperlink r:id="rId7" w:history="1">
        <w:r w:rsidRPr="00565570">
          <w:rPr>
            <w:rStyle w:val="Hipervnculo"/>
            <w:rFonts w:asciiTheme="minorHAnsi" w:hAnsiTheme="minorHAnsi" w:cstheme="minorHAnsi"/>
            <w:sz w:val="20"/>
          </w:rPr>
          <w:t>http://www.observadoresddhh.org/2019/07/05/carta-denuncia-a-cidh/</w:t>
        </w:r>
      </w:hyperlink>
    </w:p>
  </w:footnote>
  <w:footnote w:id="15">
    <w:p w14:paraId="14041167" w14:textId="77777777" w:rsidR="00267E55" w:rsidRPr="00565570" w:rsidRDefault="00267E55" w:rsidP="00267E55">
      <w:pPr>
        <w:pStyle w:val="Textonotaalfinal"/>
        <w:jc w:val="both"/>
        <w:rPr>
          <w:rFonts w:cstheme="minorHAnsi"/>
        </w:rPr>
      </w:pPr>
      <w:r w:rsidRPr="00565570">
        <w:rPr>
          <w:rStyle w:val="Refdenotaalpie"/>
          <w:rFonts w:cstheme="minorHAnsi"/>
        </w:rPr>
        <w:footnoteRef/>
      </w:r>
      <w:r w:rsidRPr="00565570">
        <w:rPr>
          <w:rFonts w:cstheme="minorHAnsi"/>
        </w:rPr>
        <w:t xml:space="preserve"> 1. Educación de Calidad para Todos: </w:t>
      </w:r>
      <w:proofErr w:type="gramStart"/>
      <w:r w:rsidRPr="00565570">
        <w:rPr>
          <w:rFonts w:cstheme="minorHAnsi"/>
        </w:rPr>
        <w:t>‘’(</w:t>
      </w:r>
      <w:proofErr w:type="gramEnd"/>
      <w:r w:rsidRPr="00565570">
        <w:rPr>
          <w:rFonts w:cstheme="minorHAnsi"/>
        </w:rPr>
        <w:t>…) No podemos ni vamos a tener educación de calidad si vemos tanta violencia y temor en nuestras salas de clases, si vemos permanentemente a profesores, apoderados y alumnos que están amenazados en nuestras escuelas y colegios.  Por eso impulsamos la Ley Aula Segura que este Congreso aprobó... porque no permitiremos, y lo digo muy claro, no permitiremos que un puñado de delincuentes sigan atentando con violencia y bombas molotov contra sus propios compañeros, sus propios profesores y sus propios establecimientos educacionales’’</w:t>
      </w:r>
      <w:r>
        <w:rPr>
          <w:rFonts w:cstheme="minorHAnsi"/>
        </w:rPr>
        <w:t xml:space="preserve"> Fuente:</w:t>
      </w:r>
      <w:r w:rsidRPr="00565570">
        <w:rPr>
          <w:rFonts w:cstheme="minorHAnsi"/>
        </w:rPr>
        <w:t xml:space="preserve"> </w:t>
      </w:r>
      <w:hyperlink r:id="rId8" w:history="1">
        <w:r w:rsidRPr="00E04599">
          <w:rPr>
            <w:rStyle w:val="Hipervnculo"/>
            <w:rFonts w:cstheme="minorHAnsi"/>
          </w:rPr>
          <w:t>https://prensa.presidencia.cl/discurso.aspx?id=96642</w:t>
        </w:r>
      </w:hyperlink>
      <w:r>
        <w:rPr>
          <w:rFonts w:cstheme="minorHAnsi"/>
        </w:rPr>
        <w:t xml:space="preserve"> </w:t>
      </w:r>
    </w:p>
    <w:p w14:paraId="7B1C5848" w14:textId="77777777" w:rsidR="00267E55" w:rsidRPr="00565570" w:rsidRDefault="00267E55" w:rsidP="00267E55">
      <w:pPr>
        <w:pStyle w:val="Textonotapie"/>
      </w:pPr>
    </w:p>
  </w:footnote>
  <w:footnote w:id="16">
    <w:p w14:paraId="0973C762" w14:textId="77777777" w:rsidR="00267E55" w:rsidRPr="00BB2756" w:rsidRDefault="00267E55" w:rsidP="00267E55">
      <w:pPr>
        <w:pStyle w:val="Textonotaalfinal"/>
        <w:jc w:val="both"/>
        <w:rPr>
          <w:rFonts w:cstheme="minorHAnsi"/>
        </w:rPr>
      </w:pPr>
      <w:r w:rsidRPr="00BB2756">
        <w:rPr>
          <w:rStyle w:val="Refdenotaalpie"/>
          <w:rFonts w:cstheme="minorHAnsi"/>
        </w:rPr>
        <w:footnoteRef/>
      </w:r>
      <w:r w:rsidRPr="00BB2756">
        <w:rPr>
          <w:rFonts w:cstheme="minorHAnsi"/>
        </w:rPr>
        <w:t xml:space="preserve"> </w:t>
      </w:r>
      <w:hyperlink r:id="rId9" w:history="1">
        <w:r w:rsidRPr="00BB2756">
          <w:rPr>
            <w:rStyle w:val="Hipervnculo"/>
            <w:rFonts w:cstheme="minorHAnsi"/>
          </w:rPr>
          <w:t>https://www.cooperativa.cl/noticias/pais/educacion/colegios/nuevo-manual-de-convivencia-del-instituto-nacional-eleva-sanciones-e/2019-07-09/204201.html</w:t>
        </w:r>
      </w:hyperlink>
    </w:p>
  </w:footnote>
  <w:footnote w:id="17">
    <w:p w14:paraId="39B4AC94" w14:textId="77777777" w:rsidR="00267E55" w:rsidRPr="00BB2756" w:rsidRDefault="00267E55" w:rsidP="00267E55">
      <w:pPr>
        <w:pStyle w:val="Textonotaalfinal"/>
        <w:jc w:val="both"/>
        <w:rPr>
          <w:rFonts w:cstheme="minorHAnsi"/>
        </w:rPr>
      </w:pPr>
      <w:r w:rsidRPr="00BB2756">
        <w:rPr>
          <w:rStyle w:val="Refdenotaalpie"/>
          <w:rFonts w:cstheme="minorHAnsi"/>
        </w:rPr>
        <w:footnoteRef/>
      </w:r>
      <w:r w:rsidRPr="00BB2756">
        <w:rPr>
          <w:rFonts w:cstheme="minorHAnsi"/>
        </w:rPr>
        <w:t xml:space="preserve"> INFORME DE MISIÓN DE OBSERVACIÓN DESALOJOS E INGRESO DE EFECTIVOS DE FUERZAS ESPECIALES DE CARABINEROS EN LICEOS DE LA COMUNA DE SANTIAGO DE CHILE ABRIL/MAYO 2018. FUENTE: </w:t>
      </w:r>
      <w:hyperlink r:id="rId10" w:history="1">
        <w:r w:rsidRPr="00BB2756">
          <w:rPr>
            <w:rStyle w:val="Hipervnculo"/>
            <w:rFonts w:cstheme="minorHAnsi"/>
          </w:rPr>
          <w:t>http://www.observadoresddhh.org/wp-content/uploads/2012/02/Informe-Ingreso-de-FFEE-a-Liceos-de-laComuna-de-Santiago-Abril-Mayo-2018-Rev-1.pdf</w:t>
        </w:r>
      </w:hyperlink>
      <w:r w:rsidRPr="00BB2756">
        <w:rPr>
          <w:rFonts w:cstheme="minorHAnsi"/>
        </w:rPr>
        <w:t>.</w:t>
      </w:r>
    </w:p>
  </w:footnote>
  <w:footnote w:id="18">
    <w:p w14:paraId="634D8986" w14:textId="77777777" w:rsidR="00267E55" w:rsidRPr="00BB2756" w:rsidRDefault="00267E55" w:rsidP="00267E55">
      <w:pPr>
        <w:pStyle w:val="Textonotapie"/>
        <w:spacing w:line="240" w:lineRule="auto"/>
        <w:rPr>
          <w:rFonts w:asciiTheme="minorHAnsi" w:hAnsiTheme="minorHAnsi" w:cstheme="minorHAnsi"/>
          <w:sz w:val="20"/>
        </w:rPr>
      </w:pPr>
      <w:r w:rsidRPr="00BB2756">
        <w:rPr>
          <w:rStyle w:val="Refdenotaalfinal"/>
          <w:rFonts w:asciiTheme="minorHAnsi" w:hAnsiTheme="minorHAnsi" w:cstheme="minorHAnsi"/>
          <w:sz w:val="20"/>
        </w:rPr>
        <w:footnoteRef/>
      </w:r>
      <w:r w:rsidRPr="00BB2756">
        <w:rPr>
          <w:rFonts w:asciiTheme="minorHAnsi" w:hAnsiTheme="minorHAnsi" w:cstheme="minorHAnsi"/>
          <w:sz w:val="20"/>
        </w:rPr>
        <w:t xml:space="preserve">  Estudiante del INBA resulta gravemente herido en su cabeza por bomba lacrimógena lanzada por FFEE al establecimiento, hay estudiantes detenidos. Noticia en desarrollo. FUENTE: </w:t>
      </w:r>
      <w:hyperlink r:id="rId11" w:history="1">
        <w:r w:rsidRPr="00BB2756">
          <w:rPr>
            <w:rStyle w:val="Hipervnculo"/>
            <w:rFonts w:asciiTheme="minorHAnsi" w:hAnsiTheme="minorHAnsi" w:cstheme="minorHAnsi"/>
            <w:sz w:val="20"/>
          </w:rPr>
          <w:t>https://www.chileokulto.cl/video-urgente-estudiantes-del-inba-votan-toma-del-establecimiento-y-ffee-</w:t>
        </w:r>
      </w:hyperlink>
      <w:r w:rsidRPr="00BB2756">
        <w:rPr>
          <w:rFonts w:asciiTheme="minorHAnsi" w:hAnsiTheme="minorHAnsi" w:cstheme="minorHAnsi"/>
          <w:sz w:val="20"/>
        </w:rPr>
        <w:t>arremete-con-gran-violencia-al-establecimiento-lanzando-bombas-lacrimogenas-hay-estudiantes-detenidosnoticia-en-desarroll/</w:t>
      </w:r>
      <w:proofErr w:type="gramStart"/>
      <w:r w:rsidRPr="00BB2756">
        <w:rPr>
          <w:rFonts w:asciiTheme="minorHAnsi" w:hAnsiTheme="minorHAnsi" w:cstheme="minorHAnsi"/>
          <w:sz w:val="20"/>
        </w:rPr>
        <w:t>?</w:t>
      </w:r>
      <w:proofErr w:type="gramEnd"/>
      <w:r w:rsidRPr="00BB2756">
        <w:rPr>
          <w:rFonts w:asciiTheme="minorHAnsi" w:hAnsiTheme="minorHAnsi" w:cstheme="minorHAnsi"/>
          <w:sz w:val="20"/>
        </w:rPr>
        <w:t>cn-reloaded=1.</w:t>
      </w:r>
    </w:p>
  </w:footnote>
  <w:footnote w:id="19">
    <w:p w14:paraId="30A1B8C4" w14:textId="77777777" w:rsidR="00267E55" w:rsidRPr="00BB2756" w:rsidRDefault="00267E55" w:rsidP="00267E55">
      <w:pPr>
        <w:spacing w:line="240" w:lineRule="auto"/>
        <w:rPr>
          <w:rFonts w:asciiTheme="minorHAnsi" w:hAnsiTheme="minorHAnsi" w:cstheme="minorHAnsi"/>
          <w:sz w:val="20"/>
          <w:szCs w:val="20"/>
        </w:rPr>
      </w:pPr>
      <w:r w:rsidRPr="00BB2756">
        <w:rPr>
          <w:rStyle w:val="Refdenotaalpie"/>
          <w:rFonts w:asciiTheme="minorHAnsi" w:hAnsiTheme="minorHAnsi" w:cstheme="minorHAnsi"/>
          <w:sz w:val="20"/>
          <w:szCs w:val="20"/>
        </w:rPr>
        <w:footnoteRef/>
      </w:r>
      <w:r w:rsidRPr="00BB2756">
        <w:rPr>
          <w:rFonts w:asciiTheme="minorHAnsi" w:hAnsiTheme="minorHAnsi" w:cstheme="minorHAnsi"/>
          <w:sz w:val="20"/>
          <w:szCs w:val="20"/>
        </w:rPr>
        <w:t xml:space="preserve"> Profesores denuncian violencia injustificada y acusan a autoridades de “faltar a la verdad”. FUENTE: </w:t>
      </w:r>
      <w:hyperlink r:id="rId12" w:history="1">
        <w:r w:rsidRPr="00BB2756">
          <w:rPr>
            <w:rStyle w:val="Hipervnculo"/>
            <w:rFonts w:asciiTheme="minorHAnsi" w:hAnsiTheme="minorHAnsi" w:cstheme="minorHAnsi"/>
            <w:sz w:val="20"/>
          </w:rPr>
          <w:t>http://werkenrojo.cl/chile-aula-segura-pacos-matones-docentes-del-liceo-dario-salas-culpan-a-carabinerosde-violencia-video/</w:t>
        </w:r>
      </w:hyperlink>
      <w:r w:rsidRPr="00BB2756">
        <w:rPr>
          <w:rFonts w:asciiTheme="minorHAnsi" w:hAnsiTheme="minorHAnsi" w:cstheme="minorHAnsi"/>
          <w:sz w:val="20"/>
          <w:szCs w:val="20"/>
        </w:rPr>
        <w:t>.</w:t>
      </w:r>
    </w:p>
  </w:footnote>
  <w:footnote w:id="20">
    <w:p w14:paraId="4739FDEF" w14:textId="77777777" w:rsidR="00267E55" w:rsidRPr="00BB2756" w:rsidRDefault="00267E55" w:rsidP="00267E55">
      <w:pPr>
        <w:pStyle w:val="Textonotaalfinal"/>
        <w:jc w:val="both"/>
        <w:rPr>
          <w:rFonts w:cstheme="minorHAnsi"/>
        </w:rPr>
      </w:pPr>
      <w:r w:rsidRPr="00BB2756">
        <w:rPr>
          <w:rStyle w:val="Refdenotaalpie"/>
          <w:rFonts w:cstheme="minorHAnsi"/>
        </w:rPr>
        <w:footnoteRef/>
      </w:r>
      <w:r w:rsidRPr="00BB2756">
        <w:rPr>
          <w:rFonts w:cstheme="minorHAnsi"/>
        </w:rPr>
        <w:t xml:space="preserve"> Carabinero acusado en caso </w:t>
      </w:r>
      <w:proofErr w:type="spellStart"/>
      <w:r w:rsidRPr="00BB2756">
        <w:rPr>
          <w:rFonts w:cstheme="minorHAnsi"/>
        </w:rPr>
        <w:t>Quichillao</w:t>
      </w:r>
      <w:proofErr w:type="spellEnd"/>
      <w:r w:rsidRPr="00BB2756">
        <w:rPr>
          <w:rFonts w:cstheme="minorHAnsi"/>
        </w:rPr>
        <w:t xml:space="preserve"> suma denuncia por tortura a estudiante. FUENTE: </w:t>
      </w:r>
      <w:hyperlink r:id="rId13" w:history="1">
        <w:r w:rsidRPr="00BB2756">
          <w:rPr>
            <w:rStyle w:val="Hipervnculo"/>
            <w:rFonts w:cstheme="minorHAnsi"/>
          </w:rPr>
          <w:t>https://radio.uchile.cl/2015/09/22/carabinero-acusado-en-caso-quichillao-suma-denuncia-por-tortura-aestudiante/</w:t>
        </w:r>
      </w:hyperlink>
      <w:r w:rsidRPr="00BB2756">
        <w:rPr>
          <w:rFonts w:cstheme="minorHAnsi"/>
        </w:rPr>
        <w:t>.</w:t>
      </w:r>
    </w:p>
  </w:footnote>
  <w:footnote w:id="21">
    <w:p w14:paraId="16CFA5A6" w14:textId="77777777" w:rsidR="00267E55" w:rsidRPr="00BB2756" w:rsidRDefault="00267E55" w:rsidP="00267E55">
      <w:pPr>
        <w:pStyle w:val="Textonotapie"/>
        <w:rPr>
          <w:rFonts w:asciiTheme="minorHAnsi" w:hAnsiTheme="minorHAnsi" w:cstheme="minorHAnsi"/>
          <w:sz w:val="20"/>
        </w:rPr>
      </w:pPr>
      <w:r w:rsidRPr="00BB2756">
        <w:rPr>
          <w:rStyle w:val="Refdenotaalpie"/>
          <w:rFonts w:asciiTheme="minorHAnsi" w:hAnsiTheme="minorHAnsi" w:cstheme="minorHAnsi"/>
          <w:sz w:val="20"/>
        </w:rPr>
        <w:footnoteRef/>
      </w:r>
      <w:r w:rsidRPr="00BB2756">
        <w:rPr>
          <w:rFonts w:asciiTheme="minorHAnsi" w:hAnsiTheme="minorHAnsi" w:cstheme="minorHAnsi"/>
          <w:sz w:val="20"/>
        </w:rPr>
        <w:t xml:space="preserve"> ¿Es el control de identidad a menores una medida efectiva para prevenir el delito? FUENTE: </w:t>
      </w:r>
      <w:hyperlink r:id="rId14" w:history="1">
        <w:r w:rsidRPr="00BB2756">
          <w:rPr>
            <w:rStyle w:val="Hipervnculo"/>
            <w:rFonts w:asciiTheme="minorHAnsi" w:hAnsiTheme="minorHAnsi" w:cstheme="minorHAnsi"/>
            <w:sz w:val="20"/>
          </w:rPr>
          <w:t>http://www.uchile.cl/noticias/152009/control-de-identidad-a-menores-medida-efectiva-para-prevenirdelitos</w:t>
        </w:r>
      </w:hyperlink>
      <w:r w:rsidRPr="00BB2756">
        <w:rPr>
          <w:rFonts w:asciiTheme="minorHAnsi" w:hAnsiTheme="minorHAnsi" w:cstheme="minorHAnsi"/>
          <w:sz w:val="20"/>
        </w:rPr>
        <w:t>.</w:t>
      </w:r>
    </w:p>
  </w:footnote>
  <w:footnote w:id="22">
    <w:p w14:paraId="37129364" w14:textId="77777777" w:rsidR="00267E55" w:rsidRPr="00BB2756" w:rsidRDefault="00267E55" w:rsidP="00267E55">
      <w:pPr>
        <w:pStyle w:val="Textonotapie"/>
        <w:rPr>
          <w:rFonts w:asciiTheme="minorHAnsi" w:hAnsiTheme="minorHAnsi" w:cstheme="minorHAnsi"/>
          <w:sz w:val="20"/>
        </w:rPr>
      </w:pPr>
      <w:r w:rsidRPr="00BB2756">
        <w:rPr>
          <w:rStyle w:val="Refdenotaalpie"/>
          <w:rFonts w:asciiTheme="minorHAnsi" w:hAnsiTheme="minorHAnsi" w:cstheme="minorHAnsi"/>
          <w:sz w:val="20"/>
        </w:rPr>
        <w:footnoteRef/>
      </w:r>
      <w:r w:rsidRPr="00BB2756">
        <w:rPr>
          <w:rFonts w:asciiTheme="minorHAnsi" w:hAnsiTheme="minorHAnsi" w:cstheme="minorHAnsi"/>
          <w:sz w:val="20"/>
        </w:rPr>
        <w:t xml:space="preserve"> En 2018, Carabineros realizó más de 4,8 millones de controles de identidad. FUENTE: </w:t>
      </w:r>
      <w:hyperlink r:id="rId15" w:history="1">
        <w:r w:rsidRPr="00BB2756">
          <w:rPr>
            <w:rStyle w:val="Hipervnculo"/>
            <w:rFonts w:asciiTheme="minorHAnsi" w:hAnsiTheme="minorHAnsi" w:cstheme="minorHAnsi"/>
            <w:sz w:val="20"/>
          </w:rPr>
          <w:t>https://derecho.udp.cl/controles-de-identidad-informacion-basica-para-el-debate/</w:t>
        </w:r>
      </w:hyperlink>
    </w:p>
  </w:footnote>
  <w:footnote w:id="23">
    <w:p w14:paraId="5EAD451C" w14:textId="77777777" w:rsidR="00267E55" w:rsidRPr="008D7F89" w:rsidRDefault="00267E55" w:rsidP="00267E55">
      <w:pPr>
        <w:pStyle w:val="Textonotapie"/>
        <w:rPr>
          <w:rFonts w:asciiTheme="minorHAnsi" w:hAnsiTheme="minorHAnsi" w:cstheme="minorHAnsi"/>
          <w:sz w:val="20"/>
        </w:rPr>
      </w:pPr>
      <w:r w:rsidRPr="008D7F89">
        <w:rPr>
          <w:rStyle w:val="Refdenotaalpie"/>
          <w:rFonts w:asciiTheme="minorHAnsi" w:hAnsiTheme="minorHAnsi" w:cstheme="minorHAnsi"/>
          <w:sz w:val="20"/>
        </w:rPr>
        <w:footnoteRef/>
      </w:r>
      <w:r w:rsidRPr="008D7F89">
        <w:rPr>
          <w:rFonts w:asciiTheme="minorHAnsi" w:hAnsiTheme="minorHAnsi" w:cstheme="minorHAnsi"/>
          <w:sz w:val="20"/>
        </w:rPr>
        <w:t xml:space="preserve"> </w:t>
      </w:r>
      <w:r w:rsidRPr="008D7F89">
        <w:rPr>
          <w:rFonts w:asciiTheme="minorHAnsi" w:hAnsiTheme="minorHAnsi" w:cstheme="minorHAnsi"/>
          <w:sz w:val="20"/>
          <w:lang w:val="es-ES_tradnl"/>
        </w:rPr>
        <w:t xml:space="preserve">NACIONES UNIDAS (1993), </w:t>
      </w:r>
      <w:r w:rsidRPr="008D7F89">
        <w:rPr>
          <w:rFonts w:asciiTheme="minorHAnsi" w:hAnsiTheme="minorHAnsi" w:cstheme="minorHAnsi"/>
          <w:i/>
          <w:sz w:val="20"/>
          <w:lang w:val="es-ES_tradnl"/>
        </w:rPr>
        <w:t>Declaración sobre la eliminación de la discriminación contra la mujer</w:t>
      </w:r>
      <w:r w:rsidRPr="008D7F89">
        <w:rPr>
          <w:rFonts w:asciiTheme="minorHAnsi" w:hAnsiTheme="minorHAnsi" w:cstheme="minorHAnsi"/>
          <w:sz w:val="20"/>
          <w:lang w:val="es-ES_tradnl"/>
        </w:rPr>
        <w:t>, preámbulo.</w:t>
      </w:r>
    </w:p>
  </w:footnote>
  <w:footnote w:id="24">
    <w:p w14:paraId="38411E96" w14:textId="77777777" w:rsidR="00267E55" w:rsidRPr="008D7F89" w:rsidRDefault="00267E55" w:rsidP="00267E55">
      <w:pPr>
        <w:pStyle w:val="Textonotapie"/>
        <w:rPr>
          <w:rFonts w:asciiTheme="minorHAnsi" w:hAnsiTheme="minorHAnsi" w:cstheme="minorHAnsi"/>
          <w:sz w:val="20"/>
          <w:lang w:val="es-ES_tradnl"/>
        </w:rPr>
      </w:pPr>
      <w:r w:rsidRPr="008D7F89">
        <w:rPr>
          <w:rStyle w:val="Refdenotaalpie"/>
          <w:rFonts w:asciiTheme="minorHAnsi" w:hAnsiTheme="minorHAnsi" w:cstheme="minorHAnsi"/>
          <w:sz w:val="20"/>
        </w:rPr>
        <w:footnoteRef/>
      </w:r>
      <w:r w:rsidRPr="008D7F89">
        <w:rPr>
          <w:rFonts w:asciiTheme="minorHAnsi" w:hAnsiTheme="minorHAnsi" w:cstheme="minorHAnsi"/>
          <w:sz w:val="20"/>
        </w:rPr>
        <w:t xml:space="preserve"> </w:t>
      </w:r>
      <w:r w:rsidRPr="008D7F89">
        <w:rPr>
          <w:rFonts w:asciiTheme="minorHAnsi" w:hAnsiTheme="minorHAnsi" w:cstheme="minorHAnsi"/>
          <w:sz w:val="20"/>
          <w:lang w:val="es-ES_tradnl"/>
        </w:rPr>
        <w:t xml:space="preserve">Ley Nº 21.153 modifica el Código Penal para tipificar el delito de acoso sexual en espacios públicos, publicada en el Diario Oficial el 3 de mayo de 2019. </w:t>
      </w:r>
    </w:p>
  </w:footnote>
  <w:footnote w:id="25">
    <w:p w14:paraId="353F2B0C" w14:textId="77777777" w:rsidR="00267E55" w:rsidRPr="008D7F89" w:rsidRDefault="00267E55" w:rsidP="00267E55">
      <w:pPr>
        <w:pStyle w:val="Textonotapie"/>
        <w:rPr>
          <w:rFonts w:asciiTheme="minorHAnsi" w:hAnsiTheme="minorHAnsi" w:cstheme="minorHAnsi"/>
          <w:sz w:val="20"/>
        </w:rPr>
      </w:pPr>
      <w:r w:rsidRPr="008D7F89">
        <w:rPr>
          <w:rStyle w:val="Refdenotaalpie"/>
          <w:rFonts w:asciiTheme="minorHAnsi" w:hAnsiTheme="minorHAnsi" w:cstheme="minorHAnsi"/>
          <w:sz w:val="20"/>
        </w:rPr>
        <w:footnoteRef/>
      </w:r>
      <w:r w:rsidRPr="008D7F89">
        <w:rPr>
          <w:rFonts w:asciiTheme="minorHAnsi" w:hAnsiTheme="minorHAnsi" w:cstheme="minorHAnsi"/>
          <w:sz w:val="20"/>
        </w:rPr>
        <w:t xml:space="preserve"> http://www.ministeriodesarrollosocial.gob.cl/storage/docs/Informe_de_Desarrollo_Social_2018.pdf</w:t>
      </w:r>
    </w:p>
  </w:footnote>
  <w:footnote w:id="26">
    <w:p w14:paraId="53633AEF" w14:textId="77777777" w:rsidR="00267E55" w:rsidRPr="008D7F89" w:rsidRDefault="00267E55" w:rsidP="00267E55">
      <w:pPr>
        <w:pStyle w:val="Textonotapie"/>
        <w:rPr>
          <w:rFonts w:asciiTheme="minorHAnsi" w:hAnsiTheme="minorHAnsi" w:cstheme="minorHAnsi"/>
          <w:sz w:val="20"/>
        </w:rPr>
      </w:pPr>
      <w:r w:rsidRPr="008D7F89">
        <w:rPr>
          <w:rStyle w:val="Refdenotaalpie"/>
          <w:rFonts w:asciiTheme="minorHAnsi" w:hAnsiTheme="minorHAnsi" w:cstheme="minorHAnsi"/>
          <w:sz w:val="20"/>
        </w:rPr>
        <w:footnoteRef/>
      </w:r>
      <w:r w:rsidRPr="008D7F89">
        <w:rPr>
          <w:rFonts w:asciiTheme="minorHAnsi" w:hAnsiTheme="minorHAnsi" w:cstheme="minorHAnsi"/>
          <w:sz w:val="20"/>
        </w:rPr>
        <w:t xml:space="preserve"> Ídem</w:t>
      </w:r>
    </w:p>
  </w:footnote>
  <w:footnote w:id="27">
    <w:p w14:paraId="20D8B8EB" w14:textId="77777777" w:rsidR="00267E55" w:rsidRPr="00AD2D07" w:rsidRDefault="00267E55" w:rsidP="00267E55">
      <w:pPr>
        <w:pStyle w:val="Textonotapie"/>
        <w:rPr>
          <w:rFonts w:asciiTheme="minorHAnsi" w:hAnsiTheme="minorHAnsi" w:cstheme="minorHAnsi"/>
          <w:sz w:val="20"/>
        </w:rPr>
      </w:pPr>
      <w:r w:rsidRPr="00AD2D07">
        <w:rPr>
          <w:rStyle w:val="Refdenotaalpie"/>
          <w:rFonts w:asciiTheme="minorHAnsi" w:hAnsiTheme="minorHAnsi" w:cstheme="minorHAnsi"/>
          <w:sz w:val="20"/>
        </w:rPr>
        <w:footnoteRef/>
      </w:r>
      <w:r w:rsidRPr="00AD2D07">
        <w:rPr>
          <w:rFonts w:asciiTheme="minorHAnsi" w:hAnsiTheme="minorHAnsi" w:cstheme="minorHAnsi"/>
          <w:sz w:val="20"/>
        </w:rPr>
        <w:t xml:space="preserve"> INSTITUTO NACIONAL DE DERECHOS HUMANOS (2016), </w:t>
      </w:r>
      <w:r w:rsidRPr="00AD2D07">
        <w:rPr>
          <w:rFonts w:asciiTheme="minorHAnsi" w:hAnsiTheme="minorHAnsi" w:cstheme="minorHAnsi"/>
          <w:i/>
          <w:sz w:val="20"/>
        </w:rPr>
        <w:t>Informe Anual 2016 Situación de los Derechos Humanos en Chile</w:t>
      </w:r>
      <w:r w:rsidRPr="00AD2D07">
        <w:rPr>
          <w:rFonts w:asciiTheme="minorHAnsi" w:hAnsiTheme="minorHAnsi" w:cstheme="minorHAnsi"/>
          <w:sz w:val="20"/>
        </w:rPr>
        <w:t>, p. 181.</w:t>
      </w:r>
    </w:p>
  </w:footnote>
  <w:footnote w:id="28">
    <w:p w14:paraId="353ADDE6" w14:textId="77777777" w:rsidR="00267E55" w:rsidRPr="005458B5" w:rsidRDefault="00267E55" w:rsidP="00267E55">
      <w:pPr>
        <w:pStyle w:val="Textonotapie"/>
        <w:rPr>
          <w:rFonts w:asciiTheme="minorHAnsi" w:hAnsiTheme="minorHAnsi" w:cstheme="minorHAnsi"/>
          <w:sz w:val="20"/>
        </w:rPr>
      </w:pPr>
      <w:r w:rsidRPr="005458B5">
        <w:rPr>
          <w:rStyle w:val="Refdenotaalpie"/>
          <w:rFonts w:asciiTheme="minorHAnsi" w:hAnsiTheme="minorHAnsi" w:cstheme="minorHAnsi"/>
          <w:sz w:val="20"/>
        </w:rPr>
        <w:footnoteRef/>
      </w:r>
      <w:r w:rsidRPr="005458B5">
        <w:rPr>
          <w:rFonts w:asciiTheme="minorHAnsi" w:hAnsiTheme="minorHAnsi" w:cstheme="minorHAnsi"/>
          <w:sz w:val="20"/>
        </w:rPr>
        <w:t xml:space="preserve"> </w:t>
      </w:r>
      <w:hyperlink r:id="rId16" w:history="1">
        <w:r w:rsidRPr="005458B5">
          <w:rPr>
            <w:rStyle w:val="Hipervnculo"/>
            <w:rFonts w:asciiTheme="minorHAnsi" w:hAnsiTheme="minorHAnsi" w:cstheme="minorHAnsi"/>
            <w:sz w:val="20"/>
          </w:rPr>
          <w:t>https://www.biobiochile.cl/noticias/nacional/chile/2019/08/01/26-mil-personas-fallecieron-en-2018-mientras-se-encontraban-en-listas-de-espera-mil-estaban-en-auge.shtml</w:t>
        </w:r>
      </w:hyperlink>
    </w:p>
  </w:footnote>
  <w:footnote w:id="29">
    <w:p w14:paraId="2E5F81D2" w14:textId="77777777" w:rsidR="00267E55" w:rsidRPr="009016A4" w:rsidRDefault="00267E55" w:rsidP="00267E55">
      <w:pPr>
        <w:pStyle w:val="Textonotapie"/>
        <w:rPr>
          <w:rFonts w:asciiTheme="minorHAnsi" w:hAnsiTheme="minorHAnsi" w:cstheme="minorHAnsi"/>
          <w:sz w:val="20"/>
        </w:rPr>
      </w:pPr>
      <w:r w:rsidRPr="005458B5">
        <w:rPr>
          <w:rStyle w:val="Refdenotaalpie"/>
          <w:rFonts w:asciiTheme="minorHAnsi" w:hAnsiTheme="minorHAnsi" w:cstheme="minorHAnsi"/>
          <w:sz w:val="20"/>
        </w:rPr>
        <w:footnoteRef/>
      </w:r>
      <w:r w:rsidRPr="005458B5">
        <w:rPr>
          <w:rFonts w:asciiTheme="minorHAnsi" w:hAnsiTheme="minorHAnsi" w:cstheme="minorHAnsi"/>
          <w:sz w:val="20"/>
        </w:rPr>
        <w:t xml:space="preserve"> </w:t>
      </w:r>
      <w:hyperlink r:id="rId17" w:history="1">
        <w:r w:rsidRPr="005458B5">
          <w:rPr>
            <w:rStyle w:val="Hipervnculo"/>
            <w:rFonts w:asciiTheme="minorHAnsi" w:hAnsiTheme="minorHAnsi" w:cstheme="minorHAnsi"/>
            <w:sz w:val="20"/>
          </w:rPr>
          <w:t>http://www.colegiomedico.cl/valparaiso-colegio-medico-advierte-crisis-sanitaria-por-quiebre-de-stock-en-medicamentos-e-insumos-en-hospitales-y-consultorios-de-la-region/</w:t>
        </w:r>
      </w:hyperlink>
    </w:p>
  </w:footnote>
  <w:footnote w:id="30">
    <w:p w14:paraId="210410C9" w14:textId="77777777" w:rsidR="00267E55" w:rsidRPr="00A33634" w:rsidRDefault="00267E55" w:rsidP="00267E55">
      <w:pPr>
        <w:pStyle w:val="Textonotapie"/>
        <w:rPr>
          <w:rFonts w:asciiTheme="minorHAnsi" w:hAnsiTheme="minorHAnsi" w:cstheme="minorHAnsi"/>
          <w:sz w:val="20"/>
        </w:rPr>
      </w:pPr>
      <w:r w:rsidRPr="00AD2D07">
        <w:rPr>
          <w:rStyle w:val="Refdenotaalpie"/>
          <w:rFonts w:asciiTheme="minorHAnsi" w:hAnsiTheme="minorHAnsi" w:cstheme="minorHAnsi"/>
          <w:sz w:val="20"/>
        </w:rPr>
        <w:footnoteRef/>
      </w:r>
      <w:r w:rsidRPr="00AD2D07">
        <w:rPr>
          <w:rFonts w:asciiTheme="minorHAnsi" w:hAnsiTheme="minorHAnsi" w:cstheme="minorHAnsi"/>
          <w:sz w:val="20"/>
        </w:rPr>
        <w:t xml:space="preserve"> </w:t>
      </w:r>
      <w:r w:rsidRPr="00AD2D07">
        <w:rPr>
          <w:rStyle w:val="Ninguno"/>
          <w:rFonts w:asciiTheme="minorHAnsi" w:eastAsiaTheme="majorEastAsia" w:hAnsiTheme="minorHAnsi" w:cstheme="minorHAnsi"/>
          <w:sz w:val="20"/>
          <w:lang w:val="es-ES_tradnl"/>
        </w:rPr>
        <w:t>DIDES, Claudia; BENAVENTE, Cristina; S</w:t>
      </w:r>
      <w:r w:rsidRPr="00AD2D07">
        <w:rPr>
          <w:rStyle w:val="Ninguno"/>
          <w:rFonts w:asciiTheme="minorHAnsi" w:eastAsiaTheme="majorEastAsia" w:hAnsiTheme="minorHAnsi" w:cstheme="minorHAnsi"/>
          <w:sz w:val="20"/>
        </w:rPr>
        <w:t>Á</w:t>
      </w:r>
      <w:r w:rsidRPr="00AD2D07">
        <w:rPr>
          <w:rStyle w:val="Ninguno"/>
          <w:rFonts w:asciiTheme="minorHAnsi" w:eastAsiaTheme="majorEastAsia" w:hAnsiTheme="minorHAnsi" w:cstheme="minorHAnsi"/>
          <w:sz w:val="20"/>
          <w:lang w:val="es-ES_tradnl"/>
        </w:rPr>
        <w:t>EZ, Isabel; NICHOLLS, Leslie y CORREA, Tom</w:t>
      </w:r>
      <w:r w:rsidRPr="00AD2D07">
        <w:rPr>
          <w:rStyle w:val="Ninguno"/>
          <w:rFonts w:asciiTheme="minorHAnsi" w:eastAsiaTheme="majorEastAsia" w:hAnsiTheme="minorHAnsi" w:cstheme="minorHAnsi"/>
          <w:sz w:val="20"/>
        </w:rPr>
        <w:t>á</w:t>
      </w:r>
      <w:r w:rsidRPr="00AD2D07">
        <w:rPr>
          <w:rStyle w:val="Ninguno"/>
          <w:rFonts w:asciiTheme="minorHAnsi" w:eastAsiaTheme="majorEastAsia" w:hAnsiTheme="minorHAnsi" w:cstheme="minorHAnsi"/>
          <w:sz w:val="20"/>
          <w:lang w:val="pt-PT"/>
        </w:rPr>
        <w:t xml:space="preserve">s. </w:t>
      </w:r>
      <w:r w:rsidRPr="00AD2D07">
        <w:rPr>
          <w:rStyle w:val="Ninguno"/>
          <w:rFonts w:asciiTheme="minorHAnsi" w:eastAsiaTheme="majorEastAsia" w:hAnsiTheme="minorHAnsi" w:cstheme="minorHAnsi"/>
          <w:i/>
          <w:iCs/>
          <w:sz w:val="20"/>
          <w:lang w:val="es-ES_tradnl"/>
        </w:rPr>
        <w:t>Provisión de Anticoncepción de Emergencia en el Sistema de Salud Municipal de Chile Estado de Situación</w:t>
      </w:r>
      <w:r w:rsidRPr="00AD2D07">
        <w:rPr>
          <w:rStyle w:val="Ninguno"/>
          <w:rFonts w:asciiTheme="minorHAnsi" w:eastAsiaTheme="majorEastAsia" w:hAnsiTheme="minorHAnsi" w:cstheme="minorHAnsi"/>
          <w:i/>
          <w:iCs/>
          <w:sz w:val="20"/>
        </w:rPr>
        <w:t xml:space="preserve"> 2011</w:t>
      </w:r>
      <w:r w:rsidRPr="00AD2D07">
        <w:rPr>
          <w:rStyle w:val="Ninguno"/>
          <w:rFonts w:asciiTheme="minorHAnsi" w:eastAsiaTheme="majorEastAsia" w:hAnsiTheme="minorHAnsi" w:cstheme="minorHAnsi"/>
          <w:sz w:val="20"/>
          <w:lang w:val="de-DE"/>
        </w:rPr>
        <w:t xml:space="preserve">. En: </w:t>
      </w:r>
      <w:r w:rsidRPr="00AD2D07">
        <w:rPr>
          <w:rStyle w:val="Ninguno"/>
          <w:rFonts w:asciiTheme="minorHAnsi" w:eastAsiaTheme="majorEastAsia" w:hAnsiTheme="minorHAnsi" w:cstheme="minorHAnsi"/>
          <w:color w:val="0000FF"/>
          <w:sz w:val="20"/>
          <w:u w:color="0000FF"/>
          <w:lang w:val="es-ES_tradnl"/>
        </w:rPr>
        <w:t>http://www.prosaludchile.org/dv/provision_de_ae_2011.pdf</w:t>
      </w:r>
      <w:r w:rsidRPr="00AD2D07">
        <w:rPr>
          <w:rStyle w:val="Ninguno"/>
          <w:rFonts w:asciiTheme="minorHAnsi" w:eastAsiaTheme="majorEastAsia" w:hAnsiTheme="minorHAnsi" w:cstheme="minorHAnsi"/>
          <w:sz w:val="20"/>
        </w:rPr>
        <w:t>.</w:t>
      </w:r>
    </w:p>
  </w:footnote>
  <w:footnote w:id="31">
    <w:p w14:paraId="3404AB0A" w14:textId="77777777" w:rsidR="00267E55" w:rsidRDefault="00267E55" w:rsidP="00267E55">
      <w:pPr>
        <w:pStyle w:val="Textonotapie"/>
      </w:pPr>
      <w:r>
        <w:rPr>
          <w:rStyle w:val="Refdenotaalpie"/>
        </w:rPr>
        <w:footnoteRef/>
      </w:r>
      <w:r>
        <w:t xml:space="preserve"> SERVICIO DE REGISTRO CIVIL E IDENTIFICACIÓN (2017), </w:t>
      </w:r>
      <w:r w:rsidRPr="00D833E7">
        <w:rPr>
          <w:i/>
        </w:rPr>
        <w:t>Datos Registrales con Enfoque de Género, 31 de diciembre de 2016</w:t>
      </w:r>
      <w:r>
        <w:t xml:space="preserve">, pp. 5 y 8. Disponible en: </w:t>
      </w:r>
      <w:hyperlink r:id="rId18" w:history="1">
        <w:r w:rsidRPr="00B14ADA">
          <w:rPr>
            <w:rStyle w:val="Hipervnculo"/>
          </w:rPr>
          <w:t>https://www.registrocivil.cl/transparencia/DatoInteresCiudadano/Datos_Registrales_por_Genero_2017.pdf</w:t>
        </w:r>
      </w:hyperlink>
      <w:r>
        <w:t xml:space="preserve"> (revisado 30 de noviembre de 2017).</w:t>
      </w:r>
    </w:p>
  </w:footnote>
  <w:footnote w:id="32">
    <w:p w14:paraId="32226511" w14:textId="77777777" w:rsidR="00267E55" w:rsidRPr="00DC31DB" w:rsidRDefault="00267E55" w:rsidP="00267E55">
      <w:pPr>
        <w:pStyle w:val="Textonotapie"/>
        <w:rPr>
          <w:rFonts w:asciiTheme="minorHAnsi" w:hAnsiTheme="minorHAnsi" w:cstheme="minorHAnsi"/>
          <w:sz w:val="20"/>
        </w:rPr>
      </w:pPr>
      <w:r w:rsidRPr="00DC31DB">
        <w:rPr>
          <w:rStyle w:val="Refdenotaalpie"/>
          <w:rFonts w:asciiTheme="minorHAnsi" w:hAnsiTheme="minorHAnsi" w:cstheme="minorHAnsi"/>
          <w:sz w:val="20"/>
        </w:rPr>
        <w:footnoteRef/>
      </w:r>
      <w:r w:rsidRPr="00DC31DB">
        <w:rPr>
          <w:rFonts w:asciiTheme="minorHAnsi" w:hAnsiTheme="minorHAnsi" w:cstheme="minorHAnsi"/>
          <w:sz w:val="20"/>
        </w:rPr>
        <w:t xml:space="preserve"> </w:t>
      </w:r>
      <w:r w:rsidRPr="00DC31DB">
        <w:rPr>
          <w:rStyle w:val="Ninguno"/>
          <w:rFonts w:asciiTheme="minorHAnsi" w:eastAsiaTheme="majorEastAsia" w:hAnsiTheme="minorHAnsi" w:cstheme="minorHAnsi"/>
          <w:sz w:val="20"/>
          <w:lang w:val="es-ES_tradnl"/>
        </w:rPr>
        <w:t xml:space="preserve">El caso de F.S. vs Chile, ante la Comisión Interamericana de Derechos Humanos, ejemplifica el problema generalizado de la esterilización involuntaria en Chile. Ver </w:t>
      </w:r>
      <w:hyperlink r:id="rId19" w:history="1">
        <w:r w:rsidRPr="00DC31DB">
          <w:rPr>
            <w:rStyle w:val="Hyperlink0"/>
            <w:rFonts w:asciiTheme="minorHAnsi" w:hAnsiTheme="minorHAnsi" w:cstheme="minorHAnsi"/>
            <w:lang w:val="es-CL"/>
          </w:rPr>
          <w:t>http://reproductiverights.org/es/lbs-fs-vs-chile</w:t>
        </w:r>
      </w:hyperlink>
      <w:r w:rsidRPr="00DC31DB">
        <w:rPr>
          <w:rStyle w:val="Ninguno"/>
          <w:rFonts w:asciiTheme="minorHAnsi" w:eastAsiaTheme="majorEastAsia" w:hAnsiTheme="minorHAnsi" w:cstheme="minorHAnsi"/>
          <w:color w:val="0000FF"/>
          <w:sz w:val="20"/>
          <w:u w:color="0000FF"/>
        </w:rPr>
        <w:t xml:space="preserve">. </w:t>
      </w:r>
      <w:r w:rsidRPr="00DC31DB">
        <w:rPr>
          <w:rStyle w:val="Ninguno"/>
          <w:rFonts w:asciiTheme="minorHAnsi" w:eastAsiaTheme="majorEastAsia" w:hAnsiTheme="minorHAnsi" w:cstheme="minorHAnsi"/>
          <w:sz w:val="20"/>
        </w:rPr>
        <w:t xml:space="preserve"> </w:t>
      </w:r>
    </w:p>
  </w:footnote>
  <w:footnote w:id="33">
    <w:p w14:paraId="6C8C0D1F" w14:textId="77777777" w:rsidR="00267E55" w:rsidRPr="00A56FED" w:rsidRDefault="00267E55" w:rsidP="00267E55">
      <w:pPr>
        <w:pStyle w:val="Textonotapie"/>
        <w:rPr>
          <w:rFonts w:asciiTheme="minorHAnsi" w:hAnsiTheme="minorHAnsi" w:cstheme="minorHAnsi"/>
          <w:sz w:val="20"/>
          <w:lang w:val="es-CL"/>
        </w:rPr>
      </w:pPr>
      <w:r w:rsidRPr="00A56FED">
        <w:rPr>
          <w:rStyle w:val="Refdenotaalpie"/>
          <w:rFonts w:asciiTheme="minorHAnsi" w:hAnsiTheme="minorHAnsi" w:cstheme="minorHAnsi"/>
          <w:sz w:val="20"/>
        </w:rPr>
        <w:footnoteRef/>
      </w:r>
      <w:r w:rsidRPr="00A56FED">
        <w:rPr>
          <w:rFonts w:asciiTheme="minorHAnsi" w:hAnsiTheme="minorHAnsi" w:cstheme="minorHAnsi"/>
          <w:sz w:val="20"/>
        </w:rPr>
        <w:t xml:space="preserve"> Fuente: Base de datos de egresos hospitalarios 2014-2017 de la Subsecretaria de Redes Asistenciales, agosto 2019, mediante Ley de Transparencia</w:t>
      </w:r>
    </w:p>
  </w:footnote>
  <w:footnote w:id="34">
    <w:p w14:paraId="53E05732" w14:textId="77777777" w:rsidR="00267E55" w:rsidRPr="00DC31DB" w:rsidRDefault="00267E55" w:rsidP="00267E55">
      <w:pPr>
        <w:pStyle w:val="Textonotapie"/>
        <w:rPr>
          <w:rFonts w:asciiTheme="minorHAnsi" w:hAnsiTheme="minorHAnsi" w:cstheme="minorHAnsi"/>
          <w:sz w:val="20"/>
        </w:rPr>
      </w:pPr>
      <w:r w:rsidRPr="00DC31DB">
        <w:rPr>
          <w:rStyle w:val="Refdenotaalpie"/>
          <w:rFonts w:asciiTheme="minorHAnsi" w:hAnsiTheme="minorHAnsi" w:cstheme="minorHAnsi"/>
          <w:sz w:val="20"/>
        </w:rPr>
        <w:footnoteRef/>
      </w:r>
      <w:r w:rsidRPr="00DC31DB">
        <w:rPr>
          <w:rFonts w:asciiTheme="minorHAnsi" w:hAnsiTheme="minorHAnsi" w:cstheme="minorHAnsi"/>
          <w:sz w:val="20"/>
        </w:rPr>
        <w:t xml:space="preserve"> Ley Nº 21.030 que regula la despenalización de la interrupción voluntaria del embarazo en tres causales, publicada en el Diario Oficial el 23 de septiembre de 2017.</w:t>
      </w:r>
    </w:p>
  </w:footnote>
  <w:footnote w:id="35">
    <w:p w14:paraId="607DF998" w14:textId="77777777" w:rsidR="00267E55" w:rsidRPr="008D7F89" w:rsidRDefault="00267E55" w:rsidP="00267E55">
      <w:pPr>
        <w:pStyle w:val="Textonotapie"/>
        <w:rPr>
          <w:rFonts w:asciiTheme="minorHAnsi" w:hAnsiTheme="minorHAnsi" w:cstheme="minorHAnsi"/>
          <w:sz w:val="20"/>
        </w:rPr>
      </w:pPr>
      <w:r w:rsidRPr="008D7F89">
        <w:rPr>
          <w:rStyle w:val="Refdenotaalpie"/>
          <w:rFonts w:asciiTheme="minorHAnsi" w:hAnsiTheme="minorHAnsi" w:cstheme="minorHAnsi"/>
          <w:sz w:val="20"/>
        </w:rPr>
        <w:footnoteRef/>
      </w:r>
      <w:r w:rsidRPr="008D7F89">
        <w:rPr>
          <w:rFonts w:asciiTheme="minorHAnsi" w:hAnsiTheme="minorHAnsi" w:cstheme="minorHAnsi"/>
          <w:sz w:val="20"/>
        </w:rPr>
        <w:t xml:space="preserve"> Ello en conformidad a lo resuelto por el Tribunal Constitucional, que junto con ampliar la objeción de conciencia individual a personas no reconocidas en la ley aprobada por el Congreso Nacional, consagró la objeción de conciencia institucional que el Poder Legislativo expresamente prohibió, y que el derecho internacional de los derechos humanos tampoco permite. TRIBUNAL CONSTITUCIONAL (2017), sentencia de veintiocho de agosto de dos mil diecisiete, Rol Nº 3729(3751)-17-CPT.</w:t>
      </w:r>
    </w:p>
  </w:footnote>
  <w:footnote w:id="36">
    <w:p w14:paraId="5BDD33A7" w14:textId="77777777" w:rsidR="00267E55" w:rsidRPr="008D7F89" w:rsidRDefault="00267E55" w:rsidP="00267E55">
      <w:pPr>
        <w:pStyle w:val="Textonotapie"/>
        <w:rPr>
          <w:rFonts w:asciiTheme="minorHAnsi" w:hAnsiTheme="minorHAnsi" w:cstheme="minorHAnsi"/>
          <w:sz w:val="20"/>
        </w:rPr>
      </w:pPr>
      <w:r w:rsidRPr="008D7F89">
        <w:rPr>
          <w:rStyle w:val="Refdenotaalpie"/>
          <w:rFonts w:asciiTheme="minorHAnsi" w:hAnsiTheme="minorHAnsi" w:cstheme="minorHAnsi"/>
          <w:sz w:val="20"/>
        </w:rPr>
        <w:footnoteRef/>
      </w:r>
      <w:r w:rsidRPr="008D7F89">
        <w:rPr>
          <w:rFonts w:asciiTheme="minorHAnsi" w:hAnsiTheme="minorHAnsi" w:cstheme="minorHAnsi"/>
          <w:sz w:val="20"/>
        </w:rPr>
        <w:t xml:space="preserve"> MINISTERIO DE SALUD (2018), Decreto Nº 67, Aprueba reglamento para ejercer objeción de conciencia según lo dispuesto en el artículo 119 ter del Código Sanitario, de 29 de junio de 2018, publicado en el Diario Oficial el 23 de octubre de 2018.</w:t>
      </w:r>
    </w:p>
  </w:footnote>
  <w:footnote w:id="37">
    <w:p w14:paraId="50137C09" w14:textId="77777777" w:rsidR="00267E55" w:rsidRPr="008D7F89" w:rsidRDefault="00267E55" w:rsidP="00267E55">
      <w:pPr>
        <w:pStyle w:val="Textonotapie"/>
        <w:rPr>
          <w:rFonts w:asciiTheme="minorHAnsi" w:hAnsiTheme="minorHAnsi" w:cstheme="minorHAnsi"/>
          <w:sz w:val="20"/>
        </w:rPr>
      </w:pPr>
      <w:r w:rsidRPr="008D7F89">
        <w:rPr>
          <w:rStyle w:val="Refdenotaalpie"/>
          <w:rFonts w:asciiTheme="minorHAnsi" w:hAnsiTheme="minorHAnsi" w:cstheme="minorHAnsi"/>
          <w:sz w:val="20"/>
        </w:rPr>
        <w:footnoteRef/>
      </w:r>
      <w:r w:rsidRPr="008D7F89">
        <w:rPr>
          <w:rFonts w:asciiTheme="minorHAnsi" w:hAnsiTheme="minorHAnsi" w:cstheme="minorHAnsi"/>
          <w:sz w:val="20"/>
        </w:rPr>
        <w:t xml:space="preserve"> Ministerio de Salud, Funcionarios objetores de conciencia por servicios de salud, 6 de junio de 2019. Disponible en: </w:t>
      </w:r>
      <w:hyperlink r:id="rId20" w:history="1">
        <w:r w:rsidRPr="008D7F89">
          <w:rPr>
            <w:rFonts w:asciiTheme="minorHAnsi" w:hAnsiTheme="minorHAnsi" w:cstheme="minorHAnsi"/>
            <w:color w:val="0000FF"/>
            <w:sz w:val="20"/>
            <w:u w:val="single"/>
          </w:rPr>
          <w:t>https://www.minsal.cl/funcionarios-objetores-de-conciencia-por-servicio-de-salud/</w:t>
        </w:r>
      </w:hyperlink>
      <w:r w:rsidRPr="008D7F89">
        <w:rPr>
          <w:rFonts w:asciiTheme="minorHAnsi" w:hAnsiTheme="minorHAnsi" w:cstheme="minorHAnsi"/>
          <w:sz w:val="20"/>
        </w:rPr>
        <w:t xml:space="preserve"> (revisado: 7 de junio de 2019).</w:t>
      </w:r>
    </w:p>
  </w:footnote>
  <w:footnote w:id="38">
    <w:p w14:paraId="168A5477" w14:textId="77777777" w:rsidR="00267E55" w:rsidRPr="00AA72DF" w:rsidRDefault="00267E55" w:rsidP="00267E55">
      <w:pPr>
        <w:pStyle w:val="Textonotapie"/>
        <w:rPr>
          <w:rFonts w:asciiTheme="minorHAnsi" w:hAnsiTheme="minorHAnsi" w:cstheme="minorHAnsi"/>
          <w:sz w:val="20"/>
        </w:rPr>
      </w:pPr>
      <w:r w:rsidRPr="00AA72DF">
        <w:rPr>
          <w:rStyle w:val="Refdenotaalpie"/>
          <w:rFonts w:asciiTheme="minorHAnsi" w:hAnsiTheme="minorHAnsi" w:cstheme="minorHAnsi"/>
          <w:sz w:val="20"/>
        </w:rPr>
        <w:footnoteRef/>
      </w:r>
      <w:r w:rsidRPr="00AA72DF">
        <w:rPr>
          <w:rFonts w:asciiTheme="minorHAnsi" w:hAnsiTheme="minorHAnsi" w:cstheme="minorHAnsi"/>
          <w:sz w:val="20"/>
        </w:rPr>
        <w:t xml:space="preserve"> Ver: COMISIÓN INTERAMERICANA DE DERECHOS HUMANOS (2011), Acceso a la información en materia reproductiva desde una perspectiva de derechos humanos, OEA/</w:t>
      </w:r>
      <w:proofErr w:type="spellStart"/>
      <w:r w:rsidRPr="00AA72DF">
        <w:rPr>
          <w:rFonts w:asciiTheme="minorHAnsi" w:hAnsiTheme="minorHAnsi" w:cstheme="minorHAnsi"/>
          <w:sz w:val="20"/>
        </w:rPr>
        <w:t>Ser.L</w:t>
      </w:r>
      <w:proofErr w:type="spellEnd"/>
      <w:r w:rsidRPr="00AA72DF">
        <w:rPr>
          <w:rFonts w:asciiTheme="minorHAnsi" w:hAnsiTheme="minorHAnsi" w:cstheme="minorHAnsi"/>
          <w:sz w:val="20"/>
        </w:rPr>
        <w:t>/V/II. Doc. 61; COMITÉ DE DERECHOS ECONÓMICOS, SOCIALES Y CULTURALES (2016), Observación general núm. 22 (2016), relativa al derecho a la salud sexual y reproductiva (artículo 12 del Pacto Internacional de Derechos Económicos, Sociales y Culturales), 2 de mayo de 2016, U.N. Doc. E/C.12/GC/22; entre otros.</w:t>
      </w:r>
    </w:p>
  </w:footnote>
  <w:footnote w:id="39">
    <w:p w14:paraId="53D721FC" w14:textId="77777777" w:rsidR="00267E55" w:rsidRPr="00AA72DF" w:rsidRDefault="00267E55" w:rsidP="00267E55">
      <w:pPr>
        <w:pStyle w:val="Textonotapie"/>
        <w:rPr>
          <w:rFonts w:asciiTheme="minorHAnsi" w:hAnsiTheme="minorHAnsi" w:cstheme="minorHAnsi"/>
          <w:sz w:val="20"/>
          <w:lang w:val="es-CL"/>
        </w:rPr>
      </w:pPr>
      <w:r w:rsidRPr="00AA72DF">
        <w:rPr>
          <w:rStyle w:val="Refdenotaalpie"/>
          <w:rFonts w:asciiTheme="minorHAnsi" w:hAnsiTheme="minorHAnsi" w:cstheme="minorHAnsi"/>
          <w:sz w:val="20"/>
        </w:rPr>
        <w:footnoteRef/>
      </w:r>
      <w:r w:rsidRPr="00AA72DF">
        <w:rPr>
          <w:rFonts w:asciiTheme="minorHAnsi" w:hAnsiTheme="minorHAnsi" w:cstheme="minorHAnsi"/>
          <w:sz w:val="20"/>
        </w:rPr>
        <w:t xml:space="preserve"> </w:t>
      </w:r>
      <w:r w:rsidRPr="00AA72DF">
        <w:rPr>
          <w:rFonts w:asciiTheme="minorHAnsi" w:hAnsiTheme="minorHAnsi" w:cstheme="minorHAnsi"/>
          <w:sz w:val="20"/>
          <w:lang w:val="es-CL"/>
        </w:rPr>
        <w:t>Interrupción Voluntaria del Embarazo</w:t>
      </w:r>
    </w:p>
  </w:footnote>
  <w:footnote w:id="40">
    <w:p w14:paraId="7F3FA8B2" w14:textId="77777777" w:rsidR="00267E55" w:rsidRPr="00AA72DF" w:rsidRDefault="00267E55" w:rsidP="00267E55">
      <w:pPr>
        <w:pStyle w:val="Textonotapie"/>
        <w:rPr>
          <w:rFonts w:asciiTheme="minorHAnsi" w:hAnsiTheme="minorHAnsi" w:cstheme="minorHAnsi"/>
          <w:sz w:val="20"/>
          <w:lang w:val="es-CL"/>
        </w:rPr>
      </w:pPr>
      <w:r w:rsidRPr="00AA72DF">
        <w:rPr>
          <w:rStyle w:val="Refdenotaalpie"/>
          <w:rFonts w:asciiTheme="minorHAnsi" w:hAnsiTheme="minorHAnsi" w:cstheme="minorHAnsi"/>
          <w:sz w:val="20"/>
        </w:rPr>
        <w:footnoteRef/>
      </w:r>
      <w:r w:rsidRPr="00AA72DF">
        <w:rPr>
          <w:rFonts w:asciiTheme="minorHAnsi" w:hAnsiTheme="minorHAnsi" w:cstheme="minorHAnsi"/>
          <w:sz w:val="20"/>
        </w:rPr>
        <w:t xml:space="preserve"> </w:t>
      </w:r>
      <w:r w:rsidRPr="00AA72DF">
        <w:rPr>
          <w:rFonts w:asciiTheme="minorHAnsi" w:hAnsiTheme="minorHAnsi" w:cstheme="minorHAnsi"/>
          <w:sz w:val="20"/>
          <w:lang w:val="es-CL"/>
        </w:rPr>
        <w:t>Mesa Acción por el Aborto en Chile, Fondo Alquimia (2019) Informe de Monitoreo Social. Implementación de la ley de interrupción del embarazo en tres causales, Santiago de Chile, pág. 50.</w:t>
      </w:r>
    </w:p>
  </w:footnote>
  <w:footnote w:id="41">
    <w:p w14:paraId="4837A0EF" w14:textId="77777777" w:rsidR="00267E55" w:rsidRPr="00AA72DF" w:rsidRDefault="00267E55" w:rsidP="00267E55">
      <w:pPr>
        <w:pStyle w:val="Textonotapie"/>
        <w:rPr>
          <w:rFonts w:asciiTheme="minorHAnsi" w:hAnsiTheme="minorHAnsi" w:cstheme="minorHAnsi"/>
          <w:sz w:val="20"/>
          <w:lang w:val="es-CL"/>
        </w:rPr>
      </w:pPr>
      <w:r w:rsidRPr="00AA72DF">
        <w:rPr>
          <w:rStyle w:val="Refdenotaalpie"/>
          <w:rFonts w:asciiTheme="minorHAnsi" w:hAnsiTheme="minorHAnsi" w:cstheme="minorHAnsi"/>
          <w:sz w:val="20"/>
        </w:rPr>
        <w:footnoteRef/>
      </w:r>
      <w:r w:rsidRPr="00AA72DF">
        <w:rPr>
          <w:rFonts w:asciiTheme="minorHAnsi" w:hAnsiTheme="minorHAnsi" w:cstheme="minorHAnsi"/>
          <w:sz w:val="20"/>
        </w:rPr>
        <w:t xml:space="preserve"> </w:t>
      </w:r>
      <w:r w:rsidRPr="00AA72DF">
        <w:rPr>
          <w:rFonts w:asciiTheme="minorHAnsi" w:eastAsiaTheme="minorHAnsi" w:hAnsiTheme="minorHAnsi" w:cstheme="minorHAnsi"/>
          <w:sz w:val="20"/>
          <w:lang w:val="es-CL" w:eastAsia="en-US"/>
        </w:rPr>
        <w:t>Atención Primaria de Salud</w:t>
      </w:r>
    </w:p>
  </w:footnote>
  <w:footnote w:id="42">
    <w:p w14:paraId="1925DCCC" w14:textId="77777777" w:rsidR="00267E55" w:rsidRPr="00AA72DF" w:rsidRDefault="00267E55" w:rsidP="00267E55">
      <w:pPr>
        <w:pStyle w:val="Textonotapie"/>
        <w:rPr>
          <w:rFonts w:asciiTheme="minorHAnsi" w:hAnsiTheme="minorHAnsi" w:cstheme="minorHAnsi"/>
          <w:sz w:val="20"/>
          <w:lang w:val="es-CL"/>
        </w:rPr>
      </w:pPr>
      <w:r w:rsidRPr="00AA72DF">
        <w:rPr>
          <w:rStyle w:val="Refdenotaalpie"/>
          <w:rFonts w:asciiTheme="minorHAnsi" w:hAnsiTheme="minorHAnsi" w:cstheme="minorHAnsi"/>
          <w:sz w:val="20"/>
        </w:rPr>
        <w:footnoteRef/>
      </w:r>
      <w:r w:rsidRPr="00AA72DF">
        <w:rPr>
          <w:rFonts w:asciiTheme="minorHAnsi" w:hAnsiTheme="minorHAnsi" w:cstheme="minorHAnsi"/>
          <w:sz w:val="20"/>
        </w:rPr>
        <w:t xml:space="preserve"> Alto Riesgo Obstétrico</w:t>
      </w:r>
    </w:p>
  </w:footnote>
  <w:footnote w:id="43">
    <w:p w14:paraId="5C944E22" w14:textId="77777777" w:rsidR="00267E55" w:rsidRPr="00AA72DF" w:rsidRDefault="00267E55" w:rsidP="00267E55">
      <w:pPr>
        <w:pStyle w:val="Textonotapie"/>
        <w:rPr>
          <w:rFonts w:asciiTheme="minorHAnsi" w:hAnsiTheme="minorHAnsi" w:cstheme="minorHAnsi"/>
          <w:sz w:val="20"/>
          <w:lang w:val="es-CL"/>
        </w:rPr>
      </w:pPr>
      <w:r w:rsidRPr="00AA72DF">
        <w:rPr>
          <w:rStyle w:val="Refdenotaalpie"/>
          <w:rFonts w:asciiTheme="minorHAnsi" w:hAnsiTheme="minorHAnsi" w:cstheme="minorHAnsi"/>
          <w:sz w:val="20"/>
        </w:rPr>
        <w:footnoteRef/>
      </w:r>
      <w:r w:rsidRPr="00AA72DF">
        <w:rPr>
          <w:rFonts w:asciiTheme="minorHAnsi" w:hAnsiTheme="minorHAnsi" w:cstheme="minorHAnsi"/>
          <w:sz w:val="20"/>
        </w:rPr>
        <w:t xml:space="preserve"> </w:t>
      </w:r>
      <w:r w:rsidRPr="00AA72DF">
        <w:rPr>
          <w:rFonts w:asciiTheme="minorHAnsi" w:hAnsiTheme="minorHAnsi" w:cstheme="minorHAnsi"/>
          <w:sz w:val="20"/>
          <w:lang w:val="es-CL"/>
        </w:rPr>
        <w:t>Mesa Acción por el Aborto en Chile, Fondo Alquimia (2019), pág. 50.</w:t>
      </w:r>
    </w:p>
  </w:footnote>
  <w:footnote w:id="44">
    <w:p w14:paraId="408647E4" w14:textId="77777777" w:rsidR="00267E55" w:rsidRPr="008D7F89" w:rsidRDefault="00267E55" w:rsidP="00267E55">
      <w:pPr>
        <w:pStyle w:val="Textonotaalfinal"/>
        <w:jc w:val="both"/>
        <w:rPr>
          <w:rFonts w:cstheme="minorHAnsi"/>
        </w:rPr>
      </w:pPr>
      <w:r w:rsidRPr="008D7F89">
        <w:rPr>
          <w:rStyle w:val="Refdenotaalpie"/>
          <w:rFonts w:cstheme="minorHAnsi"/>
        </w:rPr>
        <w:footnoteRef/>
      </w:r>
      <w:r w:rsidRPr="008D7F89">
        <w:rPr>
          <w:rFonts w:cstheme="minorHAnsi"/>
        </w:rPr>
        <w:t xml:space="preserve"> </w:t>
      </w:r>
      <w:hyperlink r:id="rId21" w:history="1">
        <w:r w:rsidRPr="008D7F89">
          <w:rPr>
            <w:rStyle w:val="Hipervnculo"/>
            <w:rFonts w:cstheme="minorHAnsi"/>
          </w:rPr>
          <w:t>https://www.eldesconcierto.cl/2019/05/20/petitorio-de-estudiantes-del-instituto-nacional-incluye-rechazo-a-aula-segura-admision-justa-y-tpp-11/</w:t>
        </w:r>
      </w:hyperlink>
    </w:p>
  </w:footnote>
  <w:footnote w:id="45">
    <w:p w14:paraId="7A80D1FD" w14:textId="77777777" w:rsidR="00267E55" w:rsidRPr="008D7F89" w:rsidRDefault="00267E55" w:rsidP="00267E55">
      <w:pPr>
        <w:pStyle w:val="Textonotaalfinal"/>
        <w:jc w:val="both"/>
        <w:rPr>
          <w:rFonts w:cstheme="minorHAnsi"/>
        </w:rPr>
      </w:pPr>
      <w:r w:rsidRPr="008D7F89">
        <w:rPr>
          <w:rStyle w:val="Refdenotaalpie"/>
          <w:rFonts w:cstheme="minorHAnsi"/>
        </w:rPr>
        <w:footnoteRef/>
      </w:r>
      <w:r w:rsidRPr="008D7F89">
        <w:rPr>
          <w:rFonts w:cstheme="minorHAnsi"/>
        </w:rPr>
        <w:t xml:space="preserve"> </w:t>
      </w:r>
      <w:hyperlink r:id="rId22" w:history="1">
        <w:r w:rsidRPr="008D7F89">
          <w:rPr>
            <w:rStyle w:val="Hipervnculo"/>
            <w:rFonts w:cstheme="minorHAnsi"/>
          </w:rPr>
          <w:t>https://www.latercera.com/nacional/noticia/instituto-nacional-camaras-vigilancia-regreso-clases/732179/</w:t>
        </w:r>
      </w:hyperlink>
      <w:r w:rsidRPr="008D7F89">
        <w:rPr>
          <w:rStyle w:val="Hipervnculo"/>
          <w:rFonts w:cstheme="minorHAnsi"/>
        </w:rPr>
        <w:t xml:space="preserve">  y </w:t>
      </w:r>
      <w:hyperlink r:id="rId23" w:history="1">
        <w:r w:rsidRPr="008D7F89">
          <w:rPr>
            <w:rStyle w:val="Hipervnculo"/>
            <w:rFonts w:cstheme="minorHAnsi"/>
          </w:rPr>
          <w:t>https://www.theclinic.cl/2019/07/08/estudiantes-retoman-clases-en-instituto-nacional-en-medio-de-instalacion-de-camaras-la-violencia-no-se-acaba-con-mas-represion/</w:t>
        </w:r>
      </w:hyperlink>
    </w:p>
    <w:p w14:paraId="3B04C0C9" w14:textId="77777777" w:rsidR="00267E55" w:rsidRPr="00BD2FF4" w:rsidRDefault="00267E55" w:rsidP="00267E55">
      <w:pPr>
        <w:pStyle w:val="Textonotaalfinal"/>
      </w:pPr>
    </w:p>
    <w:p w14:paraId="4064ABD2" w14:textId="77777777" w:rsidR="00267E55" w:rsidRPr="00BD2FF4" w:rsidRDefault="00267E55" w:rsidP="00267E55">
      <w:pPr>
        <w:pStyle w:val="Textonotapie"/>
        <w:rPr>
          <w:lang w:val="es-CL"/>
        </w:rPr>
      </w:pPr>
    </w:p>
  </w:footnote>
  <w:footnote w:id="46">
    <w:p w14:paraId="71207818" w14:textId="77777777" w:rsidR="00267E55" w:rsidRPr="00480742" w:rsidRDefault="00267E55" w:rsidP="00267E55">
      <w:pPr>
        <w:shd w:val="clear" w:color="auto" w:fill="FFFFFF"/>
        <w:spacing w:line="240" w:lineRule="auto"/>
        <w:outlineLvl w:val="0"/>
        <w:rPr>
          <w:sz w:val="20"/>
          <w:szCs w:val="20"/>
        </w:rPr>
      </w:pPr>
      <w:r w:rsidRPr="00480742">
        <w:rPr>
          <w:rStyle w:val="Refdenotaalpie"/>
          <w:sz w:val="20"/>
          <w:szCs w:val="20"/>
        </w:rPr>
        <w:footnoteRef/>
      </w:r>
      <w:r w:rsidRPr="00480742">
        <w:rPr>
          <w:sz w:val="20"/>
          <w:szCs w:val="20"/>
        </w:rPr>
        <w:t xml:space="preserve"> </w:t>
      </w:r>
      <w:hyperlink r:id="rId24" w:history="1">
        <w:r w:rsidRPr="00480742">
          <w:rPr>
            <w:rStyle w:val="Hipervnculo"/>
            <w:rFonts w:cstheme="minorHAnsi"/>
            <w:kern w:val="36"/>
            <w:sz w:val="20"/>
            <w:lang w:eastAsia="es-CL"/>
          </w:rPr>
          <w:t>http://peib.mineduc.cl/noticias/concluye-consulta-indigena-que-permitira-contar-con-la-nueva-asignatura-de-lengua-y-cultura-de-los-pueblos-originarios-ancestrales/</w:t>
        </w:r>
      </w:hyperlink>
    </w:p>
  </w:footnote>
  <w:footnote w:id="47">
    <w:p w14:paraId="05AC24A3" w14:textId="77777777" w:rsidR="00267E55" w:rsidRDefault="00267E55" w:rsidP="00267E55">
      <w:pPr>
        <w:pStyle w:val="Textonotapie"/>
      </w:pPr>
      <w:r w:rsidRPr="00480742">
        <w:rPr>
          <w:rStyle w:val="Refdenotaalpie"/>
          <w:sz w:val="20"/>
        </w:rPr>
        <w:footnoteRef/>
      </w:r>
      <w:r w:rsidRPr="00480742">
        <w:rPr>
          <w:sz w:val="20"/>
        </w:rPr>
        <w:t xml:space="preserve"> </w:t>
      </w:r>
      <w:hyperlink r:id="rId25" w:history="1">
        <w:r w:rsidRPr="00480742">
          <w:rPr>
            <w:color w:val="0000FF"/>
            <w:sz w:val="20"/>
            <w:u w:val="single"/>
          </w:rPr>
          <w:t>https://www.eldesconcierto.cl/2019/03/28/pueblo-mapuche-se-retira-de-consulta-indigena-del-mineduc-sobre-asignatura-de-lengua-y-cultura-de-pueblos-originarios/</w:t>
        </w:r>
      </w:hyperlink>
    </w:p>
  </w:footnote>
  <w:footnote w:id="48">
    <w:p w14:paraId="380634B1" w14:textId="77777777" w:rsidR="00267E55" w:rsidRPr="007F5AFE" w:rsidRDefault="00267E55" w:rsidP="00267E55">
      <w:pPr>
        <w:pStyle w:val="Textonotapie"/>
        <w:rPr>
          <w:rFonts w:asciiTheme="minorHAnsi" w:hAnsiTheme="minorHAnsi" w:cstheme="minorHAnsi"/>
          <w:bCs/>
          <w:sz w:val="20"/>
        </w:rPr>
      </w:pPr>
      <w:r w:rsidRPr="007F5AFE">
        <w:rPr>
          <w:rStyle w:val="Refdenotaalpie"/>
          <w:rFonts w:asciiTheme="minorHAnsi" w:hAnsiTheme="minorHAnsi" w:cstheme="minorHAnsi"/>
          <w:sz w:val="20"/>
        </w:rPr>
        <w:footnoteRef/>
      </w:r>
      <w:r w:rsidRPr="007F5AFE">
        <w:rPr>
          <w:rFonts w:asciiTheme="minorHAnsi" w:hAnsiTheme="minorHAnsi" w:cstheme="minorHAnsi"/>
          <w:sz w:val="20"/>
        </w:rPr>
        <w:t xml:space="preserve"> </w:t>
      </w:r>
      <w:r w:rsidRPr="007F5AFE">
        <w:rPr>
          <w:rFonts w:asciiTheme="minorHAnsi" w:hAnsiTheme="minorHAnsi" w:cstheme="minorHAnsi"/>
          <w:bCs/>
          <w:sz w:val="20"/>
        </w:rPr>
        <w:t>Libertad y Desarrollo, Instituto Libertad y Fundación Jaime Guzmán: MINUTA ANÁLISIS LEY DE PRESUPUESTOS 2019 Partida 21 CORPORACIÓN NACIONAL DE DESARROLLO INDÍGENA (CONADI) Capítulo 06; Programa 01</w:t>
      </w:r>
      <w:r w:rsidRPr="007F5AFE">
        <w:rPr>
          <w:rFonts w:asciiTheme="minorHAnsi" w:hAnsiTheme="minorHAnsi" w:cstheme="minorHAnsi"/>
          <w:b/>
          <w:bCs/>
          <w:sz w:val="20"/>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E05AF4"/>
    <w:multiLevelType w:val="hybridMultilevel"/>
    <w:tmpl w:val="02361B32"/>
    <w:lvl w:ilvl="0" w:tplc="651408F6">
      <w:start w:val="2"/>
      <w:numFmt w:val="bullet"/>
      <w:lvlText w:val="-"/>
      <w:lvlJc w:val="left"/>
      <w:pPr>
        <w:ind w:left="720" w:hanging="360"/>
      </w:pPr>
      <w:rPr>
        <w:rFonts w:ascii="Calibri" w:eastAsia="Times New Roman"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nsid w:val="319C7BCD"/>
    <w:multiLevelType w:val="hybridMultilevel"/>
    <w:tmpl w:val="57C48EE4"/>
    <w:lvl w:ilvl="0" w:tplc="C0F8973C">
      <w:numFmt w:val="bullet"/>
      <w:lvlText w:val="-"/>
      <w:lvlJc w:val="left"/>
      <w:pPr>
        <w:ind w:left="720" w:hanging="360"/>
      </w:pPr>
      <w:rPr>
        <w:rFonts w:ascii="Times New Roman" w:eastAsia="Times New Roman" w:hAnsi="Times New Roman" w:cs="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nsid w:val="4412193E"/>
    <w:multiLevelType w:val="hybridMultilevel"/>
    <w:tmpl w:val="DC7891C6"/>
    <w:lvl w:ilvl="0" w:tplc="BFEE7D48">
      <w:start w:val="3"/>
      <w:numFmt w:val="bullet"/>
      <w:lvlText w:val="-"/>
      <w:lvlJc w:val="left"/>
      <w:pPr>
        <w:ind w:left="720" w:hanging="360"/>
      </w:pPr>
      <w:rPr>
        <w:rFonts w:ascii="Calibri" w:eastAsiaTheme="minorHAnsi"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nsid w:val="5CE80995"/>
    <w:multiLevelType w:val="hybridMultilevel"/>
    <w:tmpl w:val="DD163616"/>
    <w:lvl w:ilvl="0" w:tplc="340A0017">
      <w:start w:val="1"/>
      <w:numFmt w:val="lowerLetter"/>
      <w:lvlText w:val="%1)"/>
      <w:lvlJc w:val="left"/>
      <w:pPr>
        <w:ind w:left="720" w:hanging="360"/>
      </w:pPr>
      <w:rPr>
        <w:rFonts w:hint="default"/>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nsid w:val="5EE3725C"/>
    <w:multiLevelType w:val="hybridMultilevel"/>
    <w:tmpl w:val="9384A37A"/>
    <w:lvl w:ilvl="0" w:tplc="2DA22206">
      <w:numFmt w:val="bullet"/>
      <w:lvlText w:val="-"/>
      <w:lvlJc w:val="left"/>
      <w:pPr>
        <w:ind w:left="720" w:hanging="360"/>
      </w:pPr>
      <w:rPr>
        <w:rFonts w:ascii="Calibri" w:eastAsiaTheme="minorHAnsi"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845"/>
    <w:rsid w:val="00267E55"/>
    <w:rsid w:val="005A6845"/>
    <w:rsid w:val="00601EB3"/>
    <w:rsid w:val="00697ED5"/>
    <w:rsid w:val="00704558"/>
    <w:rsid w:val="00913648"/>
    <w:rsid w:val="00A14793"/>
    <w:rsid w:val="00B17D3A"/>
    <w:rsid w:val="00D56381"/>
    <w:rsid w:val="00F2448C"/>
    <w:rsid w:val="00F565A3"/>
    <w:rsid w:val="00F57C2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B7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845"/>
    <w:pPr>
      <w:spacing w:after="0" w:line="264" w:lineRule="auto"/>
      <w:jc w:val="both"/>
    </w:pPr>
    <w:rPr>
      <w:rFonts w:ascii="Constantia" w:eastAsia="Times New Roman" w:hAnsi="Constantia" w:cs="Times New Roman"/>
      <w:szCs w:val="24"/>
      <w:lang w:val="es-ES" w:eastAsia="es-ES"/>
    </w:rPr>
  </w:style>
  <w:style w:type="paragraph" w:styleId="Ttulo1">
    <w:name w:val="heading 1"/>
    <w:basedOn w:val="Normal"/>
    <w:next w:val="Normal"/>
    <w:link w:val="Ttulo1Car"/>
    <w:uiPriority w:val="9"/>
    <w:qFormat/>
    <w:rsid w:val="00267E5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267E5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link w:val="Ttulo3Car"/>
    <w:uiPriority w:val="9"/>
    <w:qFormat/>
    <w:rsid w:val="00267E55"/>
    <w:pPr>
      <w:spacing w:before="100" w:beforeAutospacing="1" w:after="100" w:afterAutospacing="1" w:line="240" w:lineRule="auto"/>
      <w:jc w:val="left"/>
      <w:outlineLvl w:val="2"/>
    </w:pPr>
    <w:rPr>
      <w:rFonts w:ascii="Times New Roman" w:hAnsi="Times New Roman"/>
      <w:b/>
      <w:bCs/>
      <w:sz w:val="27"/>
      <w:szCs w:val="27"/>
      <w:lang w:val="es-CL" w:eastAsia="es-CL"/>
    </w:rPr>
  </w:style>
  <w:style w:type="paragraph" w:styleId="Ttulo5">
    <w:name w:val="heading 5"/>
    <w:basedOn w:val="Normal"/>
    <w:next w:val="Normal"/>
    <w:link w:val="Ttulo5Car"/>
    <w:uiPriority w:val="9"/>
    <w:semiHidden/>
    <w:unhideWhenUsed/>
    <w:qFormat/>
    <w:rsid w:val="00267E55"/>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A6845"/>
    <w:pPr>
      <w:autoSpaceDE w:val="0"/>
      <w:autoSpaceDN w:val="0"/>
      <w:adjustRightInd w:val="0"/>
      <w:spacing w:after="0" w:line="240" w:lineRule="auto"/>
    </w:pPr>
    <w:rPr>
      <w:rFonts w:ascii="Times New Roman" w:hAnsi="Times New Roman" w:cs="Times New Roman"/>
      <w:color w:val="000000"/>
      <w:sz w:val="24"/>
      <w:szCs w:val="24"/>
    </w:rPr>
  </w:style>
  <w:style w:type="paragraph" w:styleId="Textodeglobo">
    <w:name w:val="Balloon Text"/>
    <w:basedOn w:val="Normal"/>
    <w:link w:val="TextodegloboCar"/>
    <w:uiPriority w:val="99"/>
    <w:semiHidden/>
    <w:unhideWhenUsed/>
    <w:rsid w:val="00913648"/>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13648"/>
    <w:rPr>
      <w:rFonts w:ascii="Tahoma" w:eastAsia="Times New Roman" w:hAnsi="Tahoma" w:cs="Tahoma"/>
      <w:sz w:val="16"/>
      <w:szCs w:val="16"/>
      <w:lang w:val="es-ES" w:eastAsia="es-ES"/>
    </w:rPr>
  </w:style>
  <w:style w:type="character" w:customStyle="1" w:styleId="Ttulo1Car">
    <w:name w:val="Título 1 Car"/>
    <w:basedOn w:val="Fuentedeprrafopredeter"/>
    <w:link w:val="Ttulo1"/>
    <w:uiPriority w:val="9"/>
    <w:rsid w:val="00267E55"/>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semiHidden/>
    <w:rsid w:val="00267E55"/>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uiPriority w:val="9"/>
    <w:rsid w:val="00267E55"/>
    <w:rPr>
      <w:rFonts w:ascii="Times New Roman" w:eastAsia="Times New Roman" w:hAnsi="Times New Roman" w:cs="Times New Roman"/>
      <w:b/>
      <w:bCs/>
      <w:sz w:val="27"/>
      <w:szCs w:val="27"/>
      <w:lang w:eastAsia="es-CL"/>
    </w:rPr>
  </w:style>
  <w:style w:type="character" w:customStyle="1" w:styleId="Ttulo5Car">
    <w:name w:val="Título 5 Car"/>
    <w:basedOn w:val="Fuentedeprrafopredeter"/>
    <w:link w:val="Ttulo5"/>
    <w:uiPriority w:val="9"/>
    <w:semiHidden/>
    <w:rsid w:val="00267E55"/>
    <w:rPr>
      <w:rFonts w:asciiTheme="majorHAnsi" w:eastAsiaTheme="majorEastAsia" w:hAnsiTheme="majorHAnsi" w:cstheme="majorBidi"/>
      <w:color w:val="243F60" w:themeColor="accent1" w:themeShade="7F"/>
      <w:szCs w:val="24"/>
      <w:lang w:val="es-ES" w:eastAsia="es-ES"/>
    </w:rPr>
  </w:style>
  <w:style w:type="paragraph" w:styleId="Piedepgina">
    <w:name w:val="footer"/>
    <w:basedOn w:val="Normal"/>
    <w:link w:val="PiedepginaCar"/>
    <w:uiPriority w:val="99"/>
    <w:unhideWhenUsed/>
    <w:rsid w:val="00267E55"/>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tabs>
        <w:tab w:val="center" w:pos="4419"/>
        <w:tab w:val="right" w:pos="8838"/>
      </w:tabs>
    </w:pPr>
    <w:rPr>
      <w:rFonts w:ascii="Times New Roman" w:eastAsia="Arial Unicode MS" w:hAnsi="Times New Roman"/>
      <w:sz w:val="24"/>
      <w:lang w:val="en-US"/>
    </w:rPr>
  </w:style>
  <w:style w:type="character" w:customStyle="1" w:styleId="PiedepginaCar">
    <w:name w:val="Pie de página Car"/>
    <w:basedOn w:val="Fuentedeprrafopredeter"/>
    <w:link w:val="Piedepgina"/>
    <w:uiPriority w:val="99"/>
    <w:rsid w:val="00267E55"/>
    <w:rPr>
      <w:rFonts w:ascii="Times New Roman" w:eastAsia="Arial Unicode MS" w:hAnsi="Times New Roman" w:cs="Times New Roman"/>
      <w:sz w:val="24"/>
      <w:szCs w:val="24"/>
      <w:lang w:val="en-US" w:eastAsia="es-ES"/>
    </w:rPr>
  </w:style>
  <w:style w:type="paragraph" w:styleId="Textonotapie">
    <w:name w:val="footnote text"/>
    <w:aliases w:val="Footnote reference,FA Fu,Footnote Text Char Char Char Char Char,Footnote Text Char Char Char Char,Footnote Text Char Char Char,Texto nota pie Car Car Car,Texto nota pie Car Car Car Car,Texto nota pie Car Car,Footnote Text Cha,Ca,C,ft,5_G"/>
    <w:basedOn w:val="Normal"/>
    <w:link w:val="TextonotapieCar"/>
    <w:uiPriority w:val="99"/>
    <w:qFormat/>
    <w:rsid w:val="00267E55"/>
    <w:rPr>
      <w:sz w:val="18"/>
      <w:szCs w:val="20"/>
    </w:rPr>
  </w:style>
  <w:style w:type="character" w:customStyle="1" w:styleId="TextonotapieCar">
    <w:name w:val="Texto nota pie Car"/>
    <w:aliases w:val="Footnote reference Car,FA Fu Car,Footnote Text Char Char Char Char Char Car,Footnote Text Char Char Char Char Car,Footnote Text Char Char Char Car,Texto nota pie Car Car Car Car1,Texto nota pie Car Car Car Car Car,Ca Car,C Car,ft Car"/>
    <w:basedOn w:val="Fuentedeprrafopredeter"/>
    <w:link w:val="Textonotapie"/>
    <w:uiPriority w:val="99"/>
    <w:rsid w:val="00267E55"/>
    <w:rPr>
      <w:rFonts w:ascii="Constantia" w:eastAsia="Times New Roman" w:hAnsi="Constantia" w:cs="Times New Roman"/>
      <w:sz w:val="18"/>
      <w:szCs w:val="20"/>
      <w:lang w:val="es-ES" w:eastAsia="es-ES"/>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Ref. de nota al"/>
    <w:basedOn w:val="Fuentedeprrafopredeter"/>
    <w:uiPriority w:val="99"/>
    <w:unhideWhenUsed/>
    <w:qFormat/>
    <w:rsid w:val="00267E55"/>
    <w:rPr>
      <w:vertAlign w:val="superscript"/>
    </w:rPr>
  </w:style>
  <w:style w:type="character" w:customStyle="1" w:styleId="Ninguno">
    <w:name w:val="Ninguno"/>
    <w:rsid w:val="00267E55"/>
  </w:style>
  <w:style w:type="paragraph" w:styleId="NormalWeb">
    <w:name w:val="Normal (Web)"/>
    <w:basedOn w:val="Normal"/>
    <w:uiPriority w:val="99"/>
    <w:unhideWhenUsed/>
    <w:rsid w:val="00267E55"/>
    <w:pPr>
      <w:spacing w:before="100" w:beforeAutospacing="1" w:after="100" w:afterAutospacing="1" w:line="240" w:lineRule="auto"/>
      <w:jc w:val="left"/>
    </w:pPr>
    <w:rPr>
      <w:rFonts w:ascii="Times New Roman" w:hAnsi="Times New Roman"/>
      <w:sz w:val="24"/>
      <w:lang w:val="es-CL" w:eastAsia="es-CL"/>
    </w:rPr>
  </w:style>
  <w:style w:type="character" w:styleId="Textoennegrita">
    <w:name w:val="Strong"/>
    <w:basedOn w:val="Fuentedeprrafopredeter"/>
    <w:uiPriority w:val="22"/>
    <w:qFormat/>
    <w:rsid w:val="00267E55"/>
    <w:rPr>
      <w:b/>
      <w:bCs/>
    </w:rPr>
  </w:style>
  <w:style w:type="character" w:styleId="Hipervnculo">
    <w:name w:val="Hyperlink"/>
    <w:basedOn w:val="Fuentedeprrafopredeter"/>
    <w:uiPriority w:val="99"/>
    <w:unhideWhenUsed/>
    <w:rsid w:val="00267E55"/>
    <w:rPr>
      <w:color w:val="0000FF" w:themeColor="hyperlink"/>
      <w:u w:val="single"/>
    </w:rPr>
  </w:style>
  <w:style w:type="paragraph" w:customStyle="1" w:styleId="Pa21">
    <w:name w:val="Pa2_1"/>
    <w:basedOn w:val="Default"/>
    <w:next w:val="Default"/>
    <w:uiPriority w:val="99"/>
    <w:rsid w:val="00267E55"/>
    <w:pPr>
      <w:spacing w:line="191" w:lineRule="atLeast"/>
    </w:pPr>
    <w:rPr>
      <w:rFonts w:ascii="Frutiger LT 47 LightCn" w:hAnsi="Frutiger LT 47 LightCn" w:cstheme="minorBidi"/>
      <w:color w:val="auto"/>
    </w:rPr>
  </w:style>
  <w:style w:type="paragraph" w:styleId="Textonotaalfinal">
    <w:name w:val="endnote text"/>
    <w:basedOn w:val="Normal"/>
    <w:link w:val="TextonotaalfinalCar"/>
    <w:uiPriority w:val="99"/>
    <w:unhideWhenUsed/>
    <w:rsid w:val="00267E55"/>
    <w:pPr>
      <w:spacing w:line="240" w:lineRule="auto"/>
      <w:jc w:val="left"/>
    </w:pPr>
    <w:rPr>
      <w:rFonts w:asciiTheme="minorHAnsi" w:eastAsiaTheme="minorHAnsi" w:hAnsiTheme="minorHAnsi" w:cstheme="minorBidi"/>
      <w:sz w:val="20"/>
      <w:szCs w:val="20"/>
      <w:lang w:val="es-CL" w:eastAsia="en-US"/>
    </w:rPr>
  </w:style>
  <w:style w:type="character" w:customStyle="1" w:styleId="TextonotaalfinalCar">
    <w:name w:val="Texto nota al final Car"/>
    <w:basedOn w:val="Fuentedeprrafopredeter"/>
    <w:link w:val="Textonotaalfinal"/>
    <w:uiPriority w:val="99"/>
    <w:rsid w:val="00267E55"/>
    <w:rPr>
      <w:sz w:val="20"/>
      <w:szCs w:val="20"/>
    </w:rPr>
  </w:style>
  <w:style w:type="character" w:styleId="Refdenotaalfinal">
    <w:name w:val="endnote reference"/>
    <w:basedOn w:val="Fuentedeprrafopredeter"/>
    <w:uiPriority w:val="99"/>
    <w:semiHidden/>
    <w:unhideWhenUsed/>
    <w:rsid w:val="00267E55"/>
    <w:rPr>
      <w:vertAlign w:val="superscript"/>
    </w:rPr>
  </w:style>
  <w:style w:type="paragraph" w:styleId="Prrafodelista">
    <w:name w:val="List Paragraph"/>
    <w:basedOn w:val="Normal"/>
    <w:uiPriority w:val="34"/>
    <w:qFormat/>
    <w:rsid w:val="00267E55"/>
    <w:pPr>
      <w:ind w:left="720"/>
      <w:contextualSpacing/>
    </w:pPr>
  </w:style>
  <w:style w:type="paragraph" w:styleId="Encabezado">
    <w:name w:val="header"/>
    <w:basedOn w:val="Normal"/>
    <w:link w:val="EncabezadoCar"/>
    <w:uiPriority w:val="99"/>
    <w:unhideWhenUsed/>
    <w:rsid w:val="00267E5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267E55"/>
    <w:rPr>
      <w:rFonts w:ascii="Constantia" w:eastAsia="Times New Roman" w:hAnsi="Constantia" w:cs="Times New Roman"/>
      <w:szCs w:val="24"/>
      <w:lang w:val="es-ES" w:eastAsia="es-ES"/>
    </w:rPr>
  </w:style>
  <w:style w:type="paragraph" w:styleId="Textocomentario">
    <w:name w:val="annotation text"/>
    <w:basedOn w:val="Normal"/>
    <w:link w:val="TextocomentarioCar"/>
    <w:uiPriority w:val="99"/>
    <w:semiHidden/>
    <w:unhideWhenUsed/>
    <w:rsid w:val="00267E55"/>
    <w:pPr>
      <w:spacing w:after="200" w:line="240" w:lineRule="auto"/>
      <w:jc w:val="left"/>
    </w:pPr>
    <w:rPr>
      <w:rFonts w:asciiTheme="minorHAnsi" w:eastAsiaTheme="minorHAnsi" w:hAnsiTheme="minorHAnsi" w:cstheme="minorBidi"/>
      <w:sz w:val="20"/>
      <w:szCs w:val="20"/>
      <w:lang w:val="es-CL" w:eastAsia="en-US"/>
    </w:rPr>
  </w:style>
  <w:style w:type="character" w:customStyle="1" w:styleId="TextocomentarioCar">
    <w:name w:val="Texto comentario Car"/>
    <w:basedOn w:val="Fuentedeprrafopredeter"/>
    <w:link w:val="Textocomentario"/>
    <w:uiPriority w:val="99"/>
    <w:semiHidden/>
    <w:rsid w:val="00267E55"/>
    <w:rPr>
      <w:sz w:val="20"/>
      <w:szCs w:val="20"/>
    </w:rPr>
  </w:style>
  <w:style w:type="character" w:styleId="Refdecomentario">
    <w:name w:val="annotation reference"/>
    <w:basedOn w:val="Fuentedeprrafopredeter"/>
    <w:uiPriority w:val="99"/>
    <w:semiHidden/>
    <w:unhideWhenUsed/>
    <w:rsid w:val="00267E55"/>
    <w:rPr>
      <w:sz w:val="16"/>
      <w:szCs w:val="16"/>
    </w:rPr>
  </w:style>
  <w:style w:type="paragraph" w:styleId="Asuntodelcomentario">
    <w:name w:val="annotation subject"/>
    <w:basedOn w:val="Textocomentario"/>
    <w:next w:val="Textocomentario"/>
    <w:link w:val="AsuntodelcomentarioCar"/>
    <w:uiPriority w:val="99"/>
    <w:semiHidden/>
    <w:unhideWhenUsed/>
    <w:rsid w:val="00267E55"/>
    <w:pPr>
      <w:spacing w:after="0"/>
      <w:jc w:val="both"/>
    </w:pPr>
    <w:rPr>
      <w:rFonts w:ascii="Constantia" w:eastAsia="Times New Roman" w:hAnsi="Constantia" w:cs="Times New Roman"/>
      <w:b/>
      <w:bCs/>
      <w:lang w:val="es-ES" w:eastAsia="es-ES"/>
    </w:rPr>
  </w:style>
  <w:style w:type="character" w:customStyle="1" w:styleId="AsuntodelcomentarioCar">
    <w:name w:val="Asunto del comentario Car"/>
    <w:basedOn w:val="TextocomentarioCar"/>
    <w:link w:val="Asuntodelcomentario"/>
    <w:uiPriority w:val="99"/>
    <w:semiHidden/>
    <w:rsid w:val="00267E55"/>
    <w:rPr>
      <w:rFonts w:ascii="Constantia" w:eastAsia="Times New Roman" w:hAnsi="Constantia" w:cs="Times New Roman"/>
      <w:b/>
      <w:bCs/>
      <w:sz w:val="20"/>
      <w:szCs w:val="20"/>
      <w:lang w:val="es-ES" w:eastAsia="es-ES"/>
    </w:rPr>
  </w:style>
  <w:style w:type="character" w:styleId="nfasis">
    <w:name w:val="Emphasis"/>
    <w:basedOn w:val="Fuentedeprrafopredeter"/>
    <w:uiPriority w:val="20"/>
    <w:qFormat/>
    <w:rsid w:val="00267E55"/>
    <w:rPr>
      <w:i/>
      <w:iCs/>
    </w:rPr>
  </w:style>
  <w:style w:type="paragraph" w:customStyle="1" w:styleId="Cuerpo">
    <w:name w:val="Cuerpo"/>
    <w:rsid w:val="00267E55"/>
    <w:pPr>
      <w:pBdr>
        <w:top w:val="nil"/>
        <w:left w:val="nil"/>
        <w:bottom w:val="nil"/>
        <w:right w:val="nil"/>
        <w:between w:val="nil"/>
        <w:bar w:val="nil"/>
      </w:pBdr>
      <w:spacing w:after="0" w:line="240" w:lineRule="auto"/>
    </w:pPr>
    <w:rPr>
      <w:rFonts w:ascii="Calibri" w:eastAsia="Calibri" w:hAnsi="Calibri" w:cs="Calibri"/>
      <w:color w:val="000000"/>
      <w:sz w:val="24"/>
      <w:szCs w:val="24"/>
      <w:u w:color="000000"/>
      <w:bdr w:val="nil"/>
      <w:lang w:eastAsia="es-CL"/>
    </w:rPr>
  </w:style>
  <w:style w:type="character" w:customStyle="1" w:styleId="Hyperlink0">
    <w:name w:val="Hyperlink.0"/>
    <w:basedOn w:val="Fuentedeprrafopredeter"/>
    <w:rsid w:val="00267E55"/>
    <w:rPr>
      <w:color w:val="0000FF"/>
      <w:sz w:val="20"/>
      <w:szCs w:val="20"/>
      <w:u w:val="single" w:color="0000FF"/>
    </w:rPr>
  </w:style>
  <w:style w:type="character" w:customStyle="1" w:styleId="eur">
    <w:name w:val="eur"/>
    <w:basedOn w:val="Fuentedeprrafopredeter"/>
    <w:rsid w:val="00267E55"/>
  </w:style>
  <w:style w:type="paragraph" w:styleId="Revisin">
    <w:name w:val="Revision"/>
    <w:hidden/>
    <w:uiPriority w:val="99"/>
    <w:semiHidden/>
    <w:rsid w:val="00267E55"/>
    <w:pPr>
      <w:spacing w:after="0" w:line="240" w:lineRule="auto"/>
    </w:pPr>
    <w:rPr>
      <w:rFonts w:ascii="Constantia" w:eastAsia="Times New Roman" w:hAnsi="Constantia" w:cs="Times New Roman"/>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845"/>
    <w:pPr>
      <w:spacing w:after="0" w:line="264" w:lineRule="auto"/>
      <w:jc w:val="both"/>
    </w:pPr>
    <w:rPr>
      <w:rFonts w:ascii="Constantia" w:eastAsia="Times New Roman" w:hAnsi="Constantia" w:cs="Times New Roman"/>
      <w:szCs w:val="24"/>
      <w:lang w:val="es-ES" w:eastAsia="es-ES"/>
    </w:rPr>
  </w:style>
  <w:style w:type="paragraph" w:styleId="Ttulo1">
    <w:name w:val="heading 1"/>
    <w:basedOn w:val="Normal"/>
    <w:next w:val="Normal"/>
    <w:link w:val="Ttulo1Car"/>
    <w:uiPriority w:val="9"/>
    <w:qFormat/>
    <w:rsid w:val="00267E5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267E5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link w:val="Ttulo3Car"/>
    <w:uiPriority w:val="9"/>
    <w:qFormat/>
    <w:rsid w:val="00267E55"/>
    <w:pPr>
      <w:spacing w:before="100" w:beforeAutospacing="1" w:after="100" w:afterAutospacing="1" w:line="240" w:lineRule="auto"/>
      <w:jc w:val="left"/>
      <w:outlineLvl w:val="2"/>
    </w:pPr>
    <w:rPr>
      <w:rFonts w:ascii="Times New Roman" w:hAnsi="Times New Roman"/>
      <w:b/>
      <w:bCs/>
      <w:sz w:val="27"/>
      <w:szCs w:val="27"/>
      <w:lang w:val="es-CL" w:eastAsia="es-CL"/>
    </w:rPr>
  </w:style>
  <w:style w:type="paragraph" w:styleId="Ttulo5">
    <w:name w:val="heading 5"/>
    <w:basedOn w:val="Normal"/>
    <w:next w:val="Normal"/>
    <w:link w:val="Ttulo5Car"/>
    <w:uiPriority w:val="9"/>
    <w:semiHidden/>
    <w:unhideWhenUsed/>
    <w:qFormat/>
    <w:rsid w:val="00267E55"/>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A6845"/>
    <w:pPr>
      <w:autoSpaceDE w:val="0"/>
      <w:autoSpaceDN w:val="0"/>
      <w:adjustRightInd w:val="0"/>
      <w:spacing w:after="0" w:line="240" w:lineRule="auto"/>
    </w:pPr>
    <w:rPr>
      <w:rFonts w:ascii="Times New Roman" w:hAnsi="Times New Roman" w:cs="Times New Roman"/>
      <w:color w:val="000000"/>
      <w:sz w:val="24"/>
      <w:szCs w:val="24"/>
    </w:rPr>
  </w:style>
  <w:style w:type="paragraph" w:styleId="Textodeglobo">
    <w:name w:val="Balloon Text"/>
    <w:basedOn w:val="Normal"/>
    <w:link w:val="TextodegloboCar"/>
    <w:uiPriority w:val="99"/>
    <w:semiHidden/>
    <w:unhideWhenUsed/>
    <w:rsid w:val="00913648"/>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13648"/>
    <w:rPr>
      <w:rFonts w:ascii="Tahoma" w:eastAsia="Times New Roman" w:hAnsi="Tahoma" w:cs="Tahoma"/>
      <w:sz w:val="16"/>
      <w:szCs w:val="16"/>
      <w:lang w:val="es-ES" w:eastAsia="es-ES"/>
    </w:rPr>
  </w:style>
  <w:style w:type="character" w:customStyle="1" w:styleId="Ttulo1Car">
    <w:name w:val="Título 1 Car"/>
    <w:basedOn w:val="Fuentedeprrafopredeter"/>
    <w:link w:val="Ttulo1"/>
    <w:uiPriority w:val="9"/>
    <w:rsid w:val="00267E55"/>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semiHidden/>
    <w:rsid w:val="00267E55"/>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uiPriority w:val="9"/>
    <w:rsid w:val="00267E55"/>
    <w:rPr>
      <w:rFonts w:ascii="Times New Roman" w:eastAsia="Times New Roman" w:hAnsi="Times New Roman" w:cs="Times New Roman"/>
      <w:b/>
      <w:bCs/>
      <w:sz w:val="27"/>
      <w:szCs w:val="27"/>
      <w:lang w:eastAsia="es-CL"/>
    </w:rPr>
  </w:style>
  <w:style w:type="character" w:customStyle="1" w:styleId="Ttulo5Car">
    <w:name w:val="Título 5 Car"/>
    <w:basedOn w:val="Fuentedeprrafopredeter"/>
    <w:link w:val="Ttulo5"/>
    <w:uiPriority w:val="9"/>
    <w:semiHidden/>
    <w:rsid w:val="00267E55"/>
    <w:rPr>
      <w:rFonts w:asciiTheme="majorHAnsi" w:eastAsiaTheme="majorEastAsia" w:hAnsiTheme="majorHAnsi" w:cstheme="majorBidi"/>
      <w:color w:val="243F60" w:themeColor="accent1" w:themeShade="7F"/>
      <w:szCs w:val="24"/>
      <w:lang w:val="es-ES" w:eastAsia="es-ES"/>
    </w:rPr>
  </w:style>
  <w:style w:type="paragraph" w:styleId="Piedepgina">
    <w:name w:val="footer"/>
    <w:basedOn w:val="Normal"/>
    <w:link w:val="PiedepginaCar"/>
    <w:uiPriority w:val="99"/>
    <w:unhideWhenUsed/>
    <w:rsid w:val="00267E55"/>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tabs>
        <w:tab w:val="center" w:pos="4419"/>
        <w:tab w:val="right" w:pos="8838"/>
      </w:tabs>
    </w:pPr>
    <w:rPr>
      <w:rFonts w:ascii="Times New Roman" w:eastAsia="Arial Unicode MS" w:hAnsi="Times New Roman"/>
      <w:sz w:val="24"/>
      <w:lang w:val="en-US"/>
    </w:rPr>
  </w:style>
  <w:style w:type="character" w:customStyle="1" w:styleId="PiedepginaCar">
    <w:name w:val="Pie de página Car"/>
    <w:basedOn w:val="Fuentedeprrafopredeter"/>
    <w:link w:val="Piedepgina"/>
    <w:uiPriority w:val="99"/>
    <w:rsid w:val="00267E55"/>
    <w:rPr>
      <w:rFonts w:ascii="Times New Roman" w:eastAsia="Arial Unicode MS" w:hAnsi="Times New Roman" w:cs="Times New Roman"/>
      <w:sz w:val="24"/>
      <w:szCs w:val="24"/>
      <w:lang w:val="en-US" w:eastAsia="es-ES"/>
    </w:rPr>
  </w:style>
  <w:style w:type="paragraph" w:styleId="Textonotapie">
    <w:name w:val="footnote text"/>
    <w:aliases w:val="Footnote reference,FA Fu,Footnote Text Char Char Char Char Char,Footnote Text Char Char Char Char,Footnote Text Char Char Char,Texto nota pie Car Car Car,Texto nota pie Car Car Car Car,Texto nota pie Car Car,Footnote Text Cha,Ca,C,ft,5_G"/>
    <w:basedOn w:val="Normal"/>
    <w:link w:val="TextonotapieCar"/>
    <w:uiPriority w:val="99"/>
    <w:qFormat/>
    <w:rsid w:val="00267E55"/>
    <w:rPr>
      <w:sz w:val="18"/>
      <w:szCs w:val="20"/>
    </w:rPr>
  </w:style>
  <w:style w:type="character" w:customStyle="1" w:styleId="TextonotapieCar">
    <w:name w:val="Texto nota pie Car"/>
    <w:aliases w:val="Footnote reference Car,FA Fu Car,Footnote Text Char Char Char Char Char Car,Footnote Text Char Char Char Char Car,Footnote Text Char Char Char Car,Texto nota pie Car Car Car Car1,Texto nota pie Car Car Car Car Car,Ca Car,C Car,ft Car"/>
    <w:basedOn w:val="Fuentedeprrafopredeter"/>
    <w:link w:val="Textonotapie"/>
    <w:uiPriority w:val="99"/>
    <w:rsid w:val="00267E55"/>
    <w:rPr>
      <w:rFonts w:ascii="Constantia" w:eastAsia="Times New Roman" w:hAnsi="Constantia" w:cs="Times New Roman"/>
      <w:sz w:val="18"/>
      <w:szCs w:val="20"/>
      <w:lang w:val="es-ES" w:eastAsia="es-ES"/>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Ref. de nota al"/>
    <w:basedOn w:val="Fuentedeprrafopredeter"/>
    <w:uiPriority w:val="99"/>
    <w:unhideWhenUsed/>
    <w:qFormat/>
    <w:rsid w:val="00267E55"/>
    <w:rPr>
      <w:vertAlign w:val="superscript"/>
    </w:rPr>
  </w:style>
  <w:style w:type="character" w:customStyle="1" w:styleId="Ninguno">
    <w:name w:val="Ninguno"/>
    <w:rsid w:val="00267E55"/>
  </w:style>
  <w:style w:type="paragraph" w:styleId="NormalWeb">
    <w:name w:val="Normal (Web)"/>
    <w:basedOn w:val="Normal"/>
    <w:uiPriority w:val="99"/>
    <w:unhideWhenUsed/>
    <w:rsid w:val="00267E55"/>
    <w:pPr>
      <w:spacing w:before="100" w:beforeAutospacing="1" w:after="100" w:afterAutospacing="1" w:line="240" w:lineRule="auto"/>
      <w:jc w:val="left"/>
    </w:pPr>
    <w:rPr>
      <w:rFonts w:ascii="Times New Roman" w:hAnsi="Times New Roman"/>
      <w:sz w:val="24"/>
      <w:lang w:val="es-CL" w:eastAsia="es-CL"/>
    </w:rPr>
  </w:style>
  <w:style w:type="character" w:styleId="Textoennegrita">
    <w:name w:val="Strong"/>
    <w:basedOn w:val="Fuentedeprrafopredeter"/>
    <w:uiPriority w:val="22"/>
    <w:qFormat/>
    <w:rsid w:val="00267E55"/>
    <w:rPr>
      <w:b/>
      <w:bCs/>
    </w:rPr>
  </w:style>
  <w:style w:type="character" w:styleId="Hipervnculo">
    <w:name w:val="Hyperlink"/>
    <w:basedOn w:val="Fuentedeprrafopredeter"/>
    <w:uiPriority w:val="99"/>
    <w:unhideWhenUsed/>
    <w:rsid w:val="00267E55"/>
    <w:rPr>
      <w:color w:val="0000FF" w:themeColor="hyperlink"/>
      <w:u w:val="single"/>
    </w:rPr>
  </w:style>
  <w:style w:type="paragraph" w:customStyle="1" w:styleId="Pa21">
    <w:name w:val="Pa2_1"/>
    <w:basedOn w:val="Default"/>
    <w:next w:val="Default"/>
    <w:uiPriority w:val="99"/>
    <w:rsid w:val="00267E55"/>
    <w:pPr>
      <w:spacing w:line="191" w:lineRule="atLeast"/>
    </w:pPr>
    <w:rPr>
      <w:rFonts w:ascii="Frutiger LT 47 LightCn" w:hAnsi="Frutiger LT 47 LightCn" w:cstheme="minorBidi"/>
      <w:color w:val="auto"/>
    </w:rPr>
  </w:style>
  <w:style w:type="paragraph" w:styleId="Textonotaalfinal">
    <w:name w:val="endnote text"/>
    <w:basedOn w:val="Normal"/>
    <w:link w:val="TextonotaalfinalCar"/>
    <w:uiPriority w:val="99"/>
    <w:unhideWhenUsed/>
    <w:rsid w:val="00267E55"/>
    <w:pPr>
      <w:spacing w:line="240" w:lineRule="auto"/>
      <w:jc w:val="left"/>
    </w:pPr>
    <w:rPr>
      <w:rFonts w:asciiTheme="minorHAnsi" w:eastAsiaTheme="minorHAnsi" w:hAnsiTheme="minorHAnsi" w:cstheme="minorBidi"/>
      <w:sz w:val="20"/>
      <w:szCs w:val="20"/>
      <w:lang w:val="es-CL" w:eastAsia="en-US"/>
    </w:rPr>
  </w:style>
  <w:style w:type="character" w:customStyle="1" w:styleId="TextonotaalfinalCar">
    <w:name w:val="Texto nota al final Car"/>
    <w:basedOn w:val="Fuentedeprrafopredeter"/>
    <w:link w:val="Textonotaalfinal"/>
    <w:uiPriority w:val="99"/>
    <w:rsid w:val="00267E55"/>
    <w:rPr>
      <w:sz w:val="20"/>
      <w:szCs w:val="20"/>
    </w:rPr>
  </w:style>
  <w:style w:type="character" w:styleId="Refdenotaalfinal">
    <w:name w:val="endnote reference"/>
    <w:basedOn w:val="Fuentedeprrafopredeter"/>
    <w:uiPriority w:val="99"/>
    <w:semiHidden/>
    <w:unhideWhenUsed/>
    <w:rsid w:val="00267E55"/>
    <w:rPr>
      <w:vertAlign w:val="superscript"/>
    </w:rPr>
  </w:style>
  <w:style w:type="paragraph" w:styleId="Prrafodelista">
    <w:name w:val="List Paragraph"/>
    <w:basedOn w:val="Normal"/>
    <w:uiPriority w:val="34"/>
    <w:qFormat/>
    <w:rsid w:val="00267E55"/>
    <w:pPr>
      <w:ind w:left="720"/>
      <w:contextualSpacing/>
    </w:pPr>
  </w:style>
  <w:style w:type="paragraph" w:styleId="Encabezado">
    <w:name w:val="header"/>
    <w:basedOn w:val="Normal"/>
    <w:link w:val="EncabezadoCar"/>
    <w:uiPriority w:val="99"/>
    <w:unhideWhenUsed/>
    <w:rsid w:val="00267E5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267E55"/>
    <w:rPr>
      <w:rFonts w:ascii="Constantia" w:eastAsia="Times New Roman" w:hAnsi="Constantia" w:cs="Times New Roman"/>
      <w:szCs w:val="24"/>
      <w:lang w:val="es-ES" w:eastAsia="es-ES"/>
    </w:rPr>
  </w:style>
  <w:style w:type="paragraph" w:styleId="Textocomentario">
    <w:name w:val="annotation text"/>
    <w:basedOn w:val="Normal"/>
    <w:link w:val="TextocomentarioCar"/>
    <w:uiPriority w:val="99"/>
    <w:semiHidden/>
    <w:unhideWhenUsed/>
    <w:rsid w:val="00267E55"/>
    <w:pPr>
      <w:spacing w:after="200" w:line="240" w:lineRule="auto"/>
      <w:jc w:val="left"/>
    </w:pPr>
    <w:rPr>
      <w:rFonts w:asciiTheme="minorHAnsi" w:eastAsiaTheme="minorHAnsi" w:hAnsiTheme="minorHAnsi" w:cstheme="minorBidi"/>
      <w:sz w:val="20"/>
      <w:szCs w:val="20"/>
      <w:lang w:val="es-CL" w:eastAsia="en-US"/>
    </w:rPr>
  </w:style>
  <w:style w:type="character" w:customStyle="1" w:styleId="TextocomentarioCar">
    <w:name w:val="Texto comentario Car"/>
    <w:basedOn w:val="Fuentedeprrafopredeter"/>
    <w:link w:val="Textocomentario"/>
    <w:uiPriority w:val="99"/>
    <w:semiHidden/>
    <w:rsid w:val="00267E55"/>
    <w:rPr>
      <w:sz w:val="20"/>
      <w:szCs w:val="20"/>
    </w:rPr>
  </w:style>
  <w:style w:type="character" w:styleId="Refdecomentario">
    <w:name w:val="annotation reference"/>
    <w:basedOn w:val="Fuentedeprrafopredeter"/>
    <w:uiPriority w:val="99"/>
    <w:semiHidden/>
    <w:unhideWhenUsed/>
    <w:rsid w:val="00267E55"/>
    <w:rPr>
      <w:sz w:val="16"/>
      <w:szCs w:val="16"/>
    </w:rPr>
  </w:style>
  <w:style w:type="paragraph" w:styleId="Asuntodelcomentario">
    <w:name w:val="annotation subject"/>
    <w:basedOn w:val="Textocomentario"/>
    <w:next w:val="Textocomentario"/>
    <w:link w:val="AsuntodelcomentarioCar"/>
    <w:uiPriority w:val="99"/>
    <w:semiHidden/>
    <w:unhideWhenUsed/>
    <w:rsid w:val="00267E55"/>
    <w:pPr>
      <w:spacing w:after="0"/>
      <w:jc w:val="both"/>
    </w:pPr>
    <w:rPr>
      <w:rFonts w:ascii="Constantia" w:eastAsia="Times New Roman" w:hAnsi="Constantia" w:cs="Times New Roman"/>
      <w:b/>
      <w:bCs/>
      <w:lang w:val="es-ES" w:eastAsia="es-ES"/>
    </w:rPr>
  </w:style>
  <w:style w:type="character" w:customStyle="1" w:styleId="AsuntodelcomentarioCar">
    <w:name w:val="Asunto del comentario Car"/>
    <w:basedOn w:val="TextocomentarioCar"/>
    <w:link w:val="Asuntodelcomentario"/>
    <w:uiPriority w:val="99"/>
    <w:semiHidden/>
    <w:rsid w:val="00267E55"/>
    <w:rPr>
      <w:rFonts w:ascii="Constantia" w:eastAsia="Times New Roman" w:hAnsi="Constantia" w:cs="Times New Roman"/>
      <w:b/>
      <w:bCs/>
      <w:sz w:val="20"/>
      <w:szCs w:val="20"/>
      <w:lang w:val="es-ES" w:eastAsia="es-ES"/>
    </w:rPr>
  </w:style>
  <w:style w:type="character" w:styleId="nfasis">
    <w:name w:val="Emphasis"/>
    <w:basedOn w:val="Fuentedeprrafopredeter"/>
    <w:uiPriority w:val="20"/>
    <w:qFormat/>
    <w:rsid w:val="00267E55"/>
    <w:rPr>
      <w:i/>
      <w:iCs/>
    </w:rPr>
  </w:style>
  <w:style w:type="paragraph" w:customStyle="1" w:styleId="Cuerpo">
    <w:name w:val="Cuerpo"/>
    <w:rsid w:val="00267E55"/>
    <w:pPr>
      <w:pBdr>
        <w:top w:val="nil"/>
        <w:left w:val="nil"/>
        <w:bottom w:val="nil"/>
        <w:right w:val="nil"/>
        <w:between w:val="nil"/>
        <w:bar w:val="nil"/>
      </w:pBdr>
      <w:spacing w:after="0" w:line="240" w:lineRule="auto"/>
    </w:pPr>
    <w:rPr>
      <w:rFonts w:ascii="Calibri" w:eastAsia="Calibri" w:hAnsi="Calibri" w:cs="Calibri"/>
      <w:color w:val="000000"/>
      <w:sz w:val="24"/>
      <w:szCs w:val="24"/>
      <w:u w:color="000000"/>
      <w:bdr w:val="nil"/>
      <w:lang w:eastAsia="es-CL"/>
    </w:rPr>
  </w:style>
  <w:style w:type="character" w:customStyle="1" w:styleId="Hyperlink0">
    <w:name w:val="Hyperlink.0"/>
    <w:basedOn w:val="Fuentedeprrafopredeter"/>
    <w:rsid w:val="00267E55"/>
    <w:rPr>
      <w:color w:val="0000FF"/>
      <w:sz w:val="20"/>
      <w:szCs w:val="20"/>
      <w:u w:val="single" w:color="0000FF"/>
    </w:rPr>
  </w:style>
  <w:style w:type="character" w:customStyle="1" w:styleId="eur">
    <w:name w:val="eur"/>
    <w:basedOn w:val="Fuentedeprrafopredeter"/>
    <w:rsid w:val="00267E55"/>
  </w:style>
  <w:style w:type="paragraph" w:styleId="Revisin">
    <w:name w:val="Revision"/>
    <w:hidden/>
    <w:uiPriority w:val="99"/>
    <w:semiHidden/>
    <w:rsid w:val="00267E55"/>
    <w:pPr>
      <w:spacing w:after="0" w:line="240" w:lineRule="auto"/>
    </w:pPr>
    <w:rPr>
      <w:rFonts w:ascii="Constantia" w:eastAsia="Times New Roman" w:hAnsi="Constantia" w:cs="Times New Roman"/>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s.wikipedia.org/wiki/Subsecretar%C3%ADa_de_Estado_de_Chile" TargetMode="Externa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yperlink" Target="http://peib.mineduc.cl/noticias/concluye-consulta-indigena-que-permitira-contar-con-la-nueva-asignatura-de-lengua-y-cultura-de-los-pueblos-originarios-ancestrales/"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prensa.presidencia.cl/discurso.aspx?id=96642" TargetMode="External"/><Relationship Id="rId13" Type="http://schemas.openxmlformats.org/officeDocument/2006/relationships/hyperlink" Target="https://radio.uchile.cl/2015/09/22/carabinero-acusado-en-caso-quichillao-suma-denuncia-por-tortura-aestudiante/" TargetMode="External"/><Relationship Id="rId18" Type="http://schemas.openxmlformats.org/officeDocument/2006/relationships/hyperlink" Target="https://www.registrocivil.cl/transparencia/DatoInteresCiudadano/Datos_Registrales_por_Genero_2017.pdf" TargetMode="External"/><Relationship Id="rId3" Type="http://schemas.openxmlformats.org/officeDocument/2006/relationships/hyperlink" Target="http://ddhh.minjusticia.gob.cl/infografias-plan-de-accion-nacional-de-derechos-humanos-y-empresas/" TargetMode="External"/><Relationship Id="rId21" Type="http://schemas.openxmlformats.org/officeDocument/2006/relationships/hyperlink" Target="https://www.eldesconcierto.cl/2019/05/20/petitorio-de-estudiantes-del-instituto-nacional-incluye-rechazo-a-aula-segura-admision-justa-y-tpp-11/" TargetMode="External"/><Relationship Id="rId7" Type="http://schemas.openxmlformats.org/officeDocument/2006/relationships/hyperlink" Target="http://www.observadoresddhh.org/2019/07/05/carta-denuncia-a-cidh/" TargetMode="External"/><Relationship Id="rId12" Type="http://schemas.openxmlformats.org/officeDocument/2006/relationships/hyperlink" Target="http://werkenrojo.cl/chile-aula-segura-pacos-matones-docentes-del-liceo-dario-salas-culpan-a-carabinerosde-violencia-video/" TargetMode="External"/><Relationship Id="rId17" Type="http://schemas.openxmlformats.org/officeDocument/2006/relationships/hyperlink" Target="http://www.colegiomedico.cl/valparaiso-colegio-medico-advierte-crisis-sanitaria-por-quiebre-de-stock-en-medicamentos-e-insumos-en-hospitales-y-consultorios-de-la-region/" TargetMode="External"/><Relationship Id="rId25" Type="http://schemas.openxmlformats.org/officeDocument/2006/relationships/hyperlink" Target="https://www.eldesconcierto.cl/2019/03/28/pueblo-mapuche-se-retira-de-consulta-indigena-del-mineduc-sobre-asignatura-de-lengua-y-cultura-de-pueblos-originarios/" TargetMode="External"/><Relationship Id="rId2" Type="http://schemas.openxmlformats.org/officeDocument/2006/relationships/hyperlink" Target="https://www.latercera.com/nacional/noticia/siete-conflictos-socioambientales-ponen-jaque-la-agenda-verde-del-gobierno-ano-la-cop25/686013/" TargetMode="External"/><Relationship Id="rId16" Type="http://schemas.openxmlformats.org/officeDocument/2006/relationships/hyperlink" Target="https://www.biobiochile.cl/noticias/nacional/chile/2019/08/01/26-mil-personas-fallecieron-en-2018-mientras-se-encontraban-en-listas-de-espera-mil-estaban-en-auge.shtml" TargetMode="External"/><Relationship Id="rId20" Type="http://schemas.openxmlformats.org/officeDocument/2006/relationships/hyperlink" Target="https://www.minsal.cl/funcionarios-objetores-de-conciencia-por-servicio-de-salud/" TargetMode="External"/><Relationship Id="rId1" Type="http://schemas.openxmlformats.org/officeDocument/2006/relationships/hyperlink" Target="https://www.camara.cl/prensa/noticias_detalle.aspx?prmid=137317" TargetMode="External"/><Relationship Id="rId6" Type="http://schemas.openxmlformats.org/officeDocument/2006/relationships/hyperlink" Target="https://www.suseso.cl/605/articles-578297_recurso_2.pdf" TargetMode="External"/><Relationship Id="rId11" Type="http://schemas.openxmlformats.org/officeDocument/2006/relationships/hyperlink" Target="https://www.chileokulto.cl/video-urgente-estudiantes-del-inba-votan-toma-del-establecimiento-y-ffee-" TargetMode="External"/><Relationship Id="rId24" Type="http://schemas.openxmlformats.org/officeDocument/2006/relationships/hyperlink" Target="http://peib.mineduc.cl/noticias/concluye-consulta-indigena-que-permitira-contar-con-la-nueva-asignatura-de-lengua-y-cultura-de-los-pueblos-originarios-ancestrales/" TargetMode="External"/><Relationship Id="rId5" Type="http://schemas.openxmlformats.org/officeDocument/2006/relationships/hyperlink" Target="http://www.fundacionsol.cl/wp-content/uploads/2019/07/Pensiones-bajo-el-minimo-2019-1.pdf" TargetMode="External"/><Relationship Id="rId15" Type="http://schemas.openxmlformats.org/officeDocument/2006/relationships/hyperlink" Target="https://derecho.udp.cl/controles-de-identidad-informacion-basica-para-el-debate/" TargetMode="External"/><Relationship Id="rId23" Type="http://schemas.openxmlformats.org/officeDocument/2006/relationships/hyperlink" Target="https://www.theclinic.cl/2019/07/08/estudiantes-retoman-clases-en-instituto-nacional-en-medio-de-instalacion-de-camaras-la-violencia-no-se-acaba-con-mas-represion/" TargetMode="External"/><Relationship Id="rId10" Type="http://schemas.openxmlformats.org/officeDocument/2006/relationships/hyperlink" Target="http://www.observadoresddhh.org/wp-content/uploads/2012/02/Informe-Ingreso-de-FFEE-a-Liceos-de-laComuna-de-Santiago-Abril-Mayo-2018-Rev-1.pdf" TargetMode="External"/><Relationship Id="rId19" Type="http://schemas.openxmlformats.org/officeDocument/2006/relationships/hyperlink" Target="http://reproductiverights.org/es/lbs-fs-vs-chile" TargetMode="External"/><Relationship Id="rId4" Type="http://schemas.openxmlformats.org/officeDocument/2006/relationships/hyperlink" Target="http://historico.ine.cl/genero/indicadores/autonomia_economica.php" TargetMode="External"/><Relationship Id="rId9" Type="http://schemas.openxmlformats.org/officeDocument/2006/relationships/hyperlink" Target="https://www.cooperativa.cl/noticias/pais/educacion/colegios/nuevo-manual-de-convivencia-del-instituto-nacional-eleva-sanciones-e/2019-07-09/204201.html" TargetMode="External"/><Relationship Id="rId14" Type="http://schemas.openxmlformats.org/officeDocument/2006/relationships/hyperlink" Target="http://www.uchile.cl/noticias/152009/control-de-identidad-a-menores-medida-efectiva-para-prevenirdelitos" TargetMode="External"/><Relationship Id="rId22" Type="http://schemas.openxmlformats.org/officeDocument/2006/relationships/hyperlink" Target="https://www.latercera.com/nacional/noticia/instituto-nacional-camaras-vigilancia-regreso-clases/73217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640A81-5CC0-4B4E-8AEA-4ED91826EBC4}">
  <ds:schemaRefs>
    <ds:schemaRef ds:uri="http://schemas.openxmlformats.org/officeDocument/2006/bibliography"/>
  </ds:schemaRefs>
</ds:datastoreItem>
</file>

<file path=customXml/itemProps2.xml><?xml version="1.0" encoding="utf-8"?>
<ds:datastoreItem xmlns:ds="http://schemas.openxmlformats.org/officeDocument/2006/customXml" ds:itemID="{B27D722C-C8AE-4412-9171-4DC54BF48F1C}"/>
</file>

<file path=customXml/itemProps3.xml><?xml version="1.0" encoding="utf-8"?>
<ds:datastoreItem xmlns:ds="http://schemas.openxmlformats.org/officeDocument/2006/customXml" ds:itemID="{B4A2D2BF-50E4-4DCD-AC15-8A939271F7B7}"/>
</file>

<file path=customXml/itemProps4.xml><?xml version="1.0" encoding="utf-8"?>
<ds:datastoreItem xmlns:ds="http://schemas.openxmlformats.org/officeDocument/2006/customXml" ds:itemID="{63E30A2C-DCF2-42C0-8A41-C5956F9B4FDD}"/>
</file>

<file path=docProps/app.xml><?xml version="1.0" encoding="utf-8"?>
<Properties xmlns="http://schemas.openxmlformats.org/officeDocument/2006/extended-properties" xmlns:vt="http://schemas.openxmlformats.org/officeDocument/2006/docPropsVTypes">
  <Template>Normal</Template>
  <TotalTime>6</TotalTime>
  <Pages>1</Pages>
  <Words>18359</Words>
  <Characters>100978</Characters>
  <Application>Microsoft Office Word</Application>
  <DocSecurity>0</DocSecurity>
  <Lines>841</Lines>
  <Paragraphs>238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VictoriaH</dc:creator>
  <cp:lastModifiedBy>VictoriaH</cp:lastModifiedBy>
  <cp:revision>4</cp:revision>
  <cp:lastPrinted>2020-01-07T13:32:00Z</cp:lastPrinted>
  <dcterms:created xsi:type="dcterms:W3CDTF">2020-01-07T13:19:00Z</dcterms:created>
  <dcterms:modified xsi:type="dcterms:W3CDTF">2020-01-07T13:32:00Z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