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fontTable0.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35CD" w:rsidRPr="00890E1F" w:rsidRDefault="00CB777C" w:rsidP="00890E1F">
      <w:pPr>
        <w:pStyle w:val="Sinespaciado"/>
        <w:pBdr>
          <w:top w:val="single" w:sz="4" w:space="1" w:color="7F7F7F" w:themeColor="text1" w:themeTint="80"/>
          <w:left w:val="single" w:sz="4" w:space="4" w:color="7F7F7F" w:themeColor="text1" w:themeTint="80"/>
          <w:bottom w:val="single" w:sz="4" w:space="1" w:color="7F7F7F" w:themeColor="text1" w:themeTint="80"/>
          <w:right w:val="single" w:sz="4" w:space="4" w:color="7F7F7F" w:themeColor="text1" w:themeTint="80"/>
        </w:pBdr>
        <w:shd w:val="clear" w:color="auto" w:fill="D9D9D9" w:themeFill="background1" w:themeFillShade="D9"/>
        <w:jc w:val="center"/>
        <w:rPr>
          <w:rFonts w:ascii="Arial" w:eastAsia="Times New Roman" w:hAnsi="Arial" w:cs="Arial"/>
          <w:b/>
          <w:color w:val="000000"/>
          <w:lang w:val="es-ES"/>
        </w:rPr>
      </w:pPr>
      <w:r>
        <w:rPr>
          <w:rFonts w:ascii="Arial" w:eastAsia="Times New Roman" w:hAnsi="Arial" w:cs="Arial"/>
          <w:b/>
          <w:color w:val="000000"/>
          <w:lang w:val="es-ES"/>
        </w:rPr>
        <w:t>ANEXO 9</w:t>
      </w:r>
    </w:p>
    <w:p w:rsidR="00DB722A" w:rsidRPr="00890E1F" w:rsidRDefault="000F32A4" w:rsidP="00890E1F">
      <w:pPr>
        <w:pStyle w:val="Sinespaciado"/>
        <w:pBdr>
          <w:top w:val="single" w:sz="4" w:space="1" w:color="7F7F7F" w:themeColor="text1" w:themeTint="80"/>
          <w:left w:val="single" w:sz="4" w:space="4" w:color="7F7F7F" w:themeColor="text1" w:themeTint="80"/>
          <w:bottom w:val="single" w:sz="4" w:space="1" w:color="7F7F7F" w:themeColor="text1" w:themeTint="80"/>
          <w:right w:val="single" w:sz="4" w:space="4" w:color="7F7F7F" w:themeColor="text1" w:themeTint="80"/>
        </w:pBdr>
        <w:shd w:val="clear" w:color="auto" w:fill="D9D9D9" w:themeFill="background1" w:themeFillShade="D9"/>
        <w:jc w:val="center"/>
        <w:rPr>
          <w:rFonts w:ascii="Arial" w:eastAsia="Times New Roman" w:hAnsi="Arial" w:cs="Arial"/>
          <w:b/>
          <w:color w:val="000000"/>
          <w:lang w:val="es-ES"/>
        </w:rPr>
      </w:pPr>
      <w:r w:rsidRPr="00890E1F">
        <w:rPr>
          <w:rFonts w:ascii="Arial" w:eastAsia="Times New Roman" w:hAnsi="Arial" w:cs="Arial"/>
          <w:b/>
          <w:color w:val="000000"/>
          <w:lang w:val="es-ES"/>
        </w:rPr>
        <w:t xml:space="preserve">COMENTARIOS DE METAS E INDICADORES </w:t>
      </w:r>
      <w:r w:rsidRPr="00890E1F">
        <w:rPr>
          <w:rFonts w:ascii="Arial" w:eastAsia="Times New Roman" w:hAnsi="Arial" w:cs="Arial"/>
          <w:b/>
          <w:color w:val="000000"/>
          <w:lang w:val="es-ES"/>
        </w:rPr>
        <w:br/>
        <w:t xml:space="preserve">SERVICIOS DE ATENCIÓN PSIQUIÁTRICA </w:t>
      </w:r>
      <w:r w:rsidRPr="00890E1F">
        <w:rPr>
          <w:rFonts w:ascii="Arial" w:eastAsia="Times New Roman" w:hAnsi="Arial" w:cs="Arial"/>
          <w:b/>
          <w:color w:val="000000"/>
          <w:lang w:val="es-ES"/>
        </w:rPr>
        <w:br/>
        <w:t>CIERRE ANUAL Y REPORTE DEL CUARTO TRIMESTRE 2016</w:t>
      </w:r>
    </w:p>
    <w:p w:rsidR="00890E1F" w:rsidRPr="00890E1F" w:rsidRDefault="00890E1F" w:rsidP="00890E1F">
      <w:pPr>
        <w:pStyle w:val="Sinespaciado"/>
        <w:rPr>
          <w:rFonts w:ascii="Arial" w:eastAsia="Times New Roman" w:hAnsi="Arial" w:cs="Arial"/>
          <w:b/>
          <w:color w:val="000000"/>
          <w:lang w:val="es-ES"/>
        </w:rPr>
      </w:pPr>
    </w:p>
    <w:tbl>
      <w:tblPr>
        <w:tblW w:w="0" w:type="auto"/>
        <w:tblInd w:w="14" w:type="dxa"/>
        <w:tblLayout w:type="fixed"/>
        <w:tblCellMar>
          <w:left w:w="0" w:type="dxa"/>
          <w:right w:w="0" w:type="dxa"/>
        </w:tblCellMar>
        <w:tblLook w:val="0000" w:firstRow="0" w:lastRow="0" w:firstColumn="0" w:lastColumn="0" w:noHBand="0" w:noVBand="0"/>
      </w:tblPr>
      <w:tblGrid>
        <w:gridCol w:w="557"/>
        <w:gridCol w:w="2256"/>
        <w:gridCol w:w="7171"/>
      </w:tblGrid>
      <w:tr w:rsidR="00DB722A" w:rsidRPr="00890E1F">
        <w:trPr>
          <w:trHeight w:hRule="exact" w:val="514"/>
        </w:trPr>
        <w:tc>
          <w:tcPr>
            <w:tcW w:w="557" w:type="dxa"/>
            <w:tcBorders>
              <w:top w:val="single" w:sz="5" w:space="0" w:color="000000"/>
              <w:left w:val="single" w:sz="5" w:space="0" w:color="000000"/>
              <w:bottom w:val="single" w:sz="5" w:space="0" w:color="000000"/>
              <w:right w:val="single" w:sz="5" w:space="0" w:color="000000"/>
            </w:tcBorders>
            <w:shd w:val="clear" w:color="A6A6A6" w:fill="A6A6A6"/>
            <w:vAlign w:val="center"/>
          </w:tcPr>
          <w:p w:rsidR="00DB722A" w:rsidRPr="00890E1F" w:rsidRDefault="000F32A4">
            <w:pPr>
              <w:spacing w:before="179" w:after="133" w:line="196" w:lineRule="exact"/>
              <w:ind w:left="86"/>
              <w:textAlignment w:val="baseline"/>
              <w:rPr>
                <w:rFonts w:ascii="Arial" w:eastAsia="Tahoma" w:hAnsi="Arial" w:cs="Arial"/>
                <w:b/>
                <w:color w:val="000000"/>
                <w:lang w:val="es-ES"/>
              </w:rPr>
            </w:pPr>
            <w:r w:rsidRPr="00890E1F">
              <w:rPr>
                <w:rFonts w:ascii="Arial" w:eastAsia="Tahoma" w:hAnsi="Arial" w:cs="Arial"/>
                <w:b/>
                <w:color w:val="000000"/>
                <w:lang w:val="es-ES"/>
              </w:rPr>
              <w:t>No.</w:t>
            </w:r>
          </w:p>
        </w:tc>
        <w:tc>
          <w:tcPr>
            <w:tcW w:w="2256" w:type="dxa"/>
            <w:tcBorders>
              <w:top w:val="single" w:sz="5" w:space="0" w:color="000000"/>
              <w:left w:val="single" w:sz="5" w:space="0" w:color="000000"/>
              <w:bottom w:val="single" w:sz="5" w:space="0" w:color="000000"/>
              <w:right w:val="single" w:sz="5" w:space="0" w:color="000000"/>
            </w:tcBorders>
            <w:shd w:val="clear" w:color="A6A6A6" w:fill="A6A6A6"/>
          </w:tcPr>
          <w:p w:rsidR="00DB722A" w:rsidRPr="00890E1F" w:rsidRDefault="000F32A4">
            <w:pPr>
              <w:spacing w:before="176" w:line="183" w:lineRule="exact"/>
              <w:jc w:val="center"/>
              <w:textAlignment w:val="baseline"/>
              <w:rPr>
                <w:rFonts w:ascii="Arial" w:eastAsia="Tahoma" w:hAnsi="Arial" w:cs="Arial"/>
                <w:b/>
                <w:color w:val="000000"/>
                <w:lang w:val="es-ES"/>
              </w:rPr>
            </w:pPr>
            <w:r w:rsidRPr="00890E1F">
              <w:rPr>
                <w:rFonts w:ascii="Arial" w:eastAsia="Tahoma" w:hAnsi="Arial" w:cs="Arial"/>
                <w:b/>
                <w:color w:val="000000"/>
                <w:lang w:val="es-ES"/>
              </w:rPr>
              <w:t>Indicador</w:t>
            </w:r>
          </w:p>
          <w:p w:rsidR="00DB722A" w:rsidRPr="00890E1F" w:rsidRDefault="00DB722A">
            <w:pPr>
              <w:spacing w:line="149" w:lineRule="exact"/>
              <w:ind w:right="1806"/>
              <w:jc w:val="right"/>
              <w:textAlignment w:val="baseline"/>
              <w:rPr>
                <w:rFonts w:ascii="Arial" w:eastAsia="Tahoma" w:hAnsi="Arial" w:cs="Arial"/>
                <w:b/>
                <w:color w:val="000000"/>
                <w:lang w:val="es-ES"/>
              </w:rPr>
            </w:pPr>
          </w:p>
        </w:tc>
        <w:tc>
          <w:tcPr>
            <w:tcW w:w="7171" w:type="dxa"/>
            <w:tcBorders>
              <w:top w:val="single" w:sz="5" w:space="0" w:color="000000"/>
              <w:left w:val="single" w:sz="5" w:space="0" w:color="000000"/>
              <w:bottom w:val="single" w:sz="5" w:space="0" w:color="000000"/>
              <w:right w:val="single" w:sz="5" w:space="0" w:color="000000"/>
            </w:tcBorders>
            <w:shd w:val="clear" w:color="A6A6A6" w:fill="A6A6A6"/>
            <w:vAlign w:val="center"/>
          </w:tcPr>
          <w:p w:rsidR="00DB722A" w:rsidRPr="00890E1F" w:rsidRDefault="000F32A4">
            <w:pPr>
              <w:spacing w:before="177" w:after="135" w:line="196" w:lineRule="exact"/>
              <w:jc w:val="center"/>
              <w:textAlignment w:val="baseline"/>
              <w:rPr>
                <w:rFonts w:ascii="Arial" w:eastAsia="Tahoma" w:hAnsi="Arial" w:cs="Arial"/>
                <w:b/>
                <w:color w:val="000000"/>
                <w:lang w:val="es-ES"/>
              </w:rPr>
            </w:pPr>
            <w:r w:rsidRPr="00890E1F">
              <w:rPr>
                <w:rFonts w:ascii="Arial" w:eastAsia="Tahoma" w:hAnsi="Arial" w:cs="Arial"/>
                <w:b/>
                <w:color w:val="000000"/>
                <w:lang w:val="es-ES"/>
              </w:rPr>
              <w:t>Comentarios</w:t>
            </w:r>
          </w:p>
        </w:tc>
      </w:tr>
      <w:tr w:rsidR="00DB722A" w:rsidRPr="00FE3139" w:rsidTr="00890E1F">
        <w:trPr>
          <w:trHeight w:hRule="exact" w:val="1755"/>
        </w:trPr>
        <w:tc>
          <w:tcPr>
            <w:tcW w:w="557"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86"/>
              <w:textAlignment w:val="baseline"/>
              <w:rPr>
                <w:rFonts w:ascii="Arial" w:eastAsia="Tahoma" w:hAnsi="Arial" w:cs="Arial"/>
                <w:color w:val="000000"/>
                <w:lang w:val="es-ES"/>
              </w:rPr>
            </w:pPr>
            <w:r w:rsidRPr="00890E1F">
              <w:rPr>
                <w:rFonts w:ascii="Arial" w:eastAsia="Tahoma" w:hAnsi="Arial" w:cs="Arial"/>
                <w:color w:val="000000"/>
                <w:lang w:val="es-ES"/>
              </w:rPr>
              <w:t>1</w:t>
            </w:r>
          </w:p>
        </w:tc>
        <w:tc>
          <w:tcPr>
            <w:tcW w:w="2256"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textAlignment w:val="baseline"/>
              <w:rPr>
                <w:rFonts w:ascii="Arial" w:eastAsia="Tahoma" w:hAnsi="Arial" w:cs="Arial"/>
                <w:color w:val="000000"/>
                <w:spacing w:val="14"/>
                <w:lang w:val="es-ES"/>
              </w:rPr>
            </w:pPr>
            <w:r w:rsidRPr="00890E1F">
              <w:rPr>
                <w:rFonts w:ascii="Arial" w:eastAsia="Tahoma" w:hAnsi="Arial" w:cs="Arial"/>
                <w:color w:val="000000"/>
                <w:spacing w:val="3"/>
                <w:lang w:val="es-ES"/>
              </w:rPr>
              <w:t>Eficiencia terminal de médicos especialistas</w:t>
            </w:r>
          </w:p>
        </w:tc>
        <w:tc>
          <w:tcPr>
            <w:tcW w:w="7171"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right="72"/>
              <w:jc w:val="both"/>
              <w:textAlignment w:val="baseline"/>
              <w:rPr>
                <w:rFonts w:ascii="Arial" w:eastAsia="Tahoma" w:hAnsi="Arial" w:cs="Arial"/>
                <w:color w:val="000000"/>
                <w:spacing w:val="3"/>
                <w:lang w:val="es-ES"/>
              </w:rPr>
            </w:pPr>
            <w:r w:rsidRPr="00890E1F">
              <w:rPr>
                <w:rFonts w:ascii="Arial" w:eastAsia="Tahoma" w:hAnsi="Arial" w:cs="Arial"/>
                <w:color w:val="000000"/>
                <w:spacing w:val="3"/>
                <w:lang w:val="es-ES"/>
              </w:rPr>
              <w:t>Este indicador es anual y solo se reporta en el primer trimestre de cada año. La meta anual alcanzada para el 2016 fue del 92.9%, de 96.2%, programado, ya que el Hospital Psiquiátrico Dr. Juan N Navarro registró menor número de médicos especialistas que concluyeron sus estudios de especialidad, por 4 bajas, una por faltas administrativas y las otras por motivos personales.</w:t>
            </w:r>
          </w:p>
        </w:tc>
      </w:tr>
      <w:tr w:rsidR="00DB722A" w:rsidRPr="00FE3139" w:rsidTr="00890E1F">
        <w:trPr>
          <w:trHeight w:hRule="exact" w:val="1234"/>
        </w:trPr>
        <w:tc>
          <w:tcPr>
            <w:tcW w:w="557"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86"/>
              <w:textAlignment w:val="baseline"/>
              <w:rPr>
                <w:rFonts w:ascii="Arial" w:eastAsia="Tahoma" w:hAnsi="Arial" w:cs="Arial"/>
                <w:color w:val="000000"/>
                <w:lang w:val="es-ES"/>
              </w:rPr>
            </w:pPr>
            <w:r w:rsidRPr="00890E1F">
              <w:rPr>
                <w:rFonts w:ascii="Arial" w:eastAsia="Tahoma" w:hAnsi="Arial" w:cs="Arial"/>
                <w:color w:val="000000"/>
                <w:lang w:val="es-ES"/>
              </w:rPr>
              <w:t>2</w:t>
            </w:r>
          </w:p>
        </w:tc>
        <w:tc>
          <w:tcPr>
            <w:tcW w:w="2256"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textAlignment w:val="baseline"/>
              <w:rPr>
                <w:rFonts w:ascii="Arial" w:eastAsia="Tahoma" w:hAnsi="Arial" w:cs="Arial"/>
                <w:color w:val="000000"/>
                <w:spacing w:val="15"/>
                <w:lang w:val="es-ES"/>
              </w:rPr>
            </w:pPr>
            <w:r w:rsidRPr="00890E1F">
              <w:rPr>
                <w:rFonts w:ascii="Arial" w:eastAsia="Tahoma" w:hAnsi="Arial" w:cs="Arial"/>
                <w:color w:val="000000"/>
                <w:spacing w:val="3"/>
                <w:lang w:val="es-ES"/>
              </w:rPr>
              <w:t>Eficacia en la impartición de cursos de educación continua</w:t>
            </w:r>
          </w:p>
        </w:tc>
        <w:tc>
          <w:tcPr>
            <w:tcW w:w="7171"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right="72"/>
              <w:jc w:val="both"/>
              <w:textAlignment w:val="baseline"/>
              <w:rPr>
                <w:rFonts w:ascii="Arial" w:eastAsia="Tahoma" w:hAnsi="Arial" w:cs="Arial"/>
                <w:color w:val="000000"/>
                <w:lang w:val="es-ES"/>
              </w:rPr>
            </w:pPr>
            <w:r w:rsidRPr="00890E1F">
              <w:rPr>
                <w:rFonts w:ascii="Arial" w:eastAsia="Tahoma" w:hAnsi="Arial" w:cs="Arial"/>
                <w:color w:val="000000"/>
                <w:lang w:val="es-ES"/>
              </w:rPr>
              <w:t>La meta para el 4° trimestre se alcanzó en 104%, 5 cursos más de lo programado. La meta anual se cumplió con 95.8% de los cursos impartidos, superior a la programada de 90.5%.</w:t>
            </w:r>
          </w:p>
        </w:tc>
      </w:tr>
      <w:tr w:rsidR="00DB722A" w:rsidRPr="00FE3139" w:rsidTr="00890E1F">
        <w:trPr>
          <w:trHeight w:hRule="exact" w:val="1446"/>
        </w:trPr>
        <w:tc>
          <w:tcPr>
            <w:tcW w:w="557"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86"/>
              <w:textAlignment w:val="baseline"/>
              <w:rPr>
                <w:rFonts w:ascii="Arial" w:eastAsia="Tahoma" w:hAnsi="Arial" w:cs="Arial"/>
                <w:color w:val="000000"/>
                <w:lang w:val="es-ES"/>
              </w:rPr>
            </w:pPr>
            <w:r w:rsidRPr="00890E1F">
              <w:rPr>
                <w:rFonts w:ascii="Arial" w:eastAsia="Tahoma" w:hAnsi="Arial" w:cs="Arial"/>
                <w:color w:val="000000"/>
                <w:lang w:val="es-ES"/>
              </w:rPr>
              <w:t>3</w:t>
            </w:r>
          </w:p>
        </w:tc>
        <w:tc>
          <w:tcPr>
            <w:tcW w:w="2256"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textAlignment w:val="baseline"/>
              <w:rPr>
                <w:rFonts w:ascii="Arial" w:eastAsia="Tahoma" w:hAnsi="Arial" w:cs="Arial"/>
                <w:color w:val="000000"/>
                <w:lang w:val="es-ES"/>
              </w:rPr>
            </w:pPr>
            <w:r w:rsidRPr="00890E1F">
              <w:rPr>
                <w:rFonts w:ascii="Arial" w:eastAsia="Tahoma" w:hAnsi="Arial" w:cs="Arial"/>
                <w:color w:val="000000"/>
                <w:lang w:val="es-ES"/>
              </w:rPr>
              <w:t>Porcentaje de artículos científicos publicados en revistas indexadas</w:t>
            </w:r>
          </w:p>
        </w:tc>
        <w:tc>
          <w:tcPr>
            <w:tcW w:w="7171"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tabs>
                <w:tab w:val="right" w:pos="7128"/>
              </w:tabs>
              <w:textAlignment w:val="baseline"/>
              <w:rPr>
                <w:rFonts w:ascii="Arial" w:eastAsia="Tahoma" w:hAnsi="Arial" w:cs="Arial"/>
                <w:color w:val="000000"/>
                <w:lang w:val="es-ES"/>
              </w:rPr>
            </w:pPr>
            <w:r w:rsidRPr="00890E1F">
              <w:rPr>
                <w:rFonts w:ascii="Arial" w:eastAsia="Tahoma" w:hAnsi="Arial" w:cs="Arial"/>
                <w:color w:val="000000"/>
                <w:lang w:val="es-ES"/>
              </w:rPr>
              <w:t>Para el cuarto trimestre se publicaron 9 artículos de los cuales 3 fueron en revistas de alto impacto. En 2016, el total de artículos publicados fue de 25/23 programados. La meta anual de 7 (30%) de los artículos publicados en revistas de alto impacto (niveles 111-VII) alcanzó 10 publicaciones, 43% respecto a lo programado.</w:t>
            </w:r>
          </w:p>
        </w:tc>
      </w:tr>
      <w:tr w:rsidR="00DB722A" w:rsidRPr="00FE3139" w:rsidTr="00890E1F">
        <w:trPr>
          <w:trHeight w:hRule="exact" w:val="1235"/>
        </w:trPr>
        <w:tc>
          <w:tcPr>
            <w:tcW w:w="557"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86"/>
              <w:textAlignment w:val="baseline"/>
              <w:rPr>
                <w:rFonts w:ascii="Arial" w:eastAsia="Tahoma" w:hAnsi="Arial" w:cs="Arial"/>
                <w:color w:val="000000"/>
                <w:lang w:val="es-ES"/>
              </w:rPr>
            </w:pPr>
            <w:r w:rsidRPr="00890E1F">
              <w:rPr>
                <w:rFonts w:ascii="Arial" w:eastAsia="Tahoma" w:hAnsi="Arial" w:cs="Arial"/>
                <w:color w:val="000000"/>
                <w:lang w:val="es-ES"/>
              </w:rPr>
              <w:t>4</w:t>
            </w:r>
          </w:p>
        </w:tc>
        <w:tc>
          <w:tcPr>
            <w:tcW w:w="2256"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textAlignment w:val="baseline"/>
              <w:rPr>
                <w:rFonts w:ascii="Arial" w:eastAsia="Tahoma" w:hAnsi="Arial" w:cs="Arial"/>
                <w:color w:val="000000"/>
                <w:spacing w:val="14"/>
                <w:lang w:val="es-ES"/>
              </w:rPr>
            </w:pPr>
            <w:r w:rsidRPr="00890E1F">
              <w:rPr>
                <w:rFonts w:ascii="Arial" w:eastAsia="Tahoma" w:hAnsi="Arial" w:cs="Arial"/>
                <w:color w:val="000000"/>
                <w:spacing w:val="3"/>
                <w:lang w:val="es-ES"/>
              </w:rPr>
              <w:t>Índice de consultas subsecuentes especializadas</w:t>
            </w:r>
          </w:p>
        </w:tc>
        <w:tc>
          <w:tcPr>
            <w:tcW w:w="7171"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right="72"/>
              <w:jc w:val="both"/>
              <w:textAlignment w:val="baseline"/>
              <w:rPr>
                <w:rFonts w:ascii="Arial" w:eastAsia="Tahoma" w:hAnsi="Arial" w:cs="Arial"/>
                <w:color w:val="000000"/>
                <w:lang w:val="es-ES"/>
              </w:rPr>
            </w:pPr>
            <w:r w:rsidRPr="00890E1F">
              <w:rPr>
                <w:rFonts w:ascii="Arial" w:eastAsia="Tahoma" w:hAnsi="Arial" w:cs="Arial"/>
                <w:color w:val="000000"/>
                <w:lang w:val="es-ES"/>
              </w:rPr>
              <w:t>Para el cuarto trimestre, el índice de consultas subsecuentes especializadas reportó 1/7.8. La meta anual alcanzada para este índice fue de 7.4/7.4 de lo programado, cifra dentro de los parámetros internacionales recomendados.</w:t>
            </w:r>
          </w:p>
        </w:tc>
      </w:tr>
      <w:tr w:rsidR="00DB722A" w:rsidRPr="00FE3139">
        <w:trPr>
          <w:trHeight w:hRule="exact" w:val="1022"/>
        </w:trPr>
        <w:tc>
          <w:tcPr>
            <w:tcW w:w="557"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86"/>
              <w:textAlignment w:val="baseline"/>
              <w:rPr>
                <w:rFonts w:ascii="Arial" w:eastAsia="Tahoma" w:hAnsi="Arial" w:cs="Arial"/>
                <w:color w:val="000000"/>
                <w:lang w:val="es-ES"/>
              </w:rPr>
            </w:pPr>
            <w:r w:rsidRPr="00890E1F">
              <w:rPr>
                <w:rFonts w:ascii="Arial" w:eastAsia="Tahoma" w:hAnsi="Arial" w:cs="Arial"/>
                <w:color w:val="000000"/>
                <w:lang w:val="es-ES"/>
              </w:rPr>
              <w:t>5</w:t>
            </w:r>
          </w:p>
        </w:tc>
        <w:tc>
          <w:tcPr>
            <w:tcW w:w="2256"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textAlignment w:val="baseline"/>
              <w:rPr>
                <w:rFonts w:ascii="Arial" w:eastAsia="Tahoma" w:hAnsi="Arial" w:cs="Arial"/>
                <w:color w:val="000000"/>
                <w:spacing w:val="3"/>
                <w:lang w:val="es-ES"/>
              </w:rPr>
            </w:pPr>
            <w:r w:rsidRPr="00890E1F">
              <w:rPr>
                <w:rFonts w:ascii="Arial" w:eastAsia="Tahoma" w:hAnsi="Arial" w:cs="Arial"/>
                <w:color w:val="000000"/>
                <w:spacing w:val="3"/>
                <w:lang w:val="es-ES"/>
              </w:rPr>
              <w:t>Ocupación hospitalaria</w:t>
            </w:r>
          </w:p>
        </w:tc>
        <w:tc>
          <w:tcPr>
            <w:tcW w:w="7171"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right="72"/>
              <w:jc w:val="both"/>
              <w:textAlignment w:val="baseline"/>
              <w:rPr>
                <w:rFonts w:ascii="Arial" w:eastAsia="Tahoma" w:hAnsi="Arial" w:cs="Arial"/>
                <w:color w:val="000000"/>
                <w:lang w:val="es-ES"/>
              </w:rPr>
            </w:pPr>
            <w:r w:rsidRPr="00890E1F">
              <w:rPr>
                <w:rFonts w:ascii="Arial" w:eastAsia="Tahoma" w:hAnsi="Arial" w:cs="Arial"/>
                <w:color w:val="000000"/>
                <w:lang w:val="es-ES"/>
              </w:rPr>
              <w:t>Para el cuarto trimestre, la meta alcanzada fue de 75.8%/84.6% de lo programado. Durante el 2016, el porcentaje programado fue de 84.9% y el alcanzado de 75.3%. Estos resultados son acordes a la tendencia de reducir gradualmente el número y promedio de estancia hospitalaria del paciente, a cambio de tratamientos ambulatorios más eficaces y especializados.</w:t>
            </w:r>
          </w:p>
        </w:tc>
      </w:tr>
      <w:tr w:rsidR="00DB722A" w:rsidRPr="00FE3139">
        <w:trPr>
          <w:trHeight w:hRule="exact" w:val="792"/>
        </w:trPr>
        <w:tc>
          <w:tcPr>
            <w:tcW w:w="557"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86"/>
              <w:textAlignment w:val="baseline"/>
              <w:rPr>
                <w:rFonts w:ascii="Arial" w:eastAsia="Tahoma" w:hAnsi="Arial" w:cs="Arial"/>
                <w:color w:val="000000"/>
                <w:lang w:val="es-ES"/>
              </w:rPr>
            </w:pPr>
            <w:r w:rsidRPr="00890E1F">
              <w:rPr>
                <w:rFonts w:ascii="Arial" w:eastAsia="Tahoma" w:hAnsi="Arial" w:cs="Arial"/>
                <w:color w:val="000000"/>
                <w:lang w:val="es-ES"/>
              </w:rPr>
              <w:t>6</w:t>
            </w:r>
          </w:p>
        </w:tc>
        <w:tc>
          <w:tcPr>
            <w:tcW w:w="2256"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textAlignment w:val="baseline"/>
              <w:rPr>
                <w:rFonts w:ascii="Arial" w:eastAsia="Tahoma" w:hAnsi="Arial" w:cs="Arial"/>
                <w:color w:val="000000"/>
                <w:spacing w:val="3"/>
                <w:lang w:val="es-ES"/>
              </w:rPr>
            </w:pPr>
            <w:r w:rsidRPr="00890E1F">
              <w:rPr>
                <w:rFonts w:ascii="Arial" w:eastAsia="Tahoma" w:hAnsi="Arial" w:cs="Arial"/>
                <w:color w:val="000000"/>
                <w:spacing w:val="3"/>
                <w:lang w:val="es-ES"/>
              </w:rPr>
              <w:t>Porcentaje de egresos hospitalarios por mejoría</w:t>
            </w:r>
          </w:p>
        </w:tc>
        <w:tc>
          <w:tcPr>
            <w:tcW w:w="7171"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right="72"/>
              <w:jc w:val="both"/>
              <w:textAlignment w:val="baseline"/>
              <w:rPr>
                <w:rFonts w:ascii="Arial" w:eastAsia="Tahoma" w:hAnsi="Arial" w:cs="Arial"/>
                <w:color w:val="000000"/>
                <w:lang w:val="es-ES"/>
              </w:rPr>
            </w:pPr>
            <w:r w:rsidRPr="00890E1F">
              <w:rPr>
                <w:rFonts w:ascii="Arial" w:eastAsia="Tahoma" w:hAnsi="Arial" w:cs="Arial"/>
                <w:color w:val="000000"/>
                <w:lang w:val="es-ES"/>
              </w:rPr>
              <w:t>Se alcanzó 94.7% de la meta para el cuarto trimestre, cifra similar para el cumplimiento anual de la meta.</w:t>
            </w:r>
          </w:p>
        </w:tc>
      </w:tr>
      <w:tr w:rsidR="00DB722A" w:rsidRPr="00FE3139">
        <w:trPr>
          <w:trHeight w:hRule="exact" w:val="1066"/>
        </w:trPr>
        <w:tc>
          <w:tcPr>
            <w:tcW w:w="557"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86"/>
              <w:textAlignment w:val="baseline"/>
              <w:rPr>
                <w:rFonts w:ascii="Arial" w:eastAsia="Tahoma" w:hAnsi="Arial" w:cs="Arial"/>
                <w:color w:val="000000"/>
                <w:lang w:val="es-ES"/>
              </w:rPr>
            </w:pPr>
            <w:r w:rsidRPr="00890E1F">
              <w:rPr>
                <w:rFonts w:ascii="Arial" w:eastAsia="Tahoma" w:hAnsi="Arial" w:cs="Arial"/>
                <w:color w:val="000000"/>
                <w:lang w:val="es-ES"/>
              </w:rPr>
              <w:t>7</w:t>
            </w:r>
          </w:p>
        </w:tc>
        <w:tc>
          <w:tcPr>
            <w:tcW w:w="2256"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textAlignment w:val="baseline"/>
              <w:rPr>
                <w:rFonts w:ascii="Arial" w:eastAsia="Tahoma" w:hAnsi="Arial" w:cs="Arial"/>
                <w:color w:val="000000"/>
                <w:spacing w:val="3"/>
                <w:lang w:val="es-ES"/>
              </w:rPr>
            </w:pPr>
            <w:r w:rsidRPr="00890E1F">
              <w:rPr>
                <w:rFonts w:ascii="Arial" w:eastAsia="Tahoma" w:hAnsi="Arial" w:cs="Arial"/>
                <w:color w:val="000000"/>
                <w:spacing w:val="3"/>
                <w:lang w:val="es-ES"/>
              </w:rPr>
              <w:t>Porcentaje acumulado de egresos de pacientes en estado de abandono</w:t>
            </w:r>
          </w:p>
        </w:tc>
        <w:tc>
          <w:tcPr>
            <w:tcW w:w="7171"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right="72"/>
              <w:jc w:val="both"/>
              <w:textAlignment w:val="baseline"/>
              <w:rPr>
                <w:rFonts w:ascii="Arial" w:eastAsia="Tahoma" w:hAnsi="Arial" w:cs="Arial"/>
                <w:color w:val="000000"/>
                <w:lang w:val="es-ES"/>
              </w:rPr>
            </w:pPr>
            <w:r w:rsidRPr="00890E1F">
              <w:rPr>
                <w:rFonts w:ascii="Arial" w:eastAsia="Tahoma" w:hAnsi="Arial" w:cs="Arial"/>
                <w:color w:val="000000"/>
                <w:lang w:val="es-ES"/>
              </w:rPr>
              <w:t>Este indicador es anual. De 130 pacientes institucionalizados, la meta de egreso para el 2016 fue de 6.9% (9 pacientes) y se alcanzó 5.4% (7 pacientes). Cabe señalar, que los egresos son por defunción en su mayoría, dada su condición de abandono total. Durante el 2016, se evitaron ingresos por nuevos casos de abandono de este tipo.</w:t>
            </w:r>
          </w:p>
        </w:tc>
      </w:tr>
      <w:tr w:rsidR="00DB722A" w:rsidRPr="00FE3139" w:rsidTr="00890E1F">
        <w:trPr>
          <w:trHeight w:hRule="exact" w:val="1700"/>
        </w:trPr>
        <w:tc>
          <w:tcPr>
            <w:tcW w:w="557"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86"/>
              <w:textAlignment w:val="baseline"/>
              <w:rPr>
                <w:rFonts w:ascii="Arial" w:eastAsia="Tahoma" w:hAnsi="Arial" w:cs="Arial"/>
                <w:color w:val="000000"/>
                <w:lang w:val="es-ES"/>
              </w:rPr>
            </w:pPr>
            <w:r w:rsidRPr="00890E1F">
              <w:rPr>
                <w:rFonts w:ascii="Arial" w:eastAsia="Tahoma" w:hAnsi="Arial" w:cs="Arial"/>
                <w:color w:val="000000"/>
                <w:lang w:val="es-ES"/>
              </w:rPr>
              <w:t>8</w:t>
            </w:r>
          </w:p>
        </w:tc>
        <w:tc>
          <w:tcPr>
            <w:tcW w:w="2256"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textAlignment w:val="baseline"/>
              <w:rPr>
                <w:rFonts w:ascii="Arial" w:eastAsia="Tahoma" w:hAnsi="Arial" w:cs="Arial"/>
                <w:color w:val="000000"/>
                <w:spacing w:val="3"/>
                <w:lang w:val="es-ES"/>
              </w:rPr>
            </w:pPr>
            <w:r w:rsidRPr="00890E1F">
              <w:rPr>
                <w:rFonts w:ascii="Arial" w:eastAsia="Tahoma" w:hAnsi="Arial" w:cs="Arial"/>
                <w:color w:val="000000"/>
                <w:spacing w:val="3"/>
                <w:lang w:val="es-ES"/>
              </w:rPr>
              <w:t xml:space="preserve">Porcentaje de atención de referencia y </w:t>
            </w:r>
            <w:r w:rsidR="00FE3139" w:rsidRPr="00890E1F">
              <w:rPr>
                <w:rFonts w:ascii="Arial" w:eastAsia="Tahoma" w:hAnsi="Arial" w:cs="Arial"/>
                <w:color w:val="000000"/>
                <w:spacing w:val="3"/>
                <w:lang w:val="es-ES"/>
              </w:rPr>
              <w:t>contra referencia</w:t>
            </w:r>
            <w:r w:rsidRPr="00890E1F">
              <w:rPr>
                <w:rFonts w:ascii="Arial" w:eastAsia="Tahoma" w:hAnsi="Arial" w:cs="Arial"/>
                <w:color w:val="000000"/>
                <w:spacing w:val="3"/>
                <w:lang w:val="es-ES"/>
              </w:rPr>
              <w:t xml:space="preserve"> en la Red de Atención Psiquiátrica</w:t>
            </w:r>
          </w:p>
        </w:tc>
        <w:tc>
          <w:tcPr>
            <w:tcW w:w="7171"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right="72"/>
              <w:jc w:val="both"/>
              <w:textAlignment w:val="baseline"/>
              <w:rPr>
                <w:rFonts w:ascii="Arial" w:eastAsia="Tahoma" w:hAnsi="Arial" w:cs="Arial"/>
                <w:color w:val="000000"/>
                <w:lang w:val="es-ES"/>
              </w:rPr>
            </w:pPr>
            <w:r w:rsidRPr="00890E1F">
              <w:rPr>
                <w:rFonts w:ascii="Arial" w:eastAsia="Tahoma" w:hAnsi="Arial" w:cs="Arial"/>
                <w:color w:val="000000"/>
                <w:lang w:val="es-ES"/>
              </w:rPr>
              <w:t xml:space="preserve">La meta programada para el 4° trimestre fue de 15.1% y se alcanzó un 18.3% de atención de referencia y </w:t>
            </w:r>
            <w:r w:rsidR="00FE3139" w:rsidRPr="00890E1F">
              <w:rPr>
                <w:rFonts w:ascii="Arial" w:eastAsia="Tahoma" w:hAnsi="Arial" w:cs="Arial"/>
                <w:color w:val="000000"/>
                <w:lang w:val="es-ES"/>
              </w:rPr>
              <w:t>contra referencia</w:t>
            </w:r>
            <w:r w:rsidRPr="00890E1F">
              <w:rPr>
                <w:rFonts w:ascii="Arial" w:eastAsia="Tahoma" w:hAnsi="Arial" w:cs="Arial"/>
                <w:color w:val="000000"/>
                <w:lang w:val="es-ES"/>
              </w:rPr>
              <w:t xml:space="preserve"> en la Red de Atención Psiquiátrica, entre SAP y el Instituto Nacional de Psiquiatría Ramón de la Fuente Muñiz, lo cual sobrepasa los parámetros aceptables. De manera similar, se programó 15.1% durante el 2016 y se alcanzó el 17.1% anual.</w:t>
            </w:r>
          </w:p>
        </w:tc>
        <w:bookmarkStart w:id="0" w:name="_GoBack"/>
        <w:bookmarkEnd w:id="0"/>
      </w:tr>
      <w:tr w:rsidR="00DB722A" w:rsidRPr="00FE3139">
        <w:trPr>
          <w:trHeight w:hRule="exact" w:val="1531"/>
        </w:trPr>
        <w:tc>
          <w:tcPr>
            <w:tcW w:w="557"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86"/>
              <w:textAlignment w:val="baseline"/>
              <w:rPr>
                <w:rFonts w:ascii="Arial" w:eastAsia="Tahoma" w:hAnsi="Arial" w:cs="Arial"/>
                <w:color w:val="000000"/>
                <w:lang w:val="es-ES"/>
              </w:rPr>
            </w:pPr>
            <w:r w:rsidRPr="00890E1F">
              <w:rPr>
                <w:rFonts w:ascii="Arial" w:eastAsia="Tahoma" w:hAnsi="Arial" w:cs="Arial"/>
                <w:color w:val="000000"/>
                <w:lang w:val="es-ES"/>
              </w:rPr>
              <w:lastRenderedPageBreak/>
              <w:t>9</w:t>
            </w:r>
          </w:p>
        </w:tc>
        <w:tc>
          <w:tcPr>
            <w:tcW w:w="2256"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textAlignment w:val="baseline"/>
              <w:rPr>
                <w:rFonts w:ascii="Arial" w:eastAsia="Tahoma" w:hAnsi="Arial" w:cs="Arial"/>
                <w:color w:val="000000"/>
                <w:spacing w:val="3"/>
                <w:lang w:val="es-ES"/>
              </w:rPr>
            </w:pPr>
            <w:r w:rsidRPr="00890E1F">
              <w:rPr>
                <w:rFonts w:ascii="Arial" w:eastAsia="Tahoma" w:hAnsi="Arial" w:cs="Arial"/>
                <w:color w:val="000000"/>
                <w:spacing w:val="3"/>
                <w:lang w:val="es-ES"/>
              </w:rPr>
              <w:t>Porcentaje de cursos de capacitación continua con el tema de prevención de suicidio</w:t>
            </w:r>
          </w:p>
        </w:tc>
        <w:tc>
          <w:tcPr>
            <w:tcW w:w="7171" w:type="dxa"/>
            <w:tcBorders>
              <w:top w:val="single" w:sz="5" w:space="0" w:color="000000"/>
              <w:left w:val="single" w:sz="5" w:space="0" w:color="000000"/>
              <w:bottom w:val="single" w:sz="5" w:space="0" w:color="000000"/>
              <w:right w:val="single" w:sz="5" w:space="0" w:color="000000"/>
            </w:tcBorders>
          </w:tcPr>
          <w:p w:rsidR="00DB722A" w:rsidRPr="00890E1F" w:rsidRDefault="000F32A4" w:rsidP="000F32A4">
            <w:pPr>
              <w:ind w:left="72" w:right="72"/>
              <w:jc w:val="both"/>
              <w:textAlignment w:val="baseline"/>
              <w:rPr>
                <w:rFonts w:ascii="Arial" w:eastAsia="Tahoma" w:hAnsi="Arial" w:cs="Arial"/>
                <w:color w:val="000000"/>
                <w:lang w:val="es-ES"/>
              </w:rPr>
            </w:pPr>
            <w:r w:rsidRPr="00890E1F">
              <w:rPr>
                <w:rFonts w:ascii="Arial" w:eastAsia="Tahoma" w:hAnsi="Arial" w:cs="Arial"/>
                <w:color w:val="000000"/>
                <w:lang w:val="es-ES"/>
              </w:rPr>
              <w:t>Para el cuarto trimestre, se programaron e alcanzaron 3 cursos (100%), igual porcentaje de cumplimiento del indicador anual.</w:t>
            </w:r>
          </w:p>
        </w:tc>
      </w:tr>
    </w:tbl>
    <w:p w:rsidR="00DB722A" w:rsidRPr="00890E1F" w:rsidRDefault="00DB722A" w:rsidP="000F32A4">
      <w:pPr>
        <w:rPr>
          <w:rFonts w:ascii="Arial" w:hAnsi="Arial" w:cs="Arial"/>
          <w:lang w:val="es-MX"/>
        </w:rPr>
      </w:pPr>
    </w:p>
    <w:p w:rsidR="00DB722A" w:rsidRPr="00890E1F" w:rsidRDefault="00DB722A" w:rsidP="000F32A4">
      <w:pPr>
        <w:spacing w:line="202" w:lineRule="exact"/>
        <w:textAlignment w:val="baseline"/>
        <w:rPr>
          <w:rFonts w:ascii="Arial" w:eastAsia="Tahoma" w:hAnsi="Arial" w:cs="Arial"/>
          <w:color w:val="000000"/>
          <w:lang w:val="es-ES"/>
        </w:rPr>
      </w:pPr>
    </w:p>
    <w:sectPr w:rsidR="00DB722A" w:rsidRPr="00890E1F">
      <w:headerReference w:type="default" r:id="rId6"/>
      <w:footerReference w:type="default" r:id="rId7"/>
      <w:pgSz w:w="12240" w:h="15840"/>
      <w:pgMar w:top="620" w:right="1109" w:bottom="264" w:left="1119"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674B" w:rsidRDefault="00A4674B" w:rsidP="00890E1F">
      <w:r>
        <w:separator/>
      </w:r>
    </w:p>
  </w:endnote>
  <w:endnote w:type="continuationSeparator" w:id="0">
    <w:p w:rsidR="00A4674B" w:rsidRDefault="00A4674B" w:rsidP="00890E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Tahoma">
    <w:charset w:val="00"/>
    <w:pitch w:val="variable"/>
    <w:family w:val="swiss"/>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0096216"/>
      <w:docPartObj>
        <w:docPartGallery w:val="Page Numbers (Bottom of Page)"/>
        <w:docPartUnique/>
      </w:docPartObj>
    </w:sdtPr>
    <w:sdtEndPr>
      <w:rPr>
        <w:rFonts w:ascii="Arial" w:hAnsi="Arial" w:cs="Arial"/>
        <w:sz w:val="20"/>
        <w:szCs w:val="20"/>
      </w:rPr>
    </w:sdtEndPr>
    <w:sdtContent>
      <w:p w:rsidR="00890E1F" w:rsidRPr="00FE3139" w:rsidRDefault="00890E1F">
        <w:pPr>
          <w:pStyle w:val="Piedepgina"/>
          <w:jc w:val="right"/>
          <w:rPr>
            <w:rFonts w:ascii="Arial" w:hAnsi="Arial" w:cs="Arial"/>
            <w:sz w:val="20"/>
            <w:szCs w:val="20"/>
          </w:rPr>
        </w:pPr>
        <w:r w:rsidRPr="00FE3139">
          <w:rPr>
            <w:rFonts w:ascii="Arial" w:hAnsi="Arial" w:cs="Arial"/>
            <w:sz w:val="20"/>
            <w:szCs w:val="20"/>
          </w:rPr>
          <w:fldChar w:fldCharType="begin"/>
        </w:r>
        <w:r w:rsidRPr="00FE3139">
          <w:rPr>
            <w:rFonts w:ascii="Arial" w:hAnsi="Arial" w:cs="Arial"/>
            <w:sz w:val="20"/>
            <w:szCs w:val="20"/>
          </w:rPr>
          <w:instrText>PAGE   \* MERGEFORMAT</w:instrText>
        </w:r>
        <w:r w:rsidRPr="00FE3139">
          <w:rPr>
            <w:rFonts w:ascii="Arial" w:hAnsi="Arial" w:cs="Arial"/>
            <w:sz w:val="20"/>
            <w:szCs w:val="20"/>
          </w:rPr>
          <w:fldChar w:fldCharType="separate"/>
        </w:r>
        <w:r w:rsidR="00FE3139" w:rsidRPr="00FE3139">
          <w:rPr>
            <w:rFonts w:ascii="Arial" w:hAnsi="Arial" w:cs="Arial"/>
            <w:noProof/>
            <w:sz w:val="20"/>
            <w:szCs w:val="20"/>
            <w:lang w:val="es-ES"/>
          </w:rPr>
          <w:t>2</w:t>
        </w:r>
        <w:r w:rsidRPr="00FE3139">
          <w:rPr>
            <w:rFonts w:ascii="Arial" w:hAnsi="Arial" w:cs="Arial"/>
            <w:sz w:val="20"/>
            <w:szCs w:val="20"/>
          </w:rPr>
          <w:fldChar w:fldCharType="end"/>
        </w:r>
      </w:p>
    </w:sdtContent>
  </w:sdt>
  <w:p w:rsidR="00890E1F" w:rsidRDefault="00890E1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674B" w:rsidRDefault="00A4674B" w:rsidP="00890E1F">
      <w:r>
        <w:separator/>
      </w:r>
    </w:p>
  </w:footnote>
  <w:footnote w:type="continuationSeparator" w:id="0">
    <w:p w:rsidR="00A4674B" w:rsidRDefault="00A4674B" w:rsidP="00890E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0E1F" w:rsidRPr="00890E1F" w:rsidRDefault="00890E1F" w:rsidP="00890E1F">
    <w:pPr>
      <w:pStyle w:val="Sinespaciado"/>
      <w:ind w:left="2552"/>
      <w:jc w:val="right"/>
      <w:rPr>
        <w:rFonts w:ascii="Arial" w:eastAsia="Calibri" w:hAnsi="Arial" w:cs="Arial"/>
        <w:smallCaps/>
        <w:sz w:val="20"/>
        <w:szCs w:val="20"/>
        <w:lang w:val="es-MX" w:eastAsia="es-MX"/>
      </w:rPr>
    </w:pPr>
    <w:r w:rsidRPr="00890E1F">
      <w:rPr>
        <w:rFonts w:ascii="Arial" w:eastAsia="Calibri" w:hAnsi="Arial" w:cs="Arial"/>
        <w:smallCaps/>
        <w:sz w:val="20"/>
        <w:szCs w:val="20"/>
        <w:lang w:val="es-MX" w:eastAsia="es-MX"/>
      </w:rPr>
      <w:t xml:space="preserve">Respuesta Del Estado Mexicano </w:t>
    </w:r>
  </w:p>
  <w:p w:rsidR="00890E1F" w:rsidRPr="00890E1F" w:rsidRDefault="00890E1F" w:rsidP="00890E1F">
    <w:pPr>
      <w:pStyle w:val="Sinespaciado"/>
      <w:ind w:left="2552"/>
      <w:jc w:val="right"/>
      <w:rPr>
        <w:rFonts w:ascii="Arial" w:eastAsia="Calibri" w:hAnsi="Arial" w:cs="Arial"/>
        <w:smallCaps/>
        <w:sz w:val="20"/>
        <w:szCs w:val="20"/>
        <w:lang w:val="es-MX" w:eastAsia="es-MX"/>
      </w:rPr>
    </w:pPr>
    <w:r w:rsidRPr="00890E1F">
      <w:rPr>
        <w:rFonts w:ascii="Arial" w:eastAsia="Calibri" w:hAnsi="Arial" w:cs="Arial"/>
        <w:smallCaps/>
        <w:sz w:val="20"/>
        <w:szCs w:val="20"/>
        <w:lang w:val="es-MX" w:eastAsia="es-MX"/>
      </w:rPr>
      <w:t>Lista de Cuestiones Relativa  a los Informes Periódicos Quinto y Sexto Combinados sobre el Cumplimiento del Pacto Internacional de Derechos Económicos, Sociales y Culturales</w:t>
    </w:r>
  </w:p>
  <w:p w:rsidR="00890E1F" w:rsidRPr="00890E1F" w:rsidRDefault="00890E1F">
    <w:pPr>
      <w:pStyle w:val="Encabezado"/>
      <w:rPr>
        <w:lang w:val="es-MX"/>
      </w:rPr>
    </w:pPr>
  </w:p>
  <w:p w:rsidR="00890E1F" w:rsidRPr="00890E1F" w:rsidRDefault="00890E1F">
    <w:pPr>
      <w:pStyle w:val="Encabezado"/>
      <w:rPr>
        <w:lang w:val="es-MX"/>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22A"/>
    <w:rsid w:val="00016C79"/>
    <w:rsid w:val="000F32A4"/>
    <w:rsid w:val="00204AE8"/>
    <w:rsid w:val="00693463"/>
    <w:rsid w:val="00890E1F"/>
    <w:rsid w:val="00A4674B"/>
    <w:rsid w:val="00B735CD"/>
    <w:rsid w:val="00CB777C"/>
    <w:rsid w:val="00DB722A"/>
    <w:rsid w:val="00DF551A"/>
    <w:rsid w:val="00FE313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F3397BF-1859-4FD2-A1B6-A031A9C9D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890E1F"/>
  </w:style>
  <w:style w:type="paragraph" w:styleId="Encabezado">
    <w:name w:val="header"/>
    <w:basedOn w:val="Normal"/>
    <w:link w:val="EncabezadoCar"/>
    <w:uiPriority w:val="99"/>
    <w:unhideWhenUsed/>
    <w:rsid w:val="00890E1F"/>
    <w:pPr>
      <w:tabs>
        <w:tab w:val="center" w:pos="4419"/>
        <w:tab w:val="right" w:pos="8838"/>
      </w:tabs>
    </w:pPr>
  </w:style>
  <w:style w:type="character" w:customStyle="1" w:styleId="EncabezadoCar">
    <w:name w:val="Encabezado Car"/>
    <w:basedOn w:val="Fuentedeprrafopredeter"/>
    <w:link w:val="Encabezado"/>
    <w:uiPriority w:val="99"/>
    <w:rsid w:val="00890E1F"/>
  </w:style>
  <w:style w:type="paragraph" w:styleId="Piedepgina">
    <w:name w:val="footer"/>
    <w:basedOn w:val="Normal"/>
    <w:link w:val="PiedepginaCar"/>
    <w:uiPriority w:val="99"/>
    <w:unhideWhenUsed/>
    <w:rsid w:val="00890E1F"/>
    <w:pPr>
      <w:tabs>
        <w:tab w:val="center" w:pos="4419"/>
        <w:tab w:val="right" w:pos="8838"/>
      </w:tabs>
    </w:pPr>
  </w:style>
  <w:style w:type="character" w:customStyle="1" w:styleId="PiedepginaCar">
    <w:name w:val="Pie de página Car"/>
    <w:basedOn w:val="Fuentedeprrafopredeter"/>
    <w:link w:val="Piedepgina"/>
    <w:uiPriority w:val="99"/>
    <w:rsid w:val="00890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drId2" Type="http://schemas.openxmlformats.org/wordprocessingml/2006/fontTable" Target="fontTable0.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5E4A78-BF55-475F-8762-26CFF85E990B}"/>
</file>

<file path=customXml/itemProps2.xml><?xml version="1.0" encoding="utf-8"?>
<ds:datastoreItem xmlns:ds="http://schemas.openxmlformats.org/officeDocument/2006/customXml" ds:itemID="{E5337833-7C37-4E9E-9526-87DAFCAF1012}"/>
</file>

<file path=customXml/itemProps3.xml><?xml version="1.0" encoding="utf-8"?>
<ds:datastoreItem xmlns:ds="http://schemas.openxmlformats.org/officeDocument/2006/customXml" ds:itemID="{16970A2A-995F-40F2-A0AE-ABC2F5A03F54}"/>
</file>

<file path=docProps/app.xml><?xml version="1.0" encoding="utf-8"?>
<Properties xmlns="http://schemas.openxmlformats.org/officeDocument/2006/extended-properties" xmlns:vt="http://schemas.openxmlformats.org/officeDocument/2006/docPropsVTypes">
  <Template>Normal.dotm</Template>
  <TotalTime>8</TotalTime>
  <Pages>2</Pages>
  <Words>478</Words>
  <Characters>2632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Lozano Rubello, Alejandra Beatriz</dc:creator>
  <cp:lastModifiedBy>Mendoza Carlos, Alondra Lisette</cp:lastModifiedBy>
  <cp:revision>2</cp:revision>
  <dcterms:created xsi:type="dcterms:W3CDTF">2017-07-14T00:00:00Z</dcterms:created>
  <dcterms:modified xsi:type="dcterms:W3CDTF">2017-07-14T00:00:00Z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