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062ED" w14:textId="77777777" w:rsidR="00105983" w:rsidRPr="003B36FD" w:rsidRDefault="00105983" w:rsidP="00A90270">
      <w:pPr>
        <w:pStyle w:val="HMG"/>
        <w:ind w:right="0" w:hanging="283"/>
        <w:jc w:val="center"/>
        <w:rPr>
          <w:color w:val="548DD4" w:themeColor="text2" w:themeTint="99"/>
          <w:lang w:val="fr-FR"/>
        </w:rPr>
      </w:pPr>
      <w:r w:rsidRPr="003B36FD">
        <w:rPr>
          <w:color w:val="548DD4" w:themeColor="text2" w:themeTint="99"/>
          <w:lang w:val="fr-FR"/>
        </w:rPr>
        <w:t>Appel à contributions </w:t>
      </w:r>
      <w:r w:rsidRPr="003B36FD">
        <w:rPr>
          <w:color w:val="548DD4" w:themeColor="text2" w:themeTint="99"/>
          <w:lang w:val="fr-FR"/>
        </w:rPr>
        <w:t xml:space="preserve"> </w:t>
      </w:r>
    </w:p>
    <w:p w14:paraId="175643A5" w14:textId="0497E148" w:rsidR="00A90270" w:rsidRPr="004018E7" w:rsidRDefault="003910F8" w:rsidP="00A90270">
      <w:pPr>
        <w:pStyle w:val="HMG"/>
        <w:ind w:right="0" w:hanging="283"/>
        <w:jc w:val="center"/>
        <w:rPr>
          <w:lang w:val="fr-FR"/>
        </w:rPr>
      </w:pPr>
      <w:r>
        <w:rPr>
          <w:lang w:val="fr-FR"/>
        </w:rPr>
        <w:t>Projet d’o</w:t>
      </w:r>
      <w:r w:rsidR="00A90270" w:rsidRPr="004018E7">
        <w:rPr>
          <w:lang w:val="fr-FR"/>
        </w:rPr>
        <w:t>bservation générale</w:t>
      </w:r>
      <w:r>
        <w:rPr>
          <w:lang w:val="fr-FR"/>
        </w:rPr>
        <w:t xml:space="preserve"> du Comité des Disparitions Forcées</w:t>
      </w:r>
      <w:r w:rsidR="00A90270" w:rsidRPr="004018E7">
        <w:rPr>
          <w:lang w:val="fr-FR"/>
        </w:rPr>
        <w:t xml:space="preserve"> sur les femmes, les filles et les disparitions forcées</w:t>
      </w:r>
    </w:p>
    <w:p w14:paraId="09D1FB04" w14:textId="034B52ED" w:rsidR="00225896" w:rsidRDefault="00850DF1" w:rsidP="003910F8">
      <w:pPr>
        <w:pStyle w:val="HChG"/>
        <w:ind w:left="2268" w:firstLine="0"/>
        <w:jc w:val="both"/>
        <w:rPr>
          <w:bCs/>
          <w:sz w:val="24"/>
          <w:lang w:val="fr-FR"/>
        </w:rPr>
      </w:pPr>
      <w:r>
        <w:rPr>
          <w:bCs/>
          <w:sz w:val="24"/>
          <w:lang w:val="fr-FR"/>
        </w:rPr>
        <w:t>À</w:t>
      </w:r>
      <w:r w:rsidR="003910F8" w:rsidRPr="003910F8">
        <w:rPr>
          <w:bCs/>
          <w:sz w:val="24"/>
          <w:lang w:val="fr-FR"/>
        </w:rPr>
        <w:t xml:space="preserve"> sa 27e session, le Comité des Disparitions Forcées a décidé de développer un projet d’observation générale sur </w:t>
      </w:r>
      <w:r w:rsidR="003910F8" w:rsidRPr="003910F8">
        <w:rPr>
          <w:bCs/>
          <w:sz w:val="24"/>
          <w:highlight w:val="yellow"/>
          <w:lang w:val="fr-FR"/>
        </w:rPr>
        <w:t>les femmes, les filles et les disparitions forcées</w:t>
      </w:r>
      <w:r w:rsidR="003910F8" w:rsidRPr="003910F8">
        <w:rPr>
          <w:bCs/>
          <w:sz w:val="24"/>
          <w:lang w:val="fr-FR"/>
        </w:rPr>
        <w:t xml:space="preserve">. </w:t>
      </w:r>
    </w:p>
    <w:p w14:paraId="09513288" w14:textId="2B62C219" w:rsidR="003910F8" w:rsidRDefault="00850DF1" w:rsidP="003910F8">
      <w:pPr>
        <w:pStyle w:val="HChG"/>
        <w:ind w:left="2268" w:firstLine="0"/>
        <w:jc w:val="both"/>
        <w:rPr>
          <w:bCs/>
          <w:sz w:val="24"/>
          <w:lang w:val="fr-FR"/>
        </w:rPr>
      </w:pPr>
      <w:r>
        <w:rPr>
          <w:bCs/>
          <w:sz w:val="24"/>
          <w:lang w:val="fr-FR"/>
        </w:rPr>
        <w:t>À</w:t>
      </w:r>
      <w:r w:rsidR="003910F8" w:rsidRPr="003910F8">
        <w:rPr>
          <w:bCs/>
          <w:sz w:val="24"/>
          <w:lang w:val="fr-FR"/>
        </w:rPr>
        <w:t xml:space="preserve"> sa 28e session, le Comité a adopté la note conceptuelle </w:t>
      </w:r>
      <w:r w:rsidR="001345AA">
        <w:rPr>
          <w:bCs/>
          <w:sz w:val="24"/>
          <w:lang w:val="fr-FR"/>
        </w:rPr>
        <w:t>présentée à continuation</w:t>
      </w:r>
      <w:r w:rsidR="003910F8" w:rsidRPr="003910F8">
        <w:rPr>
          <w:bCs/>
          <w:sz w:val="24"/>
          <w:lang w:val="fr-FR"/>
        </w:rPr>
        <w:t xml:space="preserve"> et invite maintenant toutes les parties prenantes à </w:t>
      </w:r>
      <w:r w:rsidR="003910F8" w:rsidRPr="00225896">
        <w:rPr>
          <w:bCs/>
          <w:sz w:val="24"/>
          <w:highlight w:val="yellow"/>
          <w:lang w:val="fr-FR"/>
        </w:rPr>
        <w:t xml:space="preserve">envoyer des contributions écrites sur </w:t>
      </w:r>
      <w:r w:rsidR="00225896">
        <w:rPr>
          <w:bCs/>
          <w:sz w:val="24"/>
          <w:highlight w:val="yellow"/>
          <w:lang w:val="fr-FR"/>
        </w:rPr>
        <w:t>l</w:t>
      </w:r>
      <w:r w:rsidR="003910F8" w:rsidRPr="00225896">
        <w:rPr>
          <w:bCs/>
          <w:sz w:val="24"/>
          <w:highlight w:val="yellow"/>
          <w:lang w:val="fr-FR"/>
        </w:rPr>
        <w:t xml:space="preserve">es </w:t>
      </w:r>
      <w:r w:rsidR="00225896">
        <w:rPr>
          <w:bCs/>
          <w:sz w:val="24"/>
          <w:highlight w:val="yellow"/>
          <w:lang w:val="fr-FR"/>
        </w:rPr>
        <w:t>questions</w:t>
      </w:r>
      <w:r w:rsidR="003910F8" w:rsidRPr="00225896">
        <w:rPr>
          <w:bCs/>
          <w:sz w:val="24"/>
          <w:highlight w:val="yellow"/>
          <w:lang w:val="fr-FR"/>
        </w:rPr>
        <w:t xml:space="preserve"> soulevées dans cette note</w:t>
      </w:r>
      <w:r w:rsidR="003910F8" w:rsidRPr="003910F8">
        <w:rPr>
          <w:bCs/>
          <w:sz w:val="24"/>
          <w:lang w:val="fr-FR"/>
        </w:rPr>
        <w:t>.</w:t>
      </w:r>
      <w:r w:rsidR="003910F8">
        <w:rPr>
          <w:bCs/>
          <w:sz w:val="24"/>
          <w:lang w:val="fr-FR"/>
        </w:rPr>
        <w:t xml:space="preserve"> </w:t>
      </w:r>
    </w:p>
    <w:p w14:paraId="42A094E4" w14:textId="77777777" w:rsidR="001345AA" w:rsidRDefault="00FF3445" w:rsidP="001345AA">
      <w:pPr>
        <w:pStyle w:val="HChG"/>
        <w:ind w:left="2268" w:firstLine="0"/>
        <w:jc w:val="both"/>
        <w:rPr>
          <w:bCs/>
          <w:sz w:val="24"/>
          <w:lang w:val="fr-FR"/>
        </w:rPr>
      </w:pPr>
      <w:r w:rsidRPr="00FF3445">
        <w:rPr>
          <w:bCs/>
          <w:sz w:val="24"/>
          <w:lang w:val="fr-FR"/>
        </w:rPr>
        <w:t>Nous vous invitons</w:t>
      </w:r>
      <w:r w:rsidR="00225896">
        <w:rPr>
          <w:bCs/>
          <w:sz w:val="24"/>
          <w:lang w:val="fr-FR"/>
        </w:rPr>
        <w:t xml:space="preserve"> donc</w:t>
      </w:r>
      <w:r w:rsidRPr="00FF3445">
        <w:rPr>
          <w:bCs/>
          <w:sz w:val="24"/>
          <w:lang w:val="fr-FR"/>
        </w:rPr>
        <w:t xml:space="preserve"> à envoyer des contributions concises, précises et assorties d'exemples concrets permettant d'identifier les tendances et les questions spécifiques pertinentes dans les différentes régions du monde.</w:t>
      </w:r>
    </w:p>
    <w:p w14:paraId="2023B338" w14:textId="0F7D5AB1" w:rsidR="00105983" w:rsidRDefault="001345AA" w:rsidP="00817E2F">
      <w:pPr>
        <w:pStyle w:val="HChG"/>
        <w:ind w:left="2268" w:firstLine="0"/>
        <w:jc w:val="both"/>
        <w:rPr>
          <w:bCs/>
          <w:sz w:val="24"/>
          <w:lang w:val="fr-FR"/>
        </w:rPr>
      </w:pPr>
      <w:r w:rsidRPr="001345AA">
        <w:rPr>
          <w:bCs/>
          <w:sz w:val="24"/>
          <w:lang w:val="fr-FR"/>
        </w:rPr>
        <w:t>Chaque contribution devra avoir une longueur maximum de 7000 mots</w:t>
      </w:r>
      <w:r w:rsidR="00817E2F">
        <w:rPr>
          <w:bCs/>
          <w:sz w:val="24"/>
          <w:lang w:val="fr-FR"/>
        </w:rPr>
        <w:t xml:space="preserve"> et devra être envoyée </w:t>
      </w:r>
      <w:r w:rsidR="003910F8" w:rsidRPr="00817E2F">
        <w:rPr>
          <w:bCs/>
          <w:color w:val="000000" w:themeColor="text1"/>
          <w:sz w:val="24"/>
          <w:highlight w:val="yellow"/>
          <w:lang w:val="fr-FR"/>
        </w:rPr>
        <w:t xml:space="preserve">jusqu’au </w:t>
      </w:r>
      <w:r w:rsidR="00DE2862">
        <w:rPr>
          <w:bCs/>
          <w:color w:val="000000" w:themeColor="text1"/>
          <w:sz w:val="24"/>
          <w:highlight w:val="yellow"/>
          <w:lang w:val="fr-FR"/>
        </w:rPr>
        <w:t>15</w:t>
      </w:r>
      <w:r w:rsidR="003910F8" w:rsidRPr="00817E2F">
        <w:rPr>
          <w:bCs/>
          <w:color w:val="000000" w:themeColor="text1"/>
          <w:sz w:val="24"/>
          <w:highlight w:val="yellow"/>
          <w:lang w:val="fr-FR"/>
        </w:rPr>
        <w:t xml:space="preserve"> juillet 2025</w:t>
      </w:r>
      <w:r w:rsidR="003910F8" w:rsidRPr="00105983">
        <w:rPr>
          <w:bCs/>
          <w:color w:val="000000" w:themeColor="text1"/>
          <w:sz w:val="24"/>
          <w:lang w:val="fr-FR"/>
        </w:rPr>
        <w:t xml:space="preserve"> au courrier électronique suivant : </w:t>
      </w:r>
      <w:hyperlink r:id="rId10" w:history="1">
        <w:r w:rsidR="003910F8" w:rsidRPr="00105983">
          <w:rPr>
            <w:rStyle w:val="Hyperlink"/>
            <w:bCs/>
            <w:sz w:val="24"/>
            <w:lang w:val="fr-FR"/>
          </w:rPr>
          <w:t>ohchr-ced@un.org</w:t>
        </w:r>
      </w:hyperlink>
    </w:p>
    <w:p w14:paraId="5B7E60A0" w14:textId="77777777" w:rsidR="00DB5ACE" w:rsidRPr="00DB5ACE" w:rsidRDefault="00DB5ACE" w:rsidP="00DB5ACE">
      <w:pPr>
        <w:rPr>
          <w:lang w:val="fr-FR"/>
        </w:rPr>
      </w:pPr>
    </w:p>
    <w:p w14:paraId="7CAE4576" w14:textId="149F3560" w:rsidR="00105983" w:rsidRPr="003B36FD" w:rsidRDefault="00105983" w:rsidP="00105983">
      <w:pPr>
        <w:pStyle w:val="HMG"/>
        <w:ind w:right="0" w:hanging="283"/>
        <w:jc w:val="center"/>
        <w:rPr>
          <w:color w:val="548DD4" w:themeColor="text2" w:themeTint="99"/>
          <w:lang w:val="fr-FR"/>
        </w:rPr>
      </w:pPr>
      <w:r w:rsidRPr="003B36FD">
        <w:rPr>
          <w:color w:val="548DD4" w:themeColor="text2" w:themeTint="99"/>
          <w:lang w:val="fr-FR"/>
        </w:rPr>
        <w:t>Note conceptuelle</w:t>
      </w:r>
      <w:r w:rsidRPr="003B36FD">
        <w:rPr>
          <w:color w:val="548DD4" w:themeColor="text2" w:themeTint="99"/>
          <w:lang w:val="fr-FR"/>
        </w:rPr>
        <w:t xml:space="preserve"> </w:t>
      </w:r>
      <w:r w:rsidRPr="003B36FD">
        <w:rPr>
          <w:color w:val="548DD4" w:themeColor="text2" w:themeTint="99"/>
          <w:lang w:val="fr-FR"/>
        </w:rPr>
        <w:t>:</w:t>
      </w:r>
    </w:p>
    <w:p w14:paraId="5A83E21C" w14:textId="1D3CCD39" w:rsidR="00A90270" w:rsidRPr="003910F8" w:rsidRDefault="00A90270" w:rsidP="00A90270">
      <w:pPr>
        <w:pStyle w:val="HChG"/>
        <w:rPr>
          <w:lang w:val="fr-FR"/>
        </w:rPr>
      </w:pPr>
      <w:r w:rsidRPr="004018E7">
        <w:rPr>
          <w:lang w:val="fr-FR"/>
        </w:rPr>
        <w:tab/>
      </w:r>
      <w:r w:rsidRPr="003910F8">
        <w:rPr>
          <w:lang w:val="fr-FR"/>
        </w:rPr>
        <w:t>I.</w:t>
      </w:r>
      <w:r w:rsidRPr="003910F8">
        <w:rPr>
          <w:lang w:val="fr-FR"/>
        </w:rPr>
        <w:tab/>
        <w:t>Introduction</w:t>
      </w:r>
    </w:p>
    <w:p w14:paraId="505DB75A" w14:textId="77777777" w:rsidR="00A90270" w:rsidRPr="004018E7" w:rsidRDefault="00A90270" w:rsidP="00A90270">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4018E7">
        <w:rPr>
          <w:lang w:val="fr-FR"/>
        </w:rPr>
        <w:t>Les disparitions forcées sont passées d'une pratique étatique secrète à un crime internationalement reconnu et condamné. Loin de diminuer, cette pratique se répand dans le monde entier et des milliers de personnes sont victimes de ce crime horrible qui heurte la conscience humaine et la dignité des individus. Les disparitions forcées et leur impact sur les femmes et les filles revêtent deux dimensions interdépendantes. D'une part, il y a les femmes et les filles qui ont disparu et dont la victimisation peut répondre à des schémas spécifiques liés à leur sexe. D'autre part, il y a les femmes qui recherchent leurs proches et qui luttent pour la vérité et la justice. Ces deux dimensions montrent comment les disparitions forcées non seulement affectent différemment les femmes et les filles, mais renforcent également les structures de violence fondée sur le genre et le contrôle social sur le statut des femmes.</w:t>
      </w:r>
    </w:p>
    <w:p w14:paraId="6560B1E0" w14:textId="77777777" w:rsidR="00A90270" w:rsidRPr="004018E7" w:rsidRDefault="00A90270" w:rsidP="00A90270">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4018E7">
        <w:rPr>
          <w:color w:val="000000"/>
          <w:sz w:val="22"/>
          <w:szCs w:val="22"/>
          <w:lang w:val="fr-FR"/>
        </w:rPr>
        <w:t>Les disparitions de femmes sont l'une des manifestations les plus brutales de la violence fondée sur le genre</w:t>
      </w:r>
      <w:r w:rsidRPr="00A63206">
        <w:rPr>
          <w:color w:val="000000"/>
          <w:sz w:val="22"/>
          <w:szCs w:val="22"/>
          <w:vertAlign w:val="superscript"/>
          <w:lang w:val="es-ES"/>
        </w:rPr>
        <w:endnoteReference w:id="2"/>
      </w:r>
      <w:r w:rsidRPr="004018E7">
        <w:rPr>
          <w:color w:val="000000"/>
          <w:sz w:val="22"/>
          <w:szCs w:val="22"/>
          <w:lang w:val="fr-FR"/>
        </w:rPr>
        <w:t xml:space="preserve"> . La disparition forcée des femmes répond à des dynamiques spécifiques qui la distinguent de la disparition des hommes. Avec d'autres violations graves des droits de l'homme, la disparition forcée contribue à la détérioration des conditions de vie des victimes, générant la peur, l'angoisse, la pauvreté, la violence, de </w:t>
      </w:r>
      <w:r w:rsidRPr="004018E7">
        <w:rPr>
          <w:color w:val="000000"/>
          <w:sz w:val="22"/>
          <w:szCs w:val="22"/>
          <w:lang w:val="fr-FR"/>
        </w:rPr>
        <w:lastRenderedPageBreak/>
        <w:t>multiples formes de discrimination et la restriction ou le déni de leurs droits de l'homme</w:t>
      </w:r>
      <w:r w:rsidRPr="00A63206">
        <w:rPr>
          <w:color w:val="000000"/>
          <w:sz w:val="22"/>
          <w:szCs w:val="22"/>
          <w:vertAlign w:val="superscript"/>
          <w:lang w:val="es-ES"/>
        </w:rPr>
        <w:endnoteReference w:id="3"/>
      </w:r>
      <w:r w:rsidRPr="004018E7">
        <w:rPr>
          <w:color w:val="000000"/>
          <w:sz w:val="22"/>
          <w:szCs w:val="22"/>
          <w:lang w:val="fr-FR"/>
        </w:rPr>
        <w:t xml:space="preserve"> . Si ces conséquences psychosociales et socio-économiques touchent toutes les personnes, quel que soit leur sexe, leur impact sur les femmes et les filles peut être encore plus exacerbé. En effet, selon le contexte culturel, traditionnel ou religieux, ce crime peut devenir un stigmate si fort que même si les femmes disparues de force sont retrouvées vivantes, elles risquent d'être rejetées par leur famille et leur communauté</w:t>
      </w:r>
      <w:r w:rsidRPr="00A63206">
        <w:rPr>
          <w:color w:val="000000"/>
          <w:sz w:val="22"/>
          <w:szCs w:val="22"/>
          <w:vertAlign w:val="superscript"/>
          <w:lang w:val="es-ES"/>
        </w:rPr>
        <w:endnoteReference w:id="4"/>
      </w:r>
      <w:r w:rsidRPr="004018E7">
        <w:rPr>
          <w:color w:val="000000"/>
          <w:sz w:val="22"/>
          <w:szCs w:val="22"/>
          <w:lang w:val="fr-FR"/>
        </w:rPr>
        <w:t xml:space="preserve"> , voire d'être tuées au nom de </w:t>
      </w:r>
      <w:proofErr w:type="gramStart"/>
      <w:r w:rsidRPr="004018E7">
        <w:rPr>
          <w:color w:val="000000"/>
          <w:sz w:val="22"/>
          <w:szCs w:val="22"/>
          <w:lang w:val="fr-FR"/>
        </w:rPr>
        <w:t>l'honneur .</w:t>
      </w:r>
      <w:proofErr w:type="gramEnd"/>
      <w:r w:rsidRPr="004018E7">
        <w:rPr>
          <w:color w:val="000000"/>
          <w:sz w:val="22"/>
          <w:szCs w:val="22"/>
          <w:lang w:val="fr-FR"/>
        </w:rPr>
        <w:t xml:space="preserve"> </w:t>
      </w:r>
      <w:r w:rsidRPr="00A63206">
        <w:rPr>
          <w:color w:val="000000"/>
          <w:sz w:val="22"/>
          <w:szCs w:val="22"/>
          <w:vertAlign w:val="superscript"/>
          <w:lang w:val="es-ES"/>
        </w:rPr>
        <w:endnoteReference w:id="5"/>
      </w:r>
    </w:p>
    <w:p w14:paraId="484FD2D4" w14:textId="77777777" w:rsidR="00A90270" w:rsidRPr="004018E7" w:rsidRDefault="00A90270" w:rsidP="00A90270">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4018E7">
        <w:rPr>
          <w:color w:val="000000"/>
          <w:sz w:val="22"/>
          <w:szCs w:val="22"/>
          <w:lang w:val="fr-FR"/>
        </w:rPr>
        <w:t xml:space="preserve">Les hommes représentent la majorité des victimes de disparitions forcées et les répercussions de ce crime sur leurs familles sont significatives, car il entraîne une déstructuration du noyau familial et génère des conséquences économiques, sociales et psychologiques. En ce sens, les femmes confrontées à la disparition d'un membre de leur famille peuvent subir des impacts différenciés et exacerbés en raison de l'intersection de multiples formes de discrimination telles que leur appartenance à des groupes en situation de marginalisation structurelle : peuples autochtones, communautés </w:t>
      </w:r>
      <w:proofErr w:type="spellStart"/>
      <w:r w:rsidRPr="004018E7">
        <w:rPr>
          <w:color w:val="000000"/>
          <w:sz w:val="22"/>
          <w:szCs w:val="22"/>
          <w:lang w:val="fr-FR"/>
        </w:rPr>
        <w:t>afro-descendantes</w:t>
      </w:r>
      <w:proofErr w:type="spellEnd"/>
      <w:r w:rsidRPr="004018E7">
        <w:rPr>
          <w:color w:val="000000"/>
          <w:sz w:val="22"/>
          <w:szCs w:val="22"/>
          <w:lang w:val="fr-FR"/>
        </w:rPr>
        <w:t>, migrants, réfugiés, demandeurs d'asile ou personnes handicapées. Les femmes et les filles lesbiennes, bisexuelles, trans ou intersexuées</w:t>
      </w:r>
      <w:r w:rsidRPr="00A63206">
        <w:rPr>
          <w:color w:val="000000"/>
          <w:sz w:val="22"/>
          <w:szCs w:val="22"/>
          <w:vertAlign w:val="superscript"/>
          <w:lang w:val="es-ES"/>
        </w:rPr>
        <w:endnoteReference w:id="6"/>
      </w:r>
      <w:r w:rsidRPr="004018E7">
        <w:rPr>
          <w:color w:val="000000"/>
          <w:sz w:val="22"/>
          <w:szCs w:val="22"/>
          <w:lang w:val="fr-FR"/>
        </w:rPr>
        <w:t xml:space="preserve"> , ainsi que les personnes en situation de vulnérabilité socio-économique ou appartenant à des minorités ethniques ou religieuses peuvent également être confrontées à des obstacles et à des violences résultant de l'intersection de multiples facteurs de </w:t>
      </w:r>
      <w:proofErr w:type="gramStart"/>
      <w:r w:rsidRPr="004018E7">
        <w:rPr>
          <w:color w:val="000000"/>
          <w:sz w:val="22"/>
          <w:szCs w:val="22"/>
          <w:lang w:val="fr-FR"/>
        </w:rPr>
        <w:t>discrimination .</w:t>
      </w:r>
      <w:proofErr w:type="gramEnd"/>
      <w:r w:rsidRPr="004018E7">
        <w:rPr>
          <w:color w:val="000000"/>
          <w:sz w:val="22"/>
          <w:szCs w:val="22"/>
          <w:lang w:val="fr-FR"/>
        </w:rPr>
        <w:t xml:space="preserve"> </w:t>
      </w:r>
      <w:r w:rsidRPr="00A63206">
        <w:rPr>
          <w:color w:val="000000"/>
          <w:sz w:val="22"/>
          <w:szCs w:val="22"/>
          <w:vertAlign w:val="superscript"/>
          <w:lang w:val="es-ES"/>
        </w:rPr>
        <w:endnoteReference w:id="7"/>
      </w:r>
    </w:p>
    <w:p w14:paraId="2431B23D" w14:textId="77777777" w:rsidR="00A90270" w:rsidRPr="004018E7" w:rsidRDefault="00A90270" w:rsidP="00A90270">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4018E7">
        <w:rPr>
          <w:color w:val="000000"/>
          <w:sz w:val="22"/>
          <w:szCs w:val="22"/>
          <w:lang w:val="fr-FR"/>
        </w:rPr>
        <w:t>Dans les contextes de conflit armé</w:t>
      </w:r>
      <w:r w:rsidRPr="00A63206">
        <w:rPr>
          <w:color w:val="000000"/>
          <w:sz w:val="22"/>
          <w:szCs w:val="22"/>
          <w:vertAlign w:val="superscript"/>
          <w:lang w:val="es-ES"/>
        </w:rPr>
        <w:endnoteReference w:id="8"/>
      </w:r>
      <w:r w:rsidRPr="004018E7">
        <w:rPr>
          <w:color w:val="000000"/>
          <w:sz w:val="22"/>
          <w:szCs w:val="22"/>
          <w:lang w:val="fr-FR"/>
        </w:rPr>
        <w:t xml:space="preserve"> , de violence politique et de gouvernements autoritaires, les personnes disparues de force sont souvent victimes d'autres violations des droits de l'homme telles que la torture et/ou les exécutions extrajudiciaires. Les femmes et les filles qui disparaissent de force peuvent également être soumises à d'autres formes spécifiques de violence liées à leur statut de femme, telles que la grossesse, les avortements et stérilisations forcés, et d'autres formes de violence reproductive qui affectent leur autonomie et leur qualité de vie de manière différenciée. En raison de leur rôle reproductif et de leur condition de mères, les </w:t>
      </w:r>
      <w:proofErr w:type="gramStart"/>
      <w:r w:rsidRPr="004018E7">
        <w:rPr>
          <w:color w:val="000000"/>
          <w:sz w:val="22"/>
          <w:szCs w:val="22"/>
          <w:lang w:val="fr-FR"/>
        </w:rPr>
        <w:t>enfants</w:t>
      </w:r>
      <w:proofErr w:type="gramEnd"/>
      <w:r w:rsidRPr="004018E7">
        <w:rPr>
          <w:color w:val="000000"/>
          <w:sz w:val="22"/>
          <w:szCs w:val="22"/>
          <w:lang w:val="fr-FR"/>
        </w:rPr>
        <w:t xml:space="preserve"> nés en captivité sont souvent remis à leurs bourreaux ou font l'objet d'adoptions illégales sur au niveau national et/ou international, les privant ainsi de leur droit à préserver leur identité</w:t>
      </w:r>
      <w:r w:rsidRPr="00A63206">
        <w:rPr>
          <w:color w:val="000000"/>
          <w:sz w:val="22"/>
          <w:szCs w:val="22"/>
          <w:vertAlign w:val="superscript"/>
          <w:lang w:val="es-ES"/>
        </w:rPr>
        <w:endnoteReference w:id="9"/>
      </w:r>
      <w:r w:rsidRPr="004018E7">
        <w:rPr>
          <w:color w:val="000000"/>
          <w:sz w:val="22"/>
          <w:szCs w:val="22"/>
          <w:lang w:val="fr-FR"/>
        </w:rPr>
        <w:t xml:space="preserve"> , et les mères de leur droit à exercer leur maternité.</w:t>
      </w:r>
    </w:p>
    <w:p w14:paraId="140ECD4B" w14:textId="790DDF05" w:rsidR="00A90270" w:rsidRPr="004018E7" w:rsidRDefault="00A90270" w:rsidP="00A90270">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4018E7">
        <w:rPr>
          <w:color w:val="000000"/>
          <w:sz w:val="22"/>
          <w:szCs w:val="22"/>
          <w:lang w:val="fr-FR"/>
        </w:rPr>
        <w:t>Ces dernières années, les disparitions forcées de filles et de femmes ont augmenté</w:t>
      </w:r>
      <w:r w:rsidRPr="00A63206">
        <w:rPr>
          <w:color w:val="000000"/>
          <w:sz w:val="22"/>
          <w:szCs w:val="22"/>
          <w:vertAlign w:val="superscript"/>
          <w:lang w:val="es-ES"/>
        </w:rPr>
        <w:endnoteReference w:id="10"/>
      </w:r>
      <w:r w:rsidRPr="004018E7">
        <w:rPr>
          <w:color w:val="000000"/>
          <w:sz w:val="22"/>
          <w:szCs w:val="22"/>
          <w:lang w:val="fr-FR"/>
        </w:rPr>
        <w:t xml:space="preserve"> . Le plus souvent, les femmes et les filles sont victimes de disparitions forcées par des groupes criminels organisés</w:t>
      </w:r>
      <w:r w:rsidRPr="00A63206">
        <w:rPr>
          <w:color w:val="000000"/>
          <w:sz w:val="22"/>
          <w:szCs w:val="22"/>
          <w:vertAlign w:val="superscript"/>
          <w:lang w:val="es-ES"/>
        </w:rPr>
        <w:endnoteReference w:id="11"/>
      </w:r>
      <w:r w:rsidRPr="004018E7">
        <w:rPr>
          <w:color w:val="000000"/>
          <w:sz w:val="22"/>
          <w:szCs w:val="22"/>
          <w:lang w:val="fr-FR"/>
        </w:rPr>
        <w:t xml:space="preserve"> , des groupes armés illégaux et des paramilitaires</w:t>
      </w:r>
      <w:r w:rsidRPr="00A63206">
        <w:rPr>
          <w:color w:val="000000"/>
          <w:sz w:val="22"/>
          <w:szCs w:val="22"/>
          <w:vertAlign w:val="superscript"/>
          <w:lang w:val="es-ES"/>
        </w:rPr>
        <w:endnoteReference w:id="12"/>
      </w:r>
      <w:r w:rsidRPr="004018E7">
        <w:rPr>
          <w:color w:val="000000"/>
          <w:sz w:val="22"/>
          <w:szCs w:val="22"/>
          <w:lang w:val="fr-FR"/>
        </w:rPr>
        <w:t xml:space="preserve"> , soit comme butin de guerre, soit comme outil pour maintenir le contrôle sur des territoires et des populations. La disparition forcée de femmes et de filles est également devenue </w:t>
      </w:r>
      <w:r w:rsidRPr="004018E7">
        <w:rPr>
          <w:color w:val="000000"/>
          <w:sz w:val="22"/>
          <w:szCs w:val="22"/>
          <w:highlight w:val="white"/>
          <w:lang w:val="fr-FR"/>
        </w:rPr>
        <w:t>un moyen de trafic</w:t>
      </w:r>
      <w:r w:rsidRPr="00A63206">
        <w:rPr>
          <w:color w:val="000000"/>
          <w:sz w:val="22"/>
          <w:szCs w:val="22"/>
          <w:highlight w:val="white"/>
          <w:vertAlign w:val="superscript"/>
          <w:lang w:val="es-ES"/>
        </w:rPr>
        <w:endnoteReference w:id="13"/>
      </w:r>
      <w:r w:rsidRPr="004018E7">
        <w:rPr>
          <w:color w:val="000000"/>
          <w:sz w:val="22"/>
          <w:szCs w:val="22"/>
          <w:highlight w:val="white"/>
          <w:lang w:val="fr-FR"/>
        </w:rPr>
        <w:t xml:space="preserve"> , d'extorsion, de réduction en esclavage, de recrutement ou de vente de personnes, un mécanisme de punition, d'avertissement et de nettoyage social</w:t>
      </w:r>
      <w:r w:rsidRPr="00A63206">
        <w:rPr>
          <w:color w:val="000000"/>
          <w:sz w:val="22"/>
          <w:szCs w:val="22"/>
          <w:highlight w:val="white"/>
          <w:vertAlign w:val="superscript"/>
          <w:lang w:val="es-ES"/>
        </w:rPr>
        <w:endnoteReference w:id="14"/>
      </w:r>
      <w:r w:rsidRPr="004018E7">
        <w:rPr>
          <w:color w:val="000000"/>
          <w:sz w:val="22"/>
          <w:szCs w:val="22"/>
          <w:highlight w:val="white"/>
          <w:lang w:val="fr-FR"/>
        </w:rPr>
        <w:t xml:space="preserve"> . Les femmes sont également victimes de disparitions </w:t>
      </w:r>
      <w:r w:rsidRPr="004018E7">
        <w:rPr>
          <w:color w:val="000000"/>
          <w:sz w:val="22"/>
          <w:szCs w:val="22"/>
          <w:lang w:val="fr-FR"/>
        </w:rPr>
        <w:t xml:space="preserve">forcées </w:t>
      </w:r>
      <w:r w:rsidRPr="004018E7">
        <w:rPr>
          <w:color w:val="000000"/>
          <w:sz w:val="22"/>
          <w:szCs w:val="22"/>
          <w:highlight w:val="white"/>
          <w:lang w:val="fr-FR"/>
        </w:rPr>
        <w:t xml:space="preserve">parce qu'elles </w:t>
      </w:r>
      <w:r w:rsidRPr="004018E7">
        <w:rPr>
          <w:color w:val="000000"/>
          <w:sz w:val="22"/>
          <w:szCs w:val="22"/>
          <w:lang w:val="fr-FR"/>
        </w:rPr>
        <w:t xml:space="preserve">remettent en question les normes de genre et le pouvoir, parce qu'elles participent à la sphère publique, parce qu'elles travaillent avec les victimes ou parce qu'elles participent à la recherche des </w:t>
      </w:r>
      <w:proofErr w:type="gramStart"/>
      <w:r w:rsidRPr="004018E7">
        <w:rPr>
          <w:color w:val="000000"/>
          <w:sz w:val="22"/>
          <w:szCs w:val="22"/>
          <w:lang w:val="fr-FR"/>
        </w:rPr>
        <w:t>disparus .</w:t>
      </w:r>
      <w:proofErr w:type="gramEnd"/>
      <w:r w:rsidRPr="004018E7">
        <w:rPr>
          <w:color w:val="000000"/>
          <w:sz w:val="22"/>
          <w:szCs w:val="22"/>
          <w:lang w:val="fr-FR"/>
        </w:rPr>
        <w:t xml:space="preserve"> </w:t>
      </w:r>
      <w:r w:rsidRPr="00A63206">
        <w:rPr>
          <w:color w:val="000000"/>
          <w:sz w:val="22"/>
          <w:szCs w:val="22"/>
          <w:vertAlign w:val="superscript"/>
          <w:lang w:val="es-ES"/>
        </w:rPr>
        <w:endnoteReference w:id="15"/>
      </w:r>
    </w:p>
    <w:p w14:paraId="1F89DA5B" w14:textId="1FC8E656" w:rsidR="00A90270" w:rsidRPr="004018E7" w:rsidRDefault="00A90270" w:rsidP="00A90270">
      <w:pPr>
        <w:pStyle w:val="SingleTxtG"/>
        <w:numPr>
          <w:ilvl w:val="0"/>
          <w:numId w:val="18"/>
        </w:numPr>
        <w:pBdr>
          <w:top w:val="nil"/>
          <w:left w:val="nil"/>
          <w:bottom w:val="nil"/>
          <w:right w:val="nil"/>
          <w:between w:val="nil"/>
        </w:pBdr>
        <w:shd w:val="clear" w:color="auto" w:fill="FFFFFF"/>
        <w:tabs>
          <w:tab w:val="left" w:pos="426"/>
        </w:tabs>
        <w:ind w:left="1134" w:right="49" w:firstLine="0"/>
        <w:rPr>
          <w:sz w:val="22"/>
          <w:szCs w:val="22"/>
          <w:lang w:val="fr-FR"/>
        </w:rPr>
      </w:pPr>
      <w:r w:rsidRPr="004018E7">
        <w:rPr>
          <w:color w:val="000000"/>
          <w:sz w:val="22"/>
          <w:szCs w:val="22"/>
          <w:lang w:val="fr-FR"/>
        </w:rPr>
        <w:t xml:space="preserve">Il n'existe pas de chiffre précis sur l'univers des femmes et des filles qui disparaissent de force, soit parce que les cas ne sont pas signalés, soit parce que les dossiers existants font état de </w:t>
      </w:r>
      <w:r w:rsidRPr="004018E7">
        <w:rPr>
          <w:sz w:val="22"/>
          <w:szCs w:val="22"/>
          <w:lang w:val="fr-FR"/>
        </w:rPr>
        <w:t xml:space="preserve">disparitions </w:t>
      </w:r>
      <w:r w:rsidRPr="004018E7">
        <w:rPr>
          <w:color w:val="000000"/>
          <w:sz w:val="22"/>
          <w:szCs w:val="22"/>
          <w:lang w:val="fr-FR"/>
        </w:rPr>
        <w:t>liées à d'autres formes de violence fondée sur le genre, notamment la violence sexuelle, la traite des êtres humains</w:t>
      </w:r>
      <w:r w:rsidRPr="00A63206">
        <w:rPr>
          <w:color w:val="000000"/>
          <w:sz w:val="22"/>
          <w:szCs w:val="22"/>
          <w:vertAlign w:val="superscript"/>
          <w:lang w:val="es-ES"/>
        </w:rPr>
        <w:endnoteReference w:id="16"/>
      </w:r>
      <w:r w:rsidRPr="004018E7">
        <w:rPr>
          <w:color w:val="000000"/>
          <w:sz w:val="22"/>
          <w:szCs w:val="22"/>
          <w:lang w:val="fr-FR"/>
        </w:rPr>
        <w:t xml:space="preserve"> , le trafic de migrants</w:t>
      </w:r>
      <w:r w:rsidRPr="00A63206">
        <w:rPr>
          <w:color w:val="000000"/>
          <w:sz w:val="22"/>
          <w:szCs w:val="22"/>
          <w:vertAlign w:val="superscript"/>
          <w:lang w:val="es-ES"/>
        </w:rPr>
        <w:endnoteReference w:id="17"/>
      </w:r>
      <w:r w:rsidRPr="004018E7">
        <w:rPr>
          <w:color w:val="000000"/>
          <w:sz w:val="22"/>
          <w:szCs w:val="22"/>
          <w:lang w:val="fr-FR"/>
        </w:rPr>
        <w:t xml:space="preserve"> ou les </w:t>
      </w:r>
      <w:proofErr w:type="spellStart"/>
      <w:r w:rsidRPr="004018E7">
        <w:rPr>
          <w:color w:val="000000"/>
          <w:sz w:val="22"/>
          <w:szCs w:val="22"/>
          <w:lang w:val="fr-FR"/>
        </w:rPr>
        <w:t>fémicides</w:t>
      </w:r>
      <w:proofErr w:type="spellEnd"/>
      <w:r w:rsidRPr="004018E7">
        <w:rPr>
          <w:color w:val="000000"/>
          <w:sz w:val="22"/>
          <w:szCs w:val="22"/>
          <w:lang w:val="fr-FR"/>
        </w:rPr>
        <w:t>/</w:t>
      </w:r>
      <w:proofErr w:type="spellStart"/>
      <w:r w:rsidRPr="004018E7">
        <w:rPr>
          <w:color w:val="000000"/>
          <w:sz w:val="22"/>
          <w:szCs w:val="22"/>
          <w:lang w:val="fr-FR"/>
        </w:rPr>
        <w:t>femicides</w:t>
      </w:r>
      <w:proofErr w:type="spellEnd"/>
      <w:r w:rsidRPr="00A63206">
        <w:rPr>
          <w:color w:val="000000"/>
          <w:sz w:val="22"/>
          <w:szCs w:val="22"/>
          <w:vertAlign w:val="superscript"/>
          <w:lang w:val="es-ES"/>
        </w:rPr>
        <w:endnoteReference w:id="18"/>
      </w:r>
      <w:r w:rsidRPr="004018E7">
        <w:rPr>
          <w:color w:val="000000"/>
          <w:sz w:val="22"/>
          <w:szCs w:val="22"/>
          <w:lang w:val="fr-FR"/>
        </w:rPr>
        <w:t xml:space="preserve"> . Lorsqu'une femme ou une jeune fille est portée disparue, le crime est souvent imputé à la victime plutôt qu'à l'auteur, en raison de l'influence des modèles socioculturels patriarcaux et discriminatoires utilisation de stéréotypes liés au genre. L'enquête et l'évaluation des preuves sont souvent </w:t>
      </w:r>
      <w:r w:rsidRPr="004018E7">
        <w:rPr>
          <w:sz w:val="22"/>
          <w:szCs w:val="22"/>
          <w:lang w:val="fr-FR"/>
        </w:rPr>
        <w:t>affectées</w:t>
      </w:r>
      <w:r w:rsidRPr="00A63206">
        <w:rPr>
          <w:color w:val="000000"/>
          <w:sz w:val="22"/>
          <w:szCs w:val="22"/>
          <w:vertAlign w:val="superscript"/>
          <w:lang w:val="es-ES"/>
        </w:rPr>
        <w:endnoteReference w:id="19"/>
      </w:r>
      <w:r w:rsidRPr="004018E7">
        <w:rPr>
          <w:color w:val="000000"/>
          <w:sz w:val="22"/>
          <w:szCs w:val="22"/>
          <w:lang w:val="fr-FR"/>
        </w:rPr>
        <w:t xml:space="preserve"> soit parce que les fonctionnaires judiciaires ont une opinion négative de la crédibilité des femmes et des filles victimes/survivantes, soit parce qu'ils ne comprennent pas l'ampleur de la violence fondée sur le genre</w:t>
      </w:r>
      <w:r w:rsidRPr="00A63206">
        <w:rPr>
          <w:color w:val="000000"/>
          <w:sz w:val="22"/>
          <w:szCs w:val="22"/>
          <w:vertAlign w:val="superscript"/>
          <w:lang w:val="es-ES"/>
        </w:rPr>
        <w:endnoteReference w:id="20"/>
      </w:r>
      <w:r w:rsidRPr="004018E7">
        <w:rPr>
          <w:sz w:val="22"/>
          <w:szCs w:val="22"/>
          <w:lang w:val="fr-FR"/>
        </w:rPr>
        <w:t xml:space="preserve"> . L'absence de réponse efficace de la part des autorités non seulement perpétue l'impunité, mais aggrave également la souffrance des familles et contribue à l'acceptation et à la normalisation des formes les plus extrêmes de violence à l'égard des femmes dans la </w:t>
      </w:r>
      <w:proofErr w:type="gramStart"/>
      <w:r w:rsidRPr="004018E7">
        <w:rPr>
          <w:sz w:val="22"/>
          <w:szCs w:val="22"/>
          <w:lang w:val="fr-FR"/>
        </w:rPr>
        <w:t>société .</w:t>
      </w:r>
      <w:proofErr w:type="gramEnd"/>
      <w:r w:rsidRPr="00A63206">
        <w:rPr>
          <w:sz w:val="22"/>
          <w:szCs w:val="22"/>
          <w:vertAlign w:val="superscript"/>
          <w:lang w:val="es-ES"/>
        </w:rPr>
        <w:endnoteReference w:id="21"/>
      </w:r>
    </w:p>
    <w:p w14:paraId="0F9B73CB" w14:textId="4E20285E" w:rsidR="00A90270" w:rsidRPr="004018E7" w:rsidRDefault="00A90270" w:rsidP="00A90270">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4018E7">
        <w:rPr>
          <w:color w:val="000000"/>
          <w:sz w:val="22"/>
          <w:szCs w:val="22"/>
          <w:lang w:val="fr-FR"/>
        </w:rPr>
        <w:t>D'autre part, face à l'absence de réponses efficaces de la part des États et à l'impunité persistante et flagrante des disparitions forcées, les femmes - mères, filles, épouses, sœurs, tantes, grands-mères - également reconnues comme victimes</w:t>
      </w:r>
      <w:r w:rsidRPr="00A63206">
        <w:rPr>
          <w:color w:val="000000"/>
          <w:sz w:val="22"/>
          <w:szCs w:val="22"/>
          <w:vertAlign w:val="superscript"/>
          <w:lang w:val="es-ES"/>
        </w:rPr>
        <w:endnoteReference w:id="22"/>
      </w:r>
      <w:r w:rsidRPr="004018E7">
        <w:rPr>
          <w:color w:val="000000"/>
          <w:sz w:val="22"/>
          <w:szCs w:val="22"/>
          <w:lang w:val="fr-FR"/>
        </w:rPr>
        <w:t xml:space="preserve"> , ont rompu le silence et occupé l'espace public pour exiger la vérité et la justice. </w:t>
      </w:r>
      <w:r w:rsidRPr="004018E7">
        <w:rPr>
          <w:color w:val="000000"/>
          <w:sz w:val="22"/>
          <w:szCs w:val="22"/>
          <w:lang w:val="fr-FR"/>
        </w:rPr>
        <w:lastRenderedPageBreak/>
        <w:t xml:space="preserve">Dans les rues et sur les places, brandissant les photos de leurs proches, elles crient </w:t>
      </w:r>
      <w:r w:rsidRPr="004018E7">
        <w:rPr>
          <w:rFonts w:ascii="Arimo" w:eastAsia="Arimo" w:hAnsi="Arimo" w:cs="Arimo"/>
          <w:color w:val="000000"/>
          <w:sz w:val="22"/>
          <w:szCs w:val="22"/>
          <w:lang w:val="fr-FR"/>
        </w:rPr>
        <w:t>"</w:t>
      </w:r>
      <w:r w:rsidRPr="004018E7">
        <w:rPr>
          <w:color w:val="000000"/>
          <w:sz w:val="22"/>
          <w:szCs w:val="22"/>
          <w:lang w:val="fr-FR"/>
        </w:rPr>
        <w:t>Où sont-ils ?</w:t>
      </w:r>
      <w:r w:rsidRPr="004018E7">
        <w:rPr>
          <w:rFonts w:ascii="Arimo" w:eastAsia="Arimo" w:hAnsi="Arimo" w:cs="Arimo"/>
          <w:color w:val="000000"/>
          <w:sz w:val="22"/>
          <w:szCs w:val="22"/>
          <w:lang w:val="fr-FR"/>
        </w:rPr>
        <w:t xml:space="preserve">" </w:t>
      </w:r>
      <w:r w:rsidRPr="004018E7">
        <w:rPr>
          <w:color w:val="000000"/>
          <w:sz w:val="22"/>
          <w:szCs w:val="22"/>
          <w:lang w:val="fr-FR"/>
        </w:rPr>
        <w:t xml:space="preserve">et affirment fermement que </w:t>
      </w:r>
      <w:r w:rsidRPr="004018E7">
        <w:rPr>
          <w:rFonts w:ascii="Arimo" w:eastAsia="Arimo" w:hAnsi="Arimo" w:cs="Arimo"/>
          <w:color w:val="000000"/>
          <w:sz w:val="22"/>
          <w:szCs w:val="22"/>
          <w:lang w:val="fr-FR"/>
        </w:rPr>
        <w:t>"</w:t>
      </w:r>
      <w:r w:rsidRPr="004018E7">
        <w:rPr>
          <w:color w:val="000000"/>
          <w:sz w:val="22"/>
          <w:szCs w:val="22"/>
          <w:lang w:val="fr-FR"/>
        </w:rPr>
        <w:t>Vivantes, elles ont été enlevées, vivantes, nous voulons qu'elles nous reviennent</w:t>
      </w:r>
      <w:r w:rsidRPr="004018E7">
        <w:rPr>
          <w:rFonts w:ascii="Arimo" w:eastAsia="Arimo" w:hAnsi="Arimo" w:cs="Arimo"/>
          <w:color w:val="000000"/>
          <w:sz w:val="22"/>
          <w:szCs w:val="22"/>
          <w:lang w:val="fr-FR"/>
        </w:rPr>
        <w:t>"</w:t>
      </w:r>
      <w:r w:rsidRPr="004018E7">
        <w:rPr>
          <w:color w:val="000000"/>
          <w:sz w:val="22"/>
          <w:szCs w:val="22"/>
          <w:lang w:val="fr-FR"/>
        </w:rPr>
        <w:t>. Cette mobilisation, marquée par un travail inlassable et soutenu dans la recherche de leurs proches, semble s'enraciner dans une responsabilité historiquement attribuée aux femmes de maintenir la vie et de prendre soin des autres. Cependant, dans certains contextes, cette lutte se heurte à de graves contraintes économiques, sociales et politiques et à des obstacles à l'accès à la justice, mettant en évidence les tensions entre la revendication des droits et les structures de pouvoir qui perpétuent l'impunité et encouragent la perpétration de ces crimes</w:t>
      </w:r>
    </w:p>
    <w:p w14:paraId="32B285DB" w14:textId="4E9891DA" w:rsidR="00A90270" w:rsidRPr="004018E7" w:rsidRDefault="00A90270" w:rsidP="00A90270">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4018E7">
        <w:rPr>
          <w:color w:val="000000"/>
          <w:sz w:val="22"/>
          <w:szCs w:val="22"/>
          <w:lang w:val="fr-FR"/>
        </w:rPr>
        <w:t xml:space="preserve">Pendant les recherches, les femmes sont confrontées à de graves risques, à la discrimination, se voient refuser ou retenir des informations et, sur la base de stéréotypes liés au genre, les mères, les filles, les épouses, les sœurs, les tantes et les grands-mères de personnes disparues, communément appelées </w:t>
      </w:r>
      <w:r w:rsidRPr="004018E7">
        <w:rPr>
          <w:rFonts w:ascii="Arimo" w:eastAsia="Arimo" w:hAnsi="Arimo" w:cs="Arimo"/>
          <w:color w:val="000000"/>
          <w:sz w:val="22"/>
          <w:szCs w:val="22"/>
          <w:lang w:val="fr-FR"/>
        </w:rPr>
        <w:t>"</w:t>
      </w:r>
      <w:r w:rsidRPr="004018E7">
        <w:rPr>
          <w:rFonts w:eastAsia="Arimo"/>
          <w:color w:val="000000"/>
          <w:sz w:val="22"/>
          <w:szCs w:val="22"/>
          <w:lang w:val="fr-FR"/>
        </w:rPr>
        <w:t xml:space="preserve">femmes </w:t>
      </w:r>
      <w:r w:rsidRPr="004018E7">
        <w:rPr>
          <w:color w:val="000000"/>
          <w:sz w:val="22"/>
          <w:szCs w:val="22"/>
          <w:lang w:val="fr-FR"/>
        </w:rPr>
        <w:t>qui cherchent" et aussi "mères qui cherchent", sont souvent stigmatisées. Elles sont tenues pour responsables de la disparition de leurs enfants, remettant en question leurs capacités parentales et les considérant comme les seules responsables de la prise en charge de leurs enfants disparus</w:t>
      </w:r>
      <w:r w:rsidRPr="00A63206">
        <w:rPr>
          <w:color w:val="000000"/>
          <w:sz w:val="22"/>
          <w:szCs w:val="22"/>
          <w:vertAlign w:val="superscript"/>
          <w:lang w:val="es-ES"/>
        </w:rPr>
        <w:endnoteReference w:id="23"/>
      </w:r>
      <w:r w:rsidRPr="004018E7">
        <w:rPr>
          <w:color w:val="000000"/>
          <w:sz w:val="22"/>
          <w:szCs w:val="22"/>
          <w:lang w:val="fr-FR"/>
        </w:rPr>
        <w:t xml:space="preserve"> . Pendant les recherches, elles sont également intimidées, attaquées, persécutées, déplacées, font souvent l'objet de représailles</w:t>
      </w:r>
      <w:r w:rsidRPr="00A63206">
        <w:rPr>
          <w:color w:val="000000"/>
          <w:sz w:val="22"/>
          <w:szCs w:val="22"/>
          <w:vertAlign w:val="superscript"/>
          <w:lang w:val="es-ES"/>
        </w:rPr>
        <w:endnoteReference w:id="24"/>
      </w:r>
      <w:r w:rsidRPr="004018E7">
        <w:rPr>
          <w:color w:val="000000"/>
          <w:sz w:val="22"/>
          <w:szCs w:val="22"/>
          <w:lang w:val="fr-FR"/>
        </w:rPr>
        <w:t xml:space="preserve">  et, dans certains cas, sont contraintes à l'exil</w:t>
      </w:r>
      <w:r w:rsidRPr="00A63206">
        <w:rPr>
          <w:color w:val="000000"/>
          <w:sz w:val="22"/>
          <w:szCs w:val="22"/>
          <w:vertAlign w:val="superscript"/>
          <w:lang w:val="es-ES"/>
        </w:rPr>
        <w:endnoteReference w:id="25"/>
      </w:r>
      <w:r w:rsidRPr="004018E7">
        <w:rPr>
          <w:color w:val="000000"/>
          <w:sz w:val="22"/>
          <w:szCs w:val="22"/>
          <w:lang w:val="fr-FR"/>
        </w:rPr>
        <w:t xml:space="preserve"> . En poursuivant leurs </w:t>
      </w:r>
      <w:r w:rsidRPr="004018E7">
        <w:rPr>
          <w:sz w:val="22"/>
          <w:szCs w:val="22"/>
          <w:lang w:val="fr-FR"/>
        </w:rPr>
        <w:t>recherches</w:t>
      </w:r>
      <w:r w:rsidRPr="004018E7">
        <w:rPr>
          <w:color w:val="000000"/>
          <w:sz w:val="22"/>
          <w:szCs w:val="22"/>
          <w:lang w:val="fr-FR"/>
        </w:rPr>
        <w:t>, elles deviennent la cible d'auteurs de crimes et risquent d'être tuées ou de disparaître elles-</w:t>
      </w:r>
      <w:proofErr w:type="gramStart"/>
      <w:r w:rsidRPr="004018E7">
        <w:rPr>
          <w:color w:val="000000"/>
          <w:sz w:val="22"/>
          <w:szCs w:val="22"/>
          <w:lang w:val="fr-FR"/>
        </w:rPr>
        <w:t>mêmes .</w:t>
      </w:r>
      <w:proofErr w:type="gramEnd"/>
      <w:r w:rsidRPr="004018E7">
        <w:rPr>
          <w:color w:val="000000"/>
          <w:sz w:val="22"/>
          <w:szCs w:val="22"/>
          <w:lang w:val="fr-FR"/>
        </w:rPr>
        <w:t xml:space="preserve"> </w:t>
      </w:r>
      <w:r w:rsidRPr="00A63206">
        <w:rPr>
          <w:color w:val="000000"/>
          <w:sz w:val="22"/>
          <w:szCs w:val="22"/>
          <w:vertAlign w:val="superscript"/>
          <w:lang w:val="es-ES"/>
        </w:rPr>
        <w:endnoteReference w:id="26"/>
      </w:r>
    </w:p>
    <w:p w14:paraId="130139D0" w14:textId="09B21210" w:rsidR="00A90270" w:rsidRPr="004018E7" w:rsidRDefault="00A90270" w:rsidP="00A90270">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4018E7">
        <w:rPr>
          <w:color w:val="000000"/>
          <w:sz w:val="22"/>
          <w:szCs w:val="22"/>
          <w:lang w:val="fr-FR"/>
        </w:rPr>
        <w:t>Les femmes déclarent qu'elles recherchent leurs proches afin de protéger d'autres membres de la famille, principalement les fils et les filles qui leur restent, ou dans le cas des grands-mères, les petits-fils et les petites-filles</w:t>
      </w:r>
      <w:r w:rsidRPr="00A63206">
        <w:rPr>
          <w:color w:val="000000"/>
          <w:sz w:val="22"/>
          <w:szCs w:val="22"/>
          <w:vertAlign w:val="superscript"/>
          <w:lang w:val="es-ES"/>
        </w:rPr>
        <w:endnoteReference w:id="27"/>
      </w:r>
      <w:r w:rsidRPr="004018E7">
        <w:rPr>
          <w:color w:val="000000"/>
          <w:sz w:val="22"/>
          <w:szCs w:val="22"/>
          <w:lang w:val="fr-FR"/>
        </w:rPr>
        <w:t xml:space="preserve"> . La recherche devient l'élément central de leur vie, les amenant à construire des liens de solidarité et de soutien qui ne se limitent pas à la connaissance de la vérité, des faits ou de la certitude du sort de leurs proches, mais incluent également la revendication de la valeur de ces</w:t>
      </w:r>
      <w:r w:rsidRPr="00A63206">
        <w:rPr>
          <w:color w:val="000000"/>
          <w:sz w:val="22"/>
          <w:szCs w:val="22"/>
          <w:vertAlign w:val="superscript"/>
          <w:lang w:val="es-ES"/>
        </w:rPr>
        <w:endnoteReference w:id="28"/>
      </w:r>
      <w:r w:rsidRPr="004018E7">
        <w:rPr>
          <w:color w:val="000000"/>
          <w:sz w:val="22"/>
          <w:szCs w:val="22"/>
          <w:lang w:val="fr-FR"/>
        </w:rPr>
        <w:t xml:space="preserve"> , qui sont souvent désignés comme des criminels présumés, justifiant ainsi leur disparition</w:t>
      </w:r>
    </w:p>
    <w:p w14:paraId="3113A426" w14:textId="77777777" w:rsidR="00A90270" w:rsidRPr="004018E7" w:rsidRDefault="00A90270" w:rsidP="00A90270">
      <w:pPr>
        <w:pBdr>
          <w:top w:val="nil"/>
          <w:left w:val="nil"/>
          <w:bottom w:val="nil"/>
          <w:right w:val="nil"/>
          <w:between w:val="nil"/>
        </w:pBdr>
        <w:tabs>
          <w:tab w:val="left" w:pos="142"/>
          <w:tab w:val="left" w:pos="284"/>
          <w:tab w:val="left" w:pos="567"/>
        </w:tabs>
        <w:ind w:left="2771"/>
        <w:jc w:val="both"/>
        <w:rPr>
          <w:b/>
          <w:color w:val="000000"/>
          <w:sz w:val="22"/>
          <w:szCs w:val="22"/>
          <w:lang w:val="fr-FR"/>
        </w:rPr>
      </w:pPr>
    </w:p>
    <w:p w14:paraId="598D1980" w14:textId="1C9FF186" w:rsidR="00A90270" w:rsidRPr="004018E7" w:rsidRDefault="00A90270" w:rsidP="00A90270">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4018E7">
        <w:rPr>
          <w:color w:val="000000"/>
          <w:sz w:val="22"/>
          <w:szCs w:val="22"/>
          <w:lang w:val="fr-FR"/>
        </w:rPr>
        <w:t>Les collectifs de victimes, les associations de membres des familles et les femmes en quête de vérité effectuent à la fois un travail de terrain et un travail de plaidoyer qui, dans de nombreux cas, s'étend au-delà de leurs frontières</w:t>
      </w:r>
      <w:r w:rsidRPr="00A63206">
        <w:rPr>
          <w:color w:val="000000"/>
          <w:sz w:val="22"/>
          <w:szCs w:val="22"/>
          <w:vertAlign w:val="superscript"/>
          <w:lang w:val="es-ES"/>
        </w:rPr>
        <w:endnoteReference w:id="29"/>
      </w:r>
      <w:r w:rsidRPr="004018E7">
        <w:rPr>
          <w:color w:val="000000"/>
          <w:sz w:val="22"/>
          <w:szCs w:val="22"/>
          <w:lang w:val="fr-FR"/>
        </w:rPr>
        <w:t xml:space="preserve"> . Dans certains contextes, ces collectifs de femmes ont eu un impact politique et ont joué un rôle clé dans l'élaboration de processus de vérité, de justice, de réparation et de garanties de non-répétition, devenant ainsi des défenseurs des droits de l'homme et, en tant que tels, également victimes de menaces et de représailles</w:t>
      </w:r>
      <w:r w:rsidRPr="00A63206">
        <w:rPr>
          <w:color w:val="000000"/>
          <w:sz w:val="22"/>
          <w:szCs w:val="22"/>
          <w:vertAlign w:val="superscript"/>
          <w:lang w:val="es-ES"/>
        </w:rPr>
        <w:endnoteReference w:id="30"/>
      </w:r>
      <w:r w:rsidRPr="004018E7">
        <w:rPr>
          <w:color w:val="000000"/>
          <w:sz w:val="22"/>
          <w:szCs w:val="22"/>
          <w:lang w:val="fr-FR"/>
        </w:rPr>
        <w:t xml:space="preserve"> . Leur mobilisation a permis de rendre visible la disparition forcée comme un crime autonome</w:t>
      </w:r>
      <w:r w:rsidRPr="00A63206">
        <w:rPr>
          <w:color w:val="000000"/>
          <w:sz w:val="22"/>
          <w:szCs w:val="22"/>
          <w:vertAlign w:val="superscript"/>
          <w:lang w:val="es-ES"/>
        </w:rPr>
        <w:endnoteReference w:id="31"/>
      </w:r>
      <w:r w:rsidRPr="004018E7">
        <w:rPr>
          <w:color w:val="000000"/>
          <w:sz w:val="22"/>
          <w:szCs w:val="22"/>
          <w:lang w:val="fr-FR"/>
        </w:rPr>
        <w:t xml:space="preserve"> , de renforcer le cadre normatif tant au niveau national qu'international et de jouer un rôle central dans l'élaboration de la Convention internationale pour la protection de toutes les personnes contre les disparitions forcées</w:t>
      </w:r>
      <w:r w:rsidRPr="00A63206">
        <w:rPr>
          <w:color w:val="000000"/>
          <w:sz w:val="22"/>
          <w:szCs w:val="22"/>
          <w:vertAlign w:val="superscript"/>
          <w:lang w:val="es-ES"/>
        </w:rPr>
        <w:endnoteReference w:id="32"/>
      </w:r>
      <w:r w:rsidRPr="004018E7">
        <w:rPr>
          <w:color w:val="000000"/>
          <w:sz w:val="22"/>
          <w:szCs w:val="22"/>
          <w:lang w:val="fr-FR"/>
        </w:rPr>
        <w:t xml:space="preserve"> . Ces femmes continuent de collaborer avec les mécanismes internationaux de surveillance tels que le GTDFI et le CED, en documentant les cas et en dénonçant </w:t>
      </w:r>
      <w:proofErr w:type="gramStart"/>
      <w:r w:rsidRPr="004018E7">
        <w:rPr>
          <w:color w:val="000000"/>
          <w:sz w:val="22"/>
          <w:szCs w:val="22"/>
          <w:lang w:val="fr-FR"/>
        </w:rPr>
        <w:t>l'impunité .</w:t>
      </w:r>
      <w:proofErr w:type="gramEnd"/>
      <w:r w:rsidRPr="004018E7">
        <w:rPr>
          <w:color w:val="000000"/>
          <w:sz w:val="22"/>
          <w:szCs w:val="22"/>
          <w:lang w:val="fr-FR"/>
        </w:rPr>
        <w:t xml:space="preserve"> </w:t>
      </w:r>
      <w:r w:rsidRPr="00A63206">
        <w:rPr>
          <w:color w:val="000000"/>
          <w:sz w:val="22"/>
          <w:szCs w:val="22"/>
          <w:vertAlign w:val="superscript"/>
          <w:lang w:val="es-ES"/>
        </w:rPr>
        <w:endnoteReference w:id="33"/>
      </w:r>
    </w:p>
    <w:p w14:paraId="588C4B64" w14:textId="697EC5D8" w:rsidR="00A90270" w:rsidRPr="004018E7" w:rsidRDefault="00A90270" w:rsidP="00A90270">
      <w:pPr>
        <w:pStyle w:val="SingleTxtG"/>
        <w:numPr>
          <w:ilvl w:val="0"/>
          <w:numId w:val="18"/>
        </w:numPr>
        <w:pBdr>
          <w:top w:val="nil"/>
          <w:left w:val="nil"/>
          <w:bottom w:val="nil"/>
          <w:right w:val="nil"/>
          <w:between w:val="nil"/>
        </w:pBdr>
        <w:shd w:val="clear" w:color="auto" w:fill="FFFFFF"/>
        <w:tabs>
          <w:tab w:val="left" w:pos="426"/>
        </w:tabs>
        <w:ind w:left="1134" w:right="49" w:firstLine="0"/>
        <w:rPr>
          <w:sz w:val="22"/>
          <w:szCs w:val="22"/>
          <w:lang w:val="fr-FR"/>
        </w:rPr>
      </w:pPr>
      <w:r w:rsidRPr="004018E7">
        <w:rPr>
          <w:color w:val="000000"/>
          <w:sz w:val="22"/>
          <w:szCs w:val="22"/>
          <w:lang w:val="fr-FR"/>
        </w:rPr>
        <w:t>De nombreuses femmes ont passé des décennies à rechercher leurs proches disparus, modifiant leurs projets de vie pour se consacrer entièrement à cette tâche</w:t>
      </w:r>
      <w:r w:rsidRPr="00A63206">
        <w:rPr>
          <w:color w:val="000000"/>
          <w:sz w:val="22"/>
          <w:szCs w:val="22"/>
          <w:vertAlign w:val="superscript"/>
          <w:lang w:val="es-ES"/>
        </w:rPr>
        <w:endnoteReference w:id="34"/>
      </w:r>
      <w:r w:rsidRPr="004018E7">
        <w:rPr>
          <w:color w:val="000000"/>
          <w:sz w:val="22"/>
          <w:szCs w:val="22"/>
          <w:lang w:val="fr-FR"/>
        </w:rPr>
        <w:t xml:space="preserve"> , avec de graves conséquences économiques, sociales, physiques et psychologiques pour elles et leurs familles. Nombre d'entre elles vieillissent en cherchant leurs proches et meurent sans les avoir trouvés, ce qui provoque un traumatisme transgénérationnel, la recherche devenant une tâche pour leurs fils, leurs filles et leurs proches, reproduisant en eux l'impact subi par leurs prédécesseurs. </w:t>
      </w:r>
    </w:p>
    <w:p w14:paraId="23E18B26" w14:textId="7A823DF8" w:rsidR="00A90270" w:rsidRPr="004018E7" w:rsidRDefault="00A90270" w:rsidP="00A90270">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4018E7">
        <w:rPr>
          <w:color w:val="000000"/>
          <w:sz w:val="22"/>
          <w:szCs w:val="22"/>
          <w:lang w:val="fr-FR"/>
        </w:rPr>
        <w:t xml:space="preserve">Le Groupe de travail sur les disparitions forcées ou involontaires, </w:t>
      </w:r>
      <w:r w:rsidRPr="004018E7">
        <w:rPr>
          <w:color w:val="000000"/>
          <w:sz w:val="22"/>
          <w:szCs w:val="22"/>
          <w:highlight w:val="white"/>
          <w:lang w:val="fr-FR"/>
        </w:rPr>
        <w:t xml:space="preserve">dans son Observation générale sur les femmes touchées par les disparitions forcées (2013), a noté que lorsqu'une femme ou une fille est victime d'une disparition forcée parce qu'elle est une femme, elle est également victime de violence fondée sur le genre. Elle a également noté qu'il est crucial d'adopter une perspective de genre </w:t>
      </w:r>
      <w:r w:rsidRPr="004018E7">
        <w:rPr>
          <w:color w:val="000000"/>
          <w:sz w:val="22"/>
          <w:szCs w:val="22"/>
          <w:lang w:val="fr-FR"/>
        </w:rPr>
        <w:t>pour expliquer, comprendre et traiter les désavantages et les obstacles spécifiques auxquels les femmes sont confrontées dans l'exercice de leurs droits humains et pour esquisser des solutions afin d'essayer de traiter ces questions dans le contexte des disparitions forcées</w:t>
      </w:r>
      <w:r w:rsidRPr="00A63206">
        <w:rPr>
          <w:color w:val="000000"/>
          <w:sz w:val="22"/>
          <w:szCs w:val="22"/>
          <w:vertAlign w:val="superscript"/>
          <w:lang w:val="es-ES"/>
        </w:rPr>
        <w:endnoteReference w:id="35"/>
      </w:r>
      <w:r w:rsidRPr="004018E7">
        <w:rPr>
          <w:color w:val="000000"/>
          <w:sz w:val="22"/>
          <w:szCs w:val="22"/>
          <w:lang w:val="fr-FR"/>
        </w:rPr>
        <w:t xml:space="preserve"> . </w:t>
      </w:r>
      <w:proofErr w:type="gramStart"/>
      <w:r w:rsidRPr="004018E7">
        <w:rPr>
          <w:color w:val="000000"/>
          <w:sz w:val="22"/>
          <w:szCs w:val="22"/>
          <w:lang w:val="fr-FR"/>
        </w:rPr>
        <w:t>la</w:t>
      </w:r>
      <w:proofErr w:type="gramEnd"/>
      <w:r w:rsidRPr="004018E7">
        <w:rPr>
          <w:color w:val="000000"/>
          <w:sz w:val="22"/>
          <w:szCs w:val="22"/>
          <w:lang w:val="fr-FR"/>
        </w:rPr>
        <w:t xml:space="preserve"> lumière de l'expérience du Comité des disparitions forcées (CED) douze ans après l'adoption de l'observation générale du GTDFI, il est opportun de développer ces aspects. </w:t>
      </w:r>
    </w:p>
    <w:p w14:paraId="1464A2B2" w14:textId="0A6E3D64" w:rsidR="00A90270" w:rsidRPr="004018E7" w:rsidRDefault="00A90270" w:rsidP="00A90270">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4018E7">
        <w:rPr>
          <w:color w:val="000000"/>
          <w:sz w:val="22"/>
          <w:szCs w:val="22"/>
          <w:lang w:val="fr-FR"/>
        </w:rPr>
        <w:lastRenderedPageBreak/>
        <w:t>Depuis l'entrée en vigueur de la Convention internationale pour la protection de toutes les personnes contre les disparitions forcées, le Comité des disparitions forcées (CED) a souligné l'effet particulièrement cruel des disparitions forcées sur les femmes et les filles et a rappelé aux États la nécessité de leur accorder une attention particulière.  A travers ses conclusions et observations finales</w:t>
      </w:r>
      <w:r w:rsidRPr="00A63206">
        <w:rPr>
          <w:color w:val="000000"/>
          <w:sz w:val="22"/>
          <w:szCs w:val="22"/>
          <w:vertAlign w:val="superscript"/>
          <w:lang w:val="es-ES"/>
        </w:rPr>
        <w:endnoteReference w:id="36"/>
      </w:r>
      <w:r w:rsidRPr="004018E7">
        <w:rPr>
          <w:color w:val="000000"/>
          <w:sz w:val="22"/>
          <w:szCs w:val="22"/>
          <w:lang w:val="fr-FR"/>
        </w:rPr>
        <w:t xml:space="preserve"> , ses rapports de visites</w:t>
      </w:r>
      <w:r w:rsidRPr="00A63206">
        <w:rPr>
          <w:color w:val="000000"/>
          <w:sz w:val="22"/>
          <w:szCs w:val="22"/>
          <w:vertAlign w:val="superscript"/>
          <w:lang w:val="es-ES"/>
        </w:rPr>
        <w:endnoteReference w:id="37"/>
      </w:r>
      <w:r w:rsidRPr="004018E7">
        <w:rPr>
          <w:color w:val="000000"/>
          <w:sz w:val="22"/>
          <w:szCs w:val="22"/>
          <w:lang w:val="fr-FR"/>
        </w:rPr>
        <w:t xml:space="preserve"> et ses actions urgentes, il a souligné la nécessité d'intégrer une perspective de genre et une approche différentielle dans les recherches conformément au principe 4 des Principes directeurs pour la recherche des personnes disparues et que, dans les cas d'enfants disparus, le respect du principe de l'intérêt supérieur de l'enfant devrait être pris en compte à tous les stades du processus de recherche. En outre, le CED a rappelé qu'en vertu du droit international, les États ont des obligations strictes en matière de diligence raisonnable lorsqu'il s'agit de femmes ou de filles, en raison du lien que la disparition peut avoir avec les actes de violence sexuelle, le </w:t>
      </w:r>
      <w:proofErr w:type="spellStart"/>
      <w:r w:rsidRPr="004018E7">
        <w:rPr>
          <w:color w:val="000000"/>
          <w:sz w:val="22"/>
          <w:szCs w:val="22"/>
          <w:lang w:val="fr-FR"/>
        </w:rPr>
        <w:t>fémicide</w:t>
      </w:r>
      <w:proofErr w:type="spellEnd"/>
      <w:r w:rsidRPr="004018E7">
        <w:rPr>
          <w:color w:val="000000"/>
          <w:sz w:val="22"/>
          <w:szCs w:val="22"/>
          <w:lang w:val="fr-FR"/>
        </w:rPr>
        <w:t>, la violence reproductive et la traite</w:t>
      </w:r>
      <w:r w:rsidRPr="00A63206">
        <w:rPr>
          <w:color w:val="000000"/>
          <w:sz w:val="22"/>
          <w:szCs w:val="22"/>
          <w:vertAlign w:val="superscript"/>
          <w:lang w:val="es-ES"/>
        </w:rPr>
        <w:endnoteReference w:id="38"/>
      </w:r>
      <w:r w:rsidRPr="004018E7">
        <w:rPr>
          <w:color w:val="000000"/>
          <w:sz w:val="22"/>
          <w:szCs w:val="22"/>
          <w:lang w:val="fr-FR"/>
        </w:rPr>
        <w:t xml:space="preserve"> , entre autres.</w:t>
      </w:r>
    </w:p>
    <w:p w14:paraId="001A47C7" w14:textId="622A8763" w:rsidR="00A90270" w:rsidRPr="004018E7" w:rsidRDefault="00A90270" w:rsidP="00A90270">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4018E7">
        <w:rPr>
          <w:color w:val="222222"/>
          <w:sz w:val="22"/>
          <w:szCs w:val="22"/>
          <w:shd w:val="clear" w:color="auto" w:fill="FFFFFF"/>
          <w:lang w:val="fr-FR"/>
        </w:rPr>
        <w:t xml:space="preserve">Le Secrétaire général des Nations unies, dans sa note d'orientation sur la justice transitionnelle, dans le chapitre sur les perspectives de genre, a souligné que, dans les contextes de violations flagrantes des droits de l'homme et de violations graves du droit humanitaire international, l'intégration de la dimension de genre ne devrait pas se limiter à la reconnaissance de la violence spécifique subie par les femmes et les filles. </w:t>
      </w:r>
      <w:r w:rsidRPr="004018E7">
        <w:rPr>
          <w:color w:val="000000"/>
          <w:sz w:val="22"/>
          <w:szCs w:val="22"/>
          <w:lang w:val="fr-FR"/>
        </w:rPr>
        <w:t xml:space="preserve">Elle doit également </w:t>
      </w:r>
      <w:r w:rsidRPr="004018E7">
        <w:rPr>
          <w:color w:val="222222"/>
          <w:sz w:val="22"/>
          <w:szCs w:val="22"/>
          <w:shd w:val="clear" w:color="auto" w:fill="FFFFFF"/>
          <w:lang w:val="fr-FR"/>
        </w:rPr>
        <w:t>intégrer des considérations qui garantissent leur participation pleine et significative aux processus de justice transitionnelle, ainsi qu'une analyse des modèles sociaux qui ont généré ou exacerbé la violence fondée sur le genre</w:t>
      </w:r>
      <w:r w:rsidRPr="004018E7">
        <w:rPr>
          <w:rFonts w:ascii="Arial" w:hAnsi="Arial" w:cs="Arial"/>
          <w:color w:val="222222"/>
          <w:shd w:val="clear" w:color="auto" w:fill="FFFFFF"/>
          <w:lang w:val="fr-FR"/>
        </w:rPr>
        <w:t>. .</w:t>
      </w:r>
      <w:r w:rsidRPr="00101D84">
        <w:rPr>
          <w:color w:val="000000"/>
          <w:sz w:val="22"/>
          <w:szCs w:val="22"/>
          <w:vertAlign w:val="superscript"/>
          <w:lang w:val="es-ES"/>
        </w:rPr>
        <w:endnoteReference w:id="39"/>
      </w:r>
    </w:p>
    <w:p w14:paraId="3B1741E2" w14:textId="578F2F48" w:rsidR="00A90270" w:rsidRPr="004018E7" w:rsidRDefault="00A90270" w:rsidP="00A90270">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4018E7">
        <w:rPr>
          <w:color w:val="000000"/>
          <w:sz w:val="22"/>
          <w:szCs w:val="22"/>
          <w:lang w:val="fr-FR"/>
        </w:rPr>
        <w:t>Le nouvel examen périodique de la déclaration et de la plate-forme d'action de Pékin en 2025 (Pékin +30) et le récent pacte pour l'avenir adopté par l'Assemblée générale des Nations unies réaffirment l'engagement des États à éliminer toutes les formes de discrimination et de violence à l'égard des femmes et des filles et à prendre des mesures pour éradiquer toutes les formes de violence et de harcèlement à l'égard des femmes et des filles, y compris la violence sexuelle et sexiste.</w:t>
      </w:r>
      <w:r w:rsidRPr="00A63206">
        <w:rPr>
          <w:color w:val="000000"/>
          <w:sz w:val="22"/>
          <w:szCs w:val="22"/>
          <w:vertAlign w:val="superscript"/>
          <w:lang w:val="es-ES"/>
        </w:rPr>
        <w:endnoteReference w:id="40"/>
      </w:r>
      <w:r w:rsidRPr="004018E7">
        <w:rPr>
          <w:color w:val="000000"/>
          <w:sz w:val="22"/>
          <w:szCs w:val="22"/>
          <w:lang w:val="fr-FR"/>
        </w:rPr>
        <w:t xml:space="preserve"> . </w:t>
      </w:r>
    </w:p>
    <w:p w14:paraId="06474174" w14:textId="77777777" w:rsidR="00A90270" w:rsidRPr="004018E7" w:rsidRDefault="00A90270" w:rsidP="00A90270">
      <w:pPr>
        <w:pBdr>
          <w:top w:val="nil"/>
          <w:left w:val="nil"/>
          <w:bottom w:val="nil"/>
          <w:right w:val="nil"/>
          <w:between w:val="nil"/>
        </w:pBdr>
        <w:tabs>
          <w:tab w:val="left" w:pos="142"/>
          <w:tab w:val="left" w:pos="284"/>
          <w:tab w:val="left" w:pos="426"/>
          <w:tab w:val="left" w:pos="567"/>
        </w:tabs>
        <w:ind w:left="32" w:hanging="32"/>
        <w:jc w:val="both"/>
        <w:rPr>
          <w:color w:val="000000"/>
          <w:sz w:val="22"/>
          <w:szCs w:val="22"/>
          <w:lang w:val="fr-FR"/>
        </w:rPr>
      </w:pPr>
    </w:p>
    <w:p w14:paraId="76A6B8D5" w14:textId="713BFBF4" w:rsidR="00A90270" w:rsidRPr="004018E7"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4018E7">
        <w:rPr>
          <w:color w:val="000000"/>
          <w:sz w:val="22"/>
          <w:szCs w:val="22"/>
          <w:lang w:val="fr-FR"/>
        </w:rPr>
        <w:t xml:space="preserve">Le récent premier congrès mondial sur les disparitions forcées a souligné que les disparitions forcées ont de profondes dimensions de genre et un impact différencié sur les femmes et les filles qui doivent être traitées comme un impératif juridique en vertu du droit international des droits de </w:t>
      </w:r>
      <w:proofErr w:type="gramStart"/>
      <w:r w:rsidRPr="004018E7">
        <w:rPr>
          <w:color w:val="000000"/>
          <w:sz w:val="22"/>
          <w:szCs w:val="22"/>
          <w:lang w:val="fr-FR"/>
        </w:rPr>
        <w:t>l'homme .</w:t>
      </w:r>
      <w:proofErr w:type="gramEnd"/>
      <w:r w:rsidRPr="00A63206">
        <w:rPr>
          <w:color w:val="000000"/>
          <w:sz w:val="22"/>
          <w:szCs w:val="22"/>
          <w:vertAlign w:val="superscript"/>
          <w:lang w:val="es-ES"/>
        </w:rPr>
        <w:endnoteReference w:id="41"/>
      </w:r>
    </w:p>
    <w:p w14:paraId="2B4BC5EE" w14:textId="39275DC0" w:rsidR="00A90270" w:rsidRPr="00A63206" w:rsidRDefault="0055550A" w:rsidP="0016694D">
      <w:pPr>
        <w:pStyle w:val="HChG"/>
        <w:rPr>
          <w:b w:val="0"/>
          <w:lang w:val="es-ES"/>
        </w:rPr>
      </w:pPr>
      <w:r w:rsidRPr="004018E7">
        <w:rPr>
          <w:lang w:val="fr-FR"/>
        </w:rPr>
        <w:tab/>
      </w:r>
      <w:r>
        <w:rPr>
          <w:lang w:val="es-ES"/>
        </w:rPr>
        <w:t>II.</w:t>
      </w:r>
      <w:r>
        <w:rPr>
          <w:lang w:val="es-ES"/>
        </w:rPr>
        <w:tab/>
      </w:r>
      <w:proofErr w:type="spellStart"/>
      <w:r w:rsidR="00A90270" w:rsidRPr="00A63206">
        <w:rPr>
          <w:lang w:val="es-ES"/>
        </w:rPr>
        <w:t>Objectifs</w:t>
      </w:r>
      <w:proofErr w:type="spellEnd"/>
      <w:r w:rsidR="00A90270" w:rsidRPr="00A63206">
        <w:rPr>
          <w:lang w:val="es-ES"/>
        </w:rPr>
        <w:t xml:space="preserve"> de </w:t>
      </w:r>
      <w:proofErr w:type="spellStart"/>
      <w:r w:rsidR="00A90270" w:rsidRPr="00A63206">
        <w:rPr>
          <w:lang w:val="es-ES"/>
        </w:rPr>
        <w:t>l'observation</w:t>
      </w:r>
      <w:proofErr w:type="spellEnd"/>
      <w:r w:rsidR="00A90270" w:rsidRPr="00A63206">
        <w:rPr>
          <w:lang w:val="es-ES"/>
        </w:rPr>
        <w:t xml:space="preserve"> </w:t>
      </w:r>
      <w:proofErr w:type="spellStart"/>
      <w:r w:rsidR="00A90270" w:rsidRPr="00A63206">
        <w:rPr>
          <w:lang w:val="es-ES"/>
        </w:rPr>
        <w:t>générale</w:t>
      </w:r>
      <w:proofErr w:type="spellEnd"/>
      <w:r w:rsidR="00A90270" w:rsidRPr="00A63206">
        <w:rPr>
          <w:lang w:val="es-ES"/>
        </w:rPr>
        <w:t xml:space="preserve">  </w:t>
      </w:r>
    </w:p>
    <w:p w14:paraId="1778D115" w14:textId="77DA86FB" w:rsidR="00A90270" w:rsidRPr="004018E7"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b/>
          <w:color w:val="000000"/>
          <w:sz w:val="22"/>
          <w:szCs w:val="22"/>
          <w:lang w:val="fr-FR"/>
        </w:rPr>
      </w:pPr>
      <w:r w:rsidRPr="004018E7">
        <w:rPr>
          <w:color w:val="000000"/>
          <w:sz w:val="22"/>
          <w:szCs w:val="22"/>
          <w:lang w:val="fr-FR"/>
        </w:rPr>
        <w:t>Le Comité des disparitions forcées (CED), à travers ses différentes méthodes de travail, a observé que les disparitions forcées ont des dimensions de genre qui doivent être rendues visibles. L'Observation générale visera à i) traiter les cas de disparition forcée dans une perspective de genre et d'intersectionnalité ; ii) comprendre et répondre aux besoins spécifiques des femmes et des filles dans l'exercice de leurs droits ; iii) identifier les situations de risque particulier pour les femmes ; et iv) s'assurer que les recours prescrits par la Convention internationale pour la protection de toutes les personnes contre les disparitions forcées sont effectivement disponibles pour elles.</w:t>
      </w:r>
    </w:p>
    <w:p w14:paraId="58F84E11" w14:textId="7851BAB0" w:rsidR="00A90270" w:rsidRPr="004018E7"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4018E7">
        <w:rPr>
          <w:color w:val="000000"/>
          <w:sz w:val="22"/>
          <w:szCs w:val="22"/>
          <w:lang w:val="fr-FR"/>
        </w:rPr>
        <w:t>L'observation générale vise également à aider les États à analyser ces impacts différentiels et à identifier et reconnaître les circonstances particulières et les inégalités intersectorielles qui affectent leur conformité avec leurs obligations en vertu de la Convention internationale pour la protection de toutes les personnes contre les disparitions forcées (CIPPDF).</w:t>
      </w:r>
    </w:p>
    <w:p w14:paraId="181DEE13" w14:textId="0BCD6CB1" w:rsidR="00A90270" w:rsidRPr="004018E7"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4018E7">
        <w:rPr>
          <w:color w:val="000000"/>
          <w:sz w:val="22"/>
          <w:szCs w:val="22"/>
          <w:lang w:val="fr-FR"/>
        </w:rPr>
        <w:t>L'observation générale vise à mettre en évidence le travail des femmes dans la recherche de leurs proches et, par conséquent, leur reconnaissance en tant que défenseurs des droits de l'homme et artisans de la paix, afin de garantir leurs droits et de leur fournir une protection, en tenant compte de leur rôle dans les différentes sociétés.</w:t>
      </w:r>
    </w:p>
    <w:p w14:paraId="5B70F5DF" w14:textId="156AB3E9" w:rsidR="00A90270" w:rsidRPr="004018E7"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4018E7">
        <w:rPr>
          <w:color w:val="000000"/>
          <w:sz w:val="22"/>
          <w:szCs w:val="22"/>
          <w:lang w:val="fr-FR"/>
        </w:rPr>
        <w:lastRenderedPageBreak/>
        <w:t>Reconnaissant que la disparition forcée des femmes et des filles constitue l'une des formes les plus extrêmes de violence à l'égard des femmes, l'observation générale vise à aider les États à prendre des mesures pour renforcer la mise en œuvre du devoir de diligence afin de prévenir, de punir et d'éradiquer la disparition forcée des femmes et des filles.</w:t>
      </w:r>
    </w:p>
    <w:p w14:paraId="55D64028" w14:textId="758CC404" w:rsidR="00A90270" w:rsidRPr="0016694D" w:rsidRDefault="0055550A" w:rsidP="0016694D">
      <w:pPr>
        <w:pStyle w:val="HChG"/>
      </w:pPr>
      <w:r w:rsidRPr="004018E7">
        <w:rPr>
          <w:rFonts w:ascii="Garamond" w:eastAsia="Garamond" w:hAnsi="Garamond" w:cs="Garamond"/>
          <w:lang w:val="fr-FR"/>
        </w:rPr>
        <w:tab/>
      </w:r>
      <w:r w:rsidR="00A90270" w:rsidRPr="0016694D">
        <w:rPr>
          <w:rFonts w:eastAsia="Garamond"/>
        </w:rPr>
        <w:t>III</w:t>
      </w:r>
      <w:r w:rsidR="00A90270" w:rsidRPr="0016694D">
        <w:t xml:space="preserve">. </w:t>
      </w:r>
      <w:r w:rsidRPr="0016694D">
        <w:tab/>
      </w:r>
      <w:r w:rsidR="00A90270" w:rsidRPr="0016694D">
        <w:t xml:space="preserve">Aperçu de </w:t>
      </w:r>
      <w:proofErr w:type="spellStart"/>
      <w:r w:rsidR="00A90270" w:rsidRPr="0016694D">
        <w:t>l'observation</w:t>
      </w:r>
      <w:proofErr w:type="spellEnd"/>
      <w:r w:rsidR="00A90270" w:rsidRPr="0016694D">
        <w:t xml:space="preserve"> </w:t>
      </w:r>
      <w:proofErr w:type="spellStart"/>
      <w:r w:rsidR="00A90270" w:rsidRPr="0016694D">
        <w:t>générale</w:t>
      </w:r>
      <w:proofErr w:type="spellEnd"/>
    </w:p>
    <w:p w14:paraId="12F11E5B" w14:textId="77777777"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lang w:val="fr-FR"/>
        </w:rPr>
        <w:t>La structure et le contenu définitifs de l'observation générale seront le résultat d'un processus mené par le CED qui comprendra des consultations régionales, l'analyse des contributions des États, des organisations de la société civile et des personnes intéressées. Par conséquent, ce qui suit est une première proposition de questions à prendre en compte dans l'observation générale.</w:t>
      </w:r>
    </w:p>
    <w:p w14:paraId="205D6BE9" w14:textId="2D51405B" w:rsidR="00A90270" w:rsidRPr="00A63206" w:rsidRDefault="0055550A" w:rsidP="0055550A">
      <w:pPr>
        <w:pStyle w:val="H1G"/>
        <w:rPr>
          <w:lang w:val="es-ES"/>
        </w:rPr>
      </w:pPr>
      <w:r w:rsidRPr="003910F8">
        <w:rPr>
          <w:lang w:val="fr-FR"/>
        </w:rPr>
        <w:tab/>
      </w:r>
      <w:r w:rsidR="00A90270" w:rsidRPr="00A63206">
        <w:rPr>
          <w:lang w:val="es-ES"/>
        </w:rPr>
        <w:t xml:space="preserve">i. </w:t>
      </w:r>
      <w:r>
        <w:rPr>
          <w:lang w:val="es-ES"/>
        </w:rPr>
        <w:tab/>
      </w:r>
      <w:r w:rsidR="00A90270" w:rsidRPr="00A63206">
        <w:rPr>
          <w:lang w:val="es-ES"/>
        </w:rPr>
        <w:t xml:space="preserve">La </w:t>
      </w:r>
      <w:proofErr w:type="spellStart"/>
      <w:r w:rsidR="00A90270" w:rsidRPr="00A63206">
        <w:rPr>
          <w:lang w:val="es-ES"/>
        </w:rPr>
        <w:t>prévention</w:t>
      </w:r>
      <w:proofErr w:type="spellEnd"/>
    </w:p>
    <w:p w14:paraId="453AC823" w14:textId="4B354472"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lang w:val="fr-FR"/>
        </w:rPr>
        <w:t xml:space="preserve">La disparition forcée de femmes et de jeunes filles représente non seulement une grave violation des droits de l'homme, mais démontre également les failles structurelles de la réponse de l'État à la violence fondée sur le genre. </w:t>
      </w:r>
      <w:proofErr w:type="gramStart"/>
      <w:r w:rsidRPr="003910F8">
        <w:rPr>
          <w:color w:val="000000"/>
          <w:sz w:val="22"/>
          <w:szCs w:val="22"/>
          <w:lang w:val="fr-FR"/>
        </w:rPr>
        <w:t>Ces  derniers</w:t>
      </w:r>
      <w:proofErr w:type="gramEnd"/>
      <w:r w:rsidRPr="003910F8">
        <w:rPr>
          <w:color w:val="000000"/>
          <w:sz w:val="22"/>
          <w:szCs w:val="22"/>
          <w:lang w:val="fr-FR"/>
        </w:rPr>
        <w:t xml:space="preserve"> temps, on observe une tendance à la négation de cette violence, qui va jusqu'à ignorer le terme de genre dans le langage.  La prévention devrait se concentrer sur la détection des situations de risque et l'éradication des causes structurelles et sociales qui perpétuent la pratique des disparitions forcées, telles que la discrimination et la violence systématique à l'égard des femmes.</w:t>
      </w:r>
    </w:p>
    <w:p w14:paraId="1A5B8A84" w14:textId="164C1979"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lang w:val="fr-FR"/>
        </w:rPr>
        <w:t>Les articles 17 et 18 du CIPPCD énoncent des mesures de prévention des disparitions forcées.  Dans le cadre de la prévention des disparitions forcées de femmes et de filles, la collecte de données systématiques et désagrégées dans une perspective de genre est essentielle pour la mise en œuvre de politiques publiques efficaces. Le manque de données spécifiques sur les femmes et les filles disparues de force empêche l'identification des modèles et des tendances de la violence qui affectent différemment les femmes, en particulier dans les contextes de conflits armés ou de régimes autoritaires.</w:t>
      </w:r>
    </w:p>
    <w:p w14:paraId="0931A57E" w14:textId="27193A70"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lang w:val="fr-FR"/>
        </w:rPr>
        <w:t xml:space="preserve">La collecte de données ne devrait pas seulement se concentrer sur le nombre de femmes et de filles qui disparaissent de force, mais aussi sur le contexte dans lequel les disparitions se produisent, les causes sous-jacentes et les caractéristiques particulières des victimes, telles que leur âge, leur statut matrimonial, leur appartenance ethnique ou sociale et leur rôle au sein de la communauté. Cette approche permet de reconnaître les différentes formes de violence fondée sur le genre qui sous-tendent les disparitions forcées, telles que l'exploitation sexuelle, la traite ou le recrutement forcé dans des structures </w:t>
      </w:r>
      <w:proofErr w:type="gramStart"/>
      <w:r w:rsidRPr="003910F8">
        <w:rPr>
          <w:color w:val="000000"/>
          <w:sz w:val="22"/>
          <w:szCs w:val="22"/>
          <w:lang w:val="fr-FR"/>
        </w:rPr>
        <w:t>criminelles .</w:t>
      </w:r>
      <w:proofErr w:type="gramEnd"/>
      <w:r w:rsidRPr="003910F8">
        <w:rPr>
          <w:color w:val="000000"/>
          <w:sz w:val="22"/>
          <w:szCs w:val="22"/>
          <w:lang w:val="fr-FR"/>
        </w:rPr>
        <w:t xml:space="preserve"> </w:t>
      </w:r>
      <w:r w:rsidRPr="00A63206">
        <w:rPr>
          <w:color w:val="000000"/>
          <w:sz w:val="22"/>
          <w:szCs w:val="22"/>
          <w:vertAlign w:val="superscript"/>
          <w:lang w:val="es-ES"/>
        </w:rPr>
        <w:endnoteReference w:id="42"/>
      </w:r>
    </w:p>
    <w:p w14:paraId="20704BCD" w14:textId="5C6CA6DB"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lang w:val="fr-FR"/>
        </w:rPr>
        <w:t xml:space="preserve">Le phénomène des disparitions forcées a évolué au-delà de sa perpétration exclusive par des agents de l'État ; des acteurs non étatiques tels que le crime organisé, les réseaux de traite des êtres humains et les groupes armés qui profitent de la situation vulnérable de certaines populations ou communautés participent également à ce phénomène, affectant de manière disproportionnée les femmes et les filles. Dans ce contexte, la disparition forcée des femmes et des filles doit être abordée dans une perspective globale qui associe l'action pénale aux politiques de prévention et de protection dans une optique d'égalité entre les femmes et les </w:t>
      </w:r>
      <w:proofErr w:type="gramStart"/>
      <w:r w:rsidRPr="003910F8">
        <w:rPr>
          <w:color w:val="000000"/>
          <w:sz w:val="22"/>
          <w:szCs w:val="22"/>
          <w:lang w:val="fr-FR"/>
        </w:rPr>
        <w:t>hommes .</w:t>
      </w:r>
      <w:proofErr w:type="gramEnd"/>
      <w:r w:rsidRPr="003910F8">
        <w:rPr>
          <w:color w:val="000000"/>
          <w:sz w:val="22"/>
          <w:szCs w:val="22"/>
          <w:lang w:val="fr-FR"/>
        </w:rPr>
        <w:t xml:space="preserve"> </w:t>
      </w:r>
      <w:r w:rsidRPr="00A63206">
        <w:rPr>
          <w:color w:val="000000"/>
          <w:sz w:val="22"/>
          <w:szCs w:val="22"/>
          <w:vertAlign w:val="superscript"/>
          <w:lang w:val="es-ES"/>
        </w:rPr>
        <w:endnoteReference w:id="43"/>
      </w:r>
    </w:p>
    <w:p w14:paraId="44B2CC4A" w14:textId="59A95AF8" w:rsidR="00A90270" w:rsidRPr="00A63206" w:rsidRDefault="003B7CEC" w:rsidP="003B7CEC">
      <w:pPr>
        <w:pStyle w:val="H1G"/>
        <w:rPr>
          <w:lang w:val="es-ES"/>
        </w:rPr>
      </w:pPr>
      <w:r w:rsidRPr="003910F8">
        <w:rPr>
          <w:lang w:val="fr-FR"/>
        </w:rPr>
        <w:tab/>
      </w:r>
      <w:proofErr w:type="spellStart"/>
      <w:r w:rsidR="00A90270" w:rsidRPr="00A63206">
        <w:rPr>
          <w:lang w:val="es-ES"/>
        </w:rPr>
        <w:t>ii</w:t>
      </w:r>
      <w:proofErr w:type="spellEnd"/>
      <w:r w:rsidR="00A90270" w:rsidRPr="00A63206">
        <w:rPr>
          <w:lang w:val="es-ES"/>
        </w:rPr>
        <w:t>.</w:t>
      </w:r>
      <w:r>
        <w:rPr>
          <w:lang w:val="es-ES"/>
        </w:rPr>
        <w:tab/>
      </w:r>
      <w:proofErr w:type="spellStart"/>
      <w:r w:rsidR="00A90270" w:rsidRPr="00A63206">
        <w:rPr>
          <w:lang w:val="es-ES"/>
        </w:rPr>
        <w:t>Enquêtes</w:t>
      </w:r>
      <w:proofErr w:type="spellEnd"/>
      <w:r w:rsidR="00A90270" w:rsidRPr="00A63206">
        <w:rPr>
          <w:lang w:val="es-ES"/>
        </w:rPr>
        <w:t xml:space="preserve"> et </w:t>
      </w:r>
      <w:proofErr w:type="spellStart"/>
      <w:r w:rsidR="00A90270" w:rsidRPr="00A63206">
        <w:rPr>
          <w:lang w:val="es-ES"/>
        </w:rPr>
        <w:t>poursuites</w:t>
      </w:r>
      <w:proofErr w:type="spellEnd"/>
    </w:p>
    <w:p w14:paraId="23F7B836" w14:textId="2A0B1B5E"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lang w:val="fr-FR"/>
        </w:rPr>
        <w:t>Dans le cadre de leurs obligations internationales, les Etats ont le devoir d'enquêter, de poursuivre et de punir les violations graves des droits de l'homme et du droit international humanitaire</w:t>
      </w:r>
      <w:r w:rsidRPr="00A63206">
        <w:rPr>
          <w:color w:val="000000"/>
          <w:sz w:val="22"/>
          <w:szCs w:val="22"/>
          <w:vertAlign w:val="superscript"/>
          <w:lang w:val="es-ES"/>
        </w:rPr>
        <w:endnoteReference w:id="44"/>
      </w:r>
      <w:r w:rsidRPr="003910F8">
        <w:rPr>
          <w:color w:val="000000"/>
          <w:sz w:val="22"/>
          <w:szCs w:val="22"/>
          <w:lang w:val="fr-FR"/>
        </w:rPr>
        <w:t xml:space="preserve"> . L'accomplissement de ce devoir est fondamental non </w:t>
      </w:r>
      <w:r w:rsidRPr="003910F8">
        <w:rPr>
          <w:sz w:val="22"/>
          <w:szCs w:val="22"/>
          <w:lang w:val="fr-FR"/>
        </w:rPr>
        <w:t xml:space="preserve">seulement </w:t>
      </w:r>
      <w:r w:rsidRPr="003910F8">
        <w:rPr>
          <w:color w:val="000000"/>
          <w:sz w:val="22"/>
          <w:szCs w:val="22"/>
          <w:lang w:val="fr-FR"/>
        </w:rPr>
        <w:t xml:space="preserve">en termes de punition mais aussi en termes de prévention, car il contribue à restaurer la confiance dans les institutions de </w:t>
      </w:r>
      <w:proofErr w:type="gramStart"/>
      <w:r w:rsidRPr="003910F8">
        <w:rPr>
          <w:color w:val="000000"/>
          <w:sz w:val="22"/>
          <w:szCs w:val="22"/>
          <w:lang w:val="fr-FR"/>
        </w:rPr>
        <w:t>l'État .</w:t>
      </w:r>
      <w:proofErr w:type="gramEnd"/>
      <w:r w:rsidRPr="00A63206">
        <w:rPr>
          <w:color w:val="000000"/>
          <w:sz w:val="22"/>
          <w:szCs w:val="22"/>
          <w:vertAlign w:val="superscript"/>
          <w:lang w:val="es-ES"/>
        </w:rPr>
        <w:endnoteReference w:id="45"/>
      </w:r>
    </w:p>
    <w:p w14:paraId="724B080A" w14:textId="77D78BFF"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sz w:val="22"/>
          <w:szCs w:val="22"/>
          <w:lang w:val="fr-FR"/>
        </w:rPr>
      </w:pPr>
      <w:r w:rsidRPr="003910F8">
        <w:rPr>
          <w:color w:val="000000"/>
          <w:sz w:val="22"/>
          <w:szCs w:val="22"/>
          <w:lang w:val="fr-FR"/>
        </w:rPr>
        <w:lastRenderedPageBreak/>
        <w:t>L'un des principaux obstacles à l'accès à la justice des femmes et des filles victimes et des femmes en quête de justice est la persistance de stéréotypes liés au genre dans le système judiciaire</w:t>
      </w:r>
      <w:r w:rsidRPr="00A63206">
        <w:rPr>
          <w:color w:val="000000"/>
          <w:sz w:val="22"/>
          <w:szCs w:val="22"/>
          <w:vertAlign w:val="superscript"/>
          <w:lang w:val="es-ES"/>
        </w:rPr>
        <w:endnoteReference w:id="46"/>
      </w:r>
      <w:r w:rsidRPr="003910F8">
        <w:rPr>
          <w:color w:val="000000"/>
          <w:sz w:val="22"/>
          <w:szCs w:val="22"/>
          <w:lang w:val="fr-FR"/>
        </w:rPr>
        <w:t xml:space="preserve"> , qui peuvent influencer la perception et l'évaluation de la situation des victimes. Les magistrats ont le devoir d'identifier et d'éradiquer ces stéréotypes</w:t>
      </w:r>
      <w:r w:rsidRPr="003910F8">
        <w:rPr>
          <w:sz w:val="22"/>
          <w:szCs w:val="22"/>
          <w:lang w:val="fr-FR"/>
        </w:rPr>
        <w:t xml:space="preserve">, en </w:t>
      </w:r>
      <w:r w:rsidRPr="003910F8">
        <w:rPr>
          <w:color w:val="000000"/>
          <w:sz w:val="22"/>
          <w:szCs w:val="22"/>
          <w:lang w:val="fr-FR"/>
        </w:rPr>
        <w:t xml:space="preserve">veillant à ce que les mesures adoptées </w:t>
      </w:r>
      <w:r w:rsidRPr="003910F8">
        <w:rPr>
          <w:sz w:val="22"/>
          <w:szCs w:val="22"/>
          <w:lang w:val="fr-FR"/>
        </w:rPr>
        <w:t xml:space="preserve">dans leurs décisions </w:t>
      </w:r>
      <w:r w:rsidRPr="003910F8">
        <w:rPr>
          <w:color w:val="000000"/>
          <w:sz w:val="22"/>
          <w:szCs w:val="22"/>
          <w:lang w:val="fr-FR"/>
        </w:rPr>
        <w:t xml:space="preserve">répondent effectivement aux besoins des femmes et des filles. </w:t>
      </w:r>
      <w:r w:rsidRPr="003910F8">
        <w:rPr>
          <w:sz w:val="22"/>
          <w:szCs w:val="22"/>
          <w:lang w:val="fr-FR"/>
        </w:rPr>
        <w:t xml:space="preserve">Les stéréotypes de genre à l'égard des femmes et des filles compromettent l'équité et l'intégrité du système judiciaire et peuvent conduire au déni du droit à la justice et donc à la </w:t>
      </w:r>
      <w:proofErr w:type="spellStart"/>
      <w:r w:rsidRPr="003910F8">
        <w:rPr>
          <w:sz w:val="22"/>
          <w:szCs w:val="22"/>
          <w:lang w:val="fr-FR"/>
        </w:rPr>
        <w:t>revictimisation</w:t>
      </w:r>
      <w:proofErr w:type="spellEnd"/>
      <w:r w:rsidRPr="003910F8">
        <w:rPr>
          <w:sz w:val="22"/>
          <w:szCs w:val="22"/>
          <w:lang w:val="fr-FR"/>
        </w:rPr>
        <w:t xml:space="preserve"> des </w:t>
      </w:r>
      <w:proofErr w:type="gramStart"/>
      <w:r w:rsidRPr="003910F8">
        <w:rPr>
          <w:sz w:val="22"/>
          <w:szCs w:val="22"/>
          <w:lang w:val="fr-FR"/>
        </w:rPr>
        <w:t>plaignants .</w:t>
      </w:r>
      <w:proofErr w:type="gramEnd"/>
      <w:r w:rsidRPr="003910F8">
        <w:rPr>
          <w:sz w:val="22"/>
          <w:szCs w:val="22"/>
          <w:lang w:val="fr-FR"/>
        </w:rPr>
        <w:t xml:space="preserve"> </w:t>
      </w:r>
      <w:r w:rsidRPr="00A63206">
        <w:rPr>
          <w:sz w:val="22"/>
          <w:szCs w:val="22"/>
          <w:vertAlign w:val="superscript"/>
          <w:lang w:val="es-ES"/>
        </w:rPr>
        <w:endnoteReference w:id="47"/>
      </w:r>
    </w:p>
    <w:p w14:paraId="2FC052A1" w14:textId="1505B027"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sz w:val="22"/>
          <w:szCs w:val="22"/>
          <w:lang w:val="fr-FR"/>
        </w:rPr>
      </w:pPr>
      <w:r w:rsidRPr="003910F8">
        <w:rPr>
          <w:color w:val="000000"/>
          <w:sz w:val="22"/>
          <w:szCs w:val="22"/>
          <w:lang w:val="fr-FR"/>
        </w:rPr>
        <w:t>L'article 12 du CIPPCD reconnaît le droit de signaler une disparition forcée et oblige les autorités à mener une enquête immédiate, approfondie, impartiale et diligente. L'État doit utiliser tous les moyens nécessaires pour clarifier les faits, déterminer le sort des victimes et le lieu où elles se trouvent</w:t>
      </w:r>
      <w:r w:rsidRPr="00A63206">
        <w:rPr>
          <w:color w:val="000000"/>
          <w:sz w:val="22"/>
          <w:szCs w:val="22"/>
          <w:vertAlign w:val="superscript"/>
          <w:lang w:val="es-ES"/>
        </w:rPr>
        <w:endnoteReference w:id="48"/>
      </w:r>
      <w:r w:rsidRPr="003910F8">
        <w:rPr>
          <w:color w:val="000000"/>
          <w:sz w:val="22"/>
          <w:szCs w:val="22"/>
          <w:lang w:val="fr-FR"/>
        </w:rPr>
        <w:t xml:space="preserve"> , identifier les responsables et garantir le droit à la vérité. Dans ces processus, il est essentiel d'intégrer une perspective de genre et d'intersectionnalité, car elle permet d'identifier les impacts différenciés que les disparitions forcées ont sur les femmes et les filles. Pour ce faire, deux outils sont essentiels : la perspective de genre, qui rend visibles les situations d'inégalité et de violence structurelle qui affectent les femmes et les filles, et l'analyse du contexte, qui permet d'examiner les facteurs historiques, sociaux, économiques et politiques qui influencent leur situation</w:t>
      </w:r>
      <w:r w:rsidRPr="00A63206">
        <w:rPr>
          <w:color w:val="000000"/>
          <w:sz w:val="22"/>
          <w:szCs w:val="22"/>
          <w:vertAlign w:val="superscript"/>
          <w:lang w:val="es-ES"/>
        </w:rPr>
        <w:endnoteReference w:id="49"/>
      </w:r>
      <w:r w:rsidRPr="003910F8">
        <w:rPr>
          <w:color w:val="000000"/>
          <w:sz w:val="22"/>
          <w:szCs w:val="22"/>
          <w:lang w:val="fr-FR"/>
        </w:rPr>
        <w:t xml:space="preserve"> . L'application conjointe de ces deux outils est cruciale pour comprendre les modèles et la dynamique de ce phénomène et pour garantir une recherche efficace et sensible sur ces réalités.</w:t>
      </w:r>
    </w:p>
    <w:p w14:paraId="1AECD62F" w14:textId="5D4F9E38"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lang w:val="fr-FR"/>
        </w:rPr>
        <w:t>Les organes judiciaires devraient veiller à ce que les enquêtes menées dans les cas de disparition forcée de femmes et de filles intègrent une perspective de genre à tous les stades de la procédure judiciaire et fassent de la violence sexuelle et sexiste un axe central de l'analyse, en tenant compte des liens avec d'autres crimes.</w:t>
      </w:r>
      <w:r w:rsidRPr="00A63206">
        <w:rPr>
          <w:color w:val="000000"/>
          <w:sz w:val="22"/>
          <w:szCs w:val="22"/>
          <w:vertAlign w:val="superscript"/>
          <w:lang w:val="es-ES"/>
        </w:rPr>
        <w:endnoteReference w:id="50"/>
      </w:r>
      <w:r w:rsidRPr="003910F8">
        <w:rPr>
          <w:color w:val="000000"/>
          <w:sz w:val="22"/>
          <w:szCs w:val="22"/>
          <w:lang w:val="fr-FR"/>
        </w:rPr>
        <w:t xml:space="preserve"> .</w:t>
      </w:r>
    </w:p>
    <w:p w14:paraId="0AC9C6E0" w14:textId="5462B1B6"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lang w:val="fr-FR"/>
        </w:rPr>
        <w:t>Dans les contextes de violations flagrantes des droits de l'homme et de violations graves du droit international humanitaire, les États peuvent être confrontés à des difficultés supplémentaires pour s'acquitter de leur obligation d'enquêter, de poursuivre et de punir</w:t>
      </w:r>
      <w:r w:rsidRPr="00A63206">
        <w:rPr>
          <w:color w:val="000000"/>
          <w:sz w:val="22"/>
          <w:szCs w:val="22"/>
          <w:vertAlign w:val="superscript"/>
          <w:lang w:val="es-ES"/>
        </w:rPr>
        <w:endnoteReference w:id="51"/>
      </w:r>
      <w:r w:rsidRPr="003910F8">
        <w:rPr>
          <w:color w:val="000000"/>
          <w:sz w:val="22"/>
          <w:szCs w:val="22"/>
          <w:lang w:val="fr-FR"/>
        </w:rPr>
        <w:t xml:space="preserve"> . Dans ces cas, il est essentiel de concevoir des systèmes complets de justice transitionnelle pour répondre à cette obligation et satisfaire les droits des victimes à la vérité, à la justice, à la réparation et à la non-</w:t>
      </w:r>
      <w:proofErr w:type="gramStart"/>
      <w:r w:rsidRPr="003910F8">
        <w:rPr>
          <w:color w:val="000000"/>
          <w:sz w:val="22"/>
          <w:szCs w:val="22"/>
          <w:lang w:val="fr-FR"/>
        </w:rPr>
        <w:t>répétition .</w:t>
      </w:r>
      <w:proofErr w:type="gramEnd"/>
      <w:r w:rsidRPr="003910F8">
        <w:rPr>
          <w:color w:val="000000"/>
          <w:sz w:val="22"/>
          <w:szCs w:val="22"/>
          <w:lang w:val="fr-FR"/>
        </w:rPr>
        <w:t xml:space="preserve"> </w:t>
      </w:r>
      <w:r w:rsidRPr="00A63206">
        <w:rPr>
          <w:color w:val="000000"/>
          <w:sz w:val="22"/>
          <w:szCs w:val="22"/>
          <w:vertAlign w:val="superscript"/>
          <w:lang w:val="es-ES"/>
        </w:rPr>
        <w:endnoteReference w:id="52"/>
      </w:r>
    </w:p>
    <w:p w14:paraId="02724996" w14:textId="36361566" w:rsidR="00A90270" w:rsidRPr="00A63206" w:rsidRDefault="00A90270" w:rsidP="003B7CEC">
      <w:pPr>
        <w:pStyle w:val="H1G"/>
        <w:rPr>
          <w:lang w:val="es-ES"/>
        </w:rPr>
      </w:pPr>
      <w:r w:rsidRPr="003910F8">
        <w:rPr>
          <w:lang w:val="fr-FR"/>
        </w:rPr>
        <w:tab/>
      </w:r>
      <w:proofErr w:type="spellStart"/>
      <w:r w:rsidRPr="00A63206">
        <w:rPr>
          <w:lang w:val="es-ES"/>
        </w:rPr>
        <w:t>iii</w:t>
      </w:r>
      <w:proofErr w:type="spellEnd"/>
      <w:r w:rsidRPr="00A63206">
        <w:rPr>
          <w:lang w:val="es-ES"/>
        </w:rPr>
        <w:t xml:space="preserve">. </w:t>
      </w:r>
      <w:r w:rsidR="003B7CEC">
        <w:rPr>
          <w:lang w:val="es-ES"/>
        </w:rPr>
        <w:tab/>
      </w:r>
      <w:proofErr w:type="spellStart"/>
      <w:r w:rsidRPr="00A63206">
        <w:rPr>
          <w:lang w:val="es-ES"/>
        </w:rPr>
        <w:t>Recherche</w:t>
      </w:r>
      <w:proofErr w:type="spellEnd"/>
      <w:r w:rsidRPr="00A63206">
        <w:rPr>
          <w:lang w:val="es-ES"/>
        </w:rPr>
        <w:t xml:space="preserve"> </w:t>
      </w:r>
    </w:p>
    <w:p w14:paraId="73B1D578" w14:textId="647CB0AC"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lang w:val="fr-FR"/>
        </w:rPr>
        <w:t>L'obligation de rechercher la personne disparue incombe exclusivement à l'État et, en vertu de l'article 24.3 de la CIPPDF, il doit adopter les mesures de recherche nécessaires pour localiser et libérer la personne disparue. Les recherches doivent être effectuées selon la présomption de vie</w:t>
      </w:r>
      <w:r w:rsidRPr="00A63206">
        <w:rPr>
          <w:color w:val="000000"/>
          <w:sz w:val="22"/>
          <w:szCs w:val="22"/>
          <w:vertAlign w:val="superscript"/>
          <w:lang w:val="es-ES"/>
        </w:rPr>
        <w:endnoteReference w:id="53"/>
      </w:r>
      <w:r w:rsidRPr="003910F8">
        <w:rPr>
          <w:color w:val="000000"/>
          <w:sz w:val="22"/>
          <w:szCs w:val="22"/>
          <w:lang w:val="fr-FR"/>
        </w:rPr>
        <w:t xml:space="preserve"> et, en cas de décès, le corps de la personne disparue doit être identifié et remis dignement à ses proches. La réponse institutionnelle doit être immédiate, coordonnée et efficace, en évitant les retards injustifiés et en respectant les principes d'égalité et de non-discrimination.</w:t>
      </w:r>
    </w:p>
    <w:p w14:paraId="1AE04C3D" w14:textId="44F6660B"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lang w:val="fr-FR"/>
        </w:rPr>
        <w:t>Les États ont l'obligation de rechercher les personnes disparues avec la diligence requise</w:t>
      </w:r>
      <w:r w:rsidRPr="003910F8">
        <w:rPr>
          <w:sz w:val="22"/>
          <w:szCs w:val="22"/>
          <w:lang w:val="fr-FR"/>
        </w:rPr>
        <w:t xml:space="preserve">, en </w:t>
      </w:r>
      <w:r w:rsidRPr="003910F8">
        <w:rPr>
          <w:color w:val="000000"/>
          <w:sz w:val="22"/>
          <w:szCs w:val="22"/>
          <w:lang w:val="fr-FR"/>
        </w:rPr>
        <w:t>appliquant une perspective de genre et une approche différenciée à chaque cas</w:t>
      </w:r>
      <w:r w:rsidRPr="00A63206">
        <w:rPr>
          <w:color w:val="000000"/>
          <w:sz w:val="22"/>
          <w:szCs w:val="22"/>
          <w:vertAlign w:val="superscript"/>
          <w:lang w:val="es-ES"/>
        </w:rPr>
        <w:endnoteReference w:id="54"/>
      </w:r>
      <w:r w:rsidRPr="003910F8">
        <w:rPr>
          <w:color w:val="000000"/>
          <w:sz w:val="22"/>
          <w:szCs w:val="22"/>
          <w:lang w:val="fr-FR"/>
        </w:rPr>
        <w:t xml:space="preserve"> . Dans le cas des femmes victimes de disparition forcée, cette obligation revêt une dimension particulière en raison des schémas de violence sexiste qui sous-tendent souvent ces crimes. La recherche est une obligation permanente et ne peut donc pas être limitée dans le temps ; elle doit se poursuivre jusqu'à ce que le sort de la personne disparue et le lieu où elle se trouve soient déterminés avec certitude</w:t>
      </w:r>
      <w:r w:rsidRPr="00A63206">
        <w:rPr>
          <w:color w:val="000000"/>
          <w:sz w:val="22"/>
          <w:szCs w:val="22"/>
          <w:vertAlign w:val="superscript"/>
          <w:lang w:val="es-ES"/>
        </w:rPr>
        <w:endnoteReference w:id="55"/>
      </w:r>
      <w:r w:rsidRPr="003910F8">
        <w:rPr>
          <w:color w:val="000000"/>
          <w:sz w:val="22"/>
          <w:szCs w:val="22"/>
          <w:lang w:val="fr-FR"/>
        </w:rPr>
        <w:t xml:space="preserve"> . Les politiques de recherche des femmes et des filles disparues doivent s'inscrire dans un cadre plus large de prévention et d'éradication de la violence à l'égard des femmes.</w:t>
      </w:r>
    </w:p>
    <w:p w14:paraId="17249B28" w14:textId="5A34B0BF"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lang w:val="fr-FR"/>
        </w:rPr>
        <w:t xml:space="preserve">Si les familles, et dans une plus large mesure les femmes, ont toujours joué un rôle actif dans la localisation de leurs proches disparus, cela n'exempte pas les autorités de leur devoir premier de recherche. L'État doit adopter toutes les mesures nécessaires pour localiser la personne disparue, en évitant de victimiser à nouveau les femmes chargées des recherches et en veillant à ce que leur intervention dans ces processus soit une option et non une obligation découlant de l'inaction de l'État. </w:t>
      </w:r>
    </w:p>
    <w:p w14:paraId="0EDAD69E" w14:textId="3AB92AF8"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lang w:val="fr-FR"/>
        </w:rPr>
        <w:lastRenderedPageBreak/>
        <w:t xml:space="preserve">Certains États ont choisi de créer des unités spécialisées dans </w:t>
      </w:r>
      <w:r w:rsidRPr="003910F8">
        <w:rPr>
          <w:sz w:val="22"/>
          <w:szCs w:val="22"/>
          <w:lang w:val="fr-FR"/>
        </w:rPr>
        <w:t xml:space="preserve">la </w:t>
      </w:r>
      <w:r w:rsidRPr="003910F8">
        <w:rPr>
          <w:color w:val="000000"/>
          <w:sz w:val="22"/>
          <w:szCs w:val="22"/>
          <w:lang w:val="fr-FR"/>
        </w:rPr>
        <w:t xml:space="preserve">recherche des personnes disparues. </w:t>
      </w:r>
      <w:r w:rsidRPr="003910F8">
        <w:rPr>
          <w:sz w:val="22"/>
          <w:szCs w:val="22"/>
          <w:lang w:val="fr-FR"/>
        </w:rPr>
        <w:t xml:space="preserve">Il est essentiel de </w:t>
      </w:r>
      <w:r w:rsidRPr="003910F8">
        <w:rPr>
          <w:color w:val="000000"/>
          <w:sz w:val="22"/>
          <w:szCs w:val="22"/>
          <w:lang w:val="fr-FR"/>
        </w:rPr>
        <w:t xml:space="preserve">veiller à ce que la perspective de genre soit un pilier transversal </w:t>
      </w:r>
      <w:r w:rsidRPr="003910F8">
        <w:rPr>
          <w:sz w:val="22"/>
          <w:szCs w:val="22"/>
          <w:lang w:val="fr-FR"/>
        </w:rPr>
        <w:t>dans le développement de leur travail.</w:t>
      </w:r>
    </w:p>
    <w:p w14:paraId="418C4803" w14:textId="0CCA183C"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lang w:val="fr-FR"/>
        </w:rPr>
        <w:t>Les autorités chargées de l'enquête doivent appliquer rigoureusement les sciences médico-légales pour garantir l'identification des victimes, la clarification des faits et la préservation des preuves, assurant ainsi l'accès à la vérité et à la justice. Il est essentiel d'intégrer une perspective de genre dans ces processus afin de reconnaître la dynamique spécifique de la violence à l'égard des femmes et des filles.</w:t>
      </w:r>
    </w:p>
    <w:p w14:paraId="295D1757" w14:textId="4982D8F9"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lang w:val="fr-FR"/>
        </w:rPr>
        <w:t>La remise digne des dépouilles des victimes est une mesure fondamentale pour la réparation intégrale des familles. Cette remise ne doit pas être réduite à un simple acte administratif, mais doit intégrer des rituels et des procédures qui respectent l'identité culturelle, les croyances et les souhaits des proches.</w:t>
      </w:r>
      <w:r w:rsidRPr="00A63206">
        <w:rPr>
          <w:color w:val="000000"/>
          <w:sz w:val="22"/>
          <w:szCs w:val="22"/>
          <w:vertAlign w:val="superscript"/>
          <w:lang w:val="es-ES"/>
        </w:rPr>
        <w:endnoteReference w:id="56"/>
      </w:r>
      <w:r w:rsidRPr="003910F8">
        <w:rPr>
          <w:color w:val="000000"/>
          <w:sz w:val="22"/>
          <w:szCs w:val="22"/>
          <w:lang w:val="fr-FR"/>
        </w:rPr>
        <w:t xml:space="preserve"> En outre, l'État doit garantir l'accès à des mesures complètes de soutien psychosocial et juridique pour accompagner les familles victimes dans ce processus, afin de minimiser l'impact émotionnel et de renforcer leur capacité à demander justice.</w:t>
      </w:r>
    </w:p>
    <w:p w14:paraId="2677C20A" w14:textId="0199F5AB" w:rsidR="00A90270" w:rsidRPr="003910F8" w:rsidRDefault="00A90270" w:rsidP="00650ABC">
      <w:pPr>
        <w:pStyle w:val="H1G"/>
        <w:rPr>
          <w:lang w:val="fr-FR"/>
        </w:rPr>
      </w:pPr>
      <w:r w:rsidRPr="003910F8">
        <w:rPr>
          <w:lang w:val="fr-FR"/>
        </w:rPr>
        <w:tab/>
        <w:t xml:space="preserve">iv. </w:t>
      </w:r>
      <w:r w:rsidR="00650ABC" w:rsidRPr="003910F8">
        <w:rPr>
          <w:lang w:val="fr-FR"/>
        </w:rPr>
        <w:tab/>
      </w:r>
      <w:r w:rsidRPr="003910F8">
        <w:rPr>
          <w:lang w:val="fr-FR"/>
        </w:rPr>
        <w:t>Participation aux processus de recherche et droit d'association</w:t>
      </w:r>
    </w:p>
    <w:p w14:paraId="694BC2FA" w14:textId="0B293475"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lang w:val="fr-FR"/>
        </w:rPr>
        <w:t>Le droit de participer aux processus d'enquête et de recherche est essentiel. Les femmes qui effectuent des recherches sont confrontées à des obstacles institutionnels allant du manque d'accès à l'information à la minimisation de leurs plaintes. Cela renforce la nécessité d'adopter des protocoles spécialisés avec une perspective de genre qui facilitent la participation des familles à toutes les étapes du processus, en garantissant leur droit à connaître la vérité sur ce qui s'est passé et à recevoir un traitement respectueux de la part des institutions en charge.</w:t>
      </w:r>
    </w:p>
    <w:p w14:paraId="4FE825B3" w14:textId="5B14C12B"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lang w:val="fr-FR"/>
        </w:rPr>
        <w:t>Dans ce cadre, le droit d'accès à l'information sur le processus de recherche est une garantie indispensable pour les chercheuses. Elles doivent disposer d'informations claires, précises et opportunes sur les actions entreprises par les autorités, les progrès de l'enquête, la localisation de la personne disparue et les stratégies adoptées. Le manque de transparence ou la réticence de l'Etat à partager l'information viole non seulement le droit des victimes, mais aussi le principe de confiance légitime qui doit régir les relations entre les institutions et les personnes confrontées à l'incertitude d'une disparition.</w:t>
      </w:r>
    </w:p>
    <w:p w14:paraId="19480D38" w14:textId="10FE8030"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lang w:val="fr-FR"/>
        </w:rPr>
        <w:t xml:space="preserve">En vertu de l'article 24.7 de la CIPPDF, l'Etat doit garantir le droit des victimes à former librement des organisations et des associations et à y participer. Les femmes en recherche et les organisations qui les accompagnent représentent une garantie essentielle pour la construction de réseaux de soutien, la demande collective de justice et la </w:t>
      </w:r>
      <w:r w:rsidRPr="003910F8">
        <w:rPr>
          <w:sz w:val="22"/>
          <w:szCs w:val="22"/>
          <w:lang w:val="fr-FR"/>
        </w:rPr>
        <w:t xml:space="preserve">visibilité du phénomène des </w:t>
      </w:r>
      <w:r w:rsidRPr="003910F8">
        <w:rPr>
          <w:color w:val="000000"/>
          <w:sz w:val="22"/>
          <w:szCs w:val="22"/>
          <w:lang w:val="fr-FR"/>
        </w:rPr>
        <w:t>disparitions forcées. L'État doit non seulement respecter ce droit, mais aussi faciliter les conditions qui permettent l'articulation et le renforcement de ces groupes, en fournissant un soutien institutionnel et en évitant toute forme d'obstruction ou de criminalisation de leur travail.</w:t>
      </w:r>
    </w:p>
    <w:p w14:paraId="51201D53" w14:textId="0B35B9C2"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lang w:val="fr-FR"/>
        </w:rPr>
        <w:t xml:space="preserve">L'association entre femmes chercheuses est essentielle car elle permet à ces femmes de ne pas parler uniquement de leur propre cas, en </w:t>
      </w:r>
      <w:r w:rsidRPr="003910F8">
        <w:rPr>
          <w:sz w:val="22"/>
          <w:szCs w:val="22"/>
          <w:lang w:val="fr-FR"/>
        </w:rPr>
        <w:t xml:space="preserve">les aidant </w:t>
      </w:r>
      <w:r w:rsidRPr="003910F8">
        <w:rPr>
          <w:color w:val="000000"/>
          <w:sz w:val="22"/>
          <w:szCs w:val="22"/>
          <w:lang w:val="fr-FR"/>
        </w:rPr>
        <w:t xml:space="preserve">à assumer une transversalité qui leur permet de construire une </w:t>
      </w:r>
      <w:r w:rsidRPr="003910F8">
        <w:rPr>
          <w:i/>
          <w:color w:val="000000"/>
          <w:sz w:val="22"/>
          <w:szCs w:val="22"/>
          <w:lang w:val="fr-FR"/>
        </w:rPr>
        <w:t xml:space="preserve">lutte collective </w:t>
      </w:r>
      <w:r w:rsidRPr="003910F8">
        <w:rPr>
          <w:color w:val="000000"/>
          <w:sz w:val="22"/>
          <w:szCs w:val="22"/>
          <w:lang w:val="fr-FR"/>
        </w:rPr>
        <w:t>et de créer un soutien qui est souvent décisif pour leur implication dans le processus de recherche d'un membre disparu de leur famille</w:t>
      </w:r>
      <w:r w:rsidRPr="00A63206">
        <w:rPr>
          <w:color w:val="000000"/>
          <w:sz w:val="22"/>
          <w:szCs w:val="22"/>
          <w:vertAlign w:val="superscript"/>
          <w:lang w:val="es-ES"/>
        </w:rPr>
        <w:endnoteReference w:id="57"/>
      </w:r>
      <w:r w:rsidRPr="003910F8">
        <w:rPr>
          <w:color w:val="000000"/>
          <w:sz w:val="22"/>
          <w:szCs w:val="22"/>
          <w:lang w:val="fr-FR"/>
        </w:rPr>
        <w:t xml:space="preserve"> , car il aide à donner un sens à la situation qu'elles vivent.</w:t>
      </w:r>
    </w:p>
    <w:p w14:paraId="3D963A6E" w14:textId="22FF2D37"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lang w:val="fr-FR"/>
        </w:rPr>
        <w:t>Le processus personnel des chercheuses soutenues par d'autres femmes ayant vécu des expériences similaires contribue à leur autonomisation, c'est-à-dire à la promotion de leur estime de soi, de leur capacité à prendre leurs propres décisions et de leur droit à influencer le changement social pour elles-mêmes et pour les autres</w:t>
      </w:r>
      <w:r w:rsidRPr="00A63206">
        <w:rPr>
          <w:color w:val="000000"/>
          <w:sz w:val="22"/>
          <w:szCs w:val="22"/>
          <w:vertAlign w:val="superscript"/>
          <w:lang w:val="es-ES"/>
        </w:rPr>
        <w:endnoteReference w:id="58"/>
      </w:r>
      <w:r w:rsidRPr="003910F8">
        <w:rPr>
          <w:color w:val="000000"/>
          <w:sz w:val="22"/>
          <w:szCs w:val="22"/>
          <w:lang w:val="fr-FR"/>
        </w:rPr>
        <w:t xml:space="preserve"> . Ce processus de croissance collective et d'autonomisation génère un renforcement décisif face aux difficultés psychologiques et sociales liées à la recherche d'un être cher disparu</w:t>
      </w:r>
      <w:r w:rsidRPr="003910F8">
        <w:rPr>
          <w:color w:val="9900FF"/>
          <w:sz w:val="22"/>
          <w:szCs w:val="22"/>
          <w:lang w:val="fr-FR"/>
        </w:rPr>
        <w:t>.</w:t>
      </w:r>
    </w:p>
    <w:p w14:paraId="5953B3DA" w14:textId="267C6D0B" w:rsidR="00A90270" w:rsidRPr="00A63206" w:rsidRDefault="00650ABC" w:rsidP="00650ABC">
      <w:pPr>
        <w:pStyle w:val="H1G"/>
        <w:rPr>
          <w:lang w:val="es-ES"/>
        </w:rPr>
      </w:pPr>
      <w:r w:rsidRPr="003910F8">
        <w:rPr>
          <w:highlight w:val="white"/>
          <w:lang w:val="fr-FR"/>
        </w:rPr>
        <w:lastRenderedPageBreak/>
        <w:tab/>
      </w:r>
      <w:r w:rsidR="00A90270" w:rsidRPr="00A63206">
        <w:rPr>
          <w:highlight w:val="white"/>
          <w:lang w:val="es-ES"/>
        </w:rPr>
        <w:t xml:space="preserve">v. </w:t>
      </w:r>
      <w:r>
        <w:rPr>
          <w:highlight w:val="white"/>
          <w:lang w:val="es-ES"/>
        </w:rPr>
        <w:tab/>
      </w:r>
      <w:proofErr w:type="spellStart"/>
      <w:r w:rsidR="00A90270" w:rsidRPr="00A63206">
        <w:rPr>
          <w:lang w:val="es-ES"/>
        </w:rPr>
        <w:t>Protection</w:t>
      </w:r>
      <w:proofErr w:type="spellEnd"/>
      <w:r w:rsidR="00A90270" w:rsidRPr="00A63206">
        <w:rPr>
          <w:lang w:val="es-ES"/>
        </w:rPr>
        <w:t xml:space="preserve"> de </w:t>
      </w:r>
      <w:proofErr w:type="spellStart"/>
      <w:r w:rsidR="00A90270" w:rsidRPr="00A63206">
        <w:rPr>
          <w:lang w:val="es-ES"/>
        </w:rPr>
        <w:t>l'environnement</w:t>
      </w:r>
      <w:proofErr w:type="spellEnd"/>
    </w:p>
    <w:p w14:paraId="36B58CA2" w14:textId="6AE26C14"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lang w:val="fr-FR"/>
        </w:rPr>
        <w:t xml:space="preserve">Le droit à la protection contre les menaces, les agressions et toutes les formes de violence est une obligation incontournable de l'État, conformément à l'article 18.2 de la CIPPDF. Les États doivent garantir le droit des femmes à chercher sans crainte et sans mettre en danger leur vie et celle de leur famille dans la recherche de leurs proches. En ce sens, les États ont un devoir de protection spéciale, car les femmes qui effectuent des recherches courent un risque sérieux de subir diverses violations des droits de l'homme. </w:t>
      </w:r>
      <w:r w:rsidRPr="003910F8">
        <w:rPr>
          <w:sz w:val="22"/>
          <w:szCs w:val="22"/>
          <w:lang w:val="fr-FR"/>
        </w:rPr>
        <w:t>À cette fin, l'État doit évaluer le risque et déterminer les mesures de protection appropriées, veiller à ce qu'elles soient adoptées en consultation avec les personnes ayant besoin d'une protection et les réévaluer si nécessaire</w:t>
      </w:r>
      <w:r w:rsidRPr="00A63206">
        <w:rPr>
          <w:color w:val="000000"/>
          <w:sz w:val="22"/>
          <w:szCs w:val="22"/>
          <w:vertAlign w:val="superscript"/>
          <w:lang w:val="es-ES"/>
        </w:rPr>
        <w:endnoteReference w:id="59"/>
      </w:r>
      <w:r w:rsidRPr="003910F8">
        <w:rPr>
          <w:sz w:val="22"/>
          <w:szCs w:val="22"/>
          <w:lang w:val="fr-FR"/>
        </w:rPr>
        <w:t xml:space="preserve"> . À cette fin, il doit mettre en place des mécanismes efficaces de prévention et de réaction à toute menace contre leur intégrité et leur </w:t>
      </w:r>
      <w:proofErr w:type="gramStart"/>
      <w:r w:rsidRPr="003910F8">
        <w:rPr>
          <w:sz w:val="22"/>
          <w:szCs w:val="22"/>
          <w:lang w:val="fr-FR"/>
        </w:rPr>
        <w:t>sécurité .</w:t>
      </w:r>
      <w:proofErr w:type="gramEnd"/>
      <w:r w:rsidRPr="00A63206">
        <w:rPr>
          <w:sz w:val="22"/>
          <w:szCs w:val="22"/>
          <w:vertAlign w:val="superscript"/>
          <w:lang w:val="es-ES"/>
        </w:rPr>
        <w:endnoteReference w:id="60"/>
      </w:r>
    </w:p>
    <w:p w14:paraId="69ACF698" w14:textId="0E700D73" w:rsidR="00A90270" w:rsidRPr="00A63206" w:rsidRDefault="00650ABC" w:rsidP="006871F1">
      <w:pPr>
        <w:pStyle w:val="H1G"/>
        <w:rPr>
          <w:highlight w:val="white"/>
          <w:lang w:val="es-ES"/>
        </w:rPr>
      </w:pPr>
      <w:r w:rsidRPr="003910F8">
        <w:rPr>
          <w:highlight w:val="white"/>
          <w:lang w:val="fr-FR"/>
        </w:rPr>
        <w:tab/>
      </w:r>
      <w:r w:rsidR="00A90270" w:rsidRPr="00A63206">
        <w:rPr>
          <w:highlight w:val="white"/>
          <w:lang w:val="es-ES"/>
        </w:rPr>
        <w:t xml:space="preserve">vi. </w:t>
      </w:r>
      <w:r>
        <w:rPr>
          <w:highlight w:val="white"/>
          <w:lang w:val="es-ES"/>
        </w:rPr>
        <w:tab/>
      </w:r>
      <w:proofErr w:type="spellStart"/>
      <w:r w:rsidR="00A90270" w:rsidRPr="00A63206">
        <w:rPr>
          <w:highlight w:val="white"/>
          <w:lang w:val="es-ES"/>
        </w:rPr>
        <w:t>Réparation</w:t>
      </w:r>
      <w:proofErr w:type="spellEnd"/>
    </w:p>
    <w:p w14:paraId="77F81599" w14:textId="6FD952BB" w:rsidR="00A90270" w:rsidRPr="003910F8" w:rsidRDefault="00A90270" w:rsidP="006871F1">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lang w:val="fr-FR"/>
        </w:rPr>
        <w:t>L'article 24.5 de la CIPPDF établit que les victimes ont droit à une réparation intégrale. Selon l'article 24.1 de la CIPPDF, une victime est toute personne qui a subi un préjudice direct du fait d'une disparition forcée. A cette fin, l'Etat doit comprendre la spécificité du préjudice auquel les femmes et les filles sont exposées, ordonner des mesures de réparation spécifiques</w:t>
      </w:r>
      <w:r w:rsidRPr="00A63206">
        <w:rPr>
          <w:color w:val="000000"/>
          <w:sz w:val="22"/>
          <w:szCs w:val="22"/>
          <w:vertAlign w:val="superscript"/>
          <w:lang w:val="es-ES"/>
        </w:rPr>
        <w:endnoteReference w:id="61"/>
      </w:r>
      <w:r w:rsidRPr="003910F8">
        <w:rPr>
          <w:color w:val="000000"/>
          <w:sz w:val="22"/>
          <w:szCs w:val="22"/>
          <w:lang w:val="fr-FR"/>
        </w:rPr>
        <w:t xml:space="preserve"> et couvrir les différentes affectations subies, tant dans leur intégrité physique, émotionnelle, économique que sociale.</w:t>
      </w:r>
    </w:p>
    <w:p w14:paraId="4E98DED2" w14:textId="4BB7F5E2"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sz w:val="22"/>
          <w:szCs w:val="22"/>
          <w:lang w:val="fr-FR"/>
        </w:rPr>
        <w:t>Selon l'article 24.4 de la CIPDH</w:t>
      </w:r>
      <w:r w:rsidRPr="003910F8">
        <w:rPr>
          <w:color w:val="000000"/>
          <w:sz w:val="22"/>
          <w:szCs w:val="22"/>
          <w:lang w:val="fr-FR"/>
        </w:rPr>
        <w:t xml:space="preserve">, les États parties doivent veiller à ce que leur système juridique garantisse aux femmes </w:t>
      </w:r>
      <w:r w:rsidRPr="003910F8">
        <w:rPr>
          <w:sz w:val="22"/>
          <w:szCs w:val="22"/>
          <w:lang w:val="fr-FR"/>
        </w:rPr>
        <w:t xml:space="preserve">victimes de </w:t>
      </w:r>
      <w:r w:rsidRPr="003910F8">
        <w:rPr>
          <w:color w:val="000000"/>
          <w:sz w:val="22"/>
          <w:szCs w:val="22"/>
          <w:lang w:val="fr-FR"/>
        </w:rPr>
        <w:t>disparition le droit à une indemnisation rapide, équitable et adéquate. De leur côté, les Principes fondamentaux et directives concernant le droit à un recours et à réparation des victimes de violations flagrantes du droit international des droits de l'homme et de violations graves du droit international humanitaire</w:t>
      </w:r>
      <w:r w:rsidRPr="00A63206">
        <w:rPr>
          <w:color w:val="000000"/>
          <w:sz w:val="22"/>
          <w:szCs w:val="22"/>
          <w:highlight w:val="white"/>
          <w:vertAlign w:val="superscript"/>
          <w:lang w:val="es-ES"/>
        </w:rPr>
        <w:endnoteReference w:id="62"/>
      </w:r>
      <w:r w:rsidRPr="003910F8">
        <w:rPr>
          <w:color w:val="000000"/>
          <w:sz w:val="22"/>
          <w:szCs w:val="22"/>
          <w:lang w:val="fr-FR"/>
        </w:rPr>
        <w:t xml:space="preserve"> prévoient la conception et la mise en œuvre de programmes de réparation administrative pour satisfaire le droit à réparation des victimes.  </w:t>
      </w:r>
    </w:p>
    <w:p w14:paraId="432131B4" w14:textId="13C07CAA"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sz w:val="22"/>
          <w:szCs w:val="22"/>
          <w:lang w:val="fr-FR"/>
        </w:rPr>
        <w:t xml:space="preserve">La réparation </w:t>
      </w:r>
      <w:r w:rsidRPr="003910F8">
        <w:rPr>
          <w:color w:val="000000"/>
          <w:sz w:val="22"/>
          <w:szCs w:val="22"/>
          <w:lang w:val="fr-FR"/>
        </w:rPr>
        <w:t xml:space="preserve">devrait couvrir à la fois les dommages matériels et moraux subis par les femmes et les filles disparues de force et les chercheuses. La réparation devrait aller au-delà de la restitution </w:t>
      </w:r>
      <w:r w:rsidRPr="003910F8">
        <w:rPr>
          <w:sz w:val="22"/>
          <w:szCs w:val="22"/>
          <w:lang w:val="fr-FR"/>
        </w:rPr>
        <w:t xml:space="preserve">de </w:t>
      </w:r>
      <w:r w:rsidRPr="003910F8">
        <w:rPr>
          <w:color w:val="000000"/>
          <w:sz w:val="22"/>
          <w:szCs w:val="22"/>
          <w:lang w:val="fr-FR"/>
        </w:rPr>
        <w:t xml:space="preserve">leurs droits et de leurs biens, et devrait prendre en compte les effets du préjudice émotionnel sur leurs familles et leurs proches. Pour les chercheuses, l'indemnisation </w:t>
      </w:r>
      <w:r w:rsidRPr="003910F8">
        <w:rPr>
          <w:sz w:val="22"/>
          <w:szCs w:val="22"/>
          <w:lang w:val="fr-FR"/>
        </w:rPr>
        <w:t xml:space="preserve">devrait reconnaître les </w:t>
      </w:r>
      <w:r w:rsidRPr="003910F8">
        <w:rPr>
          <w:color w:val="000000"/>
          <w:sz w:val="22"/>
          <w:szCs w:val="22"/>
          <w:lang w:val="fr-FR"/>
        </w:rPr>
        <w:t xml:space="preserve">coûts de la recherche, y compris les frais de déplacement, les frais juridiques, la documentation et les autres coûts associés à la lutte pour la vérité et la justice, tels que les pertes de salaire et d'opportunités économiques, ainsi que l'impact émotionnel, physique et économique que ces tâches ont sur la vie quotidienne des </w:t>
      </w:r>
      <w:r w:rsidRPr="003910F8">
        <w:rPr>
          <w:sz w:val="22"/>
          <w:szCs w:val="22"/>
          <w:lang w:val="fr-FR"/>
        </w:rPr>
        <w:t>chercheuses.</w:t>
      </w:r>
    </w:p>
    <w:p w14:paraId="257AFBDC" w14:textId="5D00BE8F"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lang w:val="fr-FR"/>
        </w:rPr>
        <w:t xml:space="preserve">Le processus de réadaptation des femmes victimes de disparition forcée doit être complet et prendre en compte les besoins émotionnels, physiques, économiques et sociaux des femmes et des filles disparues et des femmes qui les recherchent. Les femmes en recherche et leur entourage familial ont besoin d'un soutien psychologique et social pour surmonter le traumatisme généré par la disparition et devraient recevoir une assistance pour reprendre leurs projets de vie, y compris l'accès à des services de santé mentale et à des programmes de soutien familial. </w:t>
      </w:r>
    </w:p>
    <w:p w14:paraId="4334E739" w14:textId="2638F936"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lang w:val="fr-FR"/>
        </w:rPr>
        <w:t xml:space="preserve">Dans ce contexte, la satisfaction implique la reconnaissance de la souffrance des femmes et des filles victimes de disparitions forcées et des femmes qui les recherchent. En outre, les victimes doivent être reconnues publiquement et l'État doit assumer la responsabilité des violations des droits de l'homme. Les femmes doivent avoir la possibilité d'exprimer leur douleur et leur lutte, d'être incluses dans les processus de justice et de mémoire historique, et d'être considérées comme des défenseurs des droits de l'homme. La satisfaction doit inclure des mesures visant à préserver la mémoire des femmes et des filles disparues de force et des femmes qui les recherchent. </w:t>
      </w:r>
    </w:p>
    <w:p w14:paraId="49E20A65" w14:textId="087CB323"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lang w:val="fr-FR"/>
        </w:rPr>
        <w:t xml:space="preserve">Les garanties de non-répétition sont essentielles pour éviter que les disparitions forcées de femmes et de filles et la violence structurelle à laquelle sont confrontées les femmes en quête de vérité ne se reproduisent à </w:t>
      </w:r>
      <w:r w:rsidRPr="003910F8">
        <w:rPr>
          <w:color w:val="000000"/>
          <w:sz w:val="22"/>
          <w:szCs w:val="22"/>
          <w:lang w:val="fr-FR"/>
        </w:rPr>
        <w:lastRenderedPageBreak/>
        <w:t xml:space="preserve">l'avenir. Il est essentiel de renforcer les capacités des institutions chargées de protéger les droits des femmes et des filles, en veillant à ce que les femmes qui luttent pour la vérité et la justice ne soient pas soumises à des violences fondées sur le genre ou à une </w:t>
      </w:r>
      <w:proofErr w:type="spellStart"/>
      <w:r w:rsidRPr="003910F8">
        <w:rPr>
          <w:color w:val="000000"/>
          <w:sz w:val="22"/>
          <w:szCs w:val="22"/>
          <w:lang w:val="fr-FR"/>
        </w:rPr>
        <w:t>revictimisation</w:t>
      </w:r>
      <w:proofErr w:type="spellEnd"/>
      <w:r w:rsidRPr="003910F8">
        <w:rPr>
          <w:color w:val="000000"/>
          <w:sz w:val="22"/>
          <w:szCs w:val="22"/>
          <w:lang w:val="fr-FR"/>
        </w:rPr>
        <w:t xml:space="preserve"> dans le cadre de ce processus.</w:t>
      </w:r>
    </w:p>
    <w:p w14:paraId="75A0D84D" w14:textId="74D04712" w:rsidR="00A90270" w:rsidRPr="00A63206" w:rsidRDefault="0016694D" w:rsidP="0016694D">
      <w:pPr>
        <w:pStyle w:val="H23G"/>
        <w:rPr>
          <w:lang w:val="es-ES"/>
        </w:rPr>
      </w:pPr>
      <w:r w:rsidRPr="003910F8">
        <w:rPr>
          <w:lang w:val="fr-FR"/>
        </w:rPr>
        <w:tab/>
      </w:r>
      <w:r>
        <w:rPr>
          <w:lang w:val="es-ES"/>
        </w:rPr>
        <w:t>a.</w:t>
      </w:r>
      <w:r>
        <w:rPr>
          <w:lang w:val="es-ES"/>
        </w:rPr>
        <w:tab/>
      </w:r>
      <w:r w:rsidR="00A90270" w:rsidRPr="00D02339">
        <w:rPr>
          <w:lang w:val="es-ES"/>
        </w:rPr>
        <w:t xml:space="preserve"> La </w:t>
      </w:r>
      <w:proofErr w:type="spellStart"/>
      <w:r w:rsidR="00A90270" w:rsidRPr="00D02339">
        <w:rPr>
          <w:lang w:val="es-ES"/>
        </w:rPr>
        <w:t>mémoire</w:t>
      </w:r>
      <w:proofErr w:type="spellEnd"/>
    </w:p>
    <w:p w14:paraId="5675758C" w14:textId="705E93D1"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highlight w:val="white"/>
          <w:lang w:val="fr-FR"/>
        </w:rPr>
        <w:t>La mémoire est la manière dont les individus et les peuples construisent le sens du passé et relient le passage du temps au présent par l'acte de se souvenir</w:t>
      </w:r>
      <w:r w:rsidRPr="00A63206">
        <w:rPr>
          <w:color w:val="000000"/>
          <w:sz w:val="22"/>
          <w:szCs w:val="22"/>
          <w:highlight w:val="white"/>
          <w:vertAlign w:val="superscript"/>
          <w:lang w:val="es-ES"/>
        </w:rPr>
        <w:endnoteReference w:id="63"/>
      </w:r>
      <w:r w:rsidRPr="003910F8">
        <w:rPr>
          <w:color w:val="000000"/>
          <w:sz w:val="22"/>
          <w:szCs w:val="22"/>
          <w:highlight w:val="white"/>
          <w:lang w:val="fr-FR"/>
        </w:rPr>
        <w:t xml:space="preserve"> . La mémoire est un corollaire du droit à la vérité, qui est de la plus haute importance pour garantir la mise en œuvre de mesures de </w:t>
      </w:r>
      <w:r w:rsidRPr="003910F8">
        <w:rPr>
          <w:color w:val="000000"/>
          <w:sz w:val="22"/>
          <w:szCs w:val="22"/>
          <w:lang w:val="fr-FR"/>
        </w:rPr>
        <w:t xml:space="preserve">non-répétition </w:t>
      </w:r>
      <w:r w:rsidRPr="003910F8">
        <w:rPr>
          <w:color w:val="000000"/>
          <w:sz w:val="22"/>
          <w:szCs w:val="22"/>
          <w:highlight w:val="white"/>
          <w:lang w:val="fr-FR"/>
        </w:rPr>
        <w:t xml:space="preserve">des événements </w:t>
      </w:r>
      <w:proofErr w:type="gramStart"/>
      <w:r w:rsidRPr="003910F8">
        <w:rPr>
          <w:color w:val="000000"/>
          <w:sz w:val="22"/>
          <w:szCs w:val="22"/>
          <w:highlight w:val="white"/>
          <w:lang w:val="fr-FR"/>
        </w:rPr>
        <w:t>passés .</w:t>
      </w:r>
      <w:proofErr w:type="gramEnd"/>
      <w:r w:rsidRPr="00A63206">
        <w:rPr>
          <w:color w:val="000000"/>
          <w:sz w:val="22"/>
          <w:szCs w:val="22"/>
          <w:highlight w:val="white"/>
          <w:vertAlign w:val="superscript"/>
          <w:lang w:val="es-ES"/>
        </w:rPr>
        <w:endnoteReference w:id="64"/>
      </w:r>
    </w:p>
    <w:p w14:paraId="6207943D" w14:textId="32F03503"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highlight w:val="white"/>
          <w:lang w:val="fr-FR"/>
        </w:rPr>
        <w:t>Les disparitions forcées sont un défi pour la construction des processus de paix.  Les femmes, les filles et leurs familles deviennent des agents fondamentaux de la coexistence, de la mémoire et de la réconciliation</w:t>
      </w:r>
      <w:r w:rsidRPr="00A63206">
        <w:rPr>
          <w:color w:val="000000"/>
          <w:sz w:val="22"/>
          <w:szCs w:val="22"/>
          <w:highlight w:val="white"/>
          <w:vertAlign w:val="superscript"/>
          <w:lang w:val="es-ES"/>
        </w:rPr>
        <w:endnoteReference w:id="65"/>
      </w:r>
      <w:r w:rsidRPr="003910F8">
        <w:rPr>
          <w:color w:val="000000"/>
          <w:sz w:val="22"/>
          <w:szCs w:val="22"/>
          <w:highlight w:val="white"/>
          <w:lang w:val="fr-FR"/>
        </w:rPr>
        <w:t xml:space="preserve"> . La mémoire est un moyen de justice, il est donc essentiel que les États, par le biais de décisions judiciaires, législatives et administratives, garantissent la conception et la mise en œuvre de politiques publiques axées sur la mémoire. Plus précisément, la préservation physique des sites de mémoire doit être assurée, en évitant l'enlèvement, la </w:t>
      </w:r>
      <w:r w:rsidRPr="003910F8">
        <w:rPr>
          <w:color w:val="000000"/>
          <w:sz w:val="22"/>
          <w:szCs w:val="22"/>
          <w:lang w:val="fr-FR"/>
        </w:rPr>
        <w:t xml:space="preserve">destruction </w:t>
      </w:r>
      <w:r w:rsidRPr="003910F8">
        <w:rPr>
          <w:color w:val="000000"/>
          <w:sz w:val="22"/>
          <w:szCs w:val="22"/>
          <w:highlight w:val="white"/>
          <w:lang w:val="fr-FR"/>
        </w:rPr>
        <w:t xml:space="preserve">ou la falsification d'images, de plans, de documents, d'archives ou de tout autre type d'information qui reconstitue la réalité des violations des droits de l'homme liées aux disparitions </w:t>
      </w:r>
      <w:proofErr w:type="gramStart"/>
      <w:r w:rsidRPr="003910F8">
        <w:rPr>
          <w:color w:val="000000"/>
          <w:sz w:val="22"/>
          <w:szCs w:val="22"/>
          <w:highlight w:val="white"/>
          <w:lang w:val="fr-FR"/>
        </w:rPr>
        <w:t>forcées .</w:t>
      </w:r>
      <w:proofErr w:type="gramEnd"/>
      <w:r w:rsidRPr="00A63206">
        <w:rPr>
          <w:color w:val="000000"/>
          <w:sz w:val="22"/>
          <w:szCs w:val="22"/>
          <w:highlight w:val="white"/>
          <w:vertAlign w:val="superscript"/>
          <w:lang w:val="es-ES"/>
        </w:rPr>
        <w:endnoteReference w:id="66"/>
      </w:r>
    </w:p>
    <w:p w14:paraId="34C3EB57" w14:textId="1C509EF3"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highlight w:val="white"/>
          <w:lang w:val="fr-FR"/>
        </w:rPr>
        <w:t xml:space="preserve">Historiquement, la construction de la mémoire s'est faite avec un </w:t>
      </w:r>
      <w:r w:rsidRPr="003910F8">
        <w:rPr>
          <w:color w:val="000000"/>
          <w:sz w:val="22"/>
          <w:szCs w:val="22"/>
          <w:lang w:val="fr-FR"/>
        </w:rPr>
        <w:t xml:space="preserve">regard </w:t>
      </w:r>
      <w:r w:rsidRPr="003910F8">
        <w:rPr>
          <w:color w:val="000000"/>
          <w:sz w:val="22"/>
          <w:szCs w:val="22"/>
          <w:highlight w:val="white"/>
          <w:lang w:val="fr-FR"/>
        </w:rPr>
        <w:t>masculin, ce qui a rendu invisible le rôle des femmes dans la résistance et la recherche de la justice. La participation des victimes à l'élaboration des politiques de la mémoire est essentielle pour qu'elles disposent d'espaces sérieux, exempts de discrimination et de violence fondée sur le genre, où elles puissent faire connaître leur point de vue et informer l'État de leurs besoins spécifiques, et pour que les femmes disparues de force et les femmes en quête de justice obtiennent une réparation complète.</w:t>
      </w:r>
    </w:p>
    <w:p w14:paraId="14C3D41F" w14:textId="77777777" w:rsidR="0016694D" w:rsidRPr="003910F8" w:rsidRDefault="00A90270" w:rsidP="0016694D">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highlight w:val="white"/>
          <w:lang w:val="fr-FR"/>
        </w:rPr>
        <w:t xml:space="preserve">La mémoire est directement liée au </w:t>
      </w:r>
      <w:r w:rsidRPr="003910F8">
        <w:rPr>
          <w:color w:val="000000"/>
          <w:sz w:val="22"/>
          <w:szCs w:val="22"/>
          <w:lang w:val="fr-FR"/>
        </w:rPr>
        <w:t xml:space="preserve">droit </w:t>
      </w:r>
      <w:r w:rsidRPr="003910F8">
        <w:rPr>
          <w:color w:val="000000"/>
          <w:sz w:val="22"/>
          <w:szCs w:val="22"/>
          <w:highlight w:val="white"/>
          <w:lang w:val="fr-FR"/>
        </w:rPr>
        <w:t xml:space="preserve">à la vérité. En ce sens, les États ont également l'obligation de garantir l'accès aux informations concernant les circonstances entourant ces crimes, c'est-à-dire les événements survenus avant, après et au moment des crimes. </w:t>
      </w:r>
    </w:p>
    <w:p w14:paraId="0E1AE59E" w14:textId="376973A0" w:rsidR="00A90270" w:rsidRPr="0016694D" w:rsidRDefault="0016694D" w:rsidP="0016694D">
      <w:pPr>
        <w:pStyle w:val="H23G"/>
        <w:rPr>
          <w:lang w:val="es-ES"/>
        </w:rPr>
      </w:pPr>
      <w:r w:rsidRPr="003910F8">
        <w:rPr>
          <w:lang w:val="fr-FR"/>
        </w:rPr>
        <w:tab/>
      </w:r>
      <w:r>
        <w:rPr>
          <w:lang w:val="es-ES"/>
        </w:rPr>
        <w:t>b.</w:t>
      </w:r>
      <w:r>
        <w:rPr>
          <w:lang w:val="es-ES"/>
        </w:rPr>
        <w:tab/>
      </w:r>
      <w:r w:rsidR="00A90270" w:rsidRPr="0016694D">
        <w:rPr>
          <w:lang w:val="es-ES"/>
        </w:rPr>
        <w:t xml:space="preserve">Le </w:t>
      </w:r>
      <w:proofErr w:type="spellStart"/>
      <w:r w:rsidR="00A90270" w:rsidRPr="0016694D">
        <w:rPr>
          <w:lang w:val="es-ES"/>
        </w:rPr>
        <w:t>projet</w:t>
      </w:r>
      <w:proofErr w:type="spellEnd"/>
      <w:r w:rsidR="00A90270" w:rsidRPr="0016694D">
        <w:rPr>
          <w:lang w:val="es-ES"/>
        </w:rPr>
        <w:t xml:space="preserve"> de vie</w:t>
      </w:r>
    </w:p>
    <w:p w14:paraId="2912F62F" w14:textId="3629FC95"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highlight w:val="white"/>
          <w:lang w:val="fr-FR"/>
        </w:rPr>
        <w:t xml:space="preserve">Le projet de vie d'une personne est associé au concept d'épanouissement personnel qui, à son tour, se fonde sur les différentes options qu'une personne peut avoir pour mener sa vie et réaliser le destin qu'elle se propose. Bien qu'il ne s'agisse pas d'un résultat certain, mais d'une situation probable dans le cadre du développement naturel et prévisible du sujet, il y a violation du projet de vie chaque fois qu'il y a des violations de droits qui empêchent ou entravent sérieusement la réalisation du résultat prévu et attendu, et altèrent donc substantiellement le développement de </w:t>
      </w:r>
      <w:proofErr w:type="gramStart"/>
      <w:r w:rsidRPr="003910F8">
        <w:rPr>
          <w:color w:val="000000"/>
          <w:sz w:val="22"/>
          <w:szCs w:val="22"/>
          <w:highlight w:val="white"/>
          <w:lang w:val="fr-FR"/>
        </w:rPr>
        <w:t>l'individu .</w:t>
      </w:r>
      <w:proofErr w:type="gramEnd"/>
      <w:r w:rsidRPr="003910F8">
        <w:rPr>
          <w:color w:val="000000"/>
          <w:sz w:val="22"/>
          <w:szCs w:val="22"/>
          <w:highlight w:val="white"/>
          <w:lang w:val="fr-FR"/>
        </w:rPr>
        <w:t xml:space="preserve"> </w:t>
      </w:r>
      <w:r w:rsidRPr="00A63206">
        <w:rPr>
          <w:color w:val="000000"/>
          <w:sz w:val="22"/>
          <w:szCs w:val="22"/>
          <w:highlight w:val="white"/>
          <w:vertAlign w:val="superscript"/>
          <w:lang w:val="es-ES"/>
        </w:rPr>
        <w:endnoteReference w:id="67"/>
      </w:r>
    </w:p>
    <w:p w14:paraId="06747E4E" w14:textId="60DD30F9" w:rsidR="0016694D" w:rsidRPr="003910F8" w:rsidRDefault="00A90270" w:rsidP="0016694D">
      <w:pPr>
        <w:pStyle w:val="SingleTxtG"/>
        <w:numPr>
          <w:ilvl w:val="0"/>
          <w:numId w:val="18"/>
        </w:numPr>
        <w:pBdr>
          <w:top w:val="nil"/>
          <w:left w:val="nil"/>
          <w:bottom w:val="nil"/>
          <w:right w:val="nil"/>
          <w:between w:val="nil"/>
        </w:pBdr>
        <w:shd w:val="clear" w:color="auto" w:fill="FFFFFF"/>
        <w:tabs>
          <w:tab w:val="left" w:pos="426"/>
        </w:tabs>
        <w:ind w:left="1134" w:right="49" w:firstLine="0"/>
        <w:rPr>
          <w:sz w:val="22"/>
          <w:szCs w:val="22"/>
          <w:lang w:val="fr-FR"/>
        </w:rPr>
      </w:pPr>
      <w:r w:rsidRPr="003910F8">
        <w:rPr>
          <w:color w:val="000000"/>
          <w:sz w:val="22"/>
          <w:szCs w:val="22"/>
          <w:lang w:val="fr-FR"/>
        </w:rPr>
        <w:t xml:space="preserve">Les femmes et les jeunes filles disparues étaient des personnes qui avaient leurs propres rêves, leurs objectifs personnels et une identité individuelle qui se construisait à chaque étape. Leur disparition </w:t>
      </w:r>
      <w:r w:rsidRPr="003910F8">
        <w:rPr>
          <w:sz w:val="22"/>
          <w:szCs w:val="22"/>
          <w:lang w:val="fr-FR"/>
        </w:rPr>
        <w:t xml:space="preserve">contrarie leur propre destin </w:t>
      </w:r>
      <w:r w:rsidRPr="003910F8">
        <w:rPr>
          <w:color w:val="000000"/>
          <w:sz w:val="22"/>
          <w:szCs w:val="22"/>
          <w:lang w:val="fr-FR"/>
        </w:rPr>
        <w:t>et leur projet de vie est interrompu avec des conséquences dévastatrices.</w:t>
      </w:r>
    </w:p>
    <w:p w14:paraId="3102C6AB" w14:textId="4AA3BC1D" w:rsidR="00A90270" w:rsidRPr="003910F8" w:rsidRDefault="00A90270" w:rsidP="0016694D">
      <w:pPr>
        <w:pStyle w:val="SingleTxtG"/>
        <w:numPr>
          <w:ilvl w:val="0"/>
          <w:numId w:val="18"/>
        </w:numPr>
        <w:pBdr>
          <w:top w:val="nil"/>
          <w:left w:val="nil"/>
          <w:bottom w:val="nil"/>
          <w:right w:val="nil"/>
          <w:between w:val="nil"/>
        </w:pBdr>
        <w:shd w:val="clear" w:color="auto" w:fill="FFFFFF"/>
        <w:tabs>
          <w:tab w:val="left" w:pos="426"/>
        </w:tabs>
        <w:ind w:left="1134" w:right="49" w:firstLine="0"/>
        <w:rPr>
          <w:sz w:val="22"/>
          <w:szCs w:val="22"/>
          <w:lang w:val="fr-FR"/>
        </w:rPr>
      </w:pPr>
      <w:r w:rsidRPr="003910F8">
        <w:rPr>
          <w:color w:val="000000"/>
          <w:sz w:val="22"/>
          <w:szCs w:val="22"/>
          <w:lang w:val="fr-FR"/>
        </w:rPr>
        <w:t xml:space="preserve"> Les disparitions forcées ont un impact profondément négatif sur le bien-être psychologique, social et économique des femmes, y compris sur leur famille et leur communauté tout entière</w:t>
      </w:r>
      <w:r w:rsidRPr="00A63206">
        <w:rPr>
          <w:vertAlign w:val="superscript"/>
          <w:lang w:val="es-ES"/>
        </w:rPr>
        <w:endnoteReference w:id="68"/>
      </w:r>
      <w:r w:rsidRPr="003910F8">
        <w:rPr>
          <w:color w:val="000000"/>
          <w:sz w:val="22"/>
          <w:szCs w:val="22"/>
          <w:lang w:val="fr-FR"/>
        </w:rPr>
        <w:t xml:space="preserve"> . L'absence d'un être cher ou même d'un corps à enterrer laisse les familles dans une incertitude qui met leur vie et leurs projets en </w:t>
      </w:r>
      <w:proofErr w:type="gramStart"/>
      <w:r w:rsidRPr="003910F8">
        <w:rPr>
          <w:color w:val="000000"/>
          <w:sz w:val="22"/>
          <w:szCs w:val="22"/>
          <w:lang w:val="fr-FR"/>
        </w:rPr>
        <w:t>suspens .</w:t>
      </w:r>
      <w:proofErr w:type="gramEnd"/>
      <w:r w:rsidRPr="003910F8">
        <w:rPr>
          <w:color w:val="000000"/>
          <w:sz w:val="22"/>
          <w:szCs w:val="22"/>
          <w:lang w:val="fr-FR"/>
        </w:rPr>
        <w:t xml:space="preserve"> </w:t>
      </w:r>
      <w:r w:rsidRPr="00A63206">
        <w:rPr>
          <w:vertAlign w:val="superscript"/>
          <w:lang w:val="es-ES"/>
        </w:rPr>
        <w:endnoteReference w:id="69"/>
      </w:r>
    </w:p>
    <w:p w14:paraId="6F325D66" w14:textId="1F026346"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lang w:val="fr-FR"/>
        </w:rPr>
        <w:t>La reconstruction du projet de vie doit viser la réalisation intégrale de la personne affectée, en tenant compte de sa vocation, de ses aptitudes, de sa situation, de son potentiel et de ses aspirations, qui lui permettent d'établir raisonnablement des attentes en matière d'épanouissement personnel</w:t>
      </w:r>
      <w:r w:rsidRPr="00A63206">
        <w:rPr>
          <w:color w:val="000000"/>
          <w:sz w:val="22"/>
          <w:szCs w:val="22"/>
          <w:vertAlign w:val="superscript"/>
          <w:lang w:val="es-ES"/>
        </w:rPr>
        <w:endnoteReference w:id="70"/>
      </w:r>
      <w:r w:rsidRPr="003910F8">
        <w:rPr>
          <w:color w:val="000000"/>
          <w:sz w:val="22"/>
          <w:szCs w:val="22"/>
          <w:lang w:val="fr-FR"/>
        </w:rPr>
        <w:t xml:space="preserve"> . Ces mesures doivent aller au-delà de la simple compensation monétaire, car des mesures de réhabilitation, de satisfaction et de non-répétition doivent être garanties. Il est important de soulager moralement les victimes et, à cette fin, l'écoute et le souvenir sont </w:t>
      </w:r>
      <w:proofErr w:type="gramStart"/>
      <w:r w:rsidRPr="003910F8">
        <w:rPr>
          <w:color w:val="000000"/>
          <w:sz w:val="22"/>
          <w:szCs w:val="22"/>
          <w:lang w:val="fr-FR"/>
        </w:rPr>
        <w:t>essentiels .</w:t>
      </w:r>
      <w:proofErr w:type="gramEnd"/>
      <w:r w:rsidRPr="00A63206">
        <w:rPr>
          <w:color w:val="000000"/>
          <w:sz w:val="22"/>
          <w:szCs w:val="22"/>
          <w:vertAlign w:val="superscript"/>
          <w:lang w:val="es-ES"/>
        </w:rPr>
        <w:endnoteReference w:id="71"/>
      </w:r>
    </w:p>
    <w:p w14:paraId="06254E36" w14:textId="13E06B7B" w:rsidR="00A90270" w:rsidRPr="003910F8" w:rsidRDefault="0016694D" w:rsidP="0016694D">
      <w:pPr>
        <w:pStyle w:val="HChG"/>
        <w:rPr>
          <w:lang w:val="fr-FR"/>
        </w:rPr>
      </w:pPr>
      <w:r w:rsidRPr="003910F8">
        <w:rPr>
          <w:lang w:val="fr-FR"/>
        </w:rPr>
        <w:lastRenderedPageBreak/>
        <w:tab/>
      </w:r>
      <w:r w:rsidR="00A90270" w:rsidRPr="003910F8">
        <w:rPr>
          <w:lang w:val="fr-FR"/>
        </w:rPr>
        <w:t xml:space="preserve">IV. </w:t>
      </w:r>
      <w:r w:rsidRPr="003910F8">
        <w:rPr>
          <w:lang w:val="fr-FR"/>
        </w:rPr>
        <w:tab/>
      </w:r>
      <w:r w:rsidR="00A90270" w:rsidRPr="003910F8">
        <w:rPr>
          <w:lang w:val="fr-FR"/>
        </w:rPr>
        <w:t>Disparition forcée et droits économiques, sociaux et culturels.</w:t>
      </w:r>
    </w:p>
    <w:p w14:paraId="18CB59F2" w14:textId="2B1256D8"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highlight w:val="white"/>
          <w:lang w:val="fr-FR"/>
        </w:rPr>
      </w:pPr>
      <w:r w:rsidRPr="003910F8">
        <w:rPr>
          <w:color w:val="000000"/>
          <w:sz w:val="22"/>
          <w:szCs w:val="22"/>
          <w:lang w:val="fr-FR"/>
        </w:rPr>
        <w:t xml:space="preserve">Les disparitions forcées n'affectent pas seulement le bien-être immédiat des femmes, mais limitent également l'exercice de leurs droits économiques, sociaux et culturels, ce qui </w:t>
      </w:r>
      <w:proofErr w:type="gramStart"/>
      <w:r w:rsidRPr="003910F8">
        <w:rPr>
          <w:color w:val="000000"/>
          <w:sz w:val="22"/>
          <w:szCs w:val="22"/>
          <w:lang w:val="fr-FR"/>
        </w:rPr>
        <w:t>a</w:t>
      </w:r>
      <w:proofErr w:type="gramEnd"/>
      <w:r w:rsidRPr="003910F8">
        <w:rPr>
          <w:color w:val="000000"/>
          <w:sz w:val="22"/>
          <w:szCs w:val="22"/>
          <w:lang w:val="fr-FR"/>
        </w:rPr>
        <w:t xml:space="preserve"> des répercussions prolongées sur leur vie. Nombre d'entre elles sont confrontées à une pression économique constante, contraintes d'accepter des emplois précaires et mal rémunérés, voire de tomber dans l'extrême pauvreté en raison de la perte de leur principale source de </w:t>
      </w:r>
      <w:proofErr w:type="gramStart"/>
      <w:r w:rsidRPr="003910F8">
        <w:rPr>
          <w:color w:val="000000"/>
          <w:sz w:val="22"/>
          <w:szCs w:val="22"/>
          <w:highlight w:val="white"/>
          <w:lang w:val="fr-FR"/>
        </w:rPr>
        <w:t>revenus .</w:t>
      </w:r>
      <w:proofErr w:type="gramEnd"/>
      <w:r w:rsidRPr="003910F8">
        <w:rPr>
          <w:color w:val="000000"/>
          <w:sz w:val="22"/>
          <w:szCs w:val="22"/>
          <w:highlight w:val="white"/>
          <w:lang w:val="fr-FR"/>
        </w:rPr>
        <w:t xml:space="preserve"> </w:t>
      </w:r>
      <w:r w:rsidRPr="00A63206">
        <w:rPr>
          <w:color w:val="000000"/>
          <w:sz w:val="22"/>
          <w:szCs w:val="22"/>
          <w:highlight w:val="white"/>
          <w:vertAlign w:val="superscript"/>
          <w:lang w:val="es-ES"/>
        </w:rPr>
        <w:endnoteReference w:id="72"/>
      </w:r>
    </w:p>
    <w:p w14:paraId="3EDF3628" w14:textId="4EFD0E8C"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sz w:val="22"/>
          <w:szCs w:val="22"/>
          <w:highlight w:val="white"/>
          <w:lang w:val="fr-FR"/>
        </w:rPr>
      </w:pPr>
      <w:r w:rsidRPr="003910F8">
        <w:rPr>
          <w:sz w:val="22"/>
          <w:szCs w:val="22"/>
          <w:lang w:val="fr-FR"/>
        </w:rPr>
        <w:t xml:space="preserve">Dans certains États, lorsque le chef de famille disparaît, les femmes ne sont pas en mesure d'exercer leurs droits familiaux et patrimoniaux, de s'occuper de leurs </w:t>
      </w:r>
      <w:r w:rsidRPr="003910F8">
        <w:rPr>
          <w:color w:val="000000"/>
          <w:sz w:val="22"/>
          <w:szCs w:val="22"/>
          <w:lang w:val="fr-FR"/>
        </w:rPr>
        <w:t xml:space="preserve">affaires </w:t>
      </w:r>
      <w:r w:rsidRPr="003910F8">
        <w:rPr>
          <w:sz w:val="22"/>
          <w:szCs w:val="22"/>
          <w:lang w:val="fr-FR"/>
        </w:rPr>
        <w:t xml:space="preserve">financières ou d'accéder aux mesures de protection et d'aide sociale, en raison d'exigences et d'obstacles juridiques, tels que la possession de preuves de la disparition ou d'une déclaration de décès présumé de la personne disparue, même lorsque le sort ou le lieu où se trouve la personne disparue est inconnu, ce qui montre que la complexité du crime de disparition forcée et sa nature continue ne sont pas prises en compte. . </w:t>
      </w:r>
      <w:r w:rsidRPr="00A63206">
        <w:rPr>
          <w:sz w:val="22"/>
          <w:szCs w:val="22"/>
          <w:vertAlign w:val="superscript"/>
          <w:lang w:val="es-ES"/>
        </w:rPr>
        <w:endnoteReference w:id="73"/>
      </w:r>
    </w:p>
    <w:p w14:paraId="2FA1667F" w14:textId="392F0988"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lang w:val="fr-FR"/>
        </w:rPr>
        <w:t>Les disparitions forcées affectent l'accès des femmes à des droits tels que la santé, l'éducation, le travail et le logement. L'atteinte au droit à la santé est particulièrement grave, car le traumatisme émotionnel et psychologique résultant de la disparition forcée, combiné au manque de soutien adéquat de la part du système de santé, détériore la santé mentale des femmes et de leur famille. La situation de stress prolongé peut conduire au développement de troubles émotionnels graves, qui nécessitent des soins spécialisés, auxquels les femmes en quête d'asile n'ont généralement pas accès.</w:t>
      </w:r>
    </w:p>
    <w:p w14:paraId="54F58C60" w14:textId="41CC27D3"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lang w:val="fr-FR"/>
        </w:rPr>
        <w:t>Le droit à l'éducation est également affecté, car de nombreuses femmes sont contraintes d'abandonner l'école ou de limiter leur accès à l'éducation formelle en raison des multiples responsabilités qu'elles doivent assumer. La charge des soins et des recherches laisse peu de place à l'</w:t>
      </w:r>
      <w:r w:rsidRPr="003910F8">
        <w:rPr>
          <w:color w:val="000000"/>
          <w:sz w:val="22"/>
          <w:szCs w:val="22"/>
          <w:highlight w:val="white"/>
          <w:lang w:val="fr-FR"/>
        </w:rPr>
        <w:t xml:space="preserve">éducation, ce qui contribue à perpétuer l'exclusion des femmes du développement social et économique. De plus, dans certains États, les enfants de la famille peuvent être privés de leurs droits à l'éducation, étant donné qu'il faut l'accord du père disparu pour accéder à l'école. </w:t>
      </w:r>
      <w:r w:rsidRPr="00A63206">
        <w:rPr>
          <w:color w:val="000000"/>
          <w:sz w:val="22"/>
          <w:szCs w:val="22"/>
          <w:highlight w:val="white"/>
          <w:vertAlign w:val="superscript"/>
          <w:lang w:val="es-ES"/>
        </w:rPr>
        <w:endnoteReference w:id="74"/>
      </w:r>
    </w:p>
    <w:p w14:paraId="7385CED6" w14:textId="13BFF444"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lang w:val="fr-FR"/>
        </w:rPr>
        <w:t>En ce qui concerne le droit au logement, les femmes affectées par les disparitions forcées sont confrontées à l'insécurité du logement en raison de leur situation économique précaire et, dans certains cas, de leur statut de personne déplacée. La perte du principal soutien de famille et le manque d'accès à des revenus suffisants génèrent une instabilité du logement et violent leur droit à un logement décent.</w:t>
      </w:r>
    </w:p>
    <w:p w14:paraId="5669ACA1" w14:textId="3E689B36"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highlight w:val="white"/>
          <w:lang w:val="fr-FR"/>
        </w:rPr>
        <w:t xml:space="preserve">La charge du travail de soins s'intensifie lorsque les femmes assument la responsabilité de protéger les membres restants de la famille, y compris d'élever les enfants ou, dans certains cas, les petits-enfants. Le travail de soins est profondément ancré dans un modèle sexiste de division du travail, qui sous-évalue la contribution des femmes au bien-être social et économique, contribuant ainsi à leur marginalisation. L'invisibilité de leur travail de soins, considéré comme un travail non rémunéré et obligatoire, aggrave leur précarité. La plupart d'entre elles assument une "triple journée", combinant les responsabilités domestiques avec la recherche active de leurs proches et la gestion des procédures légales pour accéder à la justice. L'absence de mécanismes valorisant cette tâche comme une contribution sociale et juridique légitime renforce leur situation défavorisée, perpétue leur vulnérabilité et rend difficile l'accès à des mesures de réparation efficaces. </w:t>
      </w:r>
    </w:p>
    <w:p w14:paraId="29979826" w14:textId="2D406699" w:rsidR="00A90270" w:rsidRPr="00A63206" w:rsidRDefault="0016694D" w:rsidP="0016694D">
      <w:pPr>
        <w:pStyle w:val="HChG"/>
        <w:rPr>
          <w:lang w:val="es-ES"/>
        </w:rPr>
      </w:pPr>
      <w:r w:rsidRPr="003910F8">
        <w:rPr>
          <w:lang w:val="fr-FR"/>
        </w:rPr>
        <w:tab/>
      </w:r>
      <w:r w:rsidR="00A90270" w:rsidRPr="00A63206">
        <w:rPr>
          <w:lang w:val="es-ES"/>
        </w:rPr>
        <w:t xml:space="preserve">V. </w:t>
      </w:r>
      <w:r>
        <w:rPr>
          <w:lang w:val="es-ES"/>
        </w:rPr>
        <w:tab/>
      </w:r>
      <w:proofErr w:type="spellStart"/>
      <w:r w:rsidR="00A90270" w:rsidRPr="00A63206">
        <w:rPr>
          <w:lang w:val="es-ES"/>
        </w:rPr>
        <w:t>Formation</w:t>
      </w:r>
      <w:proofErr w:type="spellEnd"/>
      <w:r w:rsidR="00A90270" w:rsidRPr="00A63206">
        <w:rPr>
          <w:lang w:val="es-ES"/>
        </w:rPr>
        <w:t xml:space="preserve"> et </w:t>
      </w:r>
      <w:proofErr w:type="spellStart"/>
      <w:r w:rsidR="00A90270" w:rsidRPr="00A63206">
        <w:rPr>
          <w:lang w:val="es-ES"/>
        </w:rPr>
        <w:t>coopération</w:t>
      </w:r>
      <w:proofErr w:type="spellEnd"/>
      <w:r w:rsidR="00A90270" w:rsidRPr="00A63206">
        <w:rPr>
          <w:lang w:val="es-ES"/>
        </w:rPr>
        <w:t xml:space="preserve"> </w:t>
      </w:r>
      <w:proofErr w:type="spellStart"/>
      <w:r w:rsidR="00A90270" w:rsidRPr="00A63206">
        <w:rPr>
          <w:lang w:val="es-ES"/>
        </w:rPr>
        <w:t>internationale</w:t>
      </w:r>
      <w:proofErr w:type="spellEnd"/>
    </w:p>
    <w:p w14:paraId="2B4CB36D" w14:textId="768C28A1"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lang w:val="fr-FR"/>
        </w:rPr>
        <w:t xml:space="preserve">La formation des fonctionnaires aux droits de l'homme et aux questions de genre, ainsi que la sensibilisation de la société à la violence structurelle subie par les femmes et les filles, sont des mesures fondamentales pour garantir que ces crimes ne se répètent pas. De même, l'État doit garantir l'accès à la justice en formant les autorités à identifier les schémas de violence fondée sur le genre, à mettre en place des mécanismes de plainte efficaces et à adopter des mesures de protection </w:t>
      </w:r>
      <w:proofErr w:type="gramStart"/>
      <w:r w:rsidRPr="003910F8">
        <w:rPr>
          <w:color w:val="000000"/>
          <w:sz w:val="22"/>
          <w:szCs w:val="22"/>
          <w:lang w:val="fr-FR"/>
        </w:rPr>
        <w:t>adéquates .</w:t>
      </w:r>
      <w:proofErr w:type="gramEnd"/>
      <w:r w:rsidRPr="003910F8">
        <w:rPr>
          <w:color w:val="000000"/>
          <w:sz w:val="22"/>
          <w:szCs w:val="22"/>
          <w:lang w:val="fr-FR"/>
        </w:rPr>
        <w:t xml:space="preserve"> </w:t>
      </w:r>
      <w:r w:rsidRPr="00A63206">
        <w:rPr>
          <w:color w:val="000000"/>
          <w:sz w:val="22"/>
          <w:szCs w:val="22"/>
          <w:vertAlign w:val="superscript"/>
          <w:lang w:val="es-ES"/>
        </w:rPr>
        <w:endnoteReference w:id="75"/>
      </w:r>
    </w:p>
    <w:p w14:paraId="75CC3B76" w14:textId="755A5BB0" w:rsidR="00A90270" w:rsidRPr="003910F8" w:rsidRDefault="00A90270" w:rsidP="0055550A">
      <w:pPr>
        <w:pStyle w:val="SingleTxtG"/>
        <w:numPr>
          <w:ilvl w:val="0"/>
          <w:numId w:val="18"/>
        </w:numPr>
        <w:pBdr>
          <w:top w:val="nil"/>
          <w:left w:val="nil"/>
          <w:bottom w:val="nil"/>
          <w:right w:val="nil"/>
          <w:between w:val="nil"/>
        </w:pBdr>
        <w:shd w:val="clear" w:color="auto" w:fill="FFFFFF"/>
        <w:tabs>
          <w:tab w:val="left" w:pos="426"/>
        </w:tabs>
        <w:ind w:left="1134" w:right="49" w:firstLine="0"/>
        <w:rPr>
          <w:color w:val="000000"/>
          <w:sz w:val="22"/>
          <w:szCs w:val="22"/>
          <w:lang w:val="fr-FR"/>
        </w:rPr>
      </w:pPr>
      <w:r w:rsidRPr="003910F8">
        <w:rPr>
          <w:color w:val="000000"/>
          <w:sz w:val="22"/>
          <w:szCs w:val="22"/>
          <w:lang w:val="fr-FR"/>
        </w:rPr>
        <w:lastRenderedPageBreak/>
        <w:t>Les organisations internationales et la communauté internationale, les mécanismes régionaux de protection des droits de l'homme, les universités et les groupes de réflexion sont invités à coopérer de manière coordonnée et concertée avec les États parties dans l'élaboration de projets visant à lutter contre les disparitions forcées.</w:t>
      </w:r>
    </w:p>
    <w:p w14:paraId="37120D70" w14:textId="77777777" w:rsidR="00A90270" w:rsidRPr="003910F8" w:rsidRDefault="00A90270" w:rsidP="00A90270">
      <w:pPr>
        <w:rPr>
          <w:color w:val="000000"/>
          <w:sz w:val="22"/>
          <w:szCs w:val="22"/>
          <w:lang w:val="fr-FR"/>
        </w:rPr>
      </w:pPr>
      <w:r w:rsidRPr="003910F8">
        <w:rPr>
          <w:color w:val="000000"/>
          <w:sz w:val="22"/>
          <w:szCs w:val="22"/>
          <w:lang w:val="fr-FR"/>
        </w:rPr>
        <w:br w:type="page"/>
      </w:r>
    </w:p>
    <w:p w14:paraId="58E754E6" w14:textId="77777777" w:rsidR="00446FE5" w:rsidRPr="003910F8" w:rsidRDefault="00446FE5" w:rsidP="00B55090">
      <w:pPr>
        <w:rPr>
          <w:lang w:val="fr-FR"/>
        </w:rPr>
      </w:pPr>
    </w:p>
    <w:sectPr w:rsidR="00446FE5" w:rsidRPr="003910F8" w:rsidSect="00A90270">
      <w:headerReference w:type="default" r:id="rId11"/>
      <w:footerReference w:type="default" r:id="rId12"/>
      <w:pgSz w:w="12240" w:h="15840"/>
      <w:pgMar w:top="1702" w:right="1041" w:bottom="1418" w:left="28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B7744" w14:textId="77777777" w:rsidR="00A90270" w:rsidRDefault="00A90270" w:rsidP="00F95C08"/>
  </w:endnote>
  <w:endnote w:type="continuationSeparator" w:id="0">
    <w:p w14:paraId="5FDC58CB" w14:textId="77777777" w:rsidR="00A90270" w:rsidRPr="00AC3823" w:rsidRDefault="00A90270" w:rsidP="00AC3823">
      <w:pPr>
        <w:pStyle w:val="Footer"/>
      </w:pPr>
    </w:p>
  </w:endnote>
  <w:endnote w:type="continuationNotice" w:id="1">
    <w:p w14:paraId="7E99BA98" w14:textId="77777777" w:rsidR="00A90270" w:rsidRDefault="00A90270"/>
  </w:endnote>
  <w:endnote w:id="2">
    <w:p w14:paraId="76710062" w14:textId="77777777" w:rsidR="00A90270" w:rsidRPr="003910F8" w:rsidRDefault="00A90270" w:rsidP="0055550A">
      <w:pPr>
        <w:pBdr>
          <w:top w:val="nil"/>
          <w:left w:val="nil"/>
          <w:bottom w:val="nil"/>
          <w:right w:val="nil"/>
          <w:between w:val="nil"/>
        </w:pBdr>
        <w:ind w:left="567"/>
        <w:rPr>
          <w:color w:val="000000"/>
          <w:sz w:val="22"/>
          <w:szCs w:val="22"/>
          <w:lang w:val="fr-FR"/>
        </w:rPr>
      </w:pPr>
      <w:r>
        <w:rPr>
          <w:vertAlign w:val="superscript"/>
        </w:rPr>
        <w:endnoteRef/>
      </w:r>
      <w:r w:rsidRPr="003910F8">
        <w:rPr>
          <w:color w:val="000000"/>
          <w:sz w:val="18"/>
          <w:szCs w:val="18"/>
          <w:lang w:val="fr-FR"/>
        </w:rPr>
        <w:t xml:space="preserve"> Comité pour l'élimination de la discrimination à l'égard des femmes (CEDAW), </w:t>
      </w:r>
      <w:r w:rsidRPr="003910F8">
        <w:rPr>
          <w:i/>
          <w:color w:val="000000"/>
          <w:sz w:val="18"/>
          <w:szCs w:val="18"/>
          <w:lang w:val="fr-FR"/>
        </w:rPr>
        <w:t>Ivette Melissa Flores Roman c. Mexique</w:t>
      </w:r>
      <w:r w:rsidRPr="003910F8">
        <w:rPr>
          <w:color w:val="000000"/>
          <w:sz w:val="18"/>
          <w:szCs w:val="18"/>
          <w:lang w:val="fr-FR"/>
        </w:rPr>
        <w:t xml:space="preserve">, 24 octobre 2023, para. 7.4, disponible sur : </w:t>
      </w:r>
    </w:p>
  </w:endnote>
  <w:endnote w:id="3">
    <w:p w14:paraId="6828ACE1"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fr-FR"/>
        </w:rPr>
        <w:t xml:space="preserve"> Déclaration sur l'élimination de la violence à l'égard des femmes, art.2. disponible à l'adresse : </w:t>
      </w:r>
    </w:p>
  </w:endnote>
  <w:endnote w:id="4">
    <w:p w14:paraId="7B7D288C" w14:textId="77777777" w:rsidR="00A90270" w:rsidRPr="003910F8" w:rsidRDefault="00A90270" w:rsidP="0055550A">
      <w:pPr>
        <w:pBdr>
          <w:top w:val="nil"/>
          <w:left w:val="nil"/>
          <w:bottom w:val="nil"/>
          <w:right w:val="nil"/>
          <w:between w:val="nil"/>
        </w:pBdr>
        <w:ind w:left="567"/>
        <w:rPr>
          <w:color w:val="000000"/>
          <w:sz w:val="22"/>
          <w:szCs w:val="22"/>
          <w:lang w:val="fr-FR"/>
        </w:rPr>
      </w:pPr>
      <w:r>
        <w:rPr>
          <w:vertAlign w:val="superscript"/>
        </w:rPr>
        <w:endnoteRef/>
      </w:r>
      <w:r w:rsidRPr="003910F8">
        <w:rPr>
          <w:i/>
          <w:color w:val="000000"/>
          <w:sz w:val="20"/>
          <w:szCs w:val="20"/>
          <w:lang w:val="fr-FR"/>
        </w:rPr>
        <w:t xml:space="preserve"> Rapport du </w:t>
      </w:r>
      <w:r w:rsidRPr="003910F8">
        <w:rPr>
          <w:color w:val="000000"/>
          <w:sz w:val="20"/>
          <w:szCs w:val="20"/>
          <w:lang w:val="fr-FR"/>
        </w:rPr>
        <w:t xml:space="preserve">HCDH </w:t>
      </w:r>
      <w:r w:rsidRPr="003910F8">
        <w:rPr>
          <w:i/>
          <w:color w:val="000000"/>
          <w:sz w:val="20"/>
          <w:szCs w:val="20"/>
          <w:lang w:val="fr-FR"/>
        </w:rPr>
        <w:t>sur l'obligation de rendre compte des disparitions forcées au Sri Lanka</w:t>
      </w:r>
      <w:r w:rsidRPr="003910F8">
        <w:rPr>
          <w:color w:val="000000"/>
          <w:sz w:val="20"/>
          <w:szCs w:val="20"/>
          <w:lang w:val="fr-FR"/>
        </w:rPr>
        <w:t xml:space="preserve">, disponible à l'adresse suivante </w:t>
      </w:r>
    </w:p>
  </w:endnote>
  <w:endnote w:id="5">
    <w:p w14:paraId="0B8989E2"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fr-FR"/>
        </w:rPr>
        <w:t xml:space="preserve"> Comité pour l'élimination de la discrimination à l'égard des femmes et Comité des droits de l'enfant, </w:t>
      </w:r>
      <w:r w:rsidRPr="003910F8">
        <w:rPr>
          <w:i/>
          <w:color w:val="000000"/>
          <w:sz w:val="20"/>
          <w:szCs w:val="20"/>
          <w:lang w:val="fr-FR"/>
        </w:rPr>
        <w:t xml:space="preserve">Observation générale conjointe CEDAW/C/GC/31 </w:t>
      </w:r>
      <w:r w:rsidRPr="003910F8">
        <w:rPr>
          <w:color w:val="000000"/>
          <w:sz w:val="20"/>
          <w:szCs w:val="20"/>
          <w:lang w:val="fr-FR"/>
        </w:rPr>
        <w:t xml:space="preserve">- CRC/C/GC/18, paragraphes 29-30, disponible à l'adresse : </w:t>
      </w:r>
    </w:p>
  </w:endnote>
  <w:endnote w:id="6">
    <w:p w14:paraId="367B62DE"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sz w:val="20"/>
          <w:szCs w:val="20"/>
          <w:lang w:val="fr-FR"/>
        </w:rPr>
        <w:t xml:space="preserve"> Comité des </w:t>
      </w:r>
      <w:r w:rsidRPr="003910F8">
        <w:rPr>
          <w:color w:val="000000"/>
          <w:sz w:val="20"/>
          <w:szCs w:val="20"/>
          <w:lang w:val="fr-FR"/>
        </w:rPr>
        <w:t xml:space="preserve">disparitions forcées (CED) CED/C/23/2 para.20, disponible à l'adresse : </w:t>
      </w:r>
    </w:p>
  </w:endnote>
  <w:endnote w:id="7">
    <w:p w14:paraId="368CA83B"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fr-FR"/>
        </w:rPr>
        <w:t xml:space="preserve"> CED/C/MEX/VR/1 (Conclusions), Principes directeurs pour la recherche des personnes disparues, Principe 4, disponible à l'adresse : </w:t>
      </w:r>
    </w:p>
  </w:endnote>
  <w:endnote w:id="8">
    <w:p w14:paraId="4D1EA125" w14:textId="77777777" w:rsidR="00A90270" w:rsidRPr="003910F8" w:rsidRDefault="00A90270" w:rsidP="0055550A">
      <w:pPr>
        <w:pBdr>
          <w:top w:val="nil"/>
          <w:left w:val="nil"/>
          <w:bottom w:val="nil"/>
          <w:right w:val="nil"/>
          <w:between w:val="nil"/>
        </w:pBdr>
        <w:ind w:left="567"/>
        <w:jc w:val="both"/>
        <w:rPr>
          <w:color w:val="000000"/>
          <w:sz w:val="22"/>
          <w:szCs w:val="22"/>
          <w:lang w:val="en-GB"/>
        </w:rPr>
      </w:pPr>
      <w:r>
        <w:rPr>
          <w:vertAlign w:val="superscript"/>
        </w:rPr>
        <w:endnoteRef/>
      </w:r>
      <w:r w:rsidRPr="003910F8">
        <w:rPr>
          <w:color w:val="000000"/>
          <w:sz w:val="20"/>
          <w:szCs w:val="20"/>
          <w:lang w:val="en-GB"/>
        </w:rPr>
        <w:t xml:space="preserve"> Amnesty International, Mireya Cidón, 5 mars 2024, </w:t>
      </w:r>
      <w:r w:rsidRPr="003910F8">
        <w:rPr>
          <w:i/>
          <w:color w:val="000000"/>
          <w:sz w:val="20"/>
          <w:szCs w:val="20"/>
          <w:lang w:val="en-GB"/>
        </w:rPr>
        <w:t xml:space="preserve">Women and Armed Conflict, </w:t>
      </w:r>
      <w:r w:rsidRPr="003910F8">
        <w:rPr>
          <w:color w:val="000000"/>
          <w:sz w:val="20"/>
          <w:szCs w:val="20"/>
          <w:lang w:val="en-GB"/>
        </w:rPr>
        <w:t xml:space="preserve">disponible à l'adresse : </w:t>
      </w:r>
      <w:hyperlink r:id="rId1">
        <w:r w:rsidRPr="003910F8">
          <w:rPr>
            <w:color w:val="1155CC"/>
            <w:sz w:val="20"/>
            <w:szCs w:val="20"/>
            <w:u w:val="single"/>
            <w:lang w:val="en-GB"/>
          </w:rPr>
          <w:t xml:space="preserve">https://www.es.amnesty.org/en-que-estamos/blog/historia/articulo/la-mujer-y-los-conflictos-armados/ </w:t>
        </w:r>
      </w:hyperlink>
      <w:r w:rsidRPr="003910F8">
        <w:rPr>
          <w:color w:val="000000"/>
          <w:sz w:val="20"/>
          <w:szCs w:val="20"/>
          <w:lang w:val="en-GB"/>
        </w:rPr>
        <w:t xml:space="preserve">Unit for the Integral Care and Reparation of Families, disponible à l'adresse : </w:t>
      </w:r>
    </w:p>
  </w:endnote>
  <w:endnote w:id="9">
    <w:p w14:paraId="2B18EDBF" w14:textId="77777777" w:rsidR="00A90270" w:rsidRPr="003910F8" w:rsidRDefault="00A90270" w:rsidP="0055550A">
      <w:pPr>
        <w:pBdr>
          <w:top w:val="nil"/>
          <w:left w:val="nil"/>
          <w:bottom w:val="nil"/>
          <w:right w:val="nil"/>
          <w:between w:val="nil"/>
        </w:pBdr>
        <w:ind w:left="567"/>
        <w:rPr>
          <w:color w:val="000000"/>
          <w:sz w:val="22"/>
          <w:szCs w:val="22"/>
          <w:lang w:val="fr-FR"/>
        </w:rPr>
      </w:pPr>
      <w:r>
        <w:rPr>
          <w:vertAlign w:val="superscript"/>
        </w:rPr>
        <w:endnoteRef/>
      </w:r>
      <w:r w:rsidRPr="003910F8">
        <w:rPr>
          <w:color w:val="000000"/>
          <w:sz w:val="20"/>
          <w:szCs w:val="20"/>
          <w:lang w:val="fr-FR"/>
        </w:rPr>
        <w:t xml:space="preserve"> UNWomen/ ICTJ, </w:t>
      </w:r>
      <w:r w:rsidRPr="003910F8">
        <w:rPr>
          <w:i/>
          <w:color w:val="000000"/>
          <w:sz w:val="20"/>
          <w:szCs w:val="20"/>
          <w:lang w:val="fr-FR"/>
        </w:rPr>
        <w:t xml:space="preserve">Les disparus et les invisibles. </w:t>
      </w:r>
      <w:r w:rsidRPr="003910F8">
        <w:rPr>
          <w:i/>
          <w:color w:val="000000"/>
          <w:sz w:val="20"/>
          <w:szCs w:val="20"/>
          <w:lang w:val="en-GB"/>
        </w:rPr>
        <w:t xml:space="preserve">Repercussions of enforced disappearance on women </w:t>
      </w:r>
      <w:r w:rsidRPr="003910F8">
        <w:rPr>
          <w:color w:val="000000"/>
          <w:sz w:val="20"/>
          <w:szCs w:val="20"/>
          <w:lang w:val="en-GB"/>
        </w:rPr>
        <w:t xml:space="preserve">; Ministry of Justice, </w:t>
      </w:r>
      <w:r w:rsidRPr="003910F8">
        <w:rPr>
          <w:i/>
          <w:color w:val="000000"/>
          <w:sz w:val="20"/>
          <w:szCs w:val="20"/>
          <w:lang w:val="en-GB"/>
        </w:rPr>
        <w:t xml:space="preserve">Clandestine Maternities, </w:t>
      </w:r>
      <w:r w:rsidRPr="003910F8">
        <w:rPr>
          <w:color w:val="000000"/>
          <w:sz w:val="20"/>
          <w:szCs w:val="20"/>
          <w:lang w:val="en-GB"/>
        </w:rPr>
        <w:t xml:space="preserve">disponible sur : </w:t>
      </w:r>
      <w:hyperlink r:id="rId2">
        <w:r w:rsidRPr="003910F8">
          <w:rPr>
            <w:color w:val="0000FF"/>
            <w:sz w:val="20"/>
            <w:szCs w:val="20"/>
            <w:u w:val="single"/>
            <w:lang w:val="en-GB"/>
          </w:rPr>
          <w:t xml:space="preserve">https://www.argentina.gob.ar/derechoshumanos/sitiosdememoria/espacios-de-memoria/maternidades-clandestinas;CED/C/9 </w:t>
        </w:r>
      </w:hyperlink>
      <w:r w:rsidRPr="003910F8">
        <w:rPr>
          <w:color w:val="000000"/>
          <w:sz w:val="20"/>
          <w:szCs w:val="20"/>
          <w:lang w:val="en-GB"/>
        </w:rPr>
        <w:t xml:space="preserve">; Joint Declaration on illegal intercountry adoptions, para. 2, disponible sur : </w:t>
      </w:r>
      <w:hyperlink r:id="rId3">
        <w:r w:rsidRPr="003910F8">
          <w:rPr>
            <w:color w:val="1155CC"/>
            <w:sz w:val="20"/>
            <w:szCs w:val="20"/>
            <w:u w:val="single"/>
            <w:lang w:val="en-GB"/>
          </w:rPr>
          <w:t xml:space="preserve">https://www.ohchr.org/sites/default/files/documents/hrbodies/ced/2022-09-29/JointstatementICA_HR_28September2022.pdf </w:t>
        </w:r>
      </w:hyperlink>
      <w:r w:rsidRPr="003910F8">
        <w:rPr>
          <w:color w:val="000000"/>
          <w:sz w:val="20"/>
          <w:szCs w:val="20"/>
          <w:lang w:val="en-GB"/>
        </w:rPr>
        <w:t xml:space="preserve">; Convention on the Rights of the Child, arts. </w:t>
      </w:r>
      <w:r w:rsidRPr="003910F8">
        <w:rPr>
          <w:color w:val="000000"/>
          <w:sz w:val="20"/>
          <w:szCs w:val="20"/>
          <w:lang w:val="fr-FR"/>
        </w:rPr>
        <w:t>8 et 16 ; Charte africaine des droits et du bien-être de l'enfant, art. 10 et 18 ; Convention américaine relative aux droits de l'homme, art. 11 et 17 ; et Convention de sauvegarde des droits de l'homme et des libertés fondamentales (Convention européenne des droits de l'homme), art. 8 ; Cour interaméricaine des droits de l'homme</w:t>
      </w:r>
      <w:r w:rsidRPr="003910F8">
        <w:rPr>
          <w:i/>
          <w:color w:val="000000"/>
          <w:sz w:val="20"/>
          <w:szCs w:val="20"/>
          <w:lang w:val="fr-FR"/>
        </w:rPr>
        <w:t xml:space="preserve">, affaire Fornerón et fille c. Argentine, </w:t>
      </w:r>
      <w:r w:rsidRPr="003910F8">
        <w:rPr>
          <w:color w:val="000000"/>
          <w:sz w:val="20"/>
          <w:szCs w:val="20"/>
          <w:lang w:val="fr-FR"/>
        </w:rPr>
        <w:t xml:space="preserve">arrêt du 27 avril 2012 (fond, réparations et frais) disponible sur : https://corteidh.or.cr/docs/casos/articulos/seriec_242_esp.pdf, par. 123 ; Cour interaméricaine des droits de l'homme, affaire </w:t>
      </w:r>
      <w:r w:rsidRPr="003910F8">
        <w:rPr>
          <w:i/>
          <w:color w:val="000000"/>
          <w:sz w:val="20"/>
          <w:szCs w:val="20"/>
          <w:lang w:val="fr-FR"/>
        </w:rPr>
        <w:t xml:space="preserve">Gelman c. Urugua, </w:t>
      </w:r>
      <w:r w:rsidRPr="003910F8">
        <w:rPr>
          <w:color w:val="000000"/>
          <w:sz w:val="20"/>
          <w:szCs w:val="20"/>
          <w:lang w:val="fr-FR"/>
        </w:rPr>
        <w:t xml:space="preserve">arrêt du 24 février 2011 (fond, réparations et frais) disponible sur : https://corteidh.or.cr/docs/casos/articulos/seriec_242_esp.pdf, par. 123 ; Cour interaméricaine des droits de l'homme, affaire </w:t>
      </w:r>
      <w:r w:rsidRPr="003910F8">
        <w:rPr>
          <w:i/>
          <w:color w:val="000000"/>
          <w:sz w:val="20"/>
          <w:szCs w:val="20"/>
          <w:lang w:val="fr-FR"/>
        </w:rPr>
        <w:t xml:space="preserve">Fornerón et fille c. Argentine, </w:t>
      </w:r>
      <w:r w:rsidRPr="003910F8">
        <w:rPr>
          <w:color w:val="000000"/>
          <w:sz w:val="20"/>
          <w:szCs w:val="20"/>
          <w:lang w:val="fr-FR"/>
        </w:rPr>
        <w:t>arrêt du 27 avril 2012 (fond, réparations et frais) disponible sur : https://corteidh.or.cr/docs/casos/articulos/seriec_242_esp.pdf, par. 123. Arrêt du 24 février 2011 (fond et réparations). Disponible à l'</w:t>
      </w:r>
      <w:hyperlink r:id="rId4">
        <w:r w:rsidRPr="003910F8">
          <w:rPr>
            <w:color w:val="0000FF"/>
            <w:sz w:val="20"/>
            <w:szCs w:val="20"/>
            <w:u w:val="single"/>
            <w:lang w:val="fr-FR"/>
          </w:rPr>
          <w:t xml:space="preserve">adresse : </w:t>
        </w:r>
      </w:hyperlink>
      <w:r w:rsidRPr="003910F8">
        <w:rPr>
          <w:color w:val="000000"/>
          <w:sz w:val="20"/>
          <w:szCs w:val="20"/>
          <w:lang w:val="fr-FR"/>
        </w:rPr>
        <w:t>https://www.corteidh.or.cr/docs/casos/articulos/seriec_221_esp1.pdf, paragraphe 112.</w:t>
      </w:r>
    </w:p>
  </w:endnote>
  <w:endnote w:id="10">
    <w:p w14:paraId="7665820A" w14:textId="77777777" w:rsidR="00A90270" w:rsidRPr="003910F8" w:rsidRDefault="00A90270" w:rsidP="0055550A">
      <w:pPr>
        <w:pBdr>
          <w:top w:val="nil"/>
          <w:left w:val="nil"/>
          <w:bottom w:val="nil"/>
          <w:right w:val="nil"/>
          <w:between w:val="nil"/>
        </w:pBdr>
        <w:ind w:left="567"/>
        <w:rPr>
          <w:color w:val="000000"/>
          <w:sz w:val="22"/>
          <w:szCs w:val="22"/>
          <w:lang w:val="fr-FR"/>
        </w:rPr>
      </w:pPr>
      <w:r>
        <w:rPr>
          <w:vertAlign w:val="superscript"/>
        </w:rPr>
        <w:endnoteRef/>
      </w:r>
      <w:r w:rsidRPr="00A63206">
        <w:rPr>
          <w:color w:val="000000"/>
          <w:sz w:val="20"/>
          <w:szCs w:val="20"/>
          <w:lang w:val="es-PA"/>
        </w:rPr>
        <w:t xml:space="preserve"> CED/C/26/2, para. 48, disponible à l'adresse :  </w:t>
      </w:r>
      <w:hyperlink r:id="rId5">
        <w:r w:rsidRPr="00A63206">
          <w:rPr>
            <w:color w:val="1155CC"/>
            <w:sz w:val="20"/>
            <w:szCs w:val="20"/>
            <w:u w:val="single"/>
            <w:lang w:val="es-PA"/>
          </w:rPr>
          <w:t xml:space="preserve">https://docstore.ohchr.org/SelfServices/FilesHandler.ashx?enc=xx6%2BX%2FJLTwmdyca%2FgODjvpNrThRHNlI1DMyjOZYaPKYHrNcO4P65T3VfIMTfRoU2O%2FFlb78Q47Xss2TFeCpf%2Fg%3D%3D </w:t>
        </w:r>
      </w:hyperlink>
      <w:r w:rsidRPr="00A63206">
        <w:rPr>
          <w:color w:val="000000"/>
          <w:sz w:val="20"/>
          <w:szCs w:val="20"/>
          <w:lang w:val="es-PA"/>
        </w:rPr>
        <w:t xml:space="preserve">; Defensoría del pueblo de la República de Perú, </w:t>
      </w:r>
      <w:r w:rsidRPr="00A63206">
        <w:rPr>
          <w:i/>
          <w:color w:val="000000"/>
          <w:sz w:val="20"/>
          <w:szCs w:val="20"/>
          <w:lang w:val="es-PA"/>
        </w:rPr>
        <w:t>Defensoría del Pueblo : de enero a octubre del 2024 se han reportado 5518 alertas de mujeres reportadas como desaparecidas</w:t>
      </w:r>
      <w:r w:rsidRPr="00A63206">
        <w:rPr>
          <w:color w:val="000000"/>
          <w:sz w:val="20"/>
          <w:szCs w:val="20"/>
          <w:lang w:val="es-PA"/>
        </w:rPr>
        <w:t xml:space="preserve">, disponible à l'adresse : </w:t>
      </w:r>
      <w:hyperlink r:id="rId6">
        <w:r w:rsidRPr="00A63206">
          <w:rPr>
            <w:color w:val="1155CC"/>
            <w:sz w:val="20"/>
            <w:szCs w:val="20"/>
            <w:u w:val="single"/>
            <w:lang w:val="es-PA"/>
          </w:rPr>
          <w:t xml:space="preserve">https://www.defensoria.gob.pe/defensoria-del-pueblo-de-enero-a-octubre-del-2024-se-han-reportado-5518-alertas-de-mujeres-reportadas-como-desaparecidas </w:t>
        </w:r>
      </w:hyperlink>
      <w:r w:rsidRPr="00A63206">
        <w:rPr>
          <w:color w:val="000000"/>
          <w:sz w:val="20"/>
          <w:szCs w:val="20"/>
          <w:lang w:val="es-PA"/>
        </w:rPr>
        <w:t xml:space="preserve">/ Beatriz Guillén, </w:t>
      </w:r>
      <w:r w:rsidRPr="00A63206">
        <w:rPr>
          <w:rFonts w:ascii="Arimo" w:eastAsia="Arimo" w:hAnsi="Arimo" w:cs="Arimo"/>
          <w:color w:val="000000"/>
          <w:sz w:val="20"/>
          <w:szCs w:val="20"/>
          <w:lang w:val="es-PA"/>
        </w:rPr>
        <w:t>"</w:t>
      </w:r>
      <w:r w:rsidRPr="00A63206">
        <w:rPr>
          <w:color w:val="000000"/>
          <w:sz w:val="20"/>
          <w:szCs w:val="20"/>
          <w:lang w:val="es-PA"/>
        </w:rPr>
        <w:t xml:space="preserve">Radiografía de un país que mata a sus mujeres : 17.776 asesinadas en cinco años", El País, 25 novembre 2022 ; https://elpais.com/mexico/2022-11-25/radiografia-de-un-pais-que-mata-a-sus-mujeres-17776-asesinadas-en-cincoanos.html?event=go&amp;event_log=go&amp;prod=REGCRARTMEX&amp;o=cerrmex.  Universidad Autónoma Metropolitana, </w:t>
      </w:r>
      <w:r w:rsidRPr="00A63206">
        <w:rPr>
          <w:i/>
          <w:color w:val="000000"/>
          <w:sz w:val="20"/>
          <w:szCs w:val="20"/>
          <w:lang w:val="es-PA"/>
        </w:rPr>
        <w:t xml:space="preserve">Miradas Interdisciplinarias sobre violencia de género, políticas, el desplazamiento, la desaparición forzada </w:t>
      </w:r>
      <w:r w:rsidRPr="00A63206">
        <w:rPr>
          <w:color w:val="000000"/>
          <w:sz w:val="20"/>
          <w:szCs w:val="20"/>
          <w:lang w:val="es-PA"/>
        </w:rPr>
        <w:t xml:space="preserve">p. 43, disponible à l'adresse : https://simehbucket.s3.amazonaws.com/miscfiles/9786072830370_lqr0kmlw.pdf   Organisation des États américains (OEA), OEA/Ser.L/V/II </w:t>
      </w:r>
      <w:r w:rsidRPr="00A63206">
        <w:rPr>
          <w:i/>
          <w:color w:val="000000"/>
          <w:sz w:val="20"/>
          <w:szCs w:val="20"/>
          <w:lang w:val="es-PA"/>
        </w:rPr>
        <w:t>Violencia y discriminación contra mujeres, niñas y adolescentes : Bonnes pratiques et défis en Amérique latine et dans les Caraïbes</w:t>
      </w:r>
      <w:r w:rsidRPr="00A63206">
        <w:rPr>
          <w:color w:val="000000"/>
          <w:sz w:val="20"/>
          <w:szCs w:val="20"/>
          <w:lang w:val="es-PA"/>
        </w:rPr>
        <w:t xml:space="preserve">. </w:t>
      </w:r>
      <w:r w:rsidRPr="003910F8">
        <w:rPr>
          <w:color w:val="000000"/>
          <w:sz w:val="20"/>
          <w:szCs w:val="20"/>
          <w:lang w:val="fr-FR"/>
        </w:rPr>
        <w:t>Doc. 233 14, novembre 2019, paragraphes 165-168.</w:t>
      </w:r>
    </w:p>
  </w:endnote>
  <w:endnote w:id="11">
    <w:p w14:paraId="2F3AA8AE"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hyperlink r:id="rId7">
        <w:r w:rsidRPr="003910F8">
          <w:rPr>
            <w:color w:val="0000FF"/>
            <w:sz w:val="20"/>
            <w:szCs w:val="20"/>
            <w:u w:val="single"/>
            <w:lang w:val="fr-FR"/>
          </w:rPr>
          <w:t xml:space="preserve"> CED/C/MEX/VR/1 (Conclusions)</w:t>
        </w:r>
      </w:hyperlink>
      <w:r w:rsidRPr="003910F8">
        <w:rPr>
          <w:color w:val="000000"/>
          <w:sz w:val="20"/>
          <w:szCs w:val="20"/>
          <w:lang w:val="fr-FR"/>
        </w:rPr>
        <w:t xml:space="preserve">, paragraphe 13 : </w:t>
      </w:r>
      <w:r w:rsidRPr="003910F8">
        <w:rPr>
          <w:rFonts w:ascii="Arimo" w:eastAsia="Arimo" w:hAnsi="Arimo" w:cs="Arimo"/>
          <w:color w:val="000000"/>
          <w:sz w:val="20"/>
          <w:szCs w:val="20"/>
          <w:lang w:val="fr-FR"/>
        </w:rPr>
        <w:t>"</w:t>
      </w:r>
      <w:r w:rsidRPr="003910F8">
        <w:rPr>
          <w:color w:val="000000"/>
          <w:sz w:val="20"/>
          <w:szCs w:val="20"/>
          <w:lang w:val="fr-FR"/>
        </w:rPr>
        <w:t>Les disparitions forcées continuent d'être commises directement par des agents publics aux niveaux fédéral, étatique et municipal. En outre, le crime organisé est devenu l'un des principaux auteurs de disparitions, avec diverses formes de collusion et des degrés variables de participation, d'acquiescement ou d'omission de la part des fonctionnaires".</w:t>
      </w:r>
    </w:p>
  </w:endnote>
  <w:endnote w:id="12">
    <w:p w14:paraId="7865D62D" w14:textId="77777777" w:rsidR="00A90270" w:rsidRPr="003910F8" w:rsidRDefault="00A90270" w:rsidP="0055550A">
      <w:pPr>
        <w:pBdr>
          <w:top w:val="nil"/>
          <w:left w:val="nil"/>
          <w:bottom w:val="nil"/>
          <w:right w:val="nil"/>
          <w:between w:val="nil"/>
        </w:pBdr>
        <w:ind w:left="567"/>
        <w:rPr>
          <w:color w:val="000000"/>
          <w:sz w:val="22"/>
          <w:szCs w:val="22"/>
          <w:lang w:val="fr-FR"/>
        </w:rPr>
      </w:pPr>
      <w:r>
        <w:rPr>
          <w:vertAlign w:val="superscript"/>
        </w:rPr>
        <w:endnoteRef/>
      </w:r>
      <w:r w:rsidRPr="003910F8">
        <w:rPr>
          <w:color w:val="000000"/>
          <w:sz w:val="20"/>
          <w:szCs w:val="20"/>
          <w:lang w:val="fr-FR"/>
        </w:rPr>
        <w:t xml:space="preserve"> CED/C/10 </w:t>
      </w:r>
      <w:r w:rsidRPr="003910F8">
        <w:rPr>
          <w:i/>
          <w:color w:val="000000"/>
          <w:sz w:val="20"/>
          <w:szCs w:val="20"/>
          <w:lang w:val="fr-FR"/>
        </w:rPr>
        <w:t>Déclaration des acteurs non étatiques dans le contexte de la Convention pour la protection de toutes les personnes contre les disparitions forcées, paragraphes 2-8.</w:t>
      </w:r>
    </w:p>
  </w:endnote>
  <w:endnote w:id="13">
    <w:p w14:paraId="75D67AAC"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fr-FR"/>
        </w:rPr>
        <w:t xml:space="preserve"> A/HRC/41/46/Add.1 </w:t>
      </w:r>
      <w:r w:rsidRPr="003910F8">
        <w:rPr>
          <w:i/>
          <w:color w:val="000000"/>
          <w:sz w:val="20"/>
          <w:szCs w:val="20"/>
          <w:lang w:val="fr-FR"/>
        </w:rPr>
        <w:t>Rapport de la Rapporteuse spéciale sur la traite des personnes, en particulier des femmes et des enfants</w:t>
      </w:r>
      <w:r w:rsidRPr="003910F8">
        <w:rPr>
          <w:color w:val="000000"/>
          <w:sz w:val="20"/>
          <w:szCs w:val="20"/>
          <w:lang w:val="fr-FR"/>
        </w:rPr>
        <w:t>, visite au Nigeria, paragraphes 5 et 6.</w:t>
      </w:r>
    </w:p>
  </w:endnote>
  <w:endnote w:id="14">
    <w:p w14:paraId="402D2247" w14:textId="77777777" w:rsidR="00A90270" w:rsidRPr="00A63206" w:rsidRDefault="00A90270" w:rsidP="0055550A">
      <w:pPr>
        <w:pBdr>
          <w:top w:val="nil"/>
          <w:left w:val="nil"/>
          <w:bottom w:val="nil"/>
          <w:right w:val="nil"/>
          <w:between w:val="nil"/>
        </w:pBdr>
        <w:ind w:left="567"/>
        <w:jc w:val="both"/>
        <w:rPr>
          <w:color w:val="000000"/>
          <w:sz w:val="22"/>
          <w:szCs w:val="22"/>
          <w:lang w:val="es-PA"/>
        </w:rPr>
      </w:pPr>
      <w:r>
        <w:rPr>
          <w:vertAlign w:val="superscript"/>
        </w:rPr>
        <w:endnoteRef/>
      </w:r>
      <w:r w:rsidRPr="00A63206">
        <w:rPr>
          <w:color w:val="000000"/>
          <w:sz w:val="20"/>
          <w:szCs w:val="20"/>
          <w:lang w:val="es-PA"/>
        </w:rPr>
        <w:t xml:space="preserve"> Reveles, José. 2011, </w:t>
      </w:r>
      <w:r w:rsidRPr="00A63206">
        <w:rPr>
          <w:i/>
          <w:color w:val="000000"/>
          <w:sz w:val="20"/>
          <w:szCs w:val="20"/>
          <w:lang w:val="es-PA"/>
        </w:rPr>
        <w:t>Levantones, narcofosas y falsos positivos</w:t>
      </w:r>
      <w:r w:rsidRPr="00A63206">
        <w:rPr>
          <w:color w:val="000000"/>
          <w:sz w:val="20"/>
          <w:szCs w:val="20"/>
          <w:lang w:val="es-PA"/>
        </w:rPr>
        <w:t>, Mexico DF : Grijalbo.</w:t>
      </w:r>
    </w:p>
  </w:endnote>
  <w:endnote w:id="15">
    <w:p w14:paraId="1E88D922"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fr-FR"/>
        </w:rPr>
        <w:t xml:space="preserve"> UNWomen/ICTJ, </w:t>
      </w:r>
      <w:r w:rsidRPr="003910F8">
        <w:rPr>
          <w:i/>
          <w:color w:val="000000"/>
          <w:sz w:val="20"/>
          <w:szCs w:val="20"/>
          <w:lang w:val="fr-FR"/>
        </w:rPr>
        <w:t>Les disparus et les invisibles. L'impact de la disparition forcée sur les femmes</w:t>
      </w:r>
      <w:r w:rsidRPr="003910F8">
        <w:rPr>
          <w:color w:val="000000"/>
          <w:sz w:val="20"/>
          <w:szCs w:val="20"/>
          <w:lang w:val="fr-FR"/>
        </w:rPr>
        <w:t>. p.5</w:t>
      </w:r>
    </w:p>
  </w:endnote>
  <w:endnote w:id="16">
    <w:p w14:paraId="02FEB0F1" w14:textId="77777777" w:rsidR="00A90270" w:rsidRPr="00A63206" w:rsidRDefault="00A90270" w:rsidP="0055550A">
      <w:pPr>
        <w:pBdr>
          <w:top w:val="nil"/>
          <w:left w:val="nil"/>
          <w:bottom w:val="nil"/>
          <w:right w:val="nil"/>
          <w:between w:val="nil"/>
        </w:pBdr>
        <w:ind w:left="567"/>
        <w:rPr>
          <w:color w:val="000000"/>
          <w:sz w:val="22"/>
          <w:szCs w:val="22"/>
          <w:lang w:val="es-PA"/>
        </w:rPr>
      </w:pPr>
      <w:r>
        <w:rPr>
          <w:vertAlign w:val="superscript"/>
        </w:rPr>
        <w:endnoteRef/>
      </w:r>
      <w:r w:rsidRPr="003910F8">
        <w:rPr>
          <w:color w:val="000000"/>
          <w:sz w:val="20"/>
          <w:szCs w:val="20"/>
          <w:lang w:val="fr-FR"/>
        </w:rPr>
        <w:t xml:space="preserve"> FIDH </w:t>
      </w:r>
      <w:r w:rsidRPr="003910F8">
        <w:rPr>
          <w:i/>
          <w:color w:val="000000"/>
          <w:sz w:val="20"/>
          <w:szCs w:val="20"/>
          <w:lang w:val="fr-FR"/>
        </w:rPr>
        <w:t xml:space="preserve">Qui nous cherche, qui s'occupe de nous ? </w:t>
      </w:r>
      <w:r w:rsidRPr="00A63206">
        <w:rPr>
          <w:i/>
          <w:color w:val="000000"/>
          <w:sz w:val="20"/>
          <w:szCs w:val="20"/>
          <w:lang w:val="es-PA"/>
        </w:rPr>
        <w:t>Informe sobre la desaparición de mujeres y niñas vinculadas a la Trata de personas, en el Estado de México</w:t>
      </w:r>
      <w:r w:rsidRPr="00A63206">
        <w:rPr>
          <w:color w:val="000000"/>
          <w:sz w:val="20"/>
          <w:szCs w:val="20"/>
          <w:lang w:val="es-PA"/>
        </w:rPr>
        <w:t>, pg 16, disponible sur :</w:t>
      </w:r>
      <w:hyperlink r:id="rId8">
        <w:r w:rsidRPr="00A63206">
          <w:rPr>
            <w:color w:val="1155CC"/>
            <w:sz w:val="20"/>
            <w:szCs w:val="20"/>
            <w:u w:val="single"/>
            <w:lang w:val="es-PA"/>
          </w:rPr>
          <w:t xml:space="preserve"> https://www.fidh.org/IMG/pdf/mexiquefemmes835eweb_1_.pdf </w:t>
        </w:r>
      </w:hyperlink>
    </w:p>
  </w:endnote>
  <w:endnote w:id="17">
    <w:p w14:paraId="7FD6BAE1" w14:textId="77777777" w:rsidR="00A90270" w:rsidRPr="003910F8" w:rsidRDefault="00A90270" w:rsidP="0055550A">
      <w:pPr>
        <w:pBdr>
          <w:top w:val="nil"/>
          <w:left w:val="nil"/>
          <w:bottom w:val="nil"/>
          <w:right w:val="nil"/>
          <w:between w:val="nil"/>
        </w:pBdr>
        <w:ind w:left="567"/>
        <w:rPr>
          <w:color w:val="000000"/>
          <w:sz w:val="22"/>
          <w:szCs w:val="22"/>
          <w:lang w:val="fr-FR"/>
        </w:rPr>
      </w:pPr>
      <w:r>
        <w:rPr>
          <w:vertAlign w:val="superscript"/>
        </w:rPr>
        <w:endnoteRef/>
      </w:r>
      <w:r w:rsidRPr="003910F8">
        <w:rPr>
          <w:color w:val="000000"/>
          <w:sz w:val="20"/>
          <w:szCs w:val="20"/>
          <w:lang w:val="fr-FR"/>
        </w:rPr>
        <w:t xml:space="preserve"> CED/C/GC/1, Visite du Comité des disparitions forcées en Colombie : Conclusions préliminaires. 5 décembre 2024, disponible à l'adresse :</w:t>
      </w:r>
      <w:hyperlink r:id="rId9">
        <w:r w:rsidRPr="003910F8">
          <w:rPr>
            <w:color w:val="1155CC"/>
            <w:sz w:val="20"/>
            <w:szCs w:val="20"/>
            <w:u w:val="single"/>
            <w:lang w:val="fr-FR"/>
          </w:rPr>
          <w:t xml:space="preserve"> https://tbinternet.ohchr.org/_layouts/15/treatybodyexternal/Download.aspx?symbolno=INT%2FCED%2FSTA%2FCOL%2F60557&amp;Lang=en </w:t>
        </w:r>
      </w:hyperlink>
    </w:p>
  </w:endnote>
  <w:endnote w:id="18">
    <w:p w14:paraId="6BCC45D2" w14:textId="77777777" w:rsidR="00A90270" w:rsidRPr="003910F8" w:rsidRDefault="00A90270" w:rsidP="0055550A">
      <w:pPr>
        <w:pBdr>
          <w:top w:val="nil"/>
          <w:left w:val="nil"/>
          <w:bottom w:val="nil"/>
          <w:right w:val="nil"/>
          <w:between w:val="nil"/>
        </w:pBdr>
        <w:ind w:left="567"/>
        <w:rPr>
          <w:color w:val="000000"/>
          <w:sz w:val="22"/>
          <w:szCs w:val="22"/>
          <w:lang w:val="fr-FR"/>
        </w:rPr>
      </w:pPr>
      <w:r>
        <w:rPr>
          <w:vertAlign w:val="superscript"/>
        </w:rPr>
        <w:endnoteRef/>
      </w:r>
      <w:r w:rsidRPr="003910F8">
        <w:rPr>
          <w:color w:val="000000"/>
          <w:sz w:val="20"/>
          <w:szCs w:val="20"/>
          <w:lang w:val="fr-FR"/>
        </w:rPr>
        <w:t xml:space="preserve"> OEA/Ser.L/II.7.10, </w:t>
      </w:r>
      <w:r w:rsidRPr="003910F8">
        <w:rPr>
          <w:i/>
          <w:color w:val="000000"/>
          <w:sz w:val="20"/>
          <w:szCs w:val="20"/>
          <w:lang w:val="fr-FR"/>
        </w:rPr>
        <w:t xml:space="preserve">Recommandation générale du Comité d'experts du MESECVI (n°2) Femmes et filles disparues dans l'hémisphère. </w:t>
      </w:r>
      <w:r w:rsidRPr="003910F8">
        <w:rPr>
          <w:color w:val="000000"/>
          <w:sz w:val="20"/>
          <w:szCs w:val="20"/>
          <w:lang w:val="fr-FR"/>
        </w:rPr>
        <w:t>2018, disponible sur :</w:t>
      </w:r>
      <w:hyperlink r:id="rId10">
        <w:r w:rsidRPr="003910F8">
          <w:rPr>
            <w:color w:val="1155CC"/>
            <w:sz w:val="20"/>
            <w:szCs w:val="20"/>
            <w:u w:val="single"/>
            <w:lang w:val="fr-FR"/>
          </w:rPr>
          <w:t xml:space="preserve"> https://www.oas.org/es/mesecvi/docs/MESECVI-CEVI-XV-doc.250-ES.pdf</w:t>
        </w:r>
      </w:hyperlink>
      <w:r w:rsidRPr="003910F8">
        <w:rPr>
          <w:color w:val="000000"/>
          <w:sz w:val="20"/>
          <w:szCs w:val="20"/>
          <w:lang w:val="fr-FR"/>
        </w:rPr>
        <w:t xml:space="preserve"> ; CED/C/MEX/VR/1 (Conclusions) 12 avril 2022, para. </w:t>
      </w:r>
      <w:r w:rsidRPr="00A63206">
        <w:rPr>
          <w:color w:val="000000"/>
          <w:sz w:val="20"/>
          <w:szCs w:val="20"/>
          <w:lang w:val="es-PA"/>
        </w:rPr>
        <w:t>14, disponible sur :</w:t>
      </w:r>
      <w:hyperlink r:id="rId11">
        <w:r w:rsidRPr="00A63206">
          <w:rPr>
            <w:color w:val="1155CC"/>
            <w:sz w:val="20"/>
            <w:szCs w:val="20"/>
            <w:u w:val="single"/>
            <w:lang w:val="es-PA"/>
          </w:rPr>
          <w:t xml:space="preserve"> https://docstore.ohchr.org/SelfServices/FilesHandler.ashx?enc=BRXcQB2Hyw5oK4w9m9zUmfckD%2FPemsUabuhKHmjp06OIZ3pVlML9o2FnLZRzI8XA6U8R7W7cmqY3dveUx5BGyPotjMcZElFlmqoe8UA4RFQ%3D</w:t>
        </w:r>
      </w:hyperlink>
      <w:r w:rsidRPr="00A63206">
        <w:rPr>
          <w:color w:val="000000"/>
          <w:sz w:val="20"/>
          <w:szCs w:val="20"/>
          <w:lang w:val="es-PA"/>
        </w:rPr>
        <w:t xml:space="preserve"> ; Defensoría del Pueblo del Estado de Perú, </w:t>
      </w:r>
      <w:r w:rsidRPr="00A63206">
        <w:rPr>
          <w:i/>
          <w:color w:val="000000"/>
          <w:sz w:val="20"/>
          <w:szCs w:val="20"/>
          <w:lang w:val="es-PA"/>
        </w:rPr>
        <w:t xml:space="preserve">Reporte Igualdad y No Violencia ¿Qué pasó con ellas ? </w:t>
      </w:r>
      <w:r w:rsidRPr="003910F8">
        <w:rPr>
          <w:i/>
          <w:color w:val="000000"/>
          <w:sz w:val="20"/>
          <w:szCs w:val="20"/>
          <w:lang w:val="fr-FR"/>
        </w:rPr>
        <w:t xml:space="preserve">No. 57, </w:t>
      </w:r>
      <w:r w:rsidRPr="003910F8">
        <w:rPr>
          <w:color w:val="000000"/>
          <w:sz w:val="20"/>
          <w:szCs w:val="20"/>
          <w:lang w:val="fr-FR"/>
        </w:rPr>
        <w:t>octobre 2024</w:t>
      </w:r>
      <w:r w:rsidRPr="003910F8">
        <w:rPr>
          <w:i/>
          <w:color w:val="000000"/>
          <w:sz w:val="20"/>
          <w:szCs w:val="20"/>
          <w:lang w:val="fr-FR"/>
        </w:rPr>
        <w:t xml:space="preserve">, </w:t>
      </w:r>
      <w:r w:rsidRPr="003910F8">
        <w:rPr>
          <w:color w:val="000000"/>
          <w:sz w:val="20"/>
          <w:szCs w:val="20"/>
          <w:lang w:val="fr-FR"/>
        </w:rPr>
        <w:t>disponible à l'adresse :</w:t>
      </w:r>
      <w:hyperlink r:id="rId12">
        <w:r w:rsidRPr="003910F8">
          <w:rPr>
            <w:color w:val="1155CC"/>
            <w:sz w:val="20"/>
            <w:szCs w:val="20"/>
            <w:u w:val="single"/>
            <w:lang w:val="fr-FR"/>
          </w:rPr>
          <w:t xml:space="preserve"> https://www.defensoria.gob.pe/wp-content/uploads/2024/11/Reporte-Igualdad-y-No-Violencia-57.pdf </w:t>
        </w:r>
      </w:hyperlink>
    </w:p>
  </w:endnote>
  <w:endnote w:id="19">
    <w:p w14:paraId="169F726B"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fr-FR"/>
        </w:rPr>
        <w:t xml:space="preserve"> OEA/Ser.L/V/II, CIDH, </w:t>
      </w:r>
      <w:r w:rsidRPr="003910F8">
        <w:rPr>
          <w:i/>
          <w:color w:val="000000"/>
          <w:sz w:val="20"/>
          <w:szCs w:val="20"/>
          <w:lang w:val="fr-FR"/>
        </w:rPr>
        <w:t>Accès à la justice pour les femmes victimes de violence dans les Amériques,</w:t>
      </w:r>
      <w:r w:rsidRPr="003910F8">
        <w:rPr>
          <w:color w:val="000000"/>
          <w:sz w:val="20"/>
          <w:szCs w:val="20"/>
          <w:lang w:val="fr-FR"/>
        </w:rPr>
        <w:t>. Doc. 68, 20 janvier 2007, disponible à l'adresse :</w:t>
      </w:r>
      <w:hyperlink r:id="rId13">
        <w:r w:rsidRPr="003910F8">
          <w:rPr>
            <w:color w:val="1155CC"/>
            <w:sz w:val="20"/>
            <w:szCs w:val="20"/>
            <w:u w:val="single"/>
            <w:lang w:val="fr-FR"/>
          </w:rPr>
          <w:t xml:space="preserve"> https://www.cidh.oas.org/women/acceso07/indiceacceso.htm</w:t>
        </w:r>
      </w:hyperlink>
      <w:r w:rsidRPr="003910F8">
        <w:rPr>
          <w:color w:val="000000"/>
          <w:sz w:val="20"/>
          <w:szCs w:val="20"/>
          <w:lang w:val="fr-FR"/>
        </w:rPr>
        <w:t xml:space="preserve">  </w:t>
      </w:r>
    </w:p>
  </w:endnote>
  <w:endnote w:id="20">
    <w:p w14:paraId="7DF52059"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Pr>
          <w:color w:val="000000"/>
          <w:sz w:val="20"/>
          <w:szCs w:val="20"/>
        </w:rPr>
        <w:t xml:space="preserve"> OHCHR, Eliminating judicial stereotyping Equal access to justice for women in gender-based violence cases.... </w:t>
      </w:r>
      <w:r w:rsidRPr="003910F8">
        <w:rPr>
          <w:color w:val="000000"/>
          <w:sz w:val="20"/>
          <w:szCs w:val="20"/>
          <w:lang w:val="fr-FR"/>
        </w:rPr>
        <w:t>Simone Cusack, 2014, disponible à l'adresse :</w:t>
      </w:r>
      <w:hyperlink r:id="rId14">
        <w:r w:rsidRPr="003910F8">
          <w:rPr>
            <w:color w:val="1155CC"/>
            <w:sz w:val="20"/>
            <w:szCs w:val="20"/>
            <w:u w:val="single"/>
            <w:lang w:val="fr-FR"/>
          </w:rPr>
          <w:t xml:space="preserve"> https://rm.coe.int/1680597b20 </w:t>
        </w:r>
      </w:hyperlink>
    </w:p>
  </w:endnote>
  <w:endnote w:id="21">
    <w:p w14:paraId="3FE7005A" w14:textId="77777777" w:rsidR="00A90270" w:rsidRPr="003910F8" w:rsidRDefault="00A90270" w:rsidP="0055550A">
      <w:pPr>
        <w:ind w:left="567"/>
        <w:jc w:val="both"/>
        <w:rPr>
          <w:sz w:val="22"/>
          <w:szCs w:val="22"/>
          <w:lang w:val="fr-FR"/>
        </w:rPr>
      </w:pPr>
      <w:r>
        <w:rPr>
          <w:vertAlign w:val="superscript"/>
        </w:rPr>
        <w:endnoteRef/>
      </w:r>
      <w:r w:rsidRPr="003910F8">
        <w:rPr>
          <w:sz w:val="20"/>
          <w:szCs w:val="20"/>
          <w:lang w:val="fr-FR"/>
        </w:rPr>
        <w:t xml:space="preserve"> CEDAW/C/GC/33, </w:t>
      </w:r>
      <w:r w:rsidRPr="003910F8">
        <w:rPr>
          <w:i/>
          <w:sz w:val="20"/>
          <w:szCs w:val="20"/>
          <w:lang w:val="fr-FR"/>
        </w:rPr>
        <w:t xml:space="preserve">Recommandation générale n° 33 sur l'accès des femmes à la justice, </w:t>
      </w:r>
      <w:r w:rsidRPr="003910F8">
        <w:rPr>
          <w:sz w:val="20"/>
          <w:szCs w:val="20"/>
          <w:lang w:val="fr-FR"/>
        </w:rPr>
        <w:t>para.26- 28, disponible sur :</w:t>
      </w:r>
      <w:hyperlink r:id="rId15">
        <w:r w:rsidRPr="003910F8">
          <w:rPr>
            <w:color w:val="1155CC"/>
            <w:sz w:val="20"/>
            <w:szCs w:val="20"/>
            <w:u w:val="single"/>
            <w:lang w:val="fr-FR"/>
          </w:rPr>
          <w:t xml:space="preserve"> https://docstore.ohchr.org/SelfServices/FilesHandler.ashx?enc=c62mN9wd8hzagNLNDNDeMpwFNpMvUNfgK5NBIVvVnPh%2By3l4GnqlcQGt53RjB%2B2dDT%2FbNl7CZqaQmkjeq51Hng%3D%3D</w:t>
        </w:r>
      </w:hyperlink>
      <w:r w:rsidRPr="003910F8">
        <w:rPr>
          <w:sz w:val="20"/>
          <w:szCs w:val="20"/>
          <w:lang w:val="fr-FR"/>
        </w:rPr>
        <w:t xml:space="preserve"> ; voir aussi I/A Court H.R., Case of Gutiérrez Hernández et al. v. Guatemala. </w:t>
      </w:r>
      <w:r w:rsidRPr="003910F8">
        <w:rPr>
          <w:i/>
          <w:sz w:val="20"/>
          <w:szCs w:val="20"/>
          <w:lang w:val="fr-FR"/>
        </w:rPr>
        <w:t>Affaire Gutiérrez Hernández et al. v. Guatemala.</w:t>
      </w:r>
      <w:r w:rsidRPr="003910F8">
        <w:rPr>
          <w:sz w:val="20"/>
          <w:szCs w:val="20"/>
          <w:lang w:val="fr-FR"/>
        </w:rPr>
        <w:t xml:space="preserve"> Objections préliminaires, fond, réparations et frais. Arrêt du </w:t>
      </w:r>
    </w:p>
  </w:endnote>
  <w:endnote w:id="22">
    <w:p w14:paraId="1C0546A7"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fr-FR"/>
        </w:rPr>
        <w:t xml:space="preserve">24 août 2017. Série C n° 339, paragraphe 175, disponible à l'adresse </w:t>
      </w:r>
    </w:p>
  </w:endnote>
  <w:endnote w:id="23">
    <w:p w14:paraId="117432DD"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2"/>
          <w:szCs w:val="22"/>
          <w:lang w:val="fr-FR"/>
        </w:rPr>
        <w:t xml:space="preserve">s/seriec_339_fr.pdf </w:t>
      </w:r>
    </w:p>
    <w:p w14:paraId="31CFF29F" w14:textId="77777777" w:rsidR="00A90270" w:rsidRPr="00A63206" w:rsidRDefault="00A90270" w:rsidP="0055550A">
      <w:pPr>
        <w:pBdr>
          <w:top w:val="nil"/>
          <w:left w:val="nil"/>
          <w:bottom w:val="nil"/>
          <w:right w:val="nil"/>
          <w:between w:val="nil"/>
        </w:pBdr>
        <w:ind w:left="567"/>
        <w:rPr>
          <w:color w:val="000000"/>
          <w:sz w:val="22"/>
          <w:szCs w:val="22"/>
          <w:lang w:val="es-PA"/>
        </w:rPr>
      </w:pPr>
      <w:r w:rsidRPr="00A63206">
        <w:rPr>
          <w:i/>
          <w:color w:val="000000"/>
          <w:sz w:val="20"/>
          <w:szCs w:val="20"/>
          <w:lang w:val="es-PA"/>
        </w:rPr>
        <w:t xml:space="preserve">s de familias de personas desaparecidas en México, </w:t>
      </w:r>
      <w:r w:rsidRPr="00A63206">
        <w:rPr>
          <w:color w:val="000000"/>
          <w:sz w:val="20"/>
          <w:szCs w:val="20"/>
          <w:lang w:val="es-PA"/>
        </w:rPr>
        <w:t>p. 15, disponible à l'adresse :</w:t>
      </w:r>
      <w:hyperlink r:id="rId16">
        <w:r w:rsidRPr="00A63206">
          <w:rPr>
            <w:color w:val="1155CC"/>
            <w:sz w:val="20"/>
            <w:szCs w:val="20"/>
            <w:u w:val="single"/>
            <w:lang w:val="es-PA"/>
          </w:rPr>
          <w:t xml:space="preserve"> https://movndmx.org/informeriesgos2024/ </w:t>
        </w:r>
      </w:hyperlink>
    </w:p>
  </w:endnote>
  <w:endnote w:id="24">
    <w:p w14:paraId="119B894B"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es-PA"/>
        </w:rPr>
        <w:t xml:space="preserve"> Uruguay, 2013 (CED/C/URY/CO/1, par. </w:t>
      </w:r>
      <w:r w:rsidRPr="00A63206">
        <w:rPr>
          <w:color w:val="000000"/>
          <w:sz w:val="20"/>
          <w:szCs w:val="20"/>
          <w:lang w:val="es-PA"/>
        </w:rPr>
        <w:t xml:space="preserve">38) ; Argentine, 2013 (CED/C/ARG/CO/1, par. 41) ; Espagne, 2013 (CED/C/ESP/CO/1, par. 37) ; Pays-Bas, 2014 (CED/C/NLD/CO/1, par. 41) ; Allemagne, 2014 (CED/C/DEU/CO/1, par. 31) ; Belgique, 2014 (CED/C/BEL/CO/1, par. 32) ; Paraguay, 2014 (CED/C/PRY/CO/1, par. 34) ; Mexique, 2015 (CED/C/MEX/CO/1, par. 47) ; Arménie, 2015 (CED/C/ARM/CO/1, par. 31) ; Serbie, 2015 (CED/C/SRB/CO/1, par. 34) ; Iraq, 2015 (CED/C/IRQ/CO/1, par. 40) ; Monténégro, 2015 (CED/C/MNE/CO/1, par. 37) ; Tunisie, 2016 (CED/C/TUN/CO/1, par. 36) ; Burkina Faso, 2016 (CED/C/BFA/CO/1, par. 44) ; Kazakhstan, 2016 (CED/C/KAZ/ CO/1,par. 34) ; Bosnie-Herzégovine, 2016 (CED/C/BIH/CO/1, par. 42) ; Colombie, 2016 (CED/C/COL/CO/1, par. 42) ; Cuba, 2017 (CED/C/CUB/CO/1, par. 38) ; Sénégal, 2017 (CED/C/SEN/CO/1, par. 44) ; Équateur, 2017 (CED/C/ECU/CO/1, par. 24) ; Gabon, 2017 (CED/C/GAB/CO/1, par. 43) ; Autriche, 2018 (CED/C/AUT/CO/1, par. 27) ; Albanie, 2018 (CED/C/ALB/CO/1, par. 41) ; Japon, 2018 (CED/C/JPN/CO/1, par. 46) ; Portugal, 2018 (CED/C/PRT/CO/1, par. 29) ; Italie, 2019 (CED/C/ITA/CO/1, par. 37) ; Honduras, 2018 (CED/C/HND/CO/1, par. 45) ; Chili, 2019 (CED/C/HND/CO/1, par. 45). </w:t>
      </w:r>
      <w:r w:rsidRPr="003910F8">
        <w:rPr>
          <w:color w:val="000000"/>
          <w:sz w:val="20"/>
          <w:szCs w:val="20"/>
          <w:lang w:val="en-GB"/>
        </w:rPr>
        <w:t xml:space="preserve">45) ; Chili, 2019 (CED/C/CHL/CO/1, par. 33) ; Pérou, 2019 (CED/C/PER/CO/1, par. 37) ; Bolivie, 2019 (CED/C/BOL/CO/1, par. </w:t>
      </w:r>
      <w:r>
        <w:rPr>
          <w:color w:val="000000"/>
          <w:sz w:val="20"/>
          <w:szCs w:val="20"/>
        </w:rPr>
        <w:t xml:space="preserve">43) ; Slovaquie, 2019 (CED/C/SVK/CO/1, par. 29). </w:t>
      </w:r>
      <w:r w:rsidRPr="003910F8">
        <w:rPr>
          <w:color w:val="000000"/>
          <w:sz w:val="20"/>
          <w:szCs w:val="20"/>
          <w:lang w:val="fr-FR"/>
        </w:rPr>
        <w:t>CED/C/MEX/VR/1 (Conclusions)par.17</w:t>
      </w:r>
    </w:p>
  </w:endnote>
  <w:endnote w:id="25">
    <w:p w14:paraId="16EEB952"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fr-FR"/>
        </w:rPr>
        <w:t xml:space="preserve"> Voir la Fondation Nydia Erika Bautista, agissant depuis l'exil :</w:t>
      </w:r>
      <w:hyperlink r:id="rId17">
        <w:r w:rsidRPr="003910F8">
          <w:rPr>
            <w:color w:val="1155CC"/>
            <w:sz w:val="20"/>
            <w:szCs w:val="20"/>
            <w:u w:val="single"/>
            <w:lang w:val="fr-FR"/>
          </w:rPr>
          <w:t xml:space="preserve"> https://web.nydia-erika-bautista.org/nosotros/ </w:t>
        </w:r>
      </w:hyperlink>
    </w:p>
  </w:endnote>
  <w:endnote w:id="26">
    <w:p w14:paraId="5F4845AB"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fr-FR"/>
        </w:rPr>
        <w:t xml:space="preserve"> Amnesty International, </w:t>
      </w:r>
      <w:r w:rsidRPr="003910F8">
        <w:rPr>
          <w:i/>
          <w:color w:val="000000"/>
          <w:sz w:val="20"/>
          <w:szCs w:val="20"/>
          <w:lang w:val="fr-FR"/>
        </w:rPr>
        <w:t xml:space="preserve">Mujeres buscadoras en las Américas, </w:t>
      </w:r>
      <w:r w:rsidRPr="003910F8">
        <w:rPr>
          <w:color w:val="000000"/>
          <w:sz w:val="20"/>
          <w:szCs w:val="20"/>
          <w:lang w:val="fr-FR"/>
        </w:rPr>
        <w:t>disponible à l'adresse suivante :</w:t>
      </w:r>
      <w:hyperlink r:id="rId18">
        <w:r w:rsidRPr="003910F8">
          <w:rPr>
            <w:color w:val="1155CC"/>
            <w:sz w:val="20"/>
            <w:szCs w:val="20"/>
            <w:u w:val="single"/>
            <w:lang w:val="fr-FR"/>
          </w:rPr>
          <w:t xml:space="preserve"> https://www.amnesty.org/es/projects/mujeres-buscadoras-en-las-americas/ </w:t>
        </w:r>
      </w:hyperlink>
    </w:p>
  </w:endnote>
  <w:endnote w:id="27">
    <w:p w14:paraId="72A5AAE0" w14:textId="77777777" w:rsidR="00A90270" w:rsidRPr="003910F8" w:rsidRDefault="00A90270" w:rsidP="0055550A">
      <w:pPr>
        <w:pBdr>
          <w:top w:val="nil"/>
          <w:left w:val="nil"/>
          <w:bottom w:val="nil"/>
          <w:right w:val="nil"/>
          <w:between w:val="nil"/>
        </w:pBdr>
        <w:ind w:left="567"/>
        <w:jc w:val="both"/>
        <w:rPr>
          <w:color w:val="000000"/>
          <w:sz w:val="22"/>
          <w:szCs w:val="22"/>
          <w:lang w:val="en-GB"/>
        </w:rPr>
      </w:pPr>
      <w:r>
        <w:rPr>
          <w:vertAlign w:val="superscript"/>
        </w:rPr>
        <w:endnoteRef/>
      </w:r>
      <w:r w:rsidRPr="00A63206">
        <w:rPr>
          <w:color w:val="000000"/>
          <w:sz w:val="20"/>
          <w:szCs w:val="20"/>
          <w:lang w:val="es-PA"/>
        </w:rPr>
        <w:t xml:space="preserve"> Centro PRODH, </w:t>
      </w:r>
      <w:r w:rsidRPr="00A63206">
        <w:rPr>
          <w:i/>
          <w:color w:val="000000"/>
          <w:sz w:val="20"/>
          <w:szCs w:val="20"/>
          <w:lang w:val="es-PA"/>
        </w:rPr>
        <w:t xml:space="preserve">Nos llaman las locas de las palas. </w:t>
      </w:r>
      <w:r w:rsidRPr="003910F8">
        <w:rPr>
          <w:i/>
          <w:color w:val="000000"/>
          <w:sz w:val="20"/>
          <w:szCs w:val="20"/>
          <w:lang w:val="fr-FR"/>
        </w:rPr>
        <w:t xml:space="preserve">El papel de las mujeres en la búsqueda de sus familiares desaparecidos,  </w:t>
      </w:r>
      <w:r w:rsidRPr="003910F8">
        <w:rPr>
          <w:color w:val="000000"/>
          <w:sz w:val="20"/>
          <w:szCs w:val="20"/>
          <w:lang w:val="fr-FR"/>
        </w:rPr>
        <w:t>, p. 33, disponible à :</w:t>
      </w:r>
      <w:hyperlink r:id="rId19">
        <w:r w:rsidRPr="003910F8">
          <w:rPr>
            <w:color w:val="1155CC"/>
            <w:sz w:val="20"/>
            <w:szCs w:val="20"/>
            <w:u w:val="single"/>
            <w:lang w:val="fr-FR"/>
          </w:rPr>
          <w:t xml:space="preserve"> https://centroprodh.org.mx/2020/05/10/pub-las-locas-de-las-palas/</w:t>
        </w:r>
      </w:hyperlink>
      <w:r w:rsidRPr="003910F8">
        <w:rPr>
          <w:color w:val="000000"/>
          <w:sz w:val="20"/>
          <w:szCs w:val="20"/>
          <w:lang w:val="fr-FR"/>
        </w:rPr>
        <w:t xml:space="preserve"> ; CFDA et Euormed rights, </w:t>
      </w:r>
      <w:r w:rsidRPr="003910F8">
        <w:rPr>
          <w:i/>
          <w:color w:val="000000"/>
          <w:sz w:val="20"/>
          <w:szCs w:val="20"/>
          <w:lang w:val="fr-FR"/>
        </w:rPr>
        <w:t>Rapport alternatif à l</w:t>
      </w:r>
      <w:r w:rsidRPr="003910F8">
        <w:rPr>
          <w:rFonts w:ascii="Arimo" w:eastAsia="Arimo" w:hAnsi="Arimo" w:cs="Arimo"/>
          <w:color w:val="000000"/>
          <w:sz w:val="20"/>
          <w:szCs w:val="20"/>
          <w:lang w:val="fr-FR"/>
        </w:rPr>
        <w:t>'</w:t>
      </w:r>
      <w:r w:rsidRPr="003910F8">
        <w:rPr>
          <w:i/>
          <w:color w:val="000000"/>
          <w:sz w:val="20"/>
          <w:szCs w:val="20"/>
          <w:lang w:val="fr-FR"/>
        </w:rPr>
        <w:t>attention du Comité des droits de l'homme des Nations Unies, 121</w:t>
      </w:r>
      <w:r>
        <w:rPr>
          <w:i/>
          <w:color w:val="000000"/>
          <w:sz w:val="20"/>
          <w:szCs w:val="20"/>
        </w:rPr>
        <w:t>ᵉ</w:t>
      </w:r>
      <w:r w:rsidRPr="003910F8">
        <w:rPr>
          <w:i/>
          <w:color w:val="000000"/>
          <w:sz w:val="20"/>
          <w:szCs w:val="20"/>
          <w:lang w:val="fr-FR"/>
        </w:rPr>
        <w:t xml:space="preserve"> session du Comité des droits de l</w:t>
      </w:r>
      <w:r w:rsidRPr="003910F8">
        <w:rPr>
          <w:rFonts w:ascii="Arimo" w:eastAsia="Arimo" w:hAnsi="Arimo" w:cs="Arimo"/>
          <w:color w:val="000000"/>
          <w:sz w:val="20"/>
          <w:szCs w:val="20"/>
          <w:lang w:val="fr-FR"/>
        </w:rPr>
        <w:t>'</w:t>
      </w:r>
      <w:r w:rsidRPr="003910F8">
        <w:rPr>
          <w:i/>
          <w:color w:val="000000"/>
          <w:sz w:val="20"/>
          <w:szCs w:val="20"/>
          <w:lang w:val="fr-FR"/>
        </w:rPr>
        <w:t>homme (18 octobre - 10 novembre 2017)</w:t>
      </w:r>
      <w:r w:rsidRPr="003910F8">
        <w:rPr>
          <w:color w:val="000000"/>
          <w:sz w:val="20"/>
          <w:szCs w:val="20"/>
          <w:lang w:val="fr-FR"/>
        </w:rPr>
        <w:t>, Disponible à :</w:t>
      </w:r>
      <w:hyperlink r:id="rId20">
        <w:r w:rsidRPr="003910F8">
          <w:rPr>
            <w:color w:val="1155CC"/>
            <w:sz w:val="20"/>
            <w:szCs w:val="20"/>
            <w:u w:val="single"/>
            <w:lang w:val="fr-FR"/>
          </w:rPr>
          <w:t xml:space="preserve"> https://www.algerie-disparus.org/app/uploads/2018/08/Alg%C3%A9rie-1er-rapport-alternatif-juillet-2017.pdf</w:t>
        </w:r>
      </w:hyperlink>
      <w:r w:rsidRPr="003910F8">
        <w:rPr>
          <w:color w:val="000000"/>
          <w:sz w:val="20"/>
          <w:szCs w:val="20"/>
          <w:lang w:val="fr-FR"/>
        </w:rPr>
        <w:t xml:space="preserve"> Instituto Catalán Internacional Para La Paz (ICIP) Anna Fleischer, </w:t>
      </w:r>
      <w:r w:rsidRPr="003910F8">
        <w:rPr>
          <w:i/>
          <w:color w:val="000000"/>
          <w:sz w:val="20"/>
          <w:szCs w:val="20"/>
          <w:lang w:val="fr-FR"/>
        </w:rPr>
        <w:t xml:space="preserve">¿Dónde están las personas desaparecidas ? </w:t>
      </w:r>
      <w:r w:rsidRPr="003910F8">
        <w:rPr>
          <w:i/>
          <w:color w:val="000000"/>
          <w:sz w:val="20"/>
          <w:szCs w:val="20"/>
          <w:lang w:val="en-GB"/>
        </w:rPr>
        <w:t>Truth and justice, a prerequisite for peace, The gendered impact of enforced disappearances in Syria</w:t>
      </w:r>
      <w:r w:rsidRPr="003910F8">
        <w:rPr>
          <w:color w:val="000000"/>
          <w:sz w:val="20"/>
          <w:szCs w:val="20"/>
          <w:lang w:val="en-GB"/>
        </w:rPr>
        <w:t>, disponible sur :</w:t>
      </w:r>
      <w:hyperlink r:id="rId21">
        <w:r w:rsidRPr="003910F8">
          <w:rPr>
            <w:color w:val="1155CC"/>
            <w:sz w:val="20"/>
            <w:szCs w:val="20"/>
            <w:u w:val="single"/>
            <w:lang w:val="en-GB"/>
          </w:rPr>
          <w:t xml:space="preserve"> https://www.icip.cat/perlapau/es/articulo/el-impacto-de-genero-de-las-desapariciones-forzadas-en-siria/ </w:t>
        </w:r>
      </w:hyperlink>
    </w:p>
  </w:endnote>
  <w:endnote w:id="28">
    <w:p w14:paraId="589959F2" w14:textId="77777777" w:rsidR="00A90270" w:rsidRPr="00A63206" w:rsidRDefault="00A90270" w:rsidP="0055550A">
      <w:pPr>
        <w:pBdr>
          <w:top w:val="nil"/>
          <w:left w:val="nil"/>
          <w:bottom w:val="nil"/>
          <w:right w:val="nil"/>
          <w:between w:val="nil"/>
        </w:pBdr>
        <w:ind w:left="567"/>
        <w:rPr>
          <w:color w:val="000000"/>
          <w:sz w:val="22"/>
          <w:szCs w:val="22"/>
          <w:lang w:val="es-PA"/>
        </w:rPr>
      </w:pPr>
      <w:r>
        <w:rPr>
          <w:vertAlign w:val="superscript"/>
        </w:rPr>
        <w:endnoteRef/>
      </w:r>
      <w:r w:rsidRPr="00A63206">
        <w:rPr>
          <w:color w:val="1155CC"/>
          <w:sz w:val="20"/>
          <w:szCs w:val="20"/>
          <w:lang w:val="es-PA"/>
        </w:rPr>
        <w:t xml:space="preserve">Joan Cabasés Vega, </w:t>
      </w:r>
      <w:r w:rsidRPr="00A63206">
        <w:rPr>
          <w:i/>
          <w:color w:val="1155CC"/>
          <w:sz w:val="20"/>
          <w:szCs w:val="20"/>
          <w:lang w:val="es-PA"/>
        </w:rPr>
        <w:t>Ellas buscan a sus seres desaparecidos en las guerras de Medio Oriente</w:t>
      </w:r>
      <w:r w:rsidRPr="00A63206">
        <w:rPr>
          <w:color w:val="1155CC"/>
          <w:sz w:val="20"/>
          <w:szCs w:val="20"/>
          <w:lang w:val="es-PA"/>
        </w:rPr>
        <w:t>, disponible à l'adresse :</w:t>
      </w:r>
      <w:hyperlink r:id="rId22">
        <w:r w:rsidRPr="00A63206">
          <w:rPr>
            <w:color w:val="1155CC"/>
            <w:sz w:val="20"/>
            <w:szCs w:val="20"/>
            <w:u w:val="single"/>
            <w:lang w:val="es-PA"/>
          </w:rPr>
          <w:t xml:space="preserve"> https://www.rfi.fr/es/programas/enfoque-internacional/20230831-ellas-buscan-a-sus-seres-desaparecidos-en-las-guerras-de-medio-oriente</w:t>
        </w:r>
      </w:hyperlink>
      <w:r w:rsidRPr="00A63206">
        <w:rPr>
          <w:color w:val="000000"/>
          <w:sz w:val="20"/>
          <w:szCs w:val="20"/>
          <w:lang w:val="es-PA"/>
        </w:rPr>
        <w:t xml:space="preserve"> , MUGAK, Desaparecidos, Fadwa Mahmud : luchadora, madre y esposa de dos desaparecidos en las cárceles de Siria, disponible à l'adresse :</w:t>
      </w:r>
      <w:hyperlink r:id="rId23">
        <w:r w:rsidRPr="00A63206">
          <w:rPr>
            <w:color w:val="1155CC"/>
            <w:sz w:val="20"/>
            <w:szCs w:val="20"/>
            <w:u w:val="single"/>
            <w:lang w:val="es-PA"/>
          </w:rPr>
          <w:t xml:space="preserve"> https://medios.mugak.eu/noticias/noticia/584289?criterio_id=28888</w:t>
        </w:r>
      </w:hyperlink>
      <w:r w:rsidRPr="00A63206">
        <w:rPr>
          <w:color w:val="000000"/>
          <w:sz w:val="20"/>
          <w:szCs w:val="20"/>
          <w:lang w:val="es-PA"/>
        </w:rPr>
        <w:t xml:space="preserve"> ;</w:t>
      </w:r>
    </w:p>
  </w:endnote>
  <w:endnote w:id="29">
    <w:p w14:paraId="0E1C7B73" w14:textId="77777777" w:rsidR="00A90270" w:rsidRPr="003910F8" w:rsidRDefault="00A90270" w:rsidP="0055550A">
      <w:pPr>
        <w:pBdr>
          <w:top w:val="nil"/>
          <w:left w:val="nil"/>
          <w:bottom w:val="nil"/>
          <w:right w:val="nil"/>
          <w:between w:val="nil"/>
        </w:pBdr>
        <w:ind w:left="567"/>
        <w:jc w:val="both"/>
        <w:rPr>
          <w:color w:val="000000"/>
          <w:sz w:val="22"/>
          <w:szCs w:val="22"/>
          <w:lang w:val="en-GB"/>
        </w:rPr>
      </w:pPr>
      <w:r>
        <w:rPr>
          <w:vertAlign w:val="superscript"/>
        </w:rPr>
        <w:endnoteRef/>
      </w:r>
      <w:r w:rsidRPr="003910F8">
        <w:rPr>
          <w:color w:val="000000"/>
          <w:sz w:val="20"/>
          <w:szCs w:val="20"/>
          <w:lang w:val="fr-FR"/>
        </w:rPr>
        <w:t xml:space="preserve"> ICIP, Anna Fleischer, Où sont les personnes disparues ? </w:t>
      </w:r>
      <w:r w:rsidRPr="003910F8">
        <w:rPr>
          <w:color w:val="000000"/>
          <w:sz w:val="20"/>
          <w:szCs w:val="20"/>
          <w:lang w:val="en-GB"/>
        </w:rPr>
        <w:t>Truth and Justice, A Prerequisite for Peace, The Gendered Impact of Enforced Disappearances in Syria, disponible à l'adresse :</w:t>
      </w:r>
      <w:hyperlink r:id="rId24">
        <w:r w:rsidRPr="003910F8">
          <w:rPr>
            <w:color w:val="1155CC"/>
            <w:sz w:val="20"/>
            <w:szCs w:val="20"/>
            <w:u w:val="single"/>
            <w:lang w:val="en-GB"/>
          </w:rPr>
          <w:t xml:space="preserve"> https://www.icip.cat/perlapau/es/articulo/el-impacto-de-genero-de-las-desapariciones-forzadas-en-siria/</w:t>
        </w:r>
      </w:hyperlink>
      <w:r w:rsidRPr="003910F8">
        <w:rPr>
          <w:color w:val="000000"/>
          <w:sz w:val="20"/>
          <w:szCs w:val="20"/>
          <w:lang w:val="en-GB"/>
        </w:rPr>
        <w:t xml:space="preserve">  </w:t>
      </w:r>
    </w:p>
  </w:endnote>
  <w:endnote w:id="30">
    <w:p w14:paraId="75B898C8"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fr-FR"/>
        </w:rPr>
        <w:t>Assemblée générale des Nations unies, Résolution A/RES/53/144. Déclaration sur les défenseurs des droits de l'homme, disponible à l'adresse suivante :</w:t>
      </w:r>
      <w:hyperlink r:id="rId25">
        <w:r w:rsidRPr="003910F8">
          <w:rPr>
            <w:color w:val="1155CC"/>
            <w:sz w:val="20"/>
            <w:szCs w:val="20"/>
            <w:u w:val="single"/>
            <w:lang w:val="fr-FR"/>
          </w:rPr>
          <w:t xml:space="preserve"> https://docs.un.org/es/A/RES/53/144 </w:t>
        </w:r>
      </w:hyperlink>
    </w:p>
  </w:endnote>
  <w:endnote w:id="31">
    <w:p w14:paraId="45CA1EBA" w14:textId="77777777" w:rsidR="00A90270" w:rsidRDefault="00A90270" w:rsidP="0055550A">
      <w:pPr>
        <w:pBdr>
          <w:top w:val="nil"/>
          <w:left w:val="nil"/>
          <w:bottom w:val="nil"/>
          <w:right w:val="nil"/>
          <w:between w:val="nil"/>
        </w:pBdr>
        <w:ind w:left="567"/>
        <w:jc w:val="both"/>
        <w:rPr>
          <w:color w:val="000000"/>
          <w:sz w:val="22"/>
          <w:szCs w:val="22"/>
        </w:rPr>
      </w:pPr>
      <w:r>
        <w:rPr>
          <w:vertAlign w:val="superscript"/>
        </w:rPr>
        <w:endnoteRef/>
      </w:r>
      <w:r>
        <w:rPr>
          <w:color w:val="000000"/>
          <w:sz w:val="20"/>
          <w:szCs w:val="20"/>
        </w:rPr>
        <w:t xml:space="preserve">Frey Barbara A, </w:t>
      </w:r>
      <w:r>
        <w:rPr>
          <w:rFonts w:ascii="Arimo" w:eastAsia="Arimo" w:hAnsi="Arimo" w:cs="Arimo"/>
          <w:color w:val="000000"/>
          <w:sz w:val="20"/>
          <w:szCs w:val="20"/>
        </w:rPr>
        <w:t>"</w:t>
      </w:r>
      <w:r>
        <w:rPr>
          <w:i/>
          <w:color w:val="000000"/>
          <w:sz w:val="20"/>
          <w:szCs w:val="20"/>
        </w:rPr>
        <w:t>Los Desaparecidos : The Latin American Experience as a Narrative Framework for the International Norm against Forced Disappearances</w:t>
      </w:r>
      <w:r>
        <w:rPr>
          <w:color w:val="000000"/>
          <w:sz w:val="20"/>
          <w:szCs w:val="20"/>
        </w:rPr>
        <w:t>" (2009) Hispanic Issues Series University of Minnesota.</w:t>
      </w:r>
    </w:p>
  </w:endnote>
  <w:endnote w:id="32">
    <w:p w14:paraId="760998F6" w14:textId="77777777" w:rsidR="00A90270" w:rsidRDefault="00A90270" w:rsidP="0055550A">
      <w:pPr>
        <w:pBdr>
          <w:top w:val="nil"/>
          <w:left w:val="nil"/>
          <w:bottom w:val="nil"/>
          <w:right w:val="nil"/>
          <w:between w:val="nil"/>
        </w:pBdr>
        <w:ind w:left="567"/>
        <w:jc w:val="both"/>
        <w:rPr>
          <w:color w:val="000000"/>
          <w:sz w:val="22"/>
          <w:szCs w:val="22"/>
        </w:rPr>
      </w:pPr>
      <w:r>
        <w:rPr>
          <w:vertAlign w:val="superscript"/>
        </w:rPr>
        <w:endnoteRef/>
      </w:r>
      <w:r>
        <w:rPr>
          <w:color w:val="000000"/>
          <w:sz w:val="20"/>
          <w:szCs w:val="20"/>
        </w:rPr>
        <w:t xml:space="preserve"> Vegh Weis, Valeria, </w:t>
      </w:r>
      <w:r>
        <w:rPr>
          <w:rFonts w:ascii="Arimo" w:eastAsia="Arimo" w:hAnsi="Arimo" w:cs="Arimo"/>
          <w:color w:val="000000"/>
          <w:sz w:val="20"/>
          <w:szCs w:val="20"/>
        </w:rPr>
        <w:t>"</w:t>
      </w:r>
      <w:r>
        <w:rPr>
          <w:color w:val="000000"/>
          <w:sz w:val="20"/>
          <w:szCs w:val="20"/>
        </w:rPr>
        <w:t>The relevance of victim's organisations in the transitional justice process : the case of the grandmothers of plaza de mayo in Argentina" (2017) Intercultural Human Rights Law Review, volume 12.</w:t>
      </w:r>
    </w:p>
  </w:endnote>
  <w:endnote w:id="33">
    <w:p w14:paraId="693E1BF0" w14:textId="77777777" w:rsidR="00A90270" w:rsidRPr="00A63206" w:rsidRDefault="00A90270" w:rsidP="0055550A">
      <w:pPr>
        <w:pBdr>
          <w:top w:val="nil"/>
          <w:left w:val="nil"/>
          <w:bottom w:val="nil"/>
          <w:right w:val="nil"/>
          <w:between w:val="nil"/>
        </w:pBdr>
        <w:ind w:left="567"/>
        <w:jc w:val="both"/>
        <w:rPr>
          <w:color w:val="000000"/>
          <w:sz w:val="22"/>
          <w:szCs w:val="22"/>
          <w:lang w:val="es-PA"/>
        </w:rPr>
      </w:pPr>
      <w:r>
        <w:rPr>
          <w:vertAlign w:val="superscript"/>
        </w:rPr>
        <w:endnoteRef/>
      </w:r>
      <w:r>
        <w:rPr>
          <w:color w:val="000000"/>
          <w:sz w:val="20"/>
          <w:szCs w:val="20"/>
        </w:rPr>
        <w:t xml:space="preserve"> Dulitzky Ariel, </w:t>
      </w:r>
      <w:r>
        <w:rPr>
          <w:rFonts w:ascii="Arimo" w:eastAsia="Arimo" w:hAnsi="Arimo" w:cs="Arimo"/>
          <w:color w:val="000000"/>
          <w:sz w:val="20"/>
          <w:szCs w:val="20"/>
        </w:rPr>
        <w:t xml:space="preserve">" </w:t>
      </w:r>
      <w:r>
        <w:rPr>
          <w:i/>
          <w:color w:val="000000"/>
          <w:sz w:val="20"/>
          <w:szCs w:val="20"/>
        </w:rPr>
        <w:t xml:space="preserve">The latin-american flavor of enforced disappearances </w:t>
      </w:r>
      <w:r>
        <w:rPr>
          <w:color w:val="000000"/>
          <w:sz w:val="20"/>
          <w:szCs w:val="20"/>
        </w:rPr>
        <w:t xml:space="preserve">" (2019) Chicago Journal of International Law : Vol. 19 : n° 2, article 3. Pervou Ioanna, </w:t>
      </w:r>
      <w:r>
        <w:rPr>
          <w:rFonts w:ascii="Arimo" w:eastAsia="Arimo" w:hAnsi="Arimo" w:cs="Arimo"/>
          <w:color w:val="000000"/>
          <w:sz w:val="20"/>
          <w:szCs w:val="20"/>
        </w:rPr>
        <w:t xml:space="preserve">" </w:t>
      </w:r>
      <w:r>
        <w:rPr>
          <w:i/>
          <w:color w:val="000000"/>
          <w:sz w:val="20"/>
          <w:szCs w:val="20"/>
        </w:rPr>
        <w:t xml:space="preserve">The Convention for the Protection of All Persons from Enforced Disappearance : Moving Human Rights Protection Ahead </w:t>
      </w:r>
      <w:r>
        <w:rPr>
          <w:color w:val="000000"/>
          <w:sz w:val="20"/>
          <w:szCs w:val="20"/>
        </w:rPr>
        <w:t xml:space="preserve">" (2012). </w:t>
      </w:r>
      <w:r w:rsidRPr="00A63206">
        <w:rPr>
          <w:color w:val="000000"/>
          <w:sz w:val="20"/>
          <w:szCs w:val="20"/>
          <w:lang w:val="es-PA"/>
        </w:rPr>
        <w:t xml:space="preserve">EJLS : 5 1, p. 145 ; </w:t>
      </w:r>
    </w:p>
  </w:endnote>
  <w:endnote w:id="34">
    <w:p w14:paraId="0EC2A8B9" w14:textId="77777777" w:rsidR="00A90270" w:rsidRPr="00A63206" w:rsidRDefault="00A90270" w:rsidP="0055550A">
      <w:pPr>
        <w:pBdr>
          <w:top w:val="nil"/>
          <w:left w:val="nil"/>
          <w:bottom w:val="nil"/>
          <w:right w:val="nil"/>
          <w:between w:val="nil"/>
        </w:pBdr>
        <w:ind w:left="567"/>
        <w:rPr>
          <w:color w:val="000000"/>
          <w:sz w:val="22"/>
          <w:szCs w:val="22"/>
          <w:lang w:val="es-PA"/>
        </w:rPr>
      </w:pPr>
      <w:r>
        <w:rPr>
          <w:vertAlign w:val="superscript"/>
        </w:rPr>
        <w:endnoteRef/>
      </w:r>
      <w:r w:rsidRPr="00A63206">
        <w:rPr>
          <w:color w:val="000000"/>
          <w:sz w:val="20"/>
          <w:szCs w:val="20"/>
          <w:lang w:val="es-PA"/>
        </w:rPr>
        <w:t xml:space="preserve">  Universidad Autónoma Metropolitana, </w:t>
      </w:r>
      <w:r w:rsidRPr="00A63206">
        <w:rPr>
          <w:i/>
          <w:color w:val="000000"/>
          <w:sz w:val="20"/>
          <w:szCs w:val="20"/>
          <w:lang w:val="es-PA"/>
        </w:rPr>
        <w:t xml:space="preserve">Miradas Interdisciplinarias sobre violencia de género, políticas, el desplazamiento, la desaparición forzada </w:t>
      </w:r>
      <w:r w:rsidRPr="00A63206">
        <w:rPr>
          <w:color w:val="000000"/>
          <w:sz w:val="20"/>
          <w:szCs w:val="20"/>
          <w:lang w:val="es-PA"/>
        </w:rPr>
        <w:t>p. 47, disponible à l'adresse :</w:t>
      </w:r>
      <w:r>
        <w:fldChar w:fldCharType="begin"/>
      </w:r>
      <w:r w:rsidRPr="003910F8">
        <w:rPr>
          <w:lang w:val="es-419"/>
        </w:rPr>
        <w:instrText>HYPERLINK "https://simehbucket.s3.amazonaws.com/miscfiles/9786072830370_lqr0kmlw.pdf" \h</w:instrText>
      </w:r>
      <w:r>
        <w:fldChar w:fldCharType="separate"/>
      </w:r>
      <w:r w:rsidRPr="00A63206">
        <w:rPr>
          <w:color w:val="1155CC"/>
          <w:sz w:val="20"/>
          <w:szCs w:val="20"/>
          <w:u w:val="single"/>
          <w:lang w:val="es-PA"/>
        </w:rPr>
        <w:t xml:space="preserve"> https://simehbucket.s3.amazonaws.com/miscfiles/9786072830370_lqr0kmlw.pdf, </w:t>
      </w:r>
      <w:r>
        <w:fldChar w:fldCharType="end"/>
      </w:r>
    </w:p>
  </w:endnote>
  <w:endnote w:id="35">
    <w:p w14:paraId="5CCF6F36"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fr-FR"/>
        </w:rPr>
        <w:t xml:space="preserve"> Conseil des droits de l'homme, A/HRC/WGEID/98/2, 14 février 2013 préambule et paragraphe 3, disponible à l'adresse :</w:t>
      </w:r>
      <w:hyperlink r:id="rId26">
        <w:r w:rsidRPr="003910F8">
          <w:rPr>
            <w:color w:val="1155CC"/>
            <w:sz w:val="20"/>
            <w:szCs w:val="20"/>
            <w:u w:val="single"/>
            <w:lang w:val="fr-FR"/>
          </w:rPr>
          <w:t xml:space="preserve"> https://www.ohchr.org/sites/default/files/Documents/Issues/Disappearances/GC/A-HRC-WGEID-98-2_sp.pdf </w:t>
        </w:r>
      </w:hyperlink>
    </w:p>
  </w:endnote>
  <w:endnote w:id="36">
    <w:p w14:paraId="1CEA58B0" w14:textId="77777777" w:rsidR="00A90270" w:rsidRPr="003910F8" w:rsidRDefault="00A90270" w:rsidP="0055550A">
      <w:pPr>
        <w:pBdr>
          <w:top w:val="nil"/>
          <w:left w:val="nil"/>
          <w:bottom w:val="nil"/>
          <w:right w:val="nil"/>
          <w:between w:val="nil"/>
        </w:pBdr>
        <w:ind w:left="567"/>
        <w:rPr>
          <w:color w:val="000000"/>
          <w:sz w:val="22"/>
          <w:szCs w:val="22"/>
          <w:lang w:val="fr-FR"/>
        </w:rPr>
      </w:pPr>
      <w:r>
        <w:rPr>
          <w:vertAlign w:val="superscript"/>
        </w:rPr>
        <w:endnoteRef/>
      </w:r>
      <w:r w:rsidRPr="003910F8">
        <w:rPr>
          <w:color w:val="000000"/>
          <w:sz w:val="20"/>
          <w:szCs w:val="20"/>
          <w:lang w:val="fr-FR"/>
        </w:rPr>
        <w:t>CED/C/HND/OAI/1, para. 59, disponible sur :</w:t>
      </w:r>
      <w:hyperlink r:id="rId27">
        <w:r w:rsidRPr="003910F8">
          <w:rPr>
            <w:color w:val="1155CC"/>
            <w:sz w:val="20"/>
            <w:szCs w:val="20"/>
            <w:u w:val="single"/>
            <w:lang w:val="fr-FR"/>
          </w:rPr>
          <w:t xml:space="preserve"> https://docstore.ohchr.org/SelfServices/FilesHandler.ashx?enc=EdJUVABCj%2FznJuuUgX4aUg%2BYtn1UEvdm4hTXg%2BxQUAar1zLbnQgq%2FJ0JygeqdTnGnQEMPXopiQuHREDTwAR8Gg%3D%3D</w:t>
        </w:r>
      </w:hyperlink>
      <w:r w:rsidRPr="003910F8">
        <w:rPr>
          <w:color w:val="000000"/>
          <w:sz w:val="20"/>
          <w:szCs w:val="20"/>
          <w:lang w:val="fr-FR"/>
        </w:rPr>
        <w:t xml:space="preserve"> ; CED/C/MLI/CO/1, Observations finales sur le rapport présenté par le Mali</w:t>
      </w:r>
      <w:r w:rsidRPr="003910F8">
        <w:rPr>
          <w:i/>
          <w:color w:val="000000"/>
          <w:sz w:val="20"/>
          <w:szCs w:val="20"/>
          <w:lang w:val="fr-FR"/>
        </w:rPr>
        <w:t xml:space="preserve">, Situation des femmes membres de la famille d'une personne disparue, para. 48 et 49, </w:t>
      </w:r>
      <w:r w:rsidRPr="003910F8">
        <w:rPr>
          <w:color w:val="000000"/>
          <w:sz w:val="20"/>
          <w:szCs w:val="20"/>
          <w:lang w:val="fr-FR"/>
        </w:rPr>
        <w:t>disponible sur :</w:t>
      </w:r>
      <w:hyperlink r:id="rId28">
        <w:r w:rsidRPr="003910F8">
          <w:rPr>
            <w:color w:val="1155CC"/>
            <w:sz w:val="20"/>
            <w:szCs w:val="20"/>
            <w:u w:val="single"/>
            <w:lang w:val="fr-FR"/>
          </w:rPr>
          <w:t xml:space="preserve"> https://docstore.ohchr.org/SelfServices/FilesHandler.ashx ?enc=vnZ4exQFatXHT3nm%2FHv1g%2Bei6cwci1p3q4iwH%2Fue7wkLEcw%2F5WfKjxEL4NQ4vQVDJ2SYVzT9KW%2BzAV6pBHE3w%3D%3D</w:t>
        </w:r>
      </w:hyperlink>
      <w:r w:rsidRPr="003910F8">
        <w:rPr>
          <w:color w:val="000000"/>
          <w:sz w:val="20"/>
          <w:szCs w:val="20"/>
          <w:lang w:val="fr-FR"/>
        </w:rPr>
        <w:t xml:space="preserve"> CED/C/NER/CO/1 Observations finales sur le rapport soumis par le Niger</w:t>
      </w:r>
      <w:r w:rsidRPr="003910F8">
        <w:rPr>
          <w:i/>
          <w:color w:val="000000"/>
          <w:sz w:val="20"/>
          <w:szCs w:val="20"/>
          <w:lang w:val="fr-FR"/>
        </w:rPr>
        <w:t xml:space="preserve">, Situation des femmes membres de la famille d'une personne disparue, paras. 33 et 34, </w:t>
      </w:r>
      <w:r w:rsidRPr="003910F8">
        <w:rPr>
          <w:color w:val="000000"/>
          <w:sz w:val="20"/>
          <w:szCs w:val="20"/>
          <w:lang w:val="fr-FR"/>
        </w:rPr>
        <w:t>disponible sur :</w:t>
      </w:r>
      <w:hyperlink r:id="rId29">
        <w:r w:rsidRPr="003910F8">
          <w:rPr>
            <w:color w:val="1155CC"/>
            <w:sz w:val="20"/>
            <w:szCs w:val="20"/>
            <w:u w:val="single"/>
            <w:lang w:val="fr-FR"/>
          </w:rPr>
          <w:t xml:space="preserve"> https://docstore.ohchr.org/SelfServices/FilesHandler.ashx ?enc=u6IYDjQHmuls7Ax5fZryBKSZZpf7fmrfTXsY3%2B5MSgYZ7TnczHtC2Guk0jjARRIzF0S%2BGa6Ir8pqFsbWjpsKg%3D%3D</w:t>
        </w:r>
      </w:hyperlink>
      <w:r w:rsidRPr="003910F8">
        <w:rPr>
          <w:i/>
          <w:color w:val="000000"/>
          <w:sz w:val="20"/>
          <w:szCs w:val="20"/>
          <w:lang w:val="fr-FR"/>
        </w:rPr>
        <w:t xml:space="preserve"> ; </w:t>
      </w:r>
      <w:r w:rsidRPr="003910F8">
        <w:rPr>
          <w:color w:val="000000"/>
          <w:sz w:val="20"/>
          <w:szCs w:val="20"/>
          <w:lang w:val="fr-FR"/>
        </w:rPr>
        <w:t>CED/C/CHL/CO/1 Observations finales sur le rapport soumis par le Chili, para. 33, disponible sur :</w:t>
      </w:r>
      <w:hyperlink r:id="rId30">
        <w:r w:rsidRPr="003910F8">
          <w:rPr>
            <w:color w:val="1155CC"/>
            <w:sz w:val="20"/>
            <w:szCs w:val="20"/>
            <w:u w:val="single"/>
            <w:lang w:val="fr-FR"/>
          </w:rPr>
          <w:t xml:space="preserve"> https://docstore.ohchr.org/SelfServices/FilesHandler.ashx?enc=%2FfruQ5fVTQE0fzgbLWvAgi5oVy36n9sjmXsejc3rWc8M4wvA78%2F2nJH7dKqJqfSpaDOP1b43N8t4QzEIRojb5w%3D%3D</w:t>
        </w:r>
      </w:hyperlink>
      <w:r w:rsidRPr="003910F8">
        <w:rPr>
          <w:i/>
          <w:color w:val="000000"/>
          <w:sz w:val="20"/>
          <w:szCs w:val="20"/>
          <w:lang w:val="fr-FR"/>
        </w:rPr>
        <w:t xml:space="preserve"> . </w:t>
      </w:r>
    </w:p>
  </w:endnote>
  <w:endnote w:id="37">
    <w:p w14:paraId="65592B41" w14:textId="77777777" w:rsidR="00A90270" w:rsidRPr="003910F8" w:rsidRDefault="00A90270" w:rsidP="0055550A">
      <w:pPr>
        <w:pBdr>
          <w:top w:val="nil"/>
          <w:left w:val="nil"/>
          <w:bottom w:val="nil"/>
          <w:right w:val="nil"/>
          <w:between w:val="nil"/>
        </w:pBdr>
        <w:ind w:left="567"/>
        <w:rPr>
          <w:color w:val="000000"/>
          <w:sz w:val="22"/>
          <w:szCs w:val="22"/>
          <w:lang w:val="fr-FR"/>
        </w:rPr>
      </w:pPr>
      <w:r>
        <w:rPr>
          <w:vertAlign w:val="superscript"/>
        </w:rPr>
        <w:endnoteRef/>
      </w:r>
      <w:r w:rsidRPr="003910F8">
        <w:rPr>
          <w:color w:val="000000"/>
          <w:sz w:val="20"/>
          <w:szCs w:val="20"/>
          <w:lang w:val="fr-FR"/>
        </w:rPr>
        <w:t xml:space="preserve"> CED/C/MEX/VR/1 (Conclusions) ;): une approche différenciée devrait accorder une attention particulière aux besoins spécifiques des femmes, des enfants, des personnes âgées et des personnes handicapées, et devrait prendre en compte toutes les caractéristiques personnelles des victimes qui peuvent être pertinentes ; CED/C/IRQ/VR/1 (Conclusions) para.105,112-113, disponible à :</w:t>
      </w:r>
      <w:hyperlink r:id="rId31">
        <w:r w:rsidRPr="003910F8">
          <w:rPr>
            <w:color w:val="1155CC"/>
            <w:sz w:val="20"/>
            <w:szCs w:val="20"/>
            <w:u w:val="single"/>
            <w:lang w:val="fr-FR"/>
          </w:rPr>
          <w:t xml:space="preserve"> https://docstore.ohchr.org/SelfServices/FilesHandler.ashx?enc=yya6zU%2B8HA8%2B1K9pE4atxW0BeafOIwEhgB%2F9XrkK17qId3rxRwD81m5HBZyyEVbne9DJCE3tmJs4YONkP5lQ3YdqZMfYIjSkvMeR1Xd9%2FGU%3D </w:t>
        </w:r>
      </w:hyperlink>
    </w:p>
  </w:endnote>
  <w:endnote w:id="38">
    <w:p w14:paraId="28DD5C38"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fr-FR"/>
        </w:rPr>
        <w:t xml:space="preserve"> CED/C/10, paragraphe 22 ; Déclaration sur l'élimination de la violence à l'égard des femmes, article 4(c), disponible à l'adresse :</w:t>
      </w:r>
      <w:hyperlink r:id="rId32">
        <w:r w:rsidRPr="003910F8">
          <w:rPr>
            <w:color w:val="1155CC"/>
            <w:sz w:val="20"/>
            <w:szCs w:val="20"/>
            <w:u w:val="single"/>
            <w:lang w:val="fr-FR"/>
          </w:rPr>
          <w:t xml:space="preserve"> https://www.ohchr.org/es/instruments-mechanisms/instruments/declaration-elimination-violence-against-women </w:t>
        </w:r>
      </w:hyperlink>
    </w:p>
  </w:endnote>
  <w:endnote w:id="39">
    <w:p w14:paraId="4F2790A2"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fr-FR"/>
        </w:rPr>
        <w:t xml:space="preserve"> SGNU, Note d'orientation du Secrétaire général sur la justice transitionnelle : un outil stratégique pour les personnes, la prévention et la paix (2023). Disponible à l'adresse : https://www.ohchr.org/en/documents/tools-and-resources/guidance-note-secretary-general-transitional-justice-strategic-tool</w:t>
      </w:r>
    </w:p>
  </w:endnote>
  <w:endnote w:id="40">
    <w:p w14:paraId="3BE46AD9" w14:textId="77777777" w:rsidR="00A90270" w:rsidRPr="003910F8" w:rsidRDefault="00A90270" w:rsidP="0055550A">
      <w:pPr>
        <w:pBdr>
          <w:top w:val="nil"/>
          <w:left w:val="nil"/>
          <w:bottom w:val="nil"/>
          <w:right w:val="nil"/>
          <w:between w:val="nil"/>
        </w:pBdr>
        <w:ind w:left="567"/>
        <w:rPr>
          <w:color w:val="000000"/>
          <w:sz w:val="22"/>
          <w:szCs w:val="22"/>
          <w:lang w:val="fr-FR"/>
        </w:rPr>
      </w:pPr>
      <w:r>
        <w:rPr>
          <w:vertAlign w:val="superscript"/>
        </w:rPr>
        <w:endnoteRef/>
      </w:r>
      <w:r w:rsidRPr="003910F8">
        <w:rPr>
          <w:color w:val="000000"/>
          <w:sz w:val="20"/>
          <w:szCs w:val="20"/>
          <w:lang w:val="fr-FR"/>
        </w:rPr>
        <w:t xml:space="preserve"> A/RES/79/1, Pacte pour l'avenir, Action 8,c, disponible à l'adresse :</w:t>
      </w:r>
      <w:hyperlink r:id="rId33">
        <w:r w:rsidRPr="003910F8">
          <w:rPr>
            <w:color w:val="1155CC"/>
            <w:sz w:val="20"/>
            <w:szCs w:val="20"/>
            <w:u w:val="single"/>
            <w:lang w:val="fr-FR"/>
          </w:rPr>
          <w:t xml:space="preserve"> https://docs.un.org/en/A/RES/79/1 </w:t>
        </w:r>
      </w:hyperlink>
    </w:p>
  </w:endnote>
  <w:endnote w:id="41">
    <w:p w14:paraId="44E3D20F"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fr-FR"/>
        </w:rPr>
        <w:t xml:space="preserve"> ICIP, Panel sur l'impact des disparitions forcées sur les femmes, Panel au Congrès mondial contre les disparitions forcées Janvier 2025 </w:t>
      </w:r>
      <w:r w:rsidRPr="003910F8">
        <w:rPr>
          <w:i/>
          <w:color w:val="000000"/>
          <w:sz w:val="20"/>
          <w:szCs w:val="20"/>
          <w:lang w:val="fr-FR"/>
        </w:rPr>
        <w:t>Pour un engagement mondial contre les disparitions forcées,</w:t>
      </w:r>
      <w:hyperlink r:id="rId34">
        <w:r w:rsidRPr="003910F8">
          <w:rPr>
            <w:color w:val="0000FF"/>
            <w:sz w:val="20"/>
            <w:szCs w:val="20"/>
            <w:u w:val="single"/>
            <w:lang w:val="fr-FR"/>
          </w:rPr>
          <w:t xml:space="preserve"> https://www.icip.cat/es/opinion/per-un-compromis-global-contra-les-desaparicions-forcades/</w:t>
        </w:r>
      </w:hyperlink>
    </w:p>
  </w:endnote>
  <w:endnote w:id="42">
    <w:p w14:paraId="72FE715F"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fr-FR"/>
        </w:rPr>
        <w:t xml:space="preserve"> FIDH - Qui nous cherche, qui nous surveille ? Rapport sur la disparition des femmes et des filles liée à la traite des êtres humains, disponible à l'adresse suivante :</w:t>
      </w:r>
      <w:hyperlink r:id="rId35">
        <w:r w:rsidRPr="003910F8">
          <w:rPr>
            <w:color w:val="1155CC"/>
            <w:sz w:val="20"/>
            <w:szCs w:val="20"/>
            <w:u w:val="single"/>
            <w:lang w:val="fr-FR"/>
          </w:rPr>
          <w:t xml:space="preserve"> https://www.fidh.org/IMG/pdf/mexiquefemmes835eweb_1_.pdf</w:t>
        </w:r>
      </w:hyperlink>
      <w:r w:rsidRPr="003910F8">
        <w:rPr>
          <w:color w:val="000000"/>
          <w:sz w:val="20"/>
          <w:szCs w:val="20"/>
          <w:lang w:val="fr-FR"/>
        </w:rPr>
        <w:t xml:space="preserve">  ; UNWomen/ICTJ, </w:t>
      </w:r>
      <w:r w:rsidRPr="003910F8">
        <w:rPr>
          <w:i/>
          <w:color w:val="000000"/>
          <w:sz w:val="20"/>
          <w:szCs w:val="20"/>
          <w:lang w:val="fr-FR"/>
        </w:rPr>
        <w:t>The Disappeared and the Invisible. Impact des disparitions forcées sur les femmes</w:t>
      </w:r>
      <w:r w:rsidRPr="003910F8">
        <w:rPr>
          <w:color w:val="000000"/>
          <w:sz w:val="20"/>
          <w:szCs w:val="20"/>
          <w:lang w:val="fr-FR"/>
        </w:rPr>
        <w:t>. UNWomen/ICTJ p.5, disponible sur :</w:t>
      </w:r>
      <w:hyperlink r:id="rId36">
        <w:r w:rsidRPr="003910F8">
          <w:rPr>
            <w:color w:val="1155CC"/>
            <w:sz w:val="20"/>
            <w:szCs w:val="20"/>
            <w:u w:val="single"/>
            <w:lang w:val="fr-FR"/>
          </w:rPr>
          <w:t xml:space="preserve"> https://www.ictj.org/sites/default/files/ICTJ-Global-Desapariciones-Genero-2015-ES.pdf </w:t>
        </w:r>
      </w:hyperlink>
    </w:p>
  </w:endnote>
  <w:endnote w:id="43">
    <w:p w14:paraId="2650473E"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fr-FR"/>
        </w:rPr>
        <w:t xml:space="preserve"> Mécanisme de suivi OEA/Ser.L/II.7.10 Convention Belém Do Pará, (MESECVI) </w:t>
      </w:r>
      <w:r w:rsidRPr="003910F8">
        <w:rPr>
          <w:i/>
          <w:color w:val="000000"/>
          <w:sz w:val="20"/>
          <w:szCs w:val="20"/>
          <w:lang w:val="fr-FR"/>
        </w:rPr>
        <w:t>Recommandation générale n° 2 du Comité d'experts du MESECVI sur les femmes et les filles disparues dans l'hémisphère conformément aux articles 7b et 8 de la Convention de Belém do Pará</w:t>
      </w:r>
      <w:r w:rsidRPr="003910F8">
        <w:rPr>
          <w:color w:val="000000"/>
          <w:sz w:val="20"/>
          <w:szCs w:val="20"/>
          <w:lang w:val="fr-FR"/>
        </w:rPr>
        <w:t>, disponible à l'adresse :</w:t>
      </w:r>
      <w:hyperlink r:id="rId37">
        <w:r w:rsidRPr="003910F8">
          <w:rPr>
            <w:color w:val="1155CC"/>
            <w:sz w:val="20"/>
            <w:szCs w:val="20"/>
            <w:u w:val="single"/>
            <w:lang w:val="fr-FR"/>
          </w:rPr>
          <w:t xml:space="preserve"> https://www.oas.org/es/mesecvi/docs/MESECVI-CEVI-XV-doc.250-ES.pdf </w:t>
        </w:r>
      </w:hyperlink>
    </w:p>
  </w:endnote>
  <w:endnote w:id="44">
    <w:p w14:paraId="70C9E791"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fr-FR"/>
        </w:rPr>
        <w:t xml:space="preserve"> Convention internationale pour la protection de toutes les personnes contre les disparitions forcées, articles 3, 7, 9 et 11. Voir également le statut de Rome de la Cour pénale internationale.</w:t>
      </w:r>
    </w:p>
  </w:endnote>
  <w:endnote w:id="45">
    <w:p w14:paraId="0CC5A1E9"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fr-FR"/>
        </w:rPr>
        <w:t xml:space="preserve"> SGNU, Note d'orientation du Secrétaire général sur la justice transitionnelle : un outil stratégique pour les personnes, la prévention et la paix (2023). Disponible à l'adresse : https://www.ohchr.org/en/documents/tools-and-resources/guidance-note-secretary-general-transitional-justice-strategic-tool</w:t>
      </w:r>
    </w:p>
  </w:endnote>
  <w:endnote w:id="46">
    <w:p w14:paraId="14E1216B"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fr-FR"/>
        </w:rPr>
        <w:t>HCDH, Élimination des stéréotypes judiciaires. Égalité d'accès à la justice pour les femmes dans les affaires de violence fondée sur le genre. OHCHR. Simone Cusack, 2014, disponible à l'adresse :</w:t>
      </w:r>
      <w:hyperlink r:id="rId38">
        <w:r w:rsidRPr="003910F8">
          <w:rPr>
            <w:color w:val="1155CC"/>
            <w:sz w:val="20"/>
            <w:szCs w:val="20"/>
            <w:u w:val="single"/>
            <w:lang w:val="fr-FR"/>
          </w:rPr>
          <w:t xml:space="preserve"> https://rm.coe.int/1680597b20 </w:t>
        </w:r>
      </w:hyperlink>
    </w:p>
  </w:endnote>
  <w:endnote w:id="47">
    <w:p w14:paraId="1BCBBB13" w14:textId="77777777" w:rsidR="00A90270" w:rsidRPr="003910F8" w:rsidRDefault="00A90270" w:rsidP="0055550A">
      <w:pPr>
        <w:ind w:left="567"/>
        <w:rPr>
          <w:sz w:val="22"/>
          <w:szCs w:val="22"/>
          <w:lang w:val="fr-FR"/>
        </w:rPr>
      </w:pPr>
      <w:r>
        <w:rPr>
          <w:vertAlign w:val="superscript"/>
        </w:rPr>
        <w:endnoteRef/>
      </w:r>
      <w:r w:rsidRPr="003910F8">
        <w:rPr>
          <w:sz w:val="20"/>
          <w:szCs w:val="20"/>
          <w:lang w:val="fr-FR"/>
        </w:rPr>
        <w:t xml:space="preserve"> CEDAW/C/GC/33, </w:t>
      </w:r>
      <w:r w:rsidRPr="003910F8">
        <w:rPr>
          <w:i/>
          <w:sz w:val="20"/>
          <w:szCs w:val="20"/>
          <w:lang w:val="fr-FR"/>
        </w:rPr>
        <w:t xml:space="preserve">Recommandation générale n° 33 sur l'accès des femmes à la justice, </w:t>
      </w:r>
      <w:r w:rsidRPr="003910F8">
        <w:rPr>
          <w:sz w:val="20"/>
          <w:szCs w:val="20"/>
          <w:lang w:val="fr-FR"/>
        </w:rPr>
        <w:t>paragraphes 26-28, disponible sur :</w:t>
      </w:r>
      <w:hyperlink r:id="rId39">
        <w:r w:rsidRPr="003910F8">
          <w:rPr>
            <w:color w:val="1155CC"/>
            <w:sz w:val="20"/>
            <w:szCs w:val="20"/>
            <w:u w:val="single"/>
            <w:lang w:val="fr-FR"/>
          </w:rPr>
          <w:t xml:space="preserve"> https://docstore.ohchr.org/SelfServices/FilesHandler.ashx?enc=c62mN9wd8hzagNLNDNDeMpwFNpMvUNfgK5NBIVvVnPh%2By3l4GnqlcQGt53RjB%2B2dDT%2FbNl7CZqaQmkjeq51Hng%3D%3D</w:t>
        </w:r>
      </w:hyperlink>
      <w:r w:rsidRPr="003910F8">
        <w:rPr>
          <w:sz w:val="20"/>
          <w:szCs w:val="20"/>
          <w:lang w:val="fr-FR"/>
        </w:rPr>
        <w:t xml:space="preserve"> ; voir également I/A Court H.R., Case of Gutiérrez Hernández et al. v. Guatemala. </w:t>
      </w:r>
      <w:r w:rsidRPr="003910F8">
        <w:rPr>
          <w:i/>
          <w:sz w:val="20"/>
          <w:szCs w:val="20"/>
          <w:lang w:val="fr-FR"/>
        </w:rPr>
        <w:t>Affaire Gutiérrez Hernández et al. v. Guatemala.</w:t>
      </w:r>
      <w:r w:rsidRPr="003910F8">
        <w:rPr>
          <w:sz w:val="20"/>
          <w:szCs w:val="20"/>
          <w:lang w:val="fr-FR"/>
        </w:rPr>
        <w:t xml:space="preserve"> Objections préliminaires, fond, réparations et frais. Arrêt du 24 août 2017. Série C n° 339, paragraphe 175, disponible à l'adresse :</w:t>
      </w:r>
      <w:hyperlink r:id="rId40">
        <w:r w:rsidRPr="003910F8">
          <w:rPr>
            <w:color w:val="1155CC"/>
            <w:sz w:val="20"/>
            <w:szCs w:val="20"/>
            <w:u w:val="single"/>
            <w:lang w:val="fr-FR"/>
          </w:rPr>
          <w:t xml:space="preserve"> https://www.corteidh.or.cr/docs/casos/articulos/seriec_339_esp.pdf </w:t>
        </w:r>
      </w:hyperlink>
    </w:p>
  </w:endnote>
  <w:endnote w:id="48">
    <w:p w14:paraId="71D47A07" w14:textId="77777777" w:rsidR="00A90270" w:rsidRPr="003910F8" w:rsidRDefault="00A90270" w:rsidP="0055550A">
      <w:pPr>
        <w:pBdr>
          <w:top w:val="nil"/>
          <w:left w:val="nil"/>
          <w:bottom w:val="nil"/>
          <w:right w:val="nil"/>
          <w:between w:val="nil"/>
        </w:pBdr>
        <w:ind w:left="567"/>
        <w:rPr>
          <w:color w:val="000000"/>
          <w:sz w:val="22"/>
          <w:szCs w:val="22"/>
          <w:lang w:val="fr-FR"/>
        </w:rPr>
      </w:pPr>
      <w:r>
        <w:rPr>
          <w:vertAlign w:val="superscript"/>
        </w:rPr>
        <w:endnoteRef/>
      </w:r>
      <w:r w:rsidRPr="003910F8">
        <w:rPr>
          <w:color w:val="000000"/>
          <w:sz w:val="20"/>
          <w:szCs w:val="20"/>
          <w:lang w:val="fr-FR"/>
        </w:rPr>
        <w:t xml:space="preserve">Cour interaméricaine des droits de l'homme (CIDH), CIDH,  </w:t>
      </w:r>
      <w:r w:rsidRPr="003910F8">
        <w:rPr>
          <w:i/>
          <w:color w:val="000000"/>
          <w:sz w:val="20"/>
          <w:szCs w:val="20"/>
          <w:lang w:val="fr-FR"/>
        </w:rPr>
        <w:t>Affaire de la communauté de Santa Barbara c. Pérou, arrêt du 1er septembre 2015 (objections préliminaires, fond, réparations et frais)</w:t>
      </w:r>
      <w:r w:rsidRPr="003910F8">
        <w:rPr>
          <w:color w:val="000000"/>
          <w:sz w:val="20"/>
          <w:szCs w:val="20"/>
          <w:lang w:val="fr-FR"/>
        </w:rPr>
        <w:t>, paragraphe 227, disponible à l'adresse :</w:t>
      </w:r>
      <w:hyperlink r:id="rId41">
        <w:r w:rsidRPr="003910F8">
          <w:rPr>
            <w:color w:val="1155CC"/>
            <w:sz w:val="20"/>
            <w:szCs w:val="20"/>
            <w:u w:val="single"/>
            <w:lang w:val="fr-FR"/>
          </w:rPr>
          <w:t xml:space="preserve"> https://www.corteidh.or.cr/docs/casos/articulos/seriec_299_esp.pdf</w:t>
        </w:r>
      </w:hyperlink>
    </w:p>
  </w:endnote>
  <w:endnote w:id="49">
    <w:p w14:paraId="7F5A4C3C" w14:textId="77777777" w:rsidR="00A90270" w:rsidRPr="00A63206" w:rsidRDefault="00A90270" w:rsidP="0055550A">
      <w:pPr>
        <w:pBdr>
          <w:top w:val="nil"/>
          <w:left w:val="nil"/>
          <w:bottom w:val="nil"/>
          <w:right w:val="nil"/>
          <w:between w:val="nil"/>
        </w:pBdr>
        <w:ind w:left="567"/>
        <w:jc w:val="both"/>
        <w:rPr>
          <w:color w:val="000000"/>
          <w:sz w:val="22"/>
          <w:szCs w:val="22"/>
          <w:lang w:val="es-PA"/>
        </w:rPr>
      </w:pPr>
      <w:r>
        <w:rPr>
          <w:vertAlign w:val="superscript"/>
        </w:rPr>
        <w:endnoteRef/>
      </w:r>
      <w:r w:rsidRPr="003910F8">
        <w:rPr>
          <w:color w:val="000000"/>
          <w:sz w:val="20"/>
          <w:szCs w:val="20"/>
          <w:highlight w:val="white"/>
          <w:lang w:val="fr-FR"/>
        </w:rPr>
        <w:t xml:space="preserve">Cour suprême de justice de la nation mexicaine et Unité générale de la connaissance scientifique et des droits de l'homme (2024). </w:t>
      </w:r>
      <w:hyperlink r:id="rId42">
        <w:r w:rsidRPr="003910F8">
          <w:rPr>
            <w:i/>
            <w:color w:val="1155CC"/>
            <w:sz w:val="20"/>
            <w:szCs w:val="20"/>
            <w:highlight w:val="white"/>
            <w:u w:val="single"/>
            <w:lang w:val="fr-FR"/>
          </w:rPr>
          <w:t>Document de travail : La nécessité d'analyser la disparition des personnes dans une perspective de genre : l'impact différentiel de ce phénomène sur les femmes.</w:t>
        </w:r>
      </w:hyperlink>
      <w:r w:rsidRPr="003910F8">
        <w:rPr>
          <w:color w:val="000000"/>
          <w:sz w:val="20"/>
          <w:szCs w:val="20"/>
          <w:highlight w:val="white"/>
          <w:lang w:val="fr-FR"/>
        </w:rPr>
        <w:t xml:space="preserve"> </w:t>
      </w:r>
      <w:r w:rsidRPr="00A63206">
        <w:rPr>
          <w:color w:val="000000"/>
          <w:sz w:val="20"/>
          <w:szCs w:val="20"/>
          <w:highlight w:val="white"/>
          <w:lang w:val="es-PA"/>
        </w:rPr>
        <w:t>Para. 16.</w:t>
      </w:r>
    </w:p>
  </w:endnote>
  <w:endnote w:id="50">
    <w:p w14:paraId="462B9701" w14:textId="77777777" w:rsidR="00A90270" w:rsidRPr="00A63206" w:rsidRDefault="00A90270" w:rsidP="0055550A">
      <w:pPr>
        <w:pBdr>
          <w:top w:val="nil"/>
          <w:left w:val="nil"/>
          <w:bottom w:val="nil"/>
          <w:right w:val="nil"/>
          <w:between w:val="nil"/>
        </w:pBdr>
        <w:ind w:left="567"/>
        <w:jc w:val="both"/>
        <w:rPr>
          <w:color w:val="000000"/>
          <w:sz w:val="22"/>
          <w:szCs w:val="22"/>
          <w:lang w:val="es-PA"/>
        </w:rPr>
      </w:pPr>
      <w:r>
        <w:rPr>
          <w:vertAlign w:val="superscript"/>
        </w:rPr>
        <w:endnoteRef/>
      </w:r>
      <w:r w:rsidRPr="00A63206">
        <w:rPr>
          <w:color w:val="000000"/>
          <w:sz w:val="20"/>
          <w:szCs w:val="20"/>
          <w:lang w:val="es-PA"/>
        </w:rPr>
        <w:t xml:space="preserve"> Comisión Nacional de Búsqueda (CNB), , Protocolo Homologado para la Búsqueda de Personas Desaparecidas y No Localizadas, 2020, para. 258 disponible sur </w:t>
      </w:r>
      <w:r>
        <w:fldChar w:fldCharType="begin"/>
      </w:r>
      <w:r w:rsidRPr="003910F8">
        <w:rPr>
          <w:lang w:val="es-419"/>
        </w:rPr>
        <w:instrText>HYPERLINK "https://comisionacionaldebusqueda.gob.mx/protocolo-homologado-de-busqueda/" \h</w:instrText>
      </w:r>
      <w:r>
        <w:fldChar w:fldCharType="separate"/>
      </w:r>
      <w:r w:rsidRPr="00A63206">
        <w:rPr>
          <w:color w:val="1155CC"/>
          <w:sz w:val="20"/>
          <w:szCs w:val="20"/>
          <w:u w:val="single"/>
          <w:lang w:val="es-PA"/>
        </w:rPr>
        <w:t xml:space="preserve">: https://comisionacionaldebusqueda.gob.mx/protocolo-homologado-de-busqueda </w:t>
      </w:r>
      <w:r>
        <w:fldChar w:fldCharType="end"/>
      </w:r>
      <w:r w:rsidRPr="00A63206">
        <w:rPr>
          <w:color w:val="000000"/>
          <w:sz w:val="20"/>
          <w:szCs w:val="20"/>
          <w:lang w:val="es-PA"/>
        </w:rPr>
        <w:t xml:space="preserve">; Suprema Corte Judicial de la Nación (SCJN), De Pina, Volga, </w:t>
      </w:r>
      <w:r w:rsidRPr="00A63206">
        <w:rPr>
          <w:rFonts w:ascii="Arimo" w:eastAsia="Arimo" w:hAnsi="Arimo" w:cs="Arimo"/>
          <w:color w:val="000000"/>
          <w:sz w:val="20"/>
          <w:szCs w:val="20"/>
          <w:lang w:val="es-PA"/>
        </w:rPr>
        <w:t>"</w:t>
      </w:r>
      <w:r w:rsidRPr="00A63206">
        <w:rPr>
          <w:i/>
          <w:color w:val="000000"/>
          <w:sz w:val="20"/>
          <w:szCs w:val="20"/>
          <w:lang w:val="es-PA"/>
        </w:rPr>
        <w:t>La búsqueda de personas desaparecidas"</w:t>
      </w:r>
      <w:r w:rsidRPr="00A63206">
        <w:rPr>
          <w:color w:val="000000"/>
          <w:sz w:val="20"/>
          <w:szCs w:val="20"/>
          <w:lang w:val="es-PA"/>
        </w:rPr>
        <w:t xml:space="preserve">, in Tapia Olivares, Luis Eliud (coord.), </w:t>
      </w:r>
      <w:r w:rsidRPr="00A63206">
        <w:rPr>
          <w:i/>
          <w:color w:val="000000"/>
          <w:sz w:val="20"/>
          <w:szCs w:val="20"/>
          <w:lang w:val="es-PA"/>
        </w:rPr>
        <w:t>Manual sobre desaparición de personas</w:t>
      </w:r>
      <w:r w:rsidRPr="00A63206">
        <w:rPr>
          <w:color w:val="000000"/>
          <w:sz w:val="20"/>
          <w:szCs w:val="20"/>
          <w:lang w:val="es-PA"/>
        </w:rPr>
        <w:t xml:space="preserve">, 2022, pp. 274-275. 274-275 disponible sur : </w:t>
      </w:r>
      <w:hyperlink r:id="rId43">
        <w:r w:rsidRPr="00A63206">
          <w:rPr>
            <w:color w:val="1155CC"/>
            <w:sz w:val="20"/>
            <w:szCs w:val="20"/>
            <w:u w:val="single"/>
            <w:lang w:val="es-PA"/>
          </w:rPr>
          <w:t xml:space="preserve">https://www.scjn.gob.mx/sites/default/files/publicaciones_scjn/publicacion/2024-04/Manual%20sobre%20desaparicio%CC%81n%20de%20personas.pdf </w:t>
        </w:r>
      </w:hyperlink>
      <w:r w:rsidRPr="00A63206">
        <w:rPr>
          <w:color w:val="000000"/>
          <w:sz w:val="20"/>
          <w:szCs w:val="20"/>
          <w:lang w:val="es-PA"/>
        </w:rPr>
        <w:t xml:space="preserve">; Procuración General de la Nación, , Protocolo Homologado de Investigación para los Delitos de Desaparición Forzada y Desaparición Cometida por Particulares, 2018, pp. 94-95, disponible sur : </w:t>
      </w:r>
    </w:p>
  </w:endnote>
  <w:endnote w:id="51">
    <w:p w14:paraId="114CC8EC"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fr-FR"/>
        </w:rPr>
        <w:t xml:space="preserve"> SGNU, Note d'orientation du Secrétaire général sur la justice transitionnelle : un outil stratégique pour les personnes, la prévention et la paix (2023). Disponible à l'adresse : https://www.ohchr.org/en/documents/tools-and-resources/guidance-note-secretary-general-transitional-justice-strategic-tool</w:t>
      </w:r>
    </w:p>
  </w:endnote>
  <w:endnote w:id="52">
    <w:p w14:paraId="49C4CB1E"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fr-FR"/>
        </w:rPr>
        <w:t xml:space="preserve"> SGNU, Note d'orientation du Secrétaire général sur la justice transitionnelle : un outil stratégique pour les personnes, la prévention et la paix (2023). Disponible à l'adresse : https://www.ohchr.org/en/documents/tools-and-resources/guidance-note-secretary-general-transitional-justice-strategic-tool</w:t>
      </w:r>
    </w:p>
  </w:endnote>
  <w:endnote w:id="53">
    <w:p w14:paraId="1DB11F62"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fr-FR"/>
        </w:rPr>
        <w:t xml:space="preserve">CED/C/MEX/VR/1 (Conclusions), Principes directeurs pour la recherche des personnes disparues, Principe 1, disponible à l'adresse : https://hchr.org.mx/camp/principios-rectores-para-la-busqueda-de-personas-desaparecidas-comite-contra-la-desaparicion-forzada/. </w:t>
      </w:r>
    </w:p>
  </w:endnote>
  <w:endnote w:id="54">
    <w:p w14:paraId="2F0DB224"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fr-FR"/>
        </w:rPr>
        <w:t xml:space="preserve"> Amnesty International. Search without Fear : International Standards for the Protection of Women Seekers in the Americas (Recherche sans crainte : normes internationales pour la protection des femmes en quête d'asile dans les Amériques). Édition 2024.</w:t>
      </w:r>
    </w:p>
  </w:endnote>
  <w:endnote w:id="55">
    <w:p w14:paraId="3B77EA1E"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fr-FR"/>
        </w:rPr>
        <w:t>CED/C/MEX/VR/1 (Conclusions), Principes directeurs pour la recherche des personnes disparues, Principe 7, disponible à l'adresse : https://hchr.org.mx/camp/principios-rectores-para-la-busqueda-de-personas-desaparecidas-comite-contra-la-desaparicion-forzada/ .</w:t>
      </w:r>
    </w:p>
  </w:endnote>
  <w:endnote w:id="56">
    <w:p w14:paraId="025D4EFA" w14:textId="77777777" w:rsidR="00A90270" w:rsidRPr="003910F8" w:rsidRDefault="00A90270" w:rsidP="0055550A">
      <w:pPr>
        <w:pBdr>
          <w:top w:val="nil"/>
          <w:left w:val="nil"/>
          <w:bottom w:val="nil"/>
          <w:right w:val="nil"/>
          <w:between w:val="nil"/>
        </w:pBdr>
        <w:ind w:left="567"/>
        <w:rPr>
          <w:color w:val="000000"/>
          <w:sz w:val="22"/>
          <w:szCs w:val="22"/>
          <w:lang w:val="fr-FR"/>
        </w:rPr>
      </w:pPr>
      <w:r>
        <w:rPr>
          <w:vertAlign w:val="superscript"/>
        </w:rPr>
        <w:endnoteRef/>
      </w:r>
      <w:r w:rsidRPr="003910F8">
        <w:rPr>
          <w:color w:val="000000"/>
          <w:sz w:val="20"/>
          <w:szCs w:val="20"/>
          <w:lang w:val="fr-FR"/>
        </w:rPr>
        <w:t>CED/C/MEX/VR/1 (Conclusions), Principes directeurs pour la recherche des personnes disparues, Principe 1.4, disponible à l'adresse : https://hchr.org.mx/camp/principios-rectores-para-la-busqueda-de-personas-desaparecidas-comite-contra-la-desaparicion-forzada/ .</w:t>
      </w:r>
    </w:p>
  </w:endnote>
  <w:endnote w:id="57">
    <w:p w14:paraId="50AB8AA3" w14:textId="77777777" w:rsidR="00A90270" w:rsidRPr="002960EF" w:rsidRDefault="00A90270" w:rsidP="0055550A">
      <w:pPr>
        <w:pBdr>
          <w:top w:val="nil"/>
          <w:left w:val="nil"/>
          <w:bottom w:val="nil"/>
          <w:right w:val="nil"/>
          <w:between w:val="nil"/>
        </w:pBdr>
        <w:ind w:left="567"/>
        <w:jc w:val="both"/>
        <w:rPr>
          <w:color w:val="000000"/>
          <w:sz w:val="22"/>
          <w:szCs w:val="22"/>
          <w:lang w:val="en-GB"/>
        </w:rPr>
      </w:pPr>
      <w:r>
        <w:rPr>
          <w:vertAlign w:val="superscript"/>
        </w:rPr>
        <w:endnoteRef/>
      </w:r>
      <w:r w:rsidRPr="003910F8">
        <w:rPr>
          <w:color w:val="000000"/>
          <w:sz w:val="20"/>
          <w:szCs w:val="20"/>
          <w:lang w:val="fr-FR"/>
        </w:rPr>
        <w:t xml:space="preserve"> ICIP, Conversations avec les femmes en quête d'asile, la lutte contre les disparitions forcées et la consolidation de la paix. </w:t>
      </w:r>
      <w:r w:rsidRPr="002960EF">
        <w:rPr>
          <w:color w:val="000000"/>
          <w:sz w:val="20"/>
          <w:szCs w:val="20"/>
          <w:lang w:val="en-GB"/>
        </w:rPr>
        <w:t xml:space="preserve">Rapport 23/2024, disponible à l'adresse </w:t>
      </w:r>
    </w:p>
  </w:endnote>
  <w:endnote w:id="58">
    <w:p w14:paraId="5FF2636F" w14:textId="77777777" w:rsidR="00A90270" w:rsidRDefault="00A90270" w:rsidP="0055550A">
      <w:pPr>
        <w:pBdr>
          <w:top w:val="nil"/>
          <w:left w:val="nil"/>
          <w:bottom w:val="nil"/>
          <w:right w:val="nil"/>
          <w:between w:val="nil"/>
        </w:pBdr>
        <w:ind w:left="567"/>
        <w:rPr>
          <w:color w:val="000000"/>
          <w:sz w:val="22"/>
          <w:szCs w:val="22"/>
        </w:rPr>
      </w:pPr>
      <w:r>
        <w:rPr>
          <w:vertAlign w:val="superscript"/>
        </w:rPr>
        <w:endnoteRef/>
      </w:r>
      <w:r>
        <w:rPr>
          <w:color w:val="000000"/>
          <w:sz w:val="20"/>
          <w:szCs w:val="20"/>
        </w:rPr>
        <w:t xml:space="preserve">  World vision Australia, Understanding Women</w:t>
      </w:r>
      <w:r>
        <w:rPr>
          <w:rFonts w:ascii="Arimo" w:eastAsia="Arimo" w:hAnsi="Arimo" w:cs="Arimo"/>
          <w:color w:val="000000"/>
          <w:sz w:val="20"/>
          <w:szCs w:val="20"/>
        </w:rPr>
        <w:t>'</w:t>
      </w:r>
      <w:r>
        <w:rPr>
          <w:color w:val="000000"/>
          <w:sz w:val="20"/>
          <w:szCs w:val="20"/>
        </w:rPr>
        <w:t xml:space="preserve">s Empowerment Meaning, Quotes &amp; How to Empower Women, available at :  </w:t>
      </w:r>
      <w:hyperlink r:id="rId44">
        <w:r>
          <w:rPr>
            <w:color w:val="1155CC"/>
            <w:sz w:val="20"/>
            <w:szCs w:val="20"/>
            <w:u w:val="single"/>
          </w:rPr>
          <w:t>Women</w:t>
        </w:r>
      </w:hyperlink>
      <w:hyperlink r:id="rId45">
        <w:r>
          <w:rPr>
            <w:rFonts w:ascii="Arimo" w:eastAsia="Arimo" w:hAnsi="Arimo" w:cs="Arimo"/>
            <w:color w:val="1155CC"/>
            <w:sz w:val="20"/>
            <w:szCs w:val="20"/>
            <w:u w:val="single"/>
          </w:rPr>
          <w:t>'</w:t>
        </w:r>
      </w:hyperlink>
      <w:hyperlink r:id="rId46">
        <w:r>
          <w:rPr>
            <w:color w:val="1155CC"/>
            <w:sz w:val="20"/>
            <w:szCs w:val="20"/>
            <w:u w:val="single"/>
          </w:rPr>
          <w:t>s Empowerment - Facts, Stories and How To Help : World Vision Australia</w:t>
        </w:r>
      </w:hyperlink>
    </w:p>
  </w:endnote>
  <w:endnote w:id="59">
    <w:p w14:paraId="70DD9075" w14:textId="77777777" w:rsidR="00A90270" w:rsidRPr="003910F8" w:rsidRDefault="00A90270" w:rsidP="0055550A">
      <w:pPr>
        <w:pBdr>
          <w:top w:val="nil"/>
          <w:left w:val="nil"/>
          <w:bottom w:val="nil"/>
          <w:right w:val="nil"/>
          <w:between w:val="nil"/>
        </w:pBdr>
        <w:ind w:left="567"/>
        <w:rPr>
          <w:color w:val="000000"/>
          <w:sz w:val="22"/>
          <w:szCs w:val="22"/>
          <w:lang w:val="fr-FR"/>
        </w:rPr>
      </w:pPr>
      <w:r>
        <w:rPr>
          <w:vertAlign w:val="superscript"/>
        </w:rPr>
        <w:endnoteRef/>
      </w:r>
      <w:r w:rsidRPr="003910F8">
        <w:rPr>
          <w:sz w:val="20"/>
          <w:szCs w:val="20"/>
          <w:lang w:val="fr-FR"/>
        </w:rPr>
        <w:t xml:space="preserve"> Principes directeurs pour la recherche des personnes disparues, principe 14.3.</w:t>
      </w:r>
    </w:p>
  </w:endnote>
  <w:endnote w:id="60">
    <w:p w14:paraId="7EFBD15C" w14:textId="77777777" w:rsidR="00A90270" w:rsidRPr="00A63206" w:rsidRDefault="00A90270" w:rsidP="0055550A">
      <w:pPr>
        <w:ind w:left="567"/>
        <w:rPr>
          <w:sz w:val="20"/>
          <w:szCs w:val="20"/>
          <w:lang w:val="es-PA"/>
        </w:rPr>
      </w:pPr>
      <w:r>
        <w:rPr>
          <w:vertAlign w:val="superscript"/>
        </w:rPr>
        <w:endnoteRef/>
      </w:r>
      <w:r w:rsidRPr="00A63206">
        <w:rPr>
          <w:sz w:val="20"/>
          <w:szCs w:val="20"/>
          <w:lang w:val="es-PA"/>
        </w:rPr>
        <w:t xml:space="preserve"> Idem, CED/C/26, paragraphe 61.</w:t>
      </w:r>
    </w:p>
  </w:endnote>
  <w:endnote w:id="61">
    <w:p w14:paraId="1D9BB62D" w14:textId="77777777" w:rsidR="00A90270" w:rsidRPr="00A63206" w:rsidRDefault="00A90270" w:rsidP="0055550A">
      <w:pPr>
        <w:pBdr>
          <w:top w:val="nil"/>
          <w:left w:val="nil"/>
          <w:bottom w:val="nil"/>
          <w:right w:val="nil"/>
          <w:between w:val="nil"/>
        </w:pBdr>
        <w:ind w:left="567"/>
        <w:jc w:val="both"/>
        <w:rPr>
          <w:color w:val="000000"/>
          <w:sz w:val="22"/>
          <w:szCs w:val="22"/>
          <w:lang w:val="es-PA"/>
        </w:rPr>
      </w:pPr>
      <w:r>
        <w:rPr>
          <w:vertAlign w:val="superscript"/>
        </w:rPr>
        <w:endnoteRef/>
      </w:r>
      <w:r w:rsidRPr="00A63206">
        <w:rPr>
          <w:color w:val="000000"/>
          <w:sz w:val="20"/>
          <w:szCs w:val="20"/>
          <w:lang w:val="es-PA"/>
        </w:rPr>
        <w:t xml:space="preserve"> Ariel Dulitzky et Catalina Lagos, Jurisprudencia Interamericana Sobre Desaparición Forzada Y Mujeres : La tímida e inconsistente aparición de la perspectiva de género, page 91, disponible sur : </w:t>
      </w:r>
    </w:p>
  </w:endnote>
  <w:endnote w:id="62">
    <w:p w14:paraId="79A8AAA5"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fr-FR"/>
        </w:rPr>
        <w:t xml:space="preserve"> AGNU, A/RES/60/147, Principes fondamentaux et directives concernant le droit à un recours et à réparation des victimes de violations flagrantes du droit international des droits de l'homme et de violations graves du droit international humanitaire. Disponible à l'adresse suivante : https://www.ohchr.org/es/instruments-mechanisms/instruments/basic-principles-and-guidelines-right-remedy-and-reparation</w:t>
      </w:r>
    </w:p>
  </w:endnote>
  <w:endnote w:id="63">
    <w:p w14:paraId="56A77506"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fr-FR"/>
        </w:rPr>
        <w:t xml:space="preserve"> Coalition internationale des sites de conscience, </w:t>
      </w:r>
      <w:r w:rsidRPr="003910F8">
        <w:rPr>
          <w:i/>
          <w:color w:val="000000"/>
          <w:sz w:val="20"/>
          <w:szCs w:val="20"/>
          <w:lang w:val="fr-FR"/>
        </w:rPr>
        <w:t>Memory to Action : A Toolkit for Memorialization in Post-Conflict Societies</w:t>
      </w:r>
      <w:r w:rsidRPr="003910F8">
        <w:rPr>
          <w:color w:val="000000"/>
          <w:sz w:val="20"/>
          <w:szCs w:val="20"/>
          <w:lang w:val="fr-FR"/>
        </w:rPr>
        <w:t xml:space="preserve">, p. 3, disponible à l'adresse : </w:t>
      </w:r>
    </w:p>
  </w:endnote>
  <w:endnote w:id="64">
    <w:p w14:paraId="71415566" w14:textId="77777777" w:rsidR="00A90270" w:rsidRPr="003910F8" w:rsidRDefault="00A90270" w:rsidP="0055550A">
      <w:pPr>
        <w:pBdr>
          <w:top w:val="nil"/>
          <w:left w:val="nil"/>
          <w:bottom w:val="nil"/>
          <w:right w:val="nil"/>
          <w:between w:val="nil"/>
        </w:pBdr>
        <w:ind w:left="567"/>
        <w:rPr>
          <w:color w:val="000000"/>
          <w:sz w:val="22"/>
          <w:szCs w:val="22"/>
          <w:lang w:val="fr-FR"/>
        </w:rPr>
      </w:pPr>
      <w:r>
        <w:rPr>
          <w:vertAlign w:val="superscript"/>
        </w:rPr>
        <w:endnoteRef/>
      </w:r>
      <w:r w:rsidRPr="003910F8">
        <w:rPr>
          <w:color w:val="000000"/>
          <w:sz w:val="20"/>
          <w:szCs w:val="20"/>
          <w:lang w:val="fr-FR"/>
        </w:rPr>
        <w:t xml:space="preserve"> CIDH et OEA, </w:t>
      </w:r>
      <w:r w:rsidRPr="003910F8">
        <w:rPr>
          <w:i/>
          <w:color w:val="000000"/>
          <w:sz w:val="20"/>
          <w:szCs w:val="20"/>
          <w:lang w:val="fr-FR"/>
        </w:rPr>
        <w:t xml:space="preserve">Document de travail : Principes sur les politiques de mémoire dans les Amériques, </w:t>
      </w:r>
      <w:r w:rsidRPr="003910F8">
        <w:rPr>
          <w:color w:val="000000"/>
          <w:sz w:val="20"/>
          <w:szCs w:val="20"/>
          <w:lang w:val="fr-FR"/>
        </w:rPr>
        <w:t>disponible à l'adresse suivante :</w:t>
      </w:r>
      <w:hyperlink r:id="rId47">
        <w:r w:rsidRPr="003910F8">
          <w:rPr>
            <w:color w:val="1155CC"/>
            <w:sz w:val="20"/>
            <w:szCs w:val="20"/>
            <w:u w:val="single"/>
            <w:lang w:val="fr-FR"/>
          </w:rPr>
          <w:t xml:space="preserve"> https://www.oas.org/es/cidh/prensa/comunicados/2019/020C.pdf </w:t>
        </w:r>
      </w:hyperlink>
    </w:p>
  </w:endnote>
  <w:endnote w:id="65">
    <w:p w14:paraId="72760B4F" w14:textId="77777777" w:rsidR="00A90270" w:rsidRPr="003910F8" w:rsidRDefault="00A90270" w:rsidP="0055550A">
      <w:pPr>
        <w:pBdr>
          <w:top w:val="nil"/>
          <w:left w:val="nil"/>
          <w:bottom w:val="nil"/>
          <w:right w:val="nil"/>
          <w:between w:val="nil"/>
        </w:pBdr>
        <w:ind w:left="567"/>
        <w:rPr>
          <w:color w:val="1155CC"/>
          <w:sz w:val="20"/>
          <w:szCs w:val="20"/>
          <w:lang w:val="en-GB"/>
        </w:rPr>
      </w:pPr>
      <w:r>
        <w:rPr>
          <w:vertAlign w:val="superscript"/>
        </w:rPr>
        <w:endnoteRef/>
      </w:r>
      <w:r w:rsidRPr="003910F8">
        <w:rPr>
          <w:color w:val="1155CC"/>
          <w:sz w:val="20"/>
          <w:szCs w:val="20"/>
          <w:lang w:val="fr-FR"/>
        </w:rPr>
        <w:t xml:space="preserve"> ICIP, Où sont les personnes disparues ? </w:t>
      </w:r>
      <w:r w:rsidRPr="003910F8">
        <w:rPr>
          <w:color w:val="1155CC"/>
          <w:sz w:val="20"/>
          <w:szCs w:val="20"/>
          <w:lang w:val="en-GB"/>
        </w:rPr>
        <w:t xml:space="preserve">Truth and Justice for Peacebuilding, disponible à l'adresse </w:t>
      </w:r>
    </w:p>
    <w:p w14:paraId="359CCD36" w14:textId="77777777" w:rsidR="00A90270" w:rsidRPr="003910F8" w:rsidRDefault="00A90270" w:rsidP="0055550A">
      <w:pPr>
        <w:pBdr>
          <w:top w:val="nil"/>
          <w:left w:val="nil"/>
          <w:bottom w:val="nil"/>
          <w:right w:val="nil"/>
          <w:between w:val="nil"/>
        </w:pBdr>
        <w:ind w:left="567"/>
        <w:rPr>
          <w:color w:val="000000"/>
          <w:sz w:val="22"/>
          <w:szCs w:val="22"/>
          <w:lang w:val="en-GB"/>
        </w:rPr>
      </w:pPr>
      <w:hyperlink r:id="rId48">
        <w:r w:rsidRPr="003910F8">
          <w:rPr>
            <w:color w:val="1155CC"/>
            <w:sz w:val="20"/>
            <w:szCs w:val="20"/>
            <w:u w:val="single"/>
            <w:lang w:val="en-GB"/>
          </w:rPr>
          <w:t xml:space="preserve">https://www.icip.cat/perlapau/es/articulo/donde-estan-las-personas-desaparecidas-verdad-y-justicia-para-la-consolidacion-de-la-paz/ </w:t>
        </w:r>
      </w:hyperlink>
    </w:p>
  </w:endnote>
  <w:endnote w:id="66">
    <w:p w14:paraId="5B795FAA" w14:textId="77777777" w:rsidR="00A90270" w:rsidRPr="00A63206" w:rsidRDefault="00A90270" w:rsidP="0055550A">
      <w:pPr>
        <w:pBdr>
          <w:top w:val="nil"/>
          <w:left w:val="nil"/>
          <w:bottom w:val="nil"/>
          <w:right w:val="nil"/>
          <w:between w:val="nil"/>
        </w:pBdr>
        <w:ind w:left="567"/>
        <w:rPr>
          <w:color w:val="000000"/>
          <w:sz w:val="22"/>
          <w:szCs w:val="22"/>
          <w:lang w:val="es-PA"/>
        </w:rPr>
      </w:pPr>
      <w:r>
        <w:rPr>
          <w:vertAlign w:val="superscript"/>
        </w:rPr>
        <w:endnoteRef/>
      </w:r>
      <w:r w:rsidRPr="00A63206">
        <w:rPr>
          <w:color w:val="000000"/>
          <w:sz w:val="20"/>
          <w:szCs w:val="20"/>
          <w:lang w:val="es-PA"/>
        </w:rPr>
        <w:t xml:space="preserve">Instituto de Políticas Públicas en Derechos Humanos del MERCOSUR (IPPDH), </w:t>
      </w:r>
      <w:r w:rsidRPr="00A63206">
        <w:rPr>
          <w:i/>
          <w:color w:val="000000"/>
          <w:sz w:val="20"/>
          <w:szCs w:val="20"/>
          <w:lang w:val="es-PA"/>
        </w:rPr>
        <w:t>Principios fundamentales para las políticas públicas en materia de sitios de memoria</w:t>
      </w:r>
      <w:r w:rsidRPr="00A63206">
        <w:rPr>
          <w:color w:val="000000"/>
          <w:sz w:val="20"/>
          <w:szCs w:val="20"/>
          <w:lang w:val="es-PA"/>
        </w:rPr>
        <w:t>, 2013, p. 8, disponible sur :</w:t>
      </w:r>
      <w:hyperlink r:id="rId49">
        <w:r w:rsidRPr="00A63206">
          <w:rPr>
            <w:color w:val="1155CC"/>
            <w:sz w:val="20"/>
            <w:szCs w:val="20"/>
            <w:u w:val="single"/>
            <w:lang w:val="es-PA"/>
          </w:rPr>
          <w:t xml:space="preserve"> https://www.ippdh.mercosur.int/wp-content/uploads/2014/08/Sitios_de_memoria_FINAL_ES_INTERACTIVO.pdf </w:t>
        </w:r>
      </w:hyperlink>
    </w:p>
  </w:endnote>
  <w:endnote w:id="67">
    <w:p w14:paraId="5A57EECC"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fr-FR"/>
        </w:rPr>
        <w:t xml:space="preserve"> Cour interaméricaine des droits de l'homme, </w:t>
      </w:r>
      <w:r w:rsidRPr="003910F8">
        <w:rPr>
          <w:i/>
          <w:color w:val="000000"/>
          <w:sz w:val="20"/>
          <w:szCs w:val="20"/>
          <w:lang w:val="fr-FR"/>
        </w:rPr>
        <w:t xml:space="preserve">affaire Loayza Tamayo c. Pérou, </w:t>
      </w:r>
      <w:r w:rsidRPr="003910F8">
        <w:rPr>
          <w:color w:val="000000"/>
          <w:sz w:val="20"/>
          <w:szCs w:val="20"/>
          <w:lang w:val="fr-FR"/>
        </w:rPr>
        <w:t xml:space="preserve">arrêt du 27 novembre 1998, paragraphes 148-1509, disponible à l'adresse : </w:t>
      </w:r>
      <w:hyperlink r:id="rId50">
        <w:r w:rsidRPr="003910F8">
          <w:rPr>
            <w:color w:val="1155CC"/>
            <w:sz w:val="20"/>
            <w:szCs w:val="20"/>
            <w:u w:val="single"/>
            <w:lang w:val="fr-FR"/>
          </w:rPr>
          <w:t xml:space="preserve">https://www.corteidh.or.cr/docs/casos/articulos/seriec_42_esp.pdf </w:t>
        </w:r>
      </w:hyperlink>
      <w:r w:rsidRPr="003910F8">
        <w:rPr>
          <w:color w:val="000000"/>
          <w:sz w:val="20"/>
          <w:szCs w:val="20"/>
          <w:lang w:val="fr-FR"/>
        </w:rPr>
        <w:t xml:space="preserve">Voir également : </w:t>
      </w:r>
      <w:r w:rsidRPr="003910F8">
        <w:rPr>
          <w:color w:val="000000"/>
          <w:sz w:val="20"/>
          <w:szCs w:val="20"/>
          <w:highlight w:val="white"/>
          <w:lang w:val="fr-FR"/>
        </w:rPr>
        <w:t xml:space="preserve">Cour interaméricaine des droits de l'homme, </w:t>
      </w:r>
      <w:r w:rsidRPr="003910F8">
        <w:rPr>
          <w:i/>
          <w:color w:val="000000"/>
          <w:sz w:val="20"/>
          <w:szCs w:val="20"/>
          <w:lang w:val="fr-FR"/>
        </w:rPr>
        <w:t>affaire Dos Santos Nascimento et Ferreira Gomes c. Brésil</w:t>
      </w:r>
      <w:r w:rsidRPr="003910F8">
        <w:rPr>
          <w:color w:val="000000"/>
          <w:sz w:val="20"/>
          <w:szCs w:val="20"/>
          <w:highlight w:val="white"/>
          <w:lang w:val="fr-FR"/>
        </w:rPr>
        <w:t xml:space="preserve">. </w:t>
      </w:r>
      <w:r w:rsidRPr="003910F8">
        <w:rPr>
          <w:i/>
          <w:color w:val="000000"/>
          <w:sz w:val="20"/>
          <w:szCs w:val="20"/>
          <w:highlight w:val="white"/>
          <w:lang w:val="fr-FR"/>
        </w:rPr>
        <w:t>Affaire Dos Santos Nascimento et Ferreira Gomes c. Brésil.</w:t>
      </w:r>
      <w:r w:rsidRPr="003910F8">
        <w:rPr>
          <w:color w:val="000000"/>
          <w:sz w:val="20"/>
          <w:szCs w:val="20"/>
          <w:highlight w:val="white"/>
          <w:lang w:val="fr-FR"/>
        </w:rPr>
        <w:t xml:space="preserve"> Objections préliminaires, fond, réparations et frais. Arrêt du 7 octobre 2024. Série C n° 539, paragraphes 143-154. </w:t>
      </w:r>
    </w:p>
  </w:endnote>
  <w:endnote w:id="68">
    <w:p w14:paraId="7A70F37A"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fr-FR"/>
        </w:rPr>
        <w:t xml:space="preserve"> Pauline Boss. </w:t>
      </w:r>
      <w:r w:rsidRPr="003910F8">
        <w:rPr>
          <w:i/>
          <w:color w:val="000000"/>
          <w:sz w:val="20"/>
          <w:szCs w:val="20"/>
          <w:lang w:val="fr-FR"/>
        </w:rPr>
        <w:t xml:space="preserve">Familles de disparus : effets psychosociaux et approches thérapeutiques. </w:t>
      </w:r>
      <w:r w:rsidRPr="003910F8">
        <w:rPr>
          <w:color w:val="000000"/>
          <w:sz w:val="20"/>
          <w:szCs w:val="20"/>
          <w:lang w:val="fr-FR"/>
        </w:rPr>
        <w:t xml:space="preserve">Revue internationale de la Croix-Rouge (2017), 99 (2), 519-534, disponible sur : </w:t>
      </w:r>
    </w:p>
  </w:endnote>
  <w:endnote w:id="69">
    <w:p w14:paraId="5A399AB0" w14:textId="77777777" w:rsidR="00A90270" w:rsidRPr="003910F8" w:rsidRDefault="00A90270" w:rsidP="0055550A">
      <w:pPr>
        <w:pBdr>
          <w:top w:val="nil"/>
          <w:left w:val="nil"/>
          <w:bottom w:val="nil"/>
          <w:right w:val="nil"/>
          <w:between w:val="nil"/>
        </w:pBdr>
        <w:ind w:left="567"/>
        <w:rPr>
          <w:color w:val="000000"/>
          <w:sz w:val="22"/>
          <w:szCs w:val="22"/>
          <w:lang w:val="fr-FR"/>
        </w:rPr>
      </w:pPr>
      <w:r>
        <w:rPr>
          <w:vertAlign w:val="superscript"/>
        </w:rPr>
        <w:endnoteRef/>
      </w:r>
      <w:r w:rsidRPr="003910F8">
        <w:rPr>
          <w:color w:val="000000"/>
          <w:sz w:val="20"/>
          <w:szCs w:val="20"/>
          <w:lang w:val="fr-FR"/>
        </w:rPr>
        <w:t xml:space="preserve"> Rapport du HCDH sur l'obligation de rendre compte des disparitions forcées au Sri Lanka, disponible à l'</w:t>
      </w:r>
      <w:r w:rsidRPr="003910F8">
        <w:rPr>
          <w:lang w:val="fr-FR"/>
        </w:rPr>
        <w:t>adresse : https://www.ohchr.org/en/documents/thematic-reports/accountability-enforced-disappearances-sri-lanka-ohchr-report.</w:t>
      </w:r>
    </w:p>
  </w:endnote>
  <w:endnote w:id="70">
    <w:p w14:paraId="6EF02614"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fr-FR"/>
        </w:rPr>
        <w:t xml:space="preserve"> Pauline Boss. Familles de disparus : effets psychosociaux et approches thérapeutiques. Revue internationale de la Croix-Rouge (2017), 99 (2), 519-534, , para. 148, disponible à : disponible à </w:t>
      </w:r>
      <w:hyperlink r:id="rId51">
        <w:r w:rsidRPr="003910F8">
          <w:rPr>
            <w:color w:val="000000"/>
            <w:sz w:val="20"/>
            <w:szCs w:val="20"/>
            <w:u w:val="single"/>
            <w:lang w:val="fr-FR"/>
          </w:rPr>
          <w:t>: https://international-review.icrc.org/sites/default/files/irrc_99_905_4.pdf.</w:t>
        </w:r>
      </w:hyperlink>
      <w:r w:rsidRPr="003910F8">
        <w:rPr>
          <w:color w:val="000000"/>
          <w:sz w:val="20"/>
          <w:szCs w:val="20"/>
          <w:u w:val="single"/>
          <w:lang w:val="fr-FR"/>
        </w:rPr>
        <w:t xml:space="preserve">  </w:t>
      </w:r>
    </w:p>
  </w:endnote>
  <w:endnote w:id="71">
    <w:p w14:paraId="0DF1CCCC"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A63206">
        <w:rPr>
          <w:color w:val="000000"/>
          <w:sz w:val="20"/>
          <w:szCs w:val="20"/>
          <w:lang w:val="es-PA"/>
        </w:rPr>
        <w:t xml:space="preserve"> De la Nuez Sánchez-Cascado, </w:t>
      </w:r>
      <w:r w:rsidRPr="00A63206">
        <w:rPr>
          <w:i/>
          <w:color w:val="000000"/>
          <w:sz w:val="20"/>
          <w:szCs w:val="20"/>
          <w:lang w:val="es-PA"/>
        </w:rPr>
        <w:t>Paloma : El daño al proyecto de vida en la Corte Interamericana de Derechos Humanos a la luz del pensamiento político de J. Shklar</w:t>
      </w:r>
      <w:r w:rsidRPr="00A63206">
        <w:rPr>
          <w:color w:val="000000"/>
          <w:sz w:val="20"/>
          <w:szCs w:val="20"/>
          <w:lang w:val="es-PA"/>
        </w:rPr>
        <w:t xml:space="preserve">. </w:t>
      </w:r>
      <w:r w:rsidRPr="003910F8">
        <w:rPr>
          <w:color w:val="000000"/>
          <w:sz w:val="20"/>
          <w:szCs w:val="20"/>
          <w:lang w:val="fr-FR"/>
        </w:rPr>
        <w:t xml:space="preserve">Disponible à l'adresse </w:t>
      </w:r>
      <w:hyperlink r:id="rId52">
        <w:r w:rsidRPr="003910F8">
          <w:rPr>
            <w:color w:val="1155CC"/>
            <w:sz w:val="20"/>
            <w:szCs w:val="20"/>
            <w:u w:val="single"/>
            <w:lang w:val="fr-FR"/>
          </w:rPr>
          <w:t xml:space="preserve">: </w:t>
        </w:r>
      </w:hyperlink>
    </w:p>
  </w:endnote>
  <w:endnote w:id="72">
    <w:p w14:paraId="104A6795"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highlight w:val="white"/>
          <w:lang w:val="fr-FR"/>
        </w:rPr>
        <w:t>WGEID, étude thématique sur les disparitions forcées ou involontaires et les droits économiques, sociaux et culturels, 2015, disponible à l'adresse</w:t>
      </w:r>
      <w:hyperlink r:id="rId53">
        <w:r w:rsidRPr="003910F8">
          <w:rPr>
            <w:color w:val="1155CC"/>
            <w:sz w:val="20"/>
            <w:szCs w:val="20"/>
            <w:highlight w:val="white"/>
            <w:u w:val="single"/>
            <w:lang w:val="fr-FR"/>
          </w:rPr>
          <w:t xml:space="preserve"> https://www.refworld.org/es/ref/infortem/cdhonu/2015/es/107038</w:t>
        </w:r>
      </w:hyperlink>
    </w:p>
  </w:endnote>
  <w:endnote w:id="73">
    <w:p w14:paraId="11747ED2" w14:textId="77777777" w:rsidR="00A90270" w:rsidRPr="003910F8" w:rsidRDefault="00A90270" w:rsidP="0055550A">
      <w:pPr>
        <w:ind w:left="567"/>
        <w:jc w:val="both"/>
        <w:rPr>
          <w:sz w:val="20"/>
          <w:szCs w:val="20"/>
          <w:lang w:val="fr-FR"/>
        </w:rPr>
      </w:pPr>
      <w:r>
        <w:rPr>
          <w:vertAlign w:val="superscript"/>
        </w:rPr>
        <w:endnoteRef/>
      </w:r>
      <w:r w:rsidRPr="003910F8">
        <w:rPr>
          <w:sz w:val="20"/>
          <w:szCs w:val="20"/>
          <w:lang w:val="fr-FR"/>
        </w:rPr>
        <w:t xml:space="preserve"> Allemagne, 2014 (CED/C/DEU/CO/1, par. 9) ; Monténégro, 2015 (CED/C/MNE/CO/1, par. 11) ; Bosnie-Herzégovine, 2016 (CED/C/BIH/CO/1, par. 14) ; Sénégal, 2017 (CED/C/SEN/CO/1, par. 24) ; Belgique, 2014</w:t>
      </w:r>
    </w:p>
    <w:p w14:paraId="3D3200E7" w14:textId="77777777" w:rsidR="00A90270" w:rsidRDefault="00A90270" w:rsidP="0055550A">
      <w:pPr>
        <w:ind w:left="567"/>
        <w:jc w:val="both"/>
        <w:rPr>
          <w:sz w:val="22"/>
          <w:szCs w:val="22"/>
        </w:rPr>
      </w:pPr>
      <w:r w:rsidRPr="003910F8">
        <w:rPr>
          <w:sz w:val="20"/>
          <w:szCs w:val="20"/>
          <w:lang w:val="en-GB"/>
        </w:rPr>
        <w:t xml:space="preserve">(CED/C/BEL/CO/1, par. 20) ; Tunisie, 2016 (CED/C/TUN/CO/1, par. 19) ; Kazakhstan, 2016 (CED/C/KAZ/CO/1, par. 14) ; Burkina Faso, 2016 (CED/C/BFA/CO/1, par. 20) ; Cuba, 2017 (CED/C/CUB/CO/1, par. 16) ; Uruguay, 2013 (CED/C/URY/CO/1, par. 14) ; Gabon, 2017 (CED/C/GAB/CO/1, par. 14) ; Honduras, 2018 (CED/C/HNDY/CO/1, par. 16). 16) ; Uruguay, 2013 (CED/C/URY/CO/1, par. 14) ; Gabon, 2017 (CED/C/GAB/CO/1, par. 14) ; Honduras, 2018 (CED/C/HND/CO/1, par. </w:t>
      </w:r>
      <w:r>
        <w:rPr>
          <w:sz w:val="20"/>
          <w:szCs w:val="20"/>
        </w:rPr>
        <w:t>19) ; Chili, 2019 (CED/C/CHL/CO/1, par. 13).</w:t>
      </w:r>
    </w:p>
  </w:endnote>
  <w:endnote w:id="74">
    <w:p w14:paraId="425963C0"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fr-FR"/>
        </w:rPr>
        <w:t xml:space="preserve"> Conseil norvégien pour les réfugiés, </w:t>
      </w:r>
      <w:r w:rsidRPr="003910F8">
        <w:rPr>
          <w:i/>
          <w:color w:val="000000"/>
          <w:sz w:val="20"/>
          <w:szCs w:val="20"/>
          <w:lang w:val="fr-FR"/>
        </w:rPr>
        <w:t>Legal guide to child's right in Iraq</w:t>
      </w:r>
      <w:r w:rsidRPr="003910F8">
        <w:rPr>
          <w:color w:val="000000"/>
          <w:sz w:val="20"/>
          <w:szCs w:val="20"/>
          <w:lang w:val="fr-FR"/>
        </w:rPr>
        <w:t>, page 91, Missing Fathers, disponible à l'</w:t>
      </w:r>
      <w:hyperlink r:id="rId54">
        <w:r w:rsidRPr="003910F8">
          <w:rPr>
            <w:color w:val="1155CC"/>
            <w:sz w:val="20"/>
            <w:szCs w:val="20"/>
            <w:u w:val="single"/>
            <w:lang w:val="fr-FR"/>
          </w:rPr>
          <w:t>adresse : https://www.nrc.no/globalassets/pdf/guidelines/legal-protection-of-children/legal-guide-to-childs-rights-in-iraq-english.pdf.</w:t>
        </w:r>
      </w:hyperlink>
      <w:r w:rsidRPr="003910F8">
        <w:rPr>
          <w:color w:val="000000"/>
          <w:sz w:val="20"/>
          <w:szCs w:val="20"/>
          <w:lang w:val="fr-FR"/>
        </w:rPr>
        <w:t xml:space="preserve">  </w:t>
      </w:r>
    </w:p>
  </w:endnote>
  <w:endnote w:id="75">
    <w:p w14:paraId="7A54A1AD" w14:textId="77777777" w:rsidR="00A90270" w:rsidRPr="003910F8" w:rsidRDefault="00A90270" w:rsidP="0055550A">
      <w:pPr>
        <w:pBdr>
          <w:top w:val="nil"/>
          <w:left w:val="nil"/>
          <w:bottom w:val="nil"/>
          <w:right w:val="nil"/>
          <w:between w:val="nil"/>
        </w:pBdr>
        <w:ind w:left="567"/>
        <w:jc w:val="both"/>
        <w:rPr>
          <w:color w:val="000000"/>
          <w:sz w:val="22"/>
          <w:szCs w:val="22"/>
          <w:lang w:val="fr-FR"/>
        </w:rPr>
      </w:pPr>
      <w:r>
        <w:rPr>
          <w:vertAlign w:val="superscript"/>
        </w:rPr>
        <w:endnoteRef/>
      </w:r>
      <w:r w:rsidRPr="003910F8">
        <w:rPr>
          <w:color w:val="000000"/>
          <w:sz w:val="20"/>
          <w:szCs w:val="20"/>
          <w:lang w:val="fr-FR"/>
        </w:rPr>
        <w:t>Article 23.1 de la Convention internationale pour la protection de toutes les personnes contre les disparitions forcées : Chaque État partie veille à ce que la formation du personnel militaire ou civil chargé de l'application des lois, du personnel médical, des fonctionnaires et des autres personnes qui peuvent être appelées à intervenir dans la garde ou le traitement de personnes privées de liberté comprenne l'enseignement et l'information nécessaires sur les dispositions pertinentes de la présente Convention, en vue de : (a) Prévenir l'implication de ces acteurs dans les disparitions forcées ; b) Souligner l'importance de la prévention et des enquêtes sur les disparitions forcées ; c) Veiller à ce que l'urgence de résoudre les cas de disparitions forcées soit reconnue.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mo">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3424C" w14:textId="77777777" w:rsidR="0016694D" w:rsidRDefault="0016694D">
    <w:pPr>
      <w:pBdr>
        <w:top w:val="nil"/>
        <w:left w:val="nil"/>
        <w:bottom w:val="nil"/>
        <w:right w:val="nil"/>
        <w:between w:val="nil"/>
      </w:pBdr>
      <w:tabs>
        <w:tab w:val="center" w:pos="4419"/>
        <w:tab w:val="right" w:pos="8818"/>
      </w:tabs>
      <w:jc w:val="center"/>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Pr>
        <w:noProof/>
        <w:color w:val="000000"/>
        <w:sz w:val="22"/>
        <w:szCs w:val="22"/>
      </w:rPr>
      <w:t>1</w:t>
    </w:r>
    <w:r>
      <w:rPr>
        <w:color w:val="000000"/>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D6466" w14:textId="77777777" w:rsidR="00A90270" w:rsidRPr="00AC3823" w:rsidRDefault="00A90270" w:rsidP="00AC3823">
      <w:pPr>
        <w:pStyle w:val="Footer"/>
        <w:tabs>
          <w:tab w:val="right" w:pos="2155"/>
        </w:tabs>
        <w:spacing w:after="80" w:line="240" w:lineRule="atLeast"/>
        <w:ind w:left="680"/>
        <w:rPr>
          <w:u w:val="single"/>
        </w:rPr>
      </w:pPr>
      <w:r>
        <w:rPr>
          <w:u w:val="single"/>
        </w:rPr>
        <w:tab/>
      </w:r>
    </w:p>
  </w:footnote>
  <w:footnote w:type="continuationSeparator" w:id="0">
    <w:p w14:paraId="47FE1AE6" w14:textId="77777777" w:rsidR="00A90270" w:rsidRPr="00AC3823" w:rsidRDefault="00A90270" w:rsidP="00AC3823">
      <w:pPr>
        <w:pStyle w:val="Footer"/>
        <w:tabs>
          <w:tab w:val="right" w:pos="2155"/>
        </w:tabs>
        <w:spacing w:after="80" w:line="240" w:lineRule="atLeast"/>
        <w:ind w:left="680"/>
        <w:rPr>
          <w:u w:val="single"/>
        </w:rPr>
      </w:pPr>
      <w:r>
        <w:rPr>
          <w:u w:val="single"/>
        </w:rPr>
        <w:tab/>
      </w:r>
    </w:p>
  </w:footnote>
  <w:footnote w:type="continuationNotice" w:id="1">
    <w:p w14:paraId="064BF3C6" w14:textId="77777777" w:rsidR="00A90270" w:rsidRPr="00AC3823" w:rsidRDefault="00A90270">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B5D64" w14:textId="026C9079" w:rsidR="0016694D" w:rsidRPr="004018E7" w:rsidRDefault="004018E7" w:rsidP="004018E7">
    <w:pPr>
      <w:pBdr>
        <w:top w:val="nil"/>
        <w:left w:val="nil"/>
        <w:bottom w:val="nil"/>
        <w:right w:val="nil"/>
        <w:between w:val="nil"/>
      </w:pBdr>
      <w:tabs>
        <w:tab w:val="right" w:pos="9020"/>
      </w:tabs>
      <w:ind w:left="1276"/>
      <w:rPr>
        <w:rFonts w:ascii="Helvetica Neue" w:eastAsia="Helvetica Neue" w:hAnsi="Helvetica Neue" w:cs="Helvetica Neue"/>
        <w:color w:val="C00000"/>
        <w:lang w:val="fr-FR"/>
      </w:rPr>
    </w:pPr>
    <w:r w:rsidRPr="004018E7">
      <w:rPr>
        <w:rFonts w:ascii="Helvetica Neue" w:eastAsia="Helvetica Neue" w:hAnsi="Helvetica Neue" w:cs="Helvetica Neue"/>
        <w:color w:val="C00000"/>
        <w:lang w:val="fr-FR"/>
      </w:rPr>
      <w:t xml:space="preserve">Ce document a été traduit par </w:t>
    </w:r>
    <w:proofErr w:type="spellStart"/>
    <w:r w:rsidRPr="004018E7">
      <w:rPr>
        <w:rFonts w:ascii="Helvetica Neue" w:eastAsia="Helvetica Neue" w:hAnsi="Helvetica Neue" w:cs="Helvetica Neue"/>
        <w:color w:val="C00000"/>
        <w:lang w:val="fr-FR"/>
      </w:rPr>
      <w:t>DeeplPro</w:t>
    </w:r>
    <w:proofErr w:type="spellEnd"/>
    <w:r w:rsidRPr="004018E7">
      <w:rPr>
        <w:rFonts w:ascii="Helvetica Neue" w:eastAsia="Helvetica Neue" w:hAnsi="Helvetica Neue" w:cs="Helvetica Neue"/>
        <w:color w:val="C00000"/>
        <w:lang w:val="fr-FR"/>
      </w:rPr>
      <w:t xml:space="preserve"> et ne peut donc pas être considéré comme une traduction officielle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0E007F7"/>
    <w:multiLevelType w:val="hybridMultilevel"/>
    <w:tmpl w:val="C8EED07C"/>
    <w:lvl w:ilvl="0" w:tplc="DA1609F8">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BEF3CB2"/>
    <w:multiLevelType w:val="multilevel"/>
    <w:tmpl w:val="934E7AD6"/>
    <w:lvl w:ilvl="0">
      <w:start w:val="2"/>
      <w:numFmt w:val="upperRoman"/>
      <w:lvlText w:val="%1."/>
      <w:lvlJc w:val="left"/>
      <w:pPr>
        <w:ind w:left="1855" w:hanging="720"/>
      </w:pPr>
      <w:rPr>
        <w:b/>
        <w:smallCaps w:val="0"/>
        <w:strike w:val="0"/>
        <w:shd w:val="clear" w:color="auto" w:fill="auto"/>
        <w:vertAlign w:val="baseline"/>
      </w:rPr>
    </w:lvl>
    <w:lvl w:ilvl="1">
      <w:start w:val="1"/>
      <w:numFmt w:val="lowerLetter"/>
      <w:lvlText w:val="%2."/>
      <w:lvlJc w:val="left"/>
      <w:pPr>
        <w:ind w:left="1440" w:hanging="360"/>
      </w:pPr>
      <w:rPr>
        <w:b/>
        <w:smallCaps w:val="0"/>
        <w:strike w:val="0"/>
        <w:shd w:val="clear" w:color="auto" w:fill="auto"/>
        <w:vertAlign w:val="baseline"/>
      </w:rPr>
    </w:lvl>
    <w:lvl w:ilvl="2">
      <w:start w:val="1"/>
      <w:numFmt w:val="lowerRoman"/>
      <w:lvlText w:val="%3."/>
      <w:lvlJc w:val="left"/>
      <w:pPr>
        <w:ind w:left="2160" w:hanging="290"/>
      </w:pPr>
      <w:rPr>
        <w:b/>
        <w:smallCaps w:val="0"/>
        <w:strike w:val="0"/>
        <w:shd w:val="clear" w:color="auto" w:fill="auto"/>
        <w:vertAlign w:val="baseline"/>
      </w:rPr>
    </w:lvl>
    <w:lvl w:ilvl="3">
      <w:start w:val="1"/>
      <w:numFmt w:val="decimal"/>
      <w:lvlText w:val="%4."/>
      <w:lvlJc w:val="left"/>
      <w:pPr>
        <w:ind w:left="2880" w:hanging="360"/>
      </w:pPr>
      <w:rPr>
        <w:b/>
        <w:smallCaps w:val="0"/>
        <w:strike w:val="0"/>
        <w:shd w:val="clear" w:color="auto" w:fill="auto"/>
        <w:vertAlign w:val="baseline"/>
      </w:rPr>
    </w:lvl>
    <w:lvl w:ilvl="4">
      <w:start w:val="1"/>
      <w:numFmt w:val="lowerLetter"/>
      <w:lvlText w:val="%5."/>
      <w:lvlJc w:val="left"/>
      <w:pPr>
        <w:ind w:left="3600" w:hanging="360"/>
      </w:pPr>
      <w:rPr>
        <w:b/>
        <w:smallCaps w:val="0"/>
        <w:strike w:val="0"/>
        <w:shd w:val="clear" w:color="auto" w:fill="auto"/>
        <w:vertAlign w:val="baseline"/>
      </w:rPr>
    </w:lvl>
    <w:lvl w:ilvl="5">
      <w:start w:val="1"/>
      <w:numFmt w:val="lowerRoman"/>
      <w:lvlText w:val="%6."/>
      <w:lvlJc w:val="left"/>
      <w:pPr>
        <w:ind w:left="4320" w:hanging="290"/>
      </w:pPr>
      <w:rPr>
        <w:b/>
        <w:smallCaps w:val="0"/>
        <w:strike w:val="0"/>
        <w:shd w:val="clear" w:color="auto" w:fill="auto"/>
        <w:vertAlign w:val="baseline"/>
      </w:rPr>
    </w:lvl>
    <w:lvl w:ilvl="6">
      <w:start w:val="1"/>
      <w:numFmt w:val="decimal"/>
      <w:lvlText w:val="%7."/>
      <w:lvlJc w:val="left"/>
      <w:pPr>
        <w:ind w:left="5040" w:hanging="360"/>
      </w:pPr>
      <w:rPr>
        <w:b/>
        <w:smallCaps w:val="0"/>
        <w:strike w:val="0"/>
        <w:shd w:val="clear" w:color="auto" w:fill="auto"/>
        <w:vertAlign w:val="baseline"/>
      </w:rPr>
    </w:lvl>
    <w:lvl w:ilvl="7">
      <w:start w:val="1"/>
      <w:numFmt w:val="lowerLetter"/>
      <w:lvlText w:val="%8."/>
      <w:lvlJc w:val="left"/>
      <w:pPr>
        <w:ind w:left="5760" w:hanging="360"/>
      </w:pPr>
      <w:rPr>
        <w:b/>
        <w:smallCaps w:val="0"/>
        <w:strike w:val="0"/>
        <w:shd w:val="clear" w:color="auto" w:fill="auto"/>
        <w:vertAlign w:val="baseline"/>
      </w:rPr>
    </w:lvl>
    <w:lvl w:ilvl="8">
      <w:start w:val="1"/>
      <w:numFmt w:val="lowerRoman"/>
      <w:lvlText w:val="%9."/>
      <w:lvlJc w:val="left"/>
      <w:pPr>
        <w:ind w:left="6480" w:hanging="290"/>
      </w:pPr>
      <w:rPr>
        <w:b/>
        <w:smallCaps w:val="0"/>
        <w:strike w:val="0"/>
        <w:shd w:val="clear" w:color="auto" w:fill="auto"/>
        <w:vertAlign w:val="baseline"/>
      </w:r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F367E1E"/>
    <w:multiLevelType w:val="multilevel"/>
    <w:tmpl w:val="4DAAEF5C"/>
    <w:lvl w:ilvl="0">
      <w:start w:val="1"/>
      <w:numFmt w:val="upperRoman"/>
      <w:lvlText w:val="%1."/>
      <w:lvlJc w:val="left"/>
      <w:pPr>
        <w:ind w:left="1855" w:hanging="720"/>
      </w:pPr>
      <w:rPr>
        <w:b/>
        <w:smallCaps w:val="0"/>
        <w:strike w:val="0"/>
        <w:shd w:val="clear" w:color="auto" w:fill="auto"/>
        <w:vertAlign w:val="baseline"/>
      </w:rPr>
    </w:lvl>
    <w:lvl w:ilvl="1">
      <w:start w:val="1"/>
      <w:numFmt w:val="lowerLetter"/>
      <w:lvlText w:val="%2."/>
      <w:lvlJc w:val="left"/>
      <w:pPr>
        <w:ind w:left="1440" w:hanging="360"/>
      </w:pPr>
      <w:rPr>
        <w:b/>
        <w:smallCaps w:val="0"/>
        <w:strike w:val="0"/>
        <w:shd w:val="clear" w:color="auto" w:fill="auto"/>
        <w:vertAlign w:val="baseline"/>
      </w:rPr>
    </w:lvl>
    <w:lvl w:ilvl="2">
      <w:start w:val="1"/>
      <w:numFmt w:val="lowerRoman"/>
      <w:lvlText w:val="%3."/>
      <w:lvlJc w:val="left"/>
      <w:pPr>
        <w:ind w:left="2160" w:hanging="290"/>
      </w:pPr>
      <w:rPr>
        <w:b/>
        <w:smallCaps w:val="0"/>
        <w:strike w:val="0"/>
        <w:shd w:val="clear" w:color="auto" w:fill="auto"/>
        <w:vertAlign w:val="baseline"/>
      </w:rPr>
    </w:lvl>
    <w:lvl w:ilvl="3">
      <w:start w:val="1"/>
      <w:numFmt w:val="decimal"/>
      <w:lvlText w:val="%4."/>
      <w:lvlJc w:val="left"/>
      <w:pPr>
        <w:ind w:left="2880" w:hanging="360"/>
      </w:pPr>
      <w:rPr>
        <w:b/>
        <w:smallCaps w:val="0"/>
        <w:strike w:val="0"/>
        <w:shd w:val="clear" w:color="auto" w:fill="auto"/>
        <w:vertAlign w:val="baseline"/>
      </w:rPr>
    </w:lvl>
    <w:lvl w:ilvl="4">
      <w:start w:val="1"/>
      <w:numFmt w:val="lowerLetter"/>
      <w:lvlText w:val="%5."/>
      <w:lvlJc w:val="left"/>
      <w:pPr>
        <w:ind w:left="3600" w:hanging="360"/>
      </w:pPr>
      <w:rPr>
        <w:b/>
        <w:smallCaps w:val="0"/>
        <w:strike w:val="0"/>
        <w:shd w:val="clear" w:color="auto" w:fill="auto"/>
        <w:vertAlign w:val="baseline"/>
      </w:rPr>
    </w:lvl>
    <w:lvl w:ilvl="5">
      <w:start w:val="1"/>
      <w:numFmt w:val="lowerRoman"/>
      <w:lvlText w:val="%6."/>
      <w:lvlJc w:val="left"/>
      <w:pPr>
        <w:ind w:left="4320" w:hanging="290"/>
      </w:pPr>
      <w:rPr>
        <w:b/>
        <w:smallCaps w:val="0"/>
        <w:strike w:val="0"/>
        <w:shd w:val="clear" w:color="auto" w:fill="auto"/>
        <w:vertAlign w:val="baseline"/>
      </w:rPr>
    </w:lvl>
    <w:lvl w:ilvl="6">
      <w:start w:val="1"/>
      <w:numFmt w:val="decimal"/>
      <w:lvlText w:val="%7."/>
      <w:lvlJc w:val="left"/>
      <w:pPr>
        <w:ind w:left="5040" w:hanging="360"/>
      </w:pPr>
      <w:rPr>
        <w:b/>
        <w:smallCaps w:val="0"/>
        <w:strike w:val="0"/>
        <w:shd w:val="clear" w:color="auto" w:fill="auto"/>
        <w:vertAlign w:val="baseline"/>
      </w:rPr>
    </w:lvl>
    <w:lvl w:ilvl="7">
      <w:start w:val="1"/>
      <w:numFmt w:val="lowerLetter"/>
      <w:lvlText w:val="%8."/>
      <w:lvlJc w:val="left"/>
      <w:pPr>
        <w:ind w:left="5760" w:hanging="360"/>
      </w:pPr>
      <w:rPr>
        <w:b/>
        <w:smallCaps w:val="0"/>
        <w:strike w:val="0"/>
        <w:shd w:val="clear" w:color="auto" w:fill="auto"/>
        <w:vertAlign w:val="baseline"/>
      </w:rPr>
    </w:lvl>
    <w:lvl w:ilvl="8">
      <w:start w:val="1"/>
      <w:numFmt w:val="lowerRoman"/>
      <w:lvlText w:val="%9."/>
      <w:lvlJc w:val="left"/>
      <w:pPr>
        <w:ind w:left="6480" w:hanging="290"/>
      </w:pPr>
      <w:rPr>
        <w:b/>
        <w:smallCaps w:val="0"/>
        <w:strike w:val="0"/>
        <w:shd w:val="clear" w:color="auto" w:fill="auto"/>
        <w:vertAlign w:val="baseline"/>
      </w:rPr>
    </w:lvl>
  </w:abstractNum>
  <w:abstractNum w:abstractNumId="15"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490413427">
    <w:abstractNumId w:val="16"/>
  </w:num>
  <w:num w:numId="2" w16cid:durableId="629475564">
    <w:abstractNumId w:val="13"/>
  </w:num>
  <w:num w:numId="3" w16cid:durableId="28847296">
    <w:abstractNumId w:val="10"/>
  </w:num>
  <w:num w:numId="4" w16cid:durableId="1966151991">
    <w:abstractNumId w:val="8"/>
  </w:num>
  <w:num w:numId="5" w16cid:durableId="1519389785">
    <w:abstractNumId w:val="3"/>
  </w:num>
  <w:num w:numId="6" w16cid:durableId="1761364730">
    <w:abstractNumId w:val="2"/>
  </w:num>
  <w:num w:numId="7" w16cid:durableId="370304330">
    <w:abstractNumId w:val="1"/>
  </w:num>
  <w:num w:numId="8" w16cid:durableId="455492928">
    <w:abstractNumId w:val="0"/>
  </w:num>
  <w:num w:numId="9" w16cid:durableId="2088185613">
    <w:abstractNumId w:val="9"/>
  </w:num>
  <w:num w:numId="10" w16cid:durableId="2053772807">
    <w:abstractNumId w:val="7"/>
  </w:num>
  <w:num w:numId="11" w16cid:durableId="910969610">
    <w:abstractNumId w:val="6"/>
  </w:num>
  <w:num w:numId="12" w16cid:durableId="1500274381">
    <w:abstractNumId w:val="5"/>
  </w:num>
  <w:num w:numId="13" w16cid:durableId="137580470">
    <w:abstractNumId w:val="4"/>
  </w:num>
  <w:num w:numId="14" w16cid:durableId="1380978142">
    <w:abstractNumId w:val="15"/>
  </w:num>
  <w:num w:numId="15" w16cid:durableId="1319771572">
    <w:abstractNumId w:val="10"/>
  </w:num>
  <w:num w:numId="16" w16cid:durableId="1418019010">
    <w:abstractNumId w:val="14"/>
  </w:num>
  <w:num w:numId="17" w16cid:durableId="1163862093">
    <w:abstractNumId w:val="12"/>
  </w:num>
  <w:num w:numId="18" w16cid:durableId="19177889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270"/>
    <w:rsid w:val="00011A55"/>
    <w:rsid w:val="00017F94"/>
    <w:rsid w:val="00023842"/>
    <w:rsid w:val="000334F9"/>
    <w:rsid w:val="0007796D"/>
    <w:rsid w:val="000A57A8"/>
    <w:rsid w:val="000B7790"/>
    <w:rsid w:val="000C390E"/>
    <w:rsid w:val="00105983"/>
    <w:rsid w:val="00111F2F"/>
    <w:rsid w:val="001345AA"/>
    <w:rsid w:val="0014365E"/>
    <w:rsid w:val="0014660A"/>
    <w:rsid w:val="00150DB2"/>
    <w:rsid w:val="0016694D"/>
    <w:rsid w:val="00176178"/>
    <w:rsid w:val="001A0FBE"/>
    <w:rsid w:val="001F525A"/>
    <w:rsid w:val="00223272"/>
    <w:rsid w:val="00225896"/>
    <w:rsid w:val="0024779E"/>
    <w:rsid w:val="00266249"/>
    <w:rsid w:val="00271A0E"/>
    <w:rsid w:val="00291F1D"/>
    <w:rsid w:val="0029407C"/>
    <w:rsid w:val="002A0AA8"/>
    <w:rsid w:val="002E635D"/>
    <w:rsid w:val="00350987"/>
    <w:rsid w:val="00353ED5"/>
    <w:rsid w:val="00375653"/>
    <w:rsid w:val="00382A1F"/>
    <w:rsid w:val="00390178"/>
    <w:rsid w:val="003910F8"/>
    <w:rsid w:val="003B36FD"/>
    <w:rsid w:val="003B7CEC"/>
    <w:rsid w:val="003D1AD0"/>
    <w:rsid w:val="004018E7"/>
    <w:rsid w:val="00446FE5"/>
    <w:rsid w:val="00452396"/>
    <w:rsid w:val="004B5F27"/>
    <w:rsid w:val="004D1CEB"/>
    <w:rsid w:val="0050016E"/>
    <w:rsid w:val="00515311"/>
    <w:rsid w:val="005505B7"/>
    <w:rsid w:val="0055550A"/>
    <w:rsid w:val="005706C8"/>
    <w:rsid w:val="00573BE5"/>
    <w:rsid w:val="00586ED3"/>
    <w:rsid w:val="00596AA9"/>
    <w:rsid w:val="006122C4"/>
    <w:rsid w:val="00650ABC"/>
    <w:rsid w:val="006871F1"/>
    <w:rsid w:val="006D03F3"/>
    <w:rsid w:val="006E115E"/>
    <w:rsid w:val="006E13EA"/>
    <w:rsid w:val="006E2C9B"/>
    <w:rsid w:val="006F3606"/>
    <w:rsid w:val="0071601D"/>
    <w:rsid w:val="0076624F"/>
    <w:rsid w:val="00766CEC"/>
    <w:rsid w:val="00770252"/>
    <w:rsid w:val="007A62E6"/>
    <w:rsid w:val="0080684C"/>
    <w:rsid w:val="008126A3"/>
    <w:rsid w:val="00815502"/>
    <w:rsid w:val="00817E2F"/>
    <w:rsid w:val="00845D2D"/>
    <w:rsid w:val="00850DF1"/>
    <w:rsid w:val="00871C75"/>
    <w:rsid w:val="008776DC"/>
    <w:rsid w:val="008F2A1D"/>
    <w:rsid w:val="009111F9"/>
    <w:rsid w:val="00957790"/>
    <w:rsid w:val="009705C8"/>
    <w:rsid w:val="009973E9"/>
    <w:rsid w:val="00A12AB5"/>
    <w:rsid w:val="00A90270"/>
    <w:rsid w:val="00AC3823"/>
    <w:rsid w:val="00AE323C"/>
    <w:rsid w:val="00AE7D9F"/>
    <w:rsid w:val="00B00181"/>
    <w:rsid w:val="00B15F41"/>
    <w:rsid w:val="00B43C66"/>
    <w:rsid w:val="00B55090"/>
    <w:rsid w:val="00B765F7"/>
    <w:rsid w:val="00BA0CA9"/>
    <w:rsid w:val="00BB3E59"/>
    <w:rsid w:val="00BE1F4C"/>
    <w:rsid w:val="00BE4745"/>
    <w:rsid w:val="00BE561F"/>
    <w:rsid w:val="00BF3C2C"/>
    <w:rsid w:val="00C02897"/>
    <w:rsid w:val="00CF3AE1"/>
    <w:rsid w:val="00D3439C"/>
    <w:rsid w:val="00D36445"/>
    <w:rsid w:val="00D40AEB"/>
    <w:rsid w:val="00DA22F4"/>
    <w:rsid w:val="00DB1831"/>
    <w:rsid w:val="00DB5ACE"/>
    <w:rsid w:val="00DD3BFD"/>
    <w:rsid w:val="00DE2862"/>
    <w:rsid w:val="00DF593E"/>
    <w:rsid w:val="00DF6678"/>
    <w:rsid w:val="00E22CF2"/>
    <w:rsid w:val="00E33F14"/>
    <w:rsid w:val="00E44A12"/>
    <w:rsid w:val="00E52D9F"/>
    <w:rsid w:val="00ED5584"/>
    <w:rsid w:val="00F112EE"/>
    <w:rsid w:val="00F12269"/>
    <w:rsid w:val="00F164B0"/>
    <w:rsid w:val="00F341D1"/>
    <w:rsid w:val="00F660DF"/>
    <w:rsid w:val="00F76174"/>
    <w:rsid w:val="00F80094"/>
    <w:rsid w:val="00F95C08"/>
    <w:rsid w:val="00FF344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56E40D"/>
  <w15:chartTrackingRefBased/>
  <w15:docId w15:val="{C4BA5EF6-7D62-4F57-A3EA-F7CD5CA61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lang w:val="fr-CH"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270"/>
    <w:rPr>
      <w:rFonts w:eastAsia="Times New Roman"/>
      <w:kern w:val="0"/>
      <w:sz w:val="24"/>
      <w:szCs w:val="24"/>
      <w:lang w:val="en-US"/>
      <w14:ligatures w14:val="none"/>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b/>
      <w:sz w:val="18"/>
    </w:rPr>
  </w:style>
  <w:style w:type="character" w:customStyle="1" w:styleId="HeaderChar">
    <w:name w:val="Header Char"/>
    <w:aliases w:val="6_G Char"/>
    <w:basedOn w:val="DefaultParagraphFont"/>
    <w:link w:val="Header"/>
    <w:rsid w:val="0080684C"/>
    <w:rPr>
      <w:rFonts w:eastAsia="Times New Roman"/>
      <w:b/>
      <w:kern w:val="0"/>
      <w:sz w:val="18"/>
      <w:szCs w:val="24"/>
      <w:lang w:val="en-US"/>
      <w14:ligatures w14:val="none"/>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style>
  <w:style w:type="paragraph" w:styleId="Title">
    <w:name w:val="Title"/>
    <w:basedOn w:val="Normal"/>
    <w:next w:val="Normal"/>
    <w:link w:val="TitleChar"/>
    <w:uiPriority w:val="10"/>
    <w:semiHidden/>
    <w:qFormat/>
    <w:rsid w:val="00A9027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semiHidden/>
    <w:rsid w:val="00A902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semiHidden/>
    <w:qFormat/>
    <w:rsid w:val="00A9027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semiHidden/>
    <w:rsid w:val="00A9027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semiHidden/>
    <w:qFormat/>
    <w:rsid w:val="00A90270"/>
    <w:pPr>
      <w:spacing w:before="160" w:after="160"/>
      <w:jc w:val="center"/>
    </w:pPr>
    <w:rPr>
      <w:i/>
      <w:iCs/>
      <w:color w:val="404040" w:themeColor="text1" w:themeTint="BF"/>
    </w:rPr>
  </w:style>
  <w:style w:type="character" w:customStyle="1" w:styleId="QuoteChar">
    <w:name w:val="Quote Char"/>
    <w:basedOn w:val="DefaultParagraphFont"/>
    <w:link w:val="Quote"/>
    <w:uiPriority w:val="29"/>
    <w:semiHidden/>
    <w:rsid w:val="00A90270"/>
    <w:rPr>
      <w:i/>
      <w:iCs/>
      <w:color w:val="404040" w:themeColor="text1" w:themeTint="BF"/>
    </w:rPr>
  </w:style>
  <w:style w:type="paragraph" w:styleId="ListParagraph">
    <w:name w:val="List Paragraph"/>
    <w:basedOn w:val="Normal"/>
    <w:uiPriority w:val="34"/>
    <w:semiHidden/>
    <w:qFormat/>
    <w:rsid w:val="00A90270"/>
    <w:pPr>
      <w:ind w:left="720"/>
      <w:contextualSpacing/>
    </w:pPr>
  </w:style>
  <w:style w:type="character" w:styleId="IntenseEmphasis">
    <w:name w:val="Intense Emphasis"/>
    <w:basedOn w:val="DefaultParagraphFont"/>
    <w:uiPriority w:val="21"/>
    <w:semiHidden/>
    <w:qFormat/>
    <w:rsid w:val="00A90270"/>
    <w:rPr>
      <w:i/>
      <w:iCs/>
      <w:color w:val="365F91" w:themeColor="accent1" w:themeShade="BF"/>
    </w:rPr>
  </w:style>
  <w:style w:type="paragraph" w:styleId="IntenseQuote">
    <w:name w:val="Intense Quote"/>
    <w:basedOn w:val="Normal"/>
    <w:next w:val="Normal"/>
    <w:link w:val="IntenseQuoteChar"/>
    <w:uiPriority w:val="30"/>
    <w:semiHidden/>
    <w:qFormat/>
    <w:rsid w:val="00A9027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semiHidden/>
    <w:rsid w:val="00A90270"/>
    <w:rPr>
      <w:i/>
      <w:iCs/>
      <w:color w:val="365F91" w:themeColor="accent1" w:themeShade="BF"/>
    </w:rPr>
  </w:style>
  <w:style w:type="character" w:styleId="IntenseReference">
    <w:name w:val="Intense Reference"/>
    <w:basedOn w:val="DefaultParagraphFont"/>
    <w:uiPriority w:val="32"/>
    <w:semiHidden/>
    <w:qFormat/>
    <w:rsid w:val="00A90270"/>
    <w:rPr>
      <w:b/>
      <w:bCs/>
      <w:smallCaps/>
      <w:color w:val="365F91" w:themeColor="accent1" w:themeShade="BF"/>
      <w:spacing w:val="5"/>
    </w:rPr>
  </w:style>
  <w:style w:type="character" w:styleId="CommentReference">
    <w:name w:val="annotation reference"/>
    <w:basedOn w:val="DefaultParagraphFont"/>
    <w:uiPriority w:val="99"/>
    <w:semiHidden/>
    <w:unhideWhenUsed/>
    <w:rsid w:val="00A90270"/>
    <w:rPr>
      <w:sz w:val="16"/>
      <w:szCs w:val="16"/>
    </w:rPr>
  </w:style>
  <w:style w:type="paragraph" w:styleId="CommentText">
    <w:name w:val="annotation text"/>
    <w:basedOn w:val="Normal"/>
    <w:link w:val="CommentTextChar"/>
    <w:uiPriority w:val="99"/>
    <w:unhideWhenUsed/>
    <w:rsid w:val="00A90270"/>
    <w:rPr>
      <w:sz w:val="20"/>
      <w:szCs w:val="20"/>
    </w:rPr>
  </w:style>
  <w:style w:type="character" w:customStyle="1" w:styleId="CommentTextChar">
    <w:name w:val="Comment Text Char"/>
    <w:basedOn w:val="DefaultParagraphFont"/>
    <w:link w:val="CommentText"/>
    <w:uiPriority w:val="99"/>
    <w:rsid w:val="00A90270"/>
    <w:rPr>
      <w:rFonts w:eastAsia="Times New Roman"/>
      <w:kern w:val="0"/>
      <w:lang w:val="en-US"/>
      <w14:ligatures w14:val="none"/>
    </w:rPr>
  </w:style>
  <w:style w:type="character" w:styleId="UnresolvedMention">
    <w:name w:val="Unresolved Mention"/>
    <w:basedOn w:val="DefaultParagraphFont"/>
    <w:uiPriority w:val="99"/>
    <w:semiHidden/>
    <w:unhideWhenUsed/>
    <w:rsid w:val="003910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ohchr-ced@un.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13" Type="http://schemas.openxmlformats.org/officeDocument/2006/relationships/hyperlink" Target="https://www.cidh.oas.org/women/acceso07/indiceacceso.htm" TargetMode="External"/><Relationship Id="rId18" Type="http://schemas.openxmlformats.org/officeDocument/2006/relationships/hyperlink" Target="https://www.amnesty.org/es/projects/mujeres-buscadoras-en-las-americas/" TargetMode="External"/><Relationship Id="rId26" Type="http://schemas.openxmlformats.org/officeDocument/2006/relationships/hyperlink" Target="https://www.ohchr.org/sites/default/files/Documents/Issues/Disappearances/GC/A-HRC-WGEID-98-2_sp.pdf" TargetMode="External"/><Relationship Id="rId39" Type="http://schemas.openxmlformats.org/officeDocument/2006/relationships/hyperlink" Target="https://docstore.ohchr.org/SelfServices/FilesHandler.ashx?enc=c62mN9wd8hzagNLNDNDeMpwFNpMvUNfgK5NBIVvVnPh+y3l4GnqlcQGt53RjB+2dDT/bNl7CZqaQmkjeq51Hng==" TargetMode="External"/><Relationship Id="rId21" Type="http://schemas.openxmlformats.org/officeDocument/2006/relationships/hyperlink" Target="https://www.icip.cat/perlapau/es/articulo/el-impacto-de-genero-de-las-desapariciones-forzadas-en-siria/" TargetMode="External"/><Relationship Id="rId34" Type="http://schemas.openxmlformats.org/officeDocument/2006/relationships/hyperlink" Target="https://www.icip.cat/es/opinion/per-un-compromis-global-contra-les-desaparicions-forcades/" TargetMode="External"/><Relationship Id="rId42" Type="http://schemas.openxmlformats.org/officeDocument/2006/relationships/hyperlink" Target="https://www.scjn.gob.mx/derechos-humanos/sites/default/files/documentos-trabajo/2024-06/Documento-trabajo_desaparicion-y-genero.pdf" TargetMode="External"/><Relationship Id="rId47" Type="http://schemas.openxmlformats.org/officeDocument/2006/relationships/hyperlink" Target="https://www.oas.org/es/cidh/prensa/comunicados/2019/020C.pdf" TargetMode="External"/><Relationship Id="rId50" Type="http://schemas.openxmlformats.org/officeDocument/2006/relationships/hyperlink" Target="https://www.corteidh.or.cr/docs/casos/articulos/seriec_42_esp.pdf" TargetMode="External"/><Relationship Id="rId7" Type="http://schemas.openxmlformats.org/officeDocument/2006/relationships/hyperlink" Target="https://undocs.org/es/CED/C/MEX/VR/1%252520(Findings)" TargetMode="External"/><Relationship Id="rId2" Type="http://schemas.openxmlformats.org/officeDocument/2006/relationships/hyperlink" Target="https://www.argentina.gob.ar/derechoshumanos/sitiosdememoria/espacios-de-memoria/maternidades-clandestinas%253BCED/C/9" TargetMode="External"/><Relationship Id="rId16" Type="http://schemas.openxmlformats.org/officeDocument/2006/relationships/hyperlink" Target="https://movndmx.org/informeriesgos2024/" TargetMode="External"/><Relationship Id="rId29" Type="http://schemas.openxmlformats.org/officeDocument/2006/relationships/hyperlink" Target="https://docstore.ohchr.org/SelfServices/FilesHandler.ashx?enc=u6IYDjQHmuls7Ax5fZryBKSZZpf7fmrfTXsY3+5MSgYZ7TnczHtC2Guk0jjARRIzF0S+GZa6Ir8pqFsbWjpsKg==" TargetMode="External"/><Relationship Id="rId11" Type="http://schemas.openxmlformats.org/officeDocument/2006/relationships/hyperlink" Target="https://docstore.ohchr.org/SelfServices/FilesHandler.ashx?enc=BRXcQB2Hyw5oK4w9m9zUmfckD/PemsUabuhKHmjp06OIZ3pVlML9o2FnLZRzI8XA6U8R7W7cmqY3dveUx5BGyPotjMcZElFlmqoe8UA4RFQ=" TargetMode="External"/><Relationship Id="rId24" Type="http://schemas.openxmlformats.org/officeDocument/2006/relationships/hyperlink" Target="https://www.icip.cat/perlapau/es/articulo/el-impacto-de-genero-de-las-desapariciones-forzadas-en-siria/" TargetMode="External"/><Relationship Id="rId32" Type="http://schemas.openxmlformats.org/officeDocument/2006/relationships/hyperlink" Target="https://www.ohchr.org/es/instruments-mechanisms/instruments/declaration-elimination-violence-against-women" TargetMode="External"/><Relationship Id="rId37" Type="http://schemas.openxmlformats.org/officeDocument/2006/relationships/hyperlink" Target="https://www.oas.org/es/mesecvi/docs/MESECVI-CEVI-XV-doc.250-ES.pdf" TargetMode="External"/><Relationship Id="rId40" Type="http://schemas.openxmlformats.org/officeDocument/2006/relationships/hyperlink" Target="https://www.corteidh.or.cr/docs/casos/articulos/seriec_339_esp.pdf" TargetMode="External"/><Relationship Id="rId45" Type="http://schemas.openxmlformats.org/officeDocument/2006/relationships/hyperlink" Target="https://www.worldvision.com.au/womens-empowerment" TargetMode="External"/><Relationship Id="rId53" Type="http://schemas.openxmlformats.org/officeDocument/2006/relationships/hyperlink" Target="https://www.refworld.org/es/ref/infortem/cdhonu/2015/es/107038" TargetMode="External"/><Relationship Id="rId5" Type="http://schemas.openxmlformats.org/officeDocument/2006/relationships/hyperlink" Target="https://docstore.ohchr.org/SelfServices/FilesHandler.ashx?enc=xx6+X/JLTwmdyca/gODjvpNrThRHNlI1DMyjOZYaPKYHrNcO4P65T3VfIMTfRoU2O/Flb78Q47Xss2TFeCpf/g==" TargetMode="External"/><Relationship Id="rId10" Type="http://schemas.openxmlformats.org/officeDocument/2006/relationships/hyperlink" Target="https://www.oas.org/es/mesecvi/docs/MESECVI-CEVI-XV-doc.250-ES.pdf" TargetMode="External"/><Relationship Id="rId19" Type="http://schemas.openxmlformats.org/officeDocument/2006/relationships/hyperlink" Target="https://centroprodh.org.mx/2020/05/10/pub-las-locas-de-las-palas/" TargetMode="External"/><Relationship Id="rId31" Type="http://schemas.openxmlformats.org/officeDocument/2006/relationships/hyperlink" Target="https://docstore.ohchr.org/SelfServices/FilesHandler.ashx?enc=yya6zU+8HA8+1K9pE4atxW0BeafOIwEhgB/9XrkK17qId3rxRwD81m5HBZyyEVbne9DJCE3tmJs4YONkP5lQ3YdqZMfYIjSkvMeR1Xd9/GU=" TargetMode="External"/><Relationship Id="rId44" Type="http://schemas.openxmlformats.org/officeDocument/2006/relationships/hyperlink" Target="https://www.worldvision.com.au/womens-empowerment" TargetMode="External"/><Relationship Id="rId52" Type="http://schemas.openxmlformats.org/officeDocument/2006/relationships/hyperlink" Target="https://www.scielo.org.mx/scielo.php?script=sci_arttext&amp;pid=S1870-00632020000100147" TargetMode="External"/><Relationship Id="rId4" Type="http://schemas.openxmlformats.org/officeDocument/2006/relationships/hyperlink" Target="https://www.corteidh.or.cr/docs/casos/articulos/seriec_221_esp1.pdf" TargetMode="External"/><Relationship Id="rId9" Type="http://schemas.openxmlformats.org/officeDocument/2006/relationships/hyperlink" Target="https://tbinternet.ohchr.org/_layouts/15/treatybodyexternal/Download.aspx?symbolno=INT/CED/STA/COL/60557&amp;Lang=en" TargetMode="External"/><Relationship Id="rId14" Type="http://schemas.openxmlformats.org/officeDocument/2006/relationships/hyperlink" Target="https://rm.coe.int/1680597b20" TargetMode="External"/><Relationship Id="rId22" Type="http://schemas.openxmlformats.org/officeDocument/2006/relationships/hyperlink" Target="https://www.rfi.fr/es/programas/enfoque-internacional/20230831-ellas-buscan-a-sus-seres-desaparecidos-en-las-guerras-de-medio-oriente" TargetMode="External"/><Relationship Id="rId27" Type="http://schemas.openxmlformats.org/officeDocument/2006/relationships/hyperlink" Target="https://docstore.ohchr.org/SelfServices/FilesHandler.ashx?enc=EdJUVABCj/znJuuUgX4aUg+Ytn1UEvdm4hTXg+xQUAar1zLbnQgq/J0JygeqdTnGnQEMPXopiQuHREDTwAR8Gg==" TargetMode="External"/><Relationship Id="rId30" Type="http://schemas.openxmlformats.org/officeDocument/2006/relationships/hyperlink" Target="https://docstore.ohchr.org/SelfServices/FilesHandler.ashx?enc=/fruQ5fVTQE0fzgbLWvAgi5oVy36n9sjmXsejc3rWc8M4wvA78/2nJH7dKqJqfSpaDOP1b43N8t4QzEIRojb5w==" TargetMode="External"/><Relationship Id="rId35" Type="http://schemas.openxmlformats.org/officeDocument/2006/relationships/hyperlink" Target="https://www.fidh.org/IMG/pdf/mexiquefemmes835eweb_1_.pdf" TargetMode="External"/><Relationship Id="rId43" Type="http://schemas.openxmlformats.org/officeDocument/2006/relationships/hyperlink" Target="https://www.scjn.gob.mx/sites/default/files/publicaciones_scjn/publicacion/2024-04/Manual%252520sobre%252520desaparicio%2525CC%252581n%252520de%252520personas.pdf" TargetMode="External"/><Relationship Id="rId48" Type="http://schemas.openxmlformats.org/officeDocument/2006/relationships/hyperlink" Target="https://www.icip.cat/perlapau/es/articulo/donde-estan-las-personas-desaparecidas-verdad-y-justicia-para-la-consolidacion-de-la-paz/" TargetMode="External"/><Relationship Id="rId8" Type="http://schemas.openxmlformats.org/officeDocument/2006/relationships/hyperlink" Target="https://www.fidh.org/IMG/pdf/mexiquefemmes835eweb_1_.pdf" TargetMode="External"/><Relationship Id="rId51" Type="http://schemas.openxmlformats.org/officeDocument/2006/relationships/hyperlink" Target="https://international-review.icrc.org/sites/default/files/irrc_99_905_4.pdf" TargetMode="External"/><Relationship Id="rId3" Type="http://schemas.openxmlformats.org/officeDocument/2006/relationships/hyperlink" Target="https://www.ohchr.org/sites/default/files/documents/hrbodies/ced/2022-09-29/JointstatementICA_HR_28September2022.pdf" TargetMode="External"/><Relationship Id="rId12" Type="http://schemas.openxmlformats.org/officeDocument/2006/relationships/hyperlink" Target="https://www.defensoria.gob.pe/wp-content/uploads/2024/11/Reporte-Igualdad-y-No-Violencia-57.pdf" TargetMode="External"/><Relationship Id="rId17" Type="http://schemas.openxmlformats.org/officeDocument/2006/relationships/hyperlink" Target="https://web.nydia-erika-bautista.org/nosotros/" TargetMode="External"/><Relationship Id="rId25" Type="http://schemas.openxmlformats.org/officeDocument/2006/relationships/hyperlink" Target="https://docs.un.org/es/A/RES/53/144" TargetMode="External"/><Relationship Id="rId33" Type="http://schemas.openxmlformats.org/officeDocument/2006/relationships/hyperlink" Target="https://docs.un.org/en/A/RES/79/1" TargetMode="External"/><Relationship Id="rId38" Type="http://schemas.openxmlformats.org/officeDocument/2006/relationships/hyperlink" Target="https://rm.coe.int/1680597b20" TargetMode="External"/><Relationship Id="rId46" Type="http://schemas.openxmlformats.org/officeDocument/2006/relationships/hyperlink" Target="https://www.worldvision.com.au/womens-empowerment" TargetMode="External"/><Relationship Id="rId20" Type="http://schemas.openxmlformats.org/officeDocument/2006/relationships/hyperlink" Target="https://www.algerie-disparus.org/app/uploads/2018/08/Alg%2525C3%2525A9rie-1er-rapport-alternatif-juillet-2017.pdf" TargetMode="External"/><Relationship Id="rId41" Type="http://schemas.openxmlformats.org/officeDocument/2006/relationships/hyperlink" Target="https://www.corteidh.or.cr/docs/casos/articulos/seriec_299_esp.pdf" TargetMode="External"/><Relationship Id="rId54" Type="http://schemas.openxmlformats.org/officeDocument/2006/relationships/hyperlink" Target="https://www.nrc.no/globalassets/pdf/guidelines/legal-protection-of-children/legal-guide-to-childs-rights-in-iraq-english.pdf" TargetMode="External"/><Relationship Id="rId1" Type="http://schemas.openxmlformats.org/officeDocument/2006/relationships/hyperlink" Target="https://www.es.amnesty.org/en-que-estamos/blog/historia/articulo/la-mujer-y-los-conflictos-armados/" TargetMode="External"/><Relationship Id="rId6" Type="http://schemas.openxmlformats.org/officeDocument/2006/relationships/hyperlink" Target="https://www.defensoria.gob.pe/defensoria-del-pueblo-de-enero-a-octubre-del-2024-se-han-reportado-5518-alertas-de-mujeres-reportadas-como-desaparecidas" TargetMode="External"/><Relationship Id="rId15" Type="http://schemas.openxmlformats.org/officeDocument/2006/relationships/hyperlink" Target="https://docstore.ohchr.org/SelfServices/FilesHandler.ashx?enc=c62mN9wd8hzagNLNDNDeMpwFNpMvUNfgK5NBIVvVnPh+y3l4GnqlcQGt53RjB+2dDT/bNl7CZqaQmkjeq51Hng==" TargetMode="External"/><Relationship Id="rId23" Type="http://schemas.openxmlformats.org/officeDocument/2006/relationships/hyperlink" Target="https://medios.mugak.eu/noticias/noticia/584289?criterio_id=28888" TargetMode="External"/><Relationship Id="rId28" Type="http://schemas.openxmlformats.org/officeDocument/2006/relationships/hyperlink" Target="https://docstore.ohchr.org/SelfServices/FilesHandler.ashx?enc=vnZ4exQFatXHT3nm/Hv1g+ei6cwci1p3q4iwH/ue7wkLEcw/5WfKjJxEL4NQ4vQVDJ2SYVzT9KW+zAV6pBHE3w==" TargetMode="External"/><Relationship Id="rId36" Type="http://schemas.openxmlformats.org/officeDocument/2006/relationships/hyperlink" Target="https://www.ictj.org/sites/default/files/ICTJ-Global-Desapariciones-Genero-2015-ES.pdf" TargetMode="External"/><Relationship Id="rId49" Type="http://schemas.openxmlformats.org/officeDocument/2006/relationships/hyperlink" Target="https://www.ippdh.mercosur.int/wp-content/uploads/2014/08/Sitios_de_memoria_FINAL_ES_INTERACTIV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efecc1b32cc2df9f5f553c6d7f998d7b">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7b837ef1564bfebd63cdf6dd7e6363d9"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2025-04-14T12:53:15+00:00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4737D2-2D1F-4A19-B85C-CFB9E4F5EB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328ca42-2125-412e-803c-da962a6c27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8FEA07-8C5D-4497-B873-4195035195DC}">
  <ds:schemaRefs>
    <ds:schemaRef ds:uri="http://schemas.microsoft.com/office/2006/metadata/properties"/>
    <ds:schemaRef ds:uri="http://schemas.microsoft.com/office/infopath/2007/PartnerControls"/>
    <ds:schemaRef ds:uri="985ec44e-1bab-4c0b-9df0-6ba128686fc9"/>
    <ds:schemaRef ds:uri="11a6fe0c-d8de-4390-afb3-d9c7c54181f0"/>
    <ds:schemaRef ds:uri="8328ca42-2125-412e-803c-da962a6c2716"/>
  </ds:schemaRefs>
</ds:datastoreItem>
</file>

<file path=customXml/itemProps3.xml><?xml version="1.0" encoding="utf-8"?>
<ds:datastoreItem xmlns:ds="http://schemas.openxmlformats.org/officeDocument/2006/customXml" ds:itemID="{62EAC688-786C-4B05-97E8-D9227E7C4DC4}">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11</TotalTime>
  <Pages>17</Pages>
  <Words>6189</Words>
  <Characters>35283</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41390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Perrine Deja</dc:creator>
  <cp:keywords>, docId:CD41088D3ED87FE17F244C4867D3278F</cp:keywords>
  <dc:description/>
  <cp:lastModifiedBy>Albane PROPHETTE-PALLASCO</cp:lastModifiedBy>
  <cp:revision>12</cp:revision>
  <cp:lastPrinted>2014-05-14T10:59:00Z</cp:lastPrinted>
  <dcterms:created xsi:type="dcterms:W3CDTF">2025-04-30T20:33:00Z</dcterms:created>
  <dcterms:modified xsi:type="dcterms:W3CDTF">2025-04-30T20:46:00Z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y fmtid="{D5CDD505-2E9C-101B-9397-08002B2CF9AE}" pid="3" name="MediaServiceImageTags">
    <vt:lpwstr/>
  </property>
</Properties>
</file>