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654587" w14:textId="77777777" w:rsidR="007C6AF1" w:rsidRPr="009B1BEC" w:rsidRDefault="007C6AF1" w:rsidP="00304B9D">
      <w:pPr>
        <w:pStyle w:val="BodyA"/>
        <w:spacing w:line="264" w:lineRule="auto"/>
        <w:jc w:val="center"/>
        <w:rPr>
          <w:rFonts w:ascii="MetaPro-Norm" w:eastAsia="MetaPro-Norm" w:hAnsi="MetaPro-Norm" w:cs="MetaPro-Norm"/>
          <w:sz w:val="22"/>
          <w:szCs w:val="22"/>
        </w:rPr>
      </w:pPr>
      <w:bookmarkStart w:id="0" w:name="_GoBack"/>
      <w:bookmarkEnd w:id="0"/>
      <w:r w:rsidRPr="009B1BEC">
        <w:rPr>
          <w:rFonts w:ascii="MetaPro-Norm" w:hAnsi="MetaPro-Norm"/>
          <w:noProof/>
          <w:sz w:val="22"/>
          <w:szCs w:val="22"/>
          <w:lang w:val="en-GB" w:eastAsia="en-GB"/>
        </w:rPr>
        <w:drawing>
          <wp:inline distT="0" distB="0" distL="0" distR="0" wp14:anchorId="505FD40B" wp14:editId="07568137">
            <wp:extent cx="1013460" cy="1013460"/>
            <wp:effectExtent l="0" t="0" r="0" b="0"/>
            <wp:docPr id="1073741825" name="officeArt object" descr="HRWLogo"/>
            <wp:cNvGraphicFramePr/>
            <a:graphic xmlns:a="http://schemas.openxmlformats.org/drawingml/2006/main">
              <a:graphicData uri="http://schemas.openxmlformats.org/drawingml/2006/picture">
                <pic:pic xmlns:pic="http://schemas.openxmlformats.org/drawingml/2006/picture">
                  <pic:nvPicPr>
                    <pic:cNvPr id="1073741825" name="HRWLogo" descr="HRWLogo"/>
                    <pic:cNvPicPr>
                      <a:picLocks noChangeAspect="1"/>
                    </pic:cNvPicPr>
                  </pic:nvPicPr>
                  <pic:blipFill>
                    <a:blip r:embed="rId8"/>
                    <a:stretch>
                      <a:fillRect/>
                    </a:stretch>
                  </pic:blipFill>
                  <pic:spPr>
                    <a:xfrm>
                      <a:off x="0" y="0"/>
                      <a:ext cx="1013460" cy="1013460"/>
                    </a:xfrm>
                    <a:prstGeom prst="rect">
                      <a:avLst/>
                    </a:prstGeom>
                    <a:ln w="12700" cap="flat">
                      <a:noFill/>
                      <a:miter lim="400000"/>
                    </a:ln>
                    <a:effectLst/>
                  </pic:spPr>
                </pic:pic>
              </a:graphicData>
            </a:graphic>
          </wp:inline>
        </w:drawing>
      </w:r>
    </w:p>
    <w:p w14:paraId="5B291938" w14:textId="77777777" w:rsidR="007C6AF1" w:rsidRPr="009B1BEC" w:rsidRDefault="007C6AF1" w:rsidP="00304B9D">
      <w:pPr>
        <w:pStyle w:val="BodyA"/>
        <w:spacing w:line="264" w:lineRule="auto"/>
        <w:jc w:val="center"/>
        <w:rPr>
          <w:rFonts w:ascii="MetaPro-Norm" w:eastAsia="MetaPro-Norm" w:hAnsi="MetaPro-Norm" w:cs="MetaPro-Norm"/>
          <w:sz w:val="22"/>
          <w:szCs w:val="22"/>
        </w:rPr>
      </w:pPr>
    </w:p>
    <w:p w14:paraId="757C073B" w14:textId="77777777" w:rsidR="00954916" w:rsidRDefault="007C6AF1" w:rsidP="00304B9D">
      <w:pPr>
        <w:pStyle w:val="NoSpacing"/>
        <w:spacing w:line="264" w:lineRule="auto"/>
        <w:jc w:val="center"/>
        <w:rPr>
          <w:rFonts w:ascii="MetaPro-Norm" w:eastAsia="MetaPro-Norm" w:hAnsi="MetaPro-Norm" w:cs="MetaPro-Norm"/>
          <w:b/>
          <w:bCs/>
        </w:rPr>
      </w:pPr>
      <w:r w:rsidRPr="009B1BEC">
        <w:rPr>
          <w:rFonts w:ascii="MetaPro-Norm" w:eastAsia="MetaPro-Norm" w:hAnsi="MetaPro-Norm" w:cs="MetaPro-Norm"/>
          <w:b/>
          <w:bCs/>
        </w:rPr>
        <w:t xml:space="preserve">Submission to the </w:t>
      </w:r>
      <w:bookmarkStart w:id="1" w:name="_Hlk534376786"/>
      <w:r w:rsidRPr="009B1BEC">
        <w:rPr>
          <w:rFonts w:ascii="MetaPro-Norm" w:eastAsia="MetaPro-Norm" w:hAnsi="MetaPro-Norm" w:cs="MetaPro-Norm"/>
          <w:b/>
          <w:bCs/>
        </w:rPr>
        <w:t xml:space="preserve">Committee </w:t>
      </w:r>
      <w:bookmarkEnd w:id="1"/>
      <w:r w:rsidRPr="009B1BEC">
        <w:rPr>
          <w:rFonts w:ascii="MetaPro-Norm" w:eastAsia="MetaPro-Norm" w:hAnsi="MetaPro-Norm" w:cs="MetaPro-Norm"/>
          <w:b/>
          <w:bCs/>
        </w:rPr>
        <w:t xml:space="preserve">on Economic, Social and Cultural Rights </w:t>
      </w:r>
    </w:p>
    <w:p w14:paraId="52B956A1" w14:textId="1BFDDFB6" w:rsidR="007C6AF1" w:rsidRPr="009B1BEC" w:rsidRDefault="007C6AF1" w:rsidP="00304B9D">
      <w:pPr>
        <w:pStyle w:val="NoSpacing"/>
        <w:spacing w:line="264" w:lineRule="auto"/>
        <w:jc w:val="center"/>
        <w:rPr>
          <w:rFonts w:ascii="MetaPro-Norm" w:eastAsia="MetaPro-Norm" w:hAnsi="MetaPro-Norm" w:cs="MetaPro-Norm"/>
          <w:b/>
          <w:bCs/>
        </w:rPr>
      </w:pPr>
      <w:r w:rsidRPr="009B1BEC">
        <w:rPr>
          <w:rFonts w:ascii="MetaPro-Norm" w:eastAsia="MetaPro-Norm" w:hAnsi="MetaPro-Norm" w:cs="MetaPro-Norm"/>
          <w:b/>
          <w:bCs/>
        </w:rPr>
        <w:t>Review of the Philippines</w:t>
      </w:r>
    </w:p>
    <w:p w14:paraId="2B3D3DCC" w14:textId="143C583F" w:rsidR="007C6AF1" w:rsidRPr="009B1BEC" w:rsidRDefault="007C6AF1" w:rsidP="00304B9D">
      <w:pPr>
        <w:pStyle w:val="NoSpacing"/>
        <w:spacing w:line="264" w:lineRule="auto"/>
        <w:jc w:val="center"/>
        <w:rPr>
          <w:rFonts w:ascii="MetaPro-Norm" w:eastAsia="MetaPro-Norm" w:hAnsi="MetaPro-Norm" w:cs="MetaPro-Norm"/>
          <w:b/>
          <w:bCs/>
        </w:rPr>
      </w:pPr>
      <w:r w:rsidRPr="009B1BEC">
        <w:rPr>
          <w:rFonts w:ascii="MetaPro-Norm" w:eastAsia="MetaPro-Norm" w:hAnsi="MetaPro-Norm" w:cs="MetaPro-Norm"/>
          <w:b/>
          <w:bCs/>
        </w:rPr>
        <w:t>7</w:t>
      </w:r>
      <w:r w:rsidR="004A4400">
        <w:rPr>
          <w:rFonts w:ascii="MetaPro-Norm" w:eastAsia="MetaPro-Norm" w:hAnsi="MetaPro-Norm" w:cs="MetaPro-Norm"/>
          <w:b/>
          <w:bCs/>
        </w:rPr>
        <w:t>1st</w:t>
      </w:r>
      <w:r w:rsidRPr="009B1BEC">
        <w:rPr>
          <w:rFonts w:ascii="MetaPro-Norm" w:eastAsia="MetaPro-Norm" w:hAnsi="MetaPro-Norm" w:cs="MetaPro-Norm"/>
          <w:b/>
          <w:bCs/>
        </w:rPr>
        <w:t xml:space="preserve"> Pre-Session</w:t>
      </w:r>
    </w:p>
    <w:p w14:paraId="6954B34D" w14:textId="2988DF0C" w:rsidR="00681AFA" w:rsidRPr="009B1BEC" w:rsidRDefault="007C6AF1" w:rsidP="00304B9D">
      <w:pPr>
        <w:pStyle w:val="NoSpacing"/>
        <w:spacing w:line="264" w:lineRule="auto"/>
        <w:jc w:val="center"/>
        <w:rPr>
          <w:rFonts w:ascii="MetaPro-Norm" w:eastAsia="MetaPro-Norm" w:hAnsi="MetaPro-Norm" w:cs="MetaPro-Norm"/>
          <w:b/>
          <w:bCs/>
        </w:rPr>
      </w:pPr>
      <w:r w:rsidRPr="009B1BEC">
        <w:rPr>
          <w:rFonts w:ascii="MetaPro-Norm" w:eastAsia="MetaPro-Norm" w:hAnsi="MetaPro-Norm" w:cs="MetaPro-Norm"/>
          <w:b/>
          <w:bCs/>
          <w:i/>
          <w:iCs/>
        </w:rPr>
        <w:t>August 2022</w:t>
      </w:r>
      <w:r w:rsidRPr="009B1BEC">
        <w:rPr>
          <w:rFonts w:ascii="MetaPro-Norm" w:eastAsia="MetaPro-Norm" w:hAnsi="MetaPro-Norm" w:cs="MetaPro-Norm"/>
          <w:i/>
          <w:iCs/>
        </w:rPr>
        <w:br/>
      </w:r>
    </w:p>
    <w:p w14:paraId="52568877" w14:textId="38577EBA" w:rsidR="00681AFA" w:rsidRPr="009B1BEC" w:rsidRDefault="00681AFA" w:rsidP="00304B9D">
      <w:pPr>
        <w:pStyle w:val="BodyA"/>
        <w:spacing w:line="264" w:lineRule="auto"/>
        <w:rPr>
          <w:rFonts w:ascii="MetaPro-Norm" w:eastAsia="MetaPro-Norm" w:hAnsi="MetaPro-Norm" w:cs="MetaPro-Norm"/>
          <w:sz w:val="22"/>
          <w:szCs w:val="22"/>
        </w:rPr>
      </w:pPr>
      <w:r w:rsidRPr="00681AFA">
        <w:rPr>
          <w:rFonts w:ascii="MetaPro-Norm" w:eastAsia="MetaPro-Norm" w:hAnsi="MetaPro-Norm" w:cs="MetaPro-Norm"/>
          <w:sz w:val="22"/>
          <w:szCs w:val="22"/>
        </w:rPr>
        <w:t>Human Rights Watch welcomes the opportunity to provide input to the Committee on Economic, Social and Cultural Rights (the “Committee”) ahead of its consideration of a List of Issues for the upcoming review of the Philippines. This submission highlights areas of concern that Human Rights Watch hopes will inform the Committee’s consideration of the Philippine government’s compliance with its obligations under the International Covenant on Economic, Social and Cultural Rights (ICESCR). It proposes issues and questions that Committee members may wish to raise with the government of the Philippines.</w:t>
      </w:r>
      <w:r w:rsidRPr="009B1BEC">
        <w:rPr>
          <w:rFonts w:ascii="MetaPro-Norm" w:eastAsia="MetaPro-Norm" w:hAnsi="MetaPro-Norm" w:cs="MetaPro-Norm"/>
          <w:sz w:val="22"/>
          <w:szCs w:val="22"/>
        </w:rPr>
        <w:t xml:space="preserve"> This submission includes information on </w:t>
      </w:r>
      <w:r w:rsidR="007D34F8">
        <w:rPr>
          <w:rFonts w:ascii="MetaPro-Norm" w:eastAsia="MetaPro-Norm" w:hAnsi="MetaPro-Norm" w:cs="MetaPro-Norm"/>
          <w:sz w:val="22"/>
          <w:szCs w:val="22"/>
        </w:rPr>
        <w:t xml:space="preserve">the shackling of people with psychosocial disabilities and </w:t>
      </w:r>
      <w:r w:rsidRPr="009B1BEC">
        <w:rPr>
          <w:rFonts w:ascii="MetaPro-Norm" w:eastAsia="MetaPro-Norm" w:hAnsi="MetaPro-Norm" w:cs="MetaPro-Norm"/>
          <w:sz w:val="22"/>
          <w:szCs w:val="22"/>
        </w:rPr>
        <w:t>protection of education from attack during armed conflict.</w:t>
      </w:r>
    </w:p>
    <w:p w14:paraId="26EC5C1B" w14:textId="018E9FDA" w:rsidR="0008715D" w:rsidRPr="009B1BEC" w:rsidRDefault="0008715D" w:rsidP="00304B9D">
      <w:pPr>
        <w:pStyle w:val="BodyA"/>
        <w:spacing w:line="264" w:lineRule="auto"/>
        <w:rPr>
          <w:rFonts w:ascii="MetaPro-Norm" w:eastAsia="MetaPro-Norm" w:hAnsi="MetaPro-Norm" w:cs="MetaPro-Norm"/>
          <w:sz w:val="22"/>
          <w:szCs w:val="22"/>
        </w:rPr>
      </w:pPr>
    </w:p>
    <w:p w14:paraId="5DDC3F2C" w14:textId="77777777" w:rsidR="00E36FE2" w:rsidRPr="009B1BEC" w:rsidRDefault="00E36FE2" w:rsidP="00224E62">
      <w:pPr>
        <w:spacing w:after="0" w:line="264" w:lineRule="auto"/>
        <w:rPr>
          <w:rFonts w:ascii="MetaPro-Norm" w:hAnsi="MetaPro-Norm"/>
          <w:b/>
          <w:bCs/>
        </w:rPr>
      </w:pPr>
      <w:r w:rsidRPr="009B1BEC">
        <w:rPr>
          <w:rFonts w:ascii="MetaPro-Norm" w:hAnsi="MetaPro-Norm"/>
          <w:b/>
          <w:bCs/>
        </w:rPr>
        <w:t xml:space="preserve">Shackling of People with Psychosocial Disabilities (articles 11 and 12) </w:t>
      </w:r>
    </w:p>
    <w:p w14:paraId="657055CC" w14:textId="43A2BCCB" w:rsidR="00E36FE2" w:rsidRPr="009B1BEC" w:rsidRDefault="00E36FE2" w:rsidP="00224E62">
      <w:pPr>
        <w:spacing w:after="0" w:line="264" w:lineRule="auto"/>
        <w:rPr>
          <w:rFonts w:ascii="MetaPro-Norm" w:hAnsi="MetaPro-Norm"/>
        </w:rPr>
      </w:pPr>
      <w:r w:rsidRPr="009B1BEC">
        <w:rPr>
          <w:rFonts w:ascii="MetaPro-Norm" w:hAnsi="MetaPro-Norm"/>
        </w:rPr>
        <w:t>In October 2020</w:t>
      </w:r>
      <w:r w:rsidR="009B1BEC">
        <w:rPr>
          <w:rFonts w:ascii="MetaPro-Norm" w:hAnsi="MetaPro-Norm"/>
        </w:rPr>
        <w:t xml:space="preserve"> </w:t>
      </w:r>
      <w:r w:rsidRPr="009B1BEC">
        <w:rPr>
          <w:rFonts w:ascii="MetaPro-Norm" w:hAnsi="MetaPro-Norm"/>
        </w:rPr>
        <w:t xml:space="preserve">Human Rights published a report, </w:t>
      </w:r>
      <w:r w:rsidRPr="00784FCF">
        <w:rPr>
          <w:rFonts w:ascii="MetaPro-Norm" w:eastAsia="Calibri" w:hAnsi="MetaPro-Norm" w:cs="Calibri"/>
          <w:i/>
          <w:iCs/>
        </w:rPr>
        <w:t>Living in Chains: Shackling of People with Psychosocial Disabilities Worldwide</w:t>
      </w:r>
      <w:r w:rsidRPr="009B1BEC">
        <w:rPr>
          <w:rFonts w:ascii="MetaPro-Norm" w:eastAsia="Calibri" w:hAnsi="MetaPro-Norm" w:cs="Calibri"/>
          <w:color w:val="000000"/>
        </w:rPr>
        <w:t>,</w:t>
      </w:r>
      <w:r w:rsidRPr="009B1BEC">
        <w:rPr>
          <w:rFonts w:ascii="MetaPro-Norm" w:hAnsi="MetaPro-Norm"/>
        </w:rPr>
        <w:t xml:space="preserve"> documenting the practice of shackling of people with psychosocial disabilities (mental health conditions) in 60 countries around the world, including in the Philippines.</w:t>
      </w:r>
      <w:r w:rsidR="00784FCF" w:rsidRPr="00DB3F71">
        <w:rPr>
          <w:rStyle w:val="FootnoteReference"/>
          <w:rFonts w:ascii="MetaPro-Medi" w:hAnsi="MetaPro-Medi"/>
        </w:rPr>
        <w:footnoteReference w:id="1"/>
      </w:r>
      <w:r w:rsidRPr="009B1BEC">
        <w:rPr>
          <w:rFonts w:ascii="MetaPro-Norm" w:hAnsi="MetaPro-Norm"/>
        </w:rPr>
        <w:t xml:space="preserve"> The report found that globally</w:t>
      </w:r>
      <w:r w:rsidR="00954916">
        <w:rPr>
          <w:rFonts w:ascii="MetaPro-Norm" w:hAnsi="MetaPro-Norm"/>
        </w:rPr>
        <w:t>,</w:t>
      </w:r>
      <w:r w:rsidRPr="009B1BEC">
        <w:rPr>
          <w:rFonts w:ascii="MetaPro-Norm" w:hAnsi="MetaPro-Norm"/>
        </w:rPr>
        <w:t xml:space="preserve"> hundreds of thousands of men, women, and children—some as young as 10—with psychosocial disabilities have been shackled—chained or locked in confined spaces—at least once in their lives.</w:t>
      </w:r>
      <w:r w:rsidRPr="00DB3F71">
        <w:rPr>
          <w:rStyle w:val="FootnoteReference"/>
          <w:rFonts w:ascii="MetaPro-Medi" w:hAnsi="MetaPro-Medi"/>
        </w:rPr>
        <w:footnoteReference w:id="2"/>
      </w:r>
      <w:r w:rsidRPr="009B1BEC">
        <w:rPr>
          <w:rFonts w:ascii="MetaPro-Norm" w:hAnsi="MetaPro-Norm"/>
        </w:rPr>
        <w:t xml:space="preserve"> Many are held in overcrowded, filthy rooms, sheds, cages, or animal shelters and are forced to eat, sleep, urinate, and defecate in the same tiny area. The inhumane practice of shackling exists due to inadequate support and mental health services as well as widespread beliefs that stigmatize people with psychosocial disabilities. Shackling often occurs in homes because there are no services available in the community and families who struggle to cope with the demands of caring for a relative with a psychosocial disability may feel they have no choice but to shackle them. The time periods range from days and weeks, to months, and even years.</w:t>
      </w:r>
    </w:p>
    <w:p w14:paraId="0E47338D" w14:textId="77777777" w:rsidR="00304B9D" w:rsidRDefault="00304B9D" w:rsidP="00304B9D">
      <w:pPr>
        <w:spacing w:after="0" w:line="264" w:lineRule="auto"/>
        <w:rPr>
          <w:rFonts w:ascii="MetaPro-Norm" w:hAnsi="MetaPro-Norm"/>
        </w:rPr>
      </w:pPr>
    </w:p>
    <w:p w14:paraId="219852A5" w14:textId="2481452A" w:rsidR="00E36FE2" w:rsidRPr="009B1BEC" w:rsidRDefault="00E36FE2" w:rsidP="00304B9D">
      <w:pPr>
        <w:spacing w:after="0" w:line="264" w:lineRule="auto"/>
        <w:rPr>
          <w:rFonts w:ascii="MetaPro-Norm" w:hAnsi="MetaPro-Norm"/>
        </w:rPr>
      </w:pPr>
      <w:r w:rsidRPr="009B1BEC">
        <w:rPr>
          <w:rFonts w:ascii="MetaPro-Norm" w:hAnsi="MetaPro-Norm"/>
        </w:rPr>
        <w:t>The nature of shackling means that people live in very restrictive conditions that reduce their ability to stand or move at all.</w:t>
      </w:r>
      <w:r w:rsidRPr="00DB3F71">
        <w:rPr>
          <w:rStyle w:val="FootnoteReference"/>
          <w:rFonts w:ascii="MetaPro-Medi" w:hAnsi="MetaPro-Medi"/>
        </w:rPr>
        <w:footnoteReference w:id="3"/>
      </w:r>
      <w:r w:rsidRPr="009B1BEC">
        <w:rPr>
          <w:rFonts w:ascii="MetaPro-Norm" w:hAnsi="MetaPro-Norm"/>
        </w:rPr>
        <w:t xml:space="preserve"> People who are shackled to one another are often forced to go to the toilet and sleep together. Shackling impacts a person’s mental as well as physical health. A shackled person can be affected by post-traumatic stress, malnutrition, infections, nerve damage, muscular atrophy, and cardio-vascular problems.</w:t>
      </w:r>
    </w:p>
    <w:p w14:paraId="5FBF4745" w14:textId="77777777" w:rsidR="00304B9D" w:rsidRDefault="00304B9D" w:rsidP="00304B9D">
      <w:pPr>
        <w:spacing w:after="0" w:line="264" w:lineRule="auto"/>
        <w:rPr>
          <w:rFonts w:ascii="MetaPro-Norm" w:hAnsi="MetaPro-Norm"/>
        </w:rPr>
      </w:pPr>
    </w:p>
    <w:p w14:paraId="6BA74E1E" w14:textId="3EE7DABC" w:rsidR="00E36FE2" w:rsidRPr="009B1BEC" w:rsidRDefault="00E36FE2" w:rsidP="00304B9D">
      <w:pPr>
        <w:spacing w:after="0" w:line="264" w:lineRule="auto"/>
        <w:rPr>
          <w:rFonts w:ascii="MetaPro-Norm" w:hAnsi="MetaPro-Norm"/>
        </w:rPr>
      </w:pPr>
      <w:r w:rsidRPr="009B1BEC">
        <w:rPr>
          <w:rFonts w:ascii="MetaPro-Norm" w:hAnsi="MetaPro-Norm"/>
        </w:rPr>
        <w:t xml:space="preserve">The </w:t>
      </w:r>
      <w:r w:rsidR="00011D04">
        <w:rPr>
          <w:rFonts w:ascii="MetaPro-Norm" w:hAnsi="MetaPro-Norm"/>
        </w:rPr>
        <w:t xml:space="preserve">former </w:t>
      </w:r>
      <w:r w:rsidRPr="009B1BEC">
        <w:rPr>
          <w:rFonts w:ascii="MetaPro-Norm" w:hAnsi="MetaPro-Norm"/>
        </w:rPr>
        <w:t>UN Special Rapporteur on torture</w:t>
      </w:r>
      <w:r w:rsidRPr="009B1BEC">
        <w:rPr>
          <w:rStyle w:val="normaltextrun"/>
          <w:rFonts w:ascii="MetaPro-Norm" w:hAnsi="MetaPro-Norm"/>
        </w:rPr>
        <w:t xml:space="preserve">, Juan E. Méndez, </w:t>
      </w:r>
      <w:r w:rsidRPr="009B1BEC">
        <w:rPr>
          <w:rFonts w:ascii="MetaPro-Norm" w:hAnsi="MetaPro-Norm"/>
        </w:rPr>
        <w:t>has explicitly noted that shackling “unequivocally amount[s] to torture even if committed by non-State actors under conditions in which the State knows or ought to know about them.”</w:t>
      </w:r>
      <w:r w:rsidRPr="00DB3F71">
        <w:rPr>
          <w:rStyle w:val="FootnoteReference"/>
          <w:rFonts w:ascii="MetaPro-Medi" w:hAnsi="MetaPro-Medi"/>
        </w:rPr>
        <w:footnoteReference w:id="4"/>
      </w:r>
    </w:p>
    <w:p w14:paraId="7D6C4D8B" w14:textId="77777777" w:rsidR="00304B9D" w:rsidRDefault="00304B9D" w:rsidP="00304B9D">
      <w:pPr>
        <w:spacing w:after="0" w:line="264" w:lineRule="auto"/>
        <w:rPr>
          <w:rFonts w:ascii="MetaPro-Norm" w:hAnsi="MetaPro-Norm"/>
        </w:rPr>
      </w:pPr>
    </w:p>
    <w:p w14:paraId="0C6CCE5C" w14:textId="4CAF5568" w:rsidR="00E36FE2" w:rsidRPr="009B1BEC" w:rsidRDefault="00E36FE2" w:rsidP="00304B9D">
      <w:pPr>
        <w:spacing w:after="0" w:line="264" w:lineRule="auto"/>
        <w:rPr>
          <w:rFonts w:ascii="MetaPro-Norm" w:hAnsi="MetaPro-Norm"/>
        </w:rPr>
      </w:pPr>
      <w:r w:rsidRPr="009B1BEC">
        <w:rPr>
          <w:rFonts w:ascii="MetaPro-Norm" w:hAnsi="MetaPro-Norm"/>
        </w:rPr>
        <w:t xml:space="preserve">Human Rights Watch has learned from nongovernment organizations that, particularly in remote provinces in the </w:t>
      </w:r>
      <w:r w:rsidR="00011D04">
        <w:rPr>
          <w:rFonts w:ascii="MetaPro-Norm" w:hAnsi="MetaPro-Norm"/>
        </w:rPr>
        <w:t>Philippines</w:t>
      </w:r>
      <w:r w:rsidRPr="009B1BEC">
        <w:rPr>
          <w:rFonts w:ascii="MetaPro-Norm" w:hAnsi="MetaPro-Norm"/>
        </w:rPr>
        <w:t>, the shackling or arbitrary detention of people with psychosocial disabilities is not uncommon, mainly because of poverty and lack of access to services.</w:t>
      </w:r>
    </w:p>
    <w:p w14:paraId="39C16E40" w14:textId="77777777" w:rsidR="00304B9D" w:rsidRDefault="00304B9D" w:rsidP="00304B9D">
      <w:pPr>
        <w:spacing w:after="0" w:line="264" w:lineRule="auto"/>
        <w:rPr>
          <w:rFonts w:ascii="MetaPro-Norm" w:hAnsi="MetaPro-Norm"/>
        </w:rPr>
      </w:pPr>
    </w:p>
    <w:p w14:paraId="453563D5" w14:textId="5C917326" w:rsidR="00E36FE2" w:rsidRDefault="00E36FE2" w:rsidP="00304B9D">
      <w:pPr>
        <w:spacing w:after="0" w:line="264" w:lineRule="auto"/>
        <w:rPr>
          <w:rFonts w:ascii="MetaPro-Norm" w:hAnsi="MetaPro-Norm"/>
        </w:rPr>
      </w:pPr>
      <w:r w:rsidRPr="009B1BEC">
        <w:rPr>
          <w:rFonts w:ascii="MetaPro-Norm" w:hAnsi="MetaPro-Norm"/>
        </w:rPr>
        <w:t>Media in the Philippines have reported several cases of shackling over the years, depicting people with psychosocial disabilities in severe or dire conditions. In one case in 2021, in General Santos City, in the southern Philippines, twin boys, 15, were shown naked while crawling through mud and in chains.</w:t>
      </w:r>
      <w:r w:rsidRPr="00DB3F71">
        <w:rPr>
          <w:rStyle w:val="FootnoteReference"/>
          <w:rFonts w:ascii="MetaPro-Medi" w:hAnsi="MetaPro-Medi"/>
        </w:rPr>
        <w:footnoteReference w:id="5"/>
      </w:r>
      <w:r w:rsidRPr="009B1BEC">
        <w:rPr>
          <w:rFonts w:ascii="MetaPro-Norm" w:hAnsi="MetaPro-Norm"/>
        </w:rPr>
        <w:t xml:space="preserve"> In another </w:t>
      </w:r>
      <w:r w:rsidR="00011D04">
        <w:rPr>
          <w:rFonts w:ascii="MetaPro-Norm" w:hAnsi="MetaPro-Norm"/>
        </w:rPr>
        <w:t xml:space="preserve">2021 </w:t>
      </w:r>
      <w:r w:rsidRPr="009B1BEC">
        <w:rPr>
          <w:rFonts w:ascii="MetaPro-Norm" w:hAnsi="MetaPro-Norm"/>
        </w:rPr>
        <w:t>case, in Minglanila town, in the central Philippine province of Cebu, an 11-year-old girl was shown in a video chained to her bed. The report said she has been chained for the last eight years.</w:t>
      </w:r>
      <w:r w:rsidRPr="00DB3F71">
        <w:rPr>
          <w:rStyle w:val="FootnoteReference"/>
          <w:rFonts w:ascii="MetaPro-Medi" w:hAnsi="MetaPro-Medi"/>
        </w:rPr>
        <w:footnoteReference w:id="6"/>
      </w:r>
    </w:p>
    <w:p w14:paraId="52FB6B38" w14:textId="77777777" w:rsidR="00304B9D" w:rsidRPr="009B1BEC" w:rsidRDefault="00304B9D" w:rsidP="00304B9D">
      <w:pPr>
        <w:spacing w:after="0" w:line="264" w:lineRule="auto"/>
        <w:rPr>
          <w:rFonts w:ascii="MetaPro-Norm" w:hAnsi="MetaPro-Norm"/>
        </w:rPr>
      </w:pPr>
    </w:p>
    <w:p w14:paraId="2C43B600" w14:textId="77777777" w:rsidR="00E36FE2" w:rsidRPr="009B1BEC" w:rsidRDefault="00E36FE2" w:rsidP="00304B9D">
      <w:pPr>
        <w:spacing w:after="0" w:line="264" w:lineRule="auto"/>
        <w:rPr>
          <w:rFonts w:ascii="MetaPro-Norm" w:hAnsi="MetaPro-Norm"/>
          <w:i/>
          <w:iCs/>
        </w:rPr>
      </w:pPr>
      <w:r w:rsidRPr="009B1BEC">
        <w:rPr>
          <w:rFonts w:ascii="MetaPro-Norm" w:hAnsi="MetaPro-Norm"/>
          <w:i/>
          <w:iCs/>
        </w:rPr>
        <w:t>Human Rights Watch encourages the Committee to ask the Philippine government:</w:t>
      </w:r>
    </w:p>
    <w:p w14:paraId="3CA9ECC0" w14:textId="77777777" w:rsidR="00E36FE2" w:rsidRPr="009B1BEC" w:rsidRDefault="00E36FE2" w:rsidP="00304B9D">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0" w:line="264" w:lineRule="auto"/>
        <w:contextualSpacing/>
        <w:rPr>
          <w:rFonts w:ascii="MetaPro-Norm" w:hAnsi="MetaPro-Norm"/>
        </w:rPr>
      </w:pPr>
      <w:r w:rsidRPr="009B1BEC">
        <w:rPr>
          <w:rFonts w:ascii="MetaPro-Norm" w:hAnsi="MetaPro-Norm"/>
        </w:rPr>
        <w:t>Is there official data on the number of people who are currently shackled or have been subjected to shackling in the Philippines?</w:t>
      </w:r>
    </w:p>
    <w:p w14:paraId="5DEC57EB" w14:textId="77777777" w:rsidR="00E36FE2" w:rsidRPr="009B1BEC" w:rsidRDefault="00E36FE2" w:rsidP="00304B9D">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0" w:line="264" w:lineRule="auto"/>
        <w:contextualSpacing/>
        <w:rPr>
          <w:rFonts w:ascii="MetaPro-Norm" w:hAnsi="MetaPro-Norm"/>
        </w:rPr>
      </w:pPr>
      <w:r w:rsidRPr="009B1BEC">
        <w:rPr>
          <w:rFonts w:ascii="MetaPro-Norm" w:hAnsi="MetaPro-Norm"/>
        </w:rPr>
        <w:t>What steps has the government taken to eliminate the practice of shackling of people with psychosocial disabilities?</w:t>
      </w:r>
    </w:p>
    <w:p w14:paraId="4EF5A7DD" w14:textId="77777777" w:rsidR="00E36FE2" w:rsidRPr="009B1BEC" w:rsidRDefault="00E36FE2" w:rsidP="00304B9D">
      <w:pPr>
        <w:pStyle w:val="ListParagraph"/>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after="0" w:line="264" w:lineRule="auto"/>
        <w:contextualSpacing/>
        <w:rPr>
          <w:rFonts w:ascii="MetaPro-Norm" w:hAnsi="MetaPro-Norm"/>
        </w:rPr>
      </w:pPr>
      <w:r w:rsidRPr="009B1BEC">
        <w:rPr>
          <w:rFonts w:ascii="MetaPro-Norm" w:hAnsi="MetaPro-Norm"/>
        </w:rPr>
        <w:t>What steps has the government taken to develop adequate, quality, and voluntary community-based support and mental health services?</w:t>
      </w:r>
    </w:p>
    <w:p w14:paraId="7F42FC9D" w14:textId="77777777" w:rsidR="00304B9D" w:rsidRDefault="00304B9D" w:rsidP="00283CE9">
      <w:pPr>
        <w:spacing w:after="0" w:line="264" w:lineRule="auto"/>
        <w:rPr>
          <w:rFonts w:ascii="MetaPro-Norm" w:hAnsi="MetaPro-Norm"/>
          <w:i/>
          <w:iCs/>
        </w:rPr>
      </w:pPr>
      <w:bookmarkStart w:id="2" w:name="_Hlk108525963"/>
    </w:p>
    <w:p w14:paraId="4135ACCA" w14:textId="720D31F8" w:rsidR="00E36FE2" w:rsidRPr="009B1BEC" w:rsidRDefault="00E36FE2" w:rsidP="00283CE9">
      <w:pPr>
        <w:spacing w:after="0" w:line="264" w:lineRule="auto"/>
        <w:rPr>
          <w:rFonts w:ascii="MetaPro-Norm" w:hAnsi="MetaPro-Norm"/>
          <w:i/>
          <w:iCs/>
        </w:rPr>
      </w:pPr>
      <w:r w:rsidRPr="009B1BEC">
        <w:rPr>
          <w:rFonts w:ascii="MetaPro-Norm" w:hAnsi="MetaPro-Norm"/>
          <w:i/>
          <w:iCs/>
        </w:rPr>
        <w:t>Human Rights Watch asks the Committee to consider including the following recommendations in its concluding observations on the Philippines:</w:t>
      </w:r>
    </w:p>
    <w:bookmarkEnd w:id="2"/>
    <w:p w14:paraId="4332A39D" w14:textId="77777777" w:rsidR="00E36FE2" w:rsidRPr="009B1BEC" w:rsidRDefault="00E36FE2" w:rsidP="00304B9D">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after="0" w:line="264" w:lineRule="auto"/>
        <w:contextualSpacing/>
        <w:rPr>
          <w:rFonts w:ascii="MetaPro-Norm" w:hAnsi="MetaPro-Norm"/>
        </w:rPr>
      </w:pPr>
      <w:r w:rsidRPr="009B1BEC">
        <w:rPr>
          <w:rFonts w:ascii="MetaPro-Norm" w:hAnsi="MetaPro-Norm"/>
        </w:rPr>
        <w:t xml:space="preserve">Ban shackling in law and in practice. </w:t>
      </w:r>
    </w:p>
    <w:p w14:paraId="08BB9CE6" w14:textId="3FB202E4" w:rsidR="00E36FE2" w:rsidRPr="009B1BEC" w:rsidRDefault="00E36FE2" w:rsidP="00304B9D">
      <w:pPr>
        <w:pStyle w:val="ListParagraph"/>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spacing w:after="0" w:line="264" w:lineRule="auto"/>
        <w:contextualSpacing/>
        <w:rPr>
          <w:rFonts w:ascii="MetaPro-Norm" w:hAnsi="MetaPro-Norm"/>
        </w:rPr>
      </w:pPr>
      <w:r w:rsidRPr="009B1BEC">
        <w:rPr>
          <w:rFonts w:ascii="MetaPro-Norm" w:hAnsi="MetaPro-Norm"/>
        </w:rPr>
        <w:t>Develop a time-bound plan to shift progressively to voluntary community-based mental health support, and independent living services.</w:t>
      </w:r>
    </w:p>
    <w:p w14:paraId="207ED562" w14:textId="77777777" w:rsidR="00E36FE2" w:rsidRPr="009B1BEC" w:rsidRDefault="00E36FE2" w:rsidP="00304B9D">
      <w:pPr>
        <w:pStyle w:val="ListParagraph"/>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after="0" w:line="264" w:lineRule="auto"/>
        <w:contextualSpacing/>
        <w:rPr>
          <w:rFonts w:ascii="MetaPro-Norm" w:hAnsi="MetaPro-Norm"/>
        </w:rPr>
      </w:pPr>
      <w:r w:rsidRPr="009B1BEC">
        <w:rPr>
          <w:rFonts w:ascii="MetaPro-Norm" w:hAnsi="MetaPro-Norm"/>
        </w:rPr>
        <w:t>Comprehensively investigate state and private institutions in which people with mental health conditions live, with the goal of stopping chaining and ending other abuses.</w:t>
      </w:r>
    </w:p>
    <w:p w14:paraId="3CCCE26C" w14:textId="6307ACAB" w:rsidR="00E36FE2" w:rsidRPr="009B1BEC" w:rsidRDefault="00E36FE2" w:rsidP="00304B9D">
      <w:pPr>
        <w:pStyle w:val="ListParagraph"/>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after="0" w:line="264" w:lineRule="auto"/>
        <w:contextualSpacing/>
        <w:rPr>
          <w:rFonts w:ascii="MetaPro-Norm" w:hAnsi="MetaPro-Norm"/>
        </w:rPr>
      </w:pPr>
      <w:r w:rsidRPr="009B1BEC">
        <w:rPr>
          <w:rFonts w:ascii="MetaPro-Norm" w:hAnsi="MetaPro-Norm"/>
        </w:rPr>
        <w:t>Create and carry out a deinstitutionalization policy and a time-bound action plan, based on the values of equality, independence, and inclusion for people with disabilities.</w:t>
      </w:r>
      <w:r w:rsidR="00283CE9">
        <w:rPr>
          <w:rFonts w:ascii="MetaPro-Norm" w:hAnsi="MetaPro-Norm"/>
        </w:rPr>
        <w:t xml:space="preserve"> </w:t>
      </w:r>
      <w:r w:rsidRPr="009B1BEC">
        <w:rPr>
          <w:rFonts w:ascii="MetaPro-Norm" w:hAnsi="MetaPro-Norm"/>
        </w:rPr>
        <w:t>Preventing institutionalization should be an important part of this plan. The government should include people with disabilities and their representative organizations in developing and carrying out the plan.</w:t>
      </w:r>
    </w:p>
    <w:p w14:paraId="1B173090" w14:textId="77777777" w:rsidR="00E36FE2" w:rsidRPr="009B1BEC" w:rsidRDefault="00E36FE2" w:rsidP="00304B9D">
      <w:pPr>
        <w:pStyle w:val="ListParagraph"/>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after="0" w:line="264" w:lineRule="auto"/>
        <w:contextualSpacing/>
        <w:rPr>
          <w:rFonts w:ascii="MetaPro-Norm" w:hAnsi="MetaPro-Norm"/>
        </w:rPr>
      </w:pPr>
      <w:r w:rsidRPr="009B1BEC">
        <w:rPr>
          <w:rFonts w:ascii="MetaPro-Norm" w:hAnsi="MetaPro-Norm"/>
        </w:rPr>
        <w:t xml:space="preserve">Conduct public information campaigns to raise awareness about psychosocial disabilities and the rights of people with disabilities, especially among alternative mental </w:t>
      </w:r>
      <w:r w:rsidRPr="009B1BEC">
        <w:rPr>
          <w:rFonts w:ascii="MetaPro-Norm" w:hAnsi="MetaPro-Norm"/>
        </w:rPr>
        <w:lastRenderedPageBreak/>
        <w:t>health service providers and the broader community, in partnership with people with lived experiences of psychosocial disability.</w:t>
      </w:r>
    </w:p>
    <w:p w14:paraId="57972E68" w14:textId="77777777" w:rsidR="00E36FE2" w:rsidRPr="009B1BEC" w:rsidRDefault="00E36FE2" w:rsidP="00304B9D">
      <w:pPr>
        <w:pStyle w:val="BodyA"/>
        <w:spacing w:line="264" w:lineRule="auto"/>
        <w:rPr>
          <w:rFonts w:ascii="MetaPro-Norm" w:eastAsia="MetaPro-Norm" w:hAnsi="MetaPro-Norm" w:cs="MetaPro-Norm"/>
          <w:sz w:val="22"/>
          <w:szCs w:val="22"/>
        </w:rPr>
      </w:pPr>
    </w:p>
    <w:p w14:paraId="56E6E919" w14:textId="77777777" w:rsidR="006C1823" w:rsidRPr="009B1BEC" w:rsidRDefault="006C1823" w:rsidP="00304B9D">
      <w:pPr>
        <w:spacing w:after="0" w:line="264" w:lineRule="auto"/>
        <w:rPr>
          <w:rFonts w:ascii="MetaPro-Norm" w:hAnsi="MetaPro-Norm"/>
          <w:color w:val="000000" w:themeColor="text1"/>
        </w:rPr>
      </w:pPr>
      <w:r w:rsidRPr="009B1BEC">
        <w:rPr>
          <w:rFonts w:ascii="MetaPro-Norm" w:eastAsia="Calibri" w:hAnsi="MetaPro-Norm" w:cs="Calibri"/>
          <w:b/>
          <w:bCs/>
          <w:color w:val="000000" w:themeColor="text1"/>
        </w:rPr>
        <w:t>Protection of Education from Attack (article 13)</w:t>
      </w:r>
    </w:p>
    <w:p w14:paraId="22042A4E" w14:textId="6DF5CCD1" w:rsidR="0008715D" w:rsidRPr="009B1BEC" w:rsidRDefault="00637BC0" w:rsidP="00304B9D">
      <w:pPr>
        <w:spacing w:after="0" w:line="264" w:lineRule="auto"/>
        <w:rPr>
          <w:rFonts w:ascii="MetaPro-Norm" w:eastAsia="Calibri" w:hAnsi="MetaPro-Norm" w:cs="Calibri"/>
          <w:color w:val="000000" w:themeColor="text1"/>
        </w:rPr>
      </w:pPr>
      <w:r w:rsidRPr="009B1BEC">
        <w:rPr>
          <w:rFonts w:ascii="MetaPro-Norm" w:eastAsia="Calibri" w:hAnsi="MetaPro-Norm" w:cs="Calibri"/>
          <w:color w:val="000000" w:themeColor="text1"/>
        </w:rPr>
        <w:t xml:space="preserve">Armed hostilities continued in the Philippines in 2020 and 2021 in Mindanao and the Bangsamoro Autonomous Region in Muslim Mindanao, in the south, and in Negros and the Central Visayas region, in the center of the country. </w:t>
      </w:r>
      <w:r w:rsidR="0008715D" w:rsidRPr="009B1BEC">
        <w:rPr>
          <w:rFonts w:ascii="MetaPro-Norm" w:eastAsia="Calibri" w:hAnsi="MetaPro-Norm" w:cs="Calibri"/>
          <w:color w:val="000000" w:themeColor="text1"/>
        </w:rPr>
        <w:t xml:space="preserve">Violence and conflict </w:t>
      </w:r>
      <w:r w:rsidR="003360D3" w:rsidRPr="009B1BEC">
        <w:rPr>
          <w:rFonts w:ascii="MetaPro-Norm" w:eastAsia="Calibri" w:hAnsi="MetaPro-Norm" w:cs="Calibri"/>
          <w:color w:val="000000" w:themeColor="text1"/>
        </w:rPr>
        <w:t xml:space="preserve">in the Philippines </w:t>
      </w:r>
      <w:r w:rsidR="0008715D" w:rsidRPr="009B1BEC">
        <w:rPr>
          <w:rFonts w:ascii="MetaPro-Norm" w:eastAsia="Calibri" w:hAnsi="MetaPro-Norm" w:cs="Calibri"/>
          <w:color w:val="000000" w:themeColor="text1"/>
        </w:rPr>
        <w:t>affected children and hindered access to education.</w:t>
      </w:r>
      <w:r w:rsidRPr="00DB3F71">
        <w:rPr>
          <w:rStyle w:val="FootnoteReference"/>
          <w:rFonts w:ascii="MetaPro-Medi" w:eastAsia="Calibri" w:hAnsi="MetaPro-Medi" w:cs="Calibri"/>
          <w:color w:val="000000" w:themeColor="text1"/>
        </w:rPr>
        <w:footnoteReference w:id="7"/>
      </w:r>
      <w:r w:rsidR="00DD18DE" w:rsidRPr="009B1BEC">
        <w:rPr>
          <w:rFonts w:ascii="MetaPro-Norm" w:hAnsi="MetaPro-Norm"/>
        </w:rPr>
        <w:t xml:space="preserve"> </w:t>
      </w:r>
      <w:r w:rsidR="00DD18DE" w:rsidRPr="009B1BEC">
        <w:rPr>
          <w:rFonts w:ascii="MetaPro-Norm" w:eastAsia="Calibri" w:hAnsi="MetaPro-Norm" w:cs="Calibri"/>
          <w:color w:val="000000" w:themeColor="text1"/>
        </w:rPr>
        <w:t xml:space="preserve">Children from the </w:t>
      </w:r>
      <w:r w:rsidR="00833254">
        <w:rPr>
          <w:rFonts w:ascii="MetaPro-Norm" w:eastAsia="Calibri" w:hAnsi="MetaPro-Norm" w:cs="Calibri"/>
          <w:color w:val="000000" w:themeColor="text1"/>
        </w:rPr>
        <w:t>I</w:t>
      </w:r>
      <w:r w:rsidR="00DD18DE" w:rsidRPr="009B1BEC">
        <w:rPr>
          <w:rFonts w:ascii="MetaPro-Norm" w:eastAsia="Calibri" w:hAnsi="MetaPro-Norm" w:cs="Calibri"/>
          <w:color w:val="000000" w:themeColor="text1"/>
        </w:rPr>
        <w:t>ndigenous Lumad group were particularly affected; Lumad schools were forcibly closed, by closure orders, permit non-renewal, or destruction by presumed paramilitaries.</w:t>
      </w:r>
      <w:r w:rsidR="00DB0908" w:rsidRPr="00DB3F71">
        <w:rPr>
          <w:rStyle w:val="FootnoteReference"/>
          <w:rFonts w:ascii="MetaPro-Medi" w:eastAsia="Calibri" w:hAnsi="MetaPro-Medi" w:cs="Calibri"/>
          <w:color w:val="000000" w:themeColor="text1"/>
        </w:rPr>
        <w:footnoteReference w:id="8"/>
      </w:r>
    </w:p>
    <w:p w14:paraId="551DB38F" w14:textId="1FC77C43" w:rsidR="006B2282" w:rsidRPr="009B1BEC" w:rsidRDefault="006B2282" w:rsidP="00304B9D">
      <w:pPr>
        <w:spacing w:after="0" w:line="264" w:lineRule="auto"/>
        <w:rPr>
          <w:rFonts w:ascii="MetaPro-Norm" w:eastAsia="Calibri" w:hAnsi="MetaPro-Norm" w:cs="Calibri"/>
          <w:color w:val="000000" w:themeColor="text1"/>
        </w:rPr>
      </w:pPr>
      <w:r w:rsidRPr="009B1BEC">
        <w:rPr>
          <w:rFonts w:ascii="MetaPro-Norm" w:eastAsia="Calibri" w:hAnsi="MetaPro-Norm" w:cs="Calibri"/>
          <w:color w:val="000000" w:themeColor="text1"/>
        </w:rPr>
        <w:t xml:space="preserve">In 2020, </w:t>
      </w:r>
      <w:r w:rsidR="00E35A6B" w:rsidRPr="009B1BEC">
        <w:rPr>
          <w:rFonts w:ascii="MetaPro-Norm" w:eastAsia="Calibri" w:hAnsi="MetaPro-Norm" w:cs="Calibri"/>
          <w:color w:val="000000" w:themeColor="text1"/>
        </w:rPr>
        <w:t xml:space="preserve">the </w:t>
      </w:r>
      <w:r w:rsidRPr="009B1BEC">
        <w:rPr>
          <w:rFonts w:ascii="MetaPro-Norm" w:eastAsia="Calibri" w:hAnsi="MetaPro-Norm" w:cs="Calibri"/>
          <w:color w:val="000000" w:themeColor="text1"/>
        </w:rPr>
        <w:t>G</w:t>
      </w:r>
      <w:r w:rsidR="00E35A6B" w:rsidRPr="009B1BEC">
        <w:rPr>
          <w:rFonts w:ascii="MetaPro-Norm" w:eastAsia="Calibri" w:hAnsi="MetaPro-Norm" w:cs="Calibri"/>
          <w:color w:val="000000" w:themeColor="text1"/>
        </w:rPr>
        <w:t xml:space="preserve">lobal </w:t>
      </w:r>
      <w:r w:rsidRPr="009B1BEC">
        <w:rPr>
          <w:rFonts w:ascii="MetaPro-Norm" w:eastAsia="Calibri" w:hAnsi="MetaPro-Norm" w:cs="Calibri"/>
          <w:color w:val="000000" w:themeColor="text1"/>
        </w:rPr>
        <w:t>C</w:t>
      </w:r>
      <w:r w:rsidR="00E35A6B" w:rsidRPr="009B1BEC">
        <w:rPr>
          <w:rFonts w:ascii="MetaPro-Norm" w:eastAsia="Calibri" w:hAnsi="MetaPro-Norm" w:cs="Calibri"/>
          <w:color w:val="000000" w:themeColor="text1"/>
        </w:rPr>
        <w:t xml:space="preserve">oalition to </w:t>
      </w:r>
      <w:r w:rsidRPr="009B1BEC">
        <w:rPr>
          <w:rFonts w:ascii="MetaPro-Norm" w:eastAsia="Calibri" w:hAnsi="MetaPro-Norm" w:cs="Calibri"/>
          <w:color w:val="000000" w:themeColor="text1"/>
        </w:rPr>
        <w:t>P</w:t>
      </w:r>
      <w:r w:rsidR="00E35A6B" w:rsidRPr="009B1BEC">
        <w:rPr>
          <w:rFonts w:ascii="MetaPro-Norm" w:eastAsia="Calibri" w:hAnsi="MetaPro-Norm" w:cs="Calibri"/>
          <w:color w:val="000000" w:themeColor="text1"/>
        </w:rPr>
        <w:t xml:space="preserve">rotect </w:t>
      </w:r>
      <w:r w:rsidRPr="009B1BEC">
        <w:rPr>
          <w:rFonts w:ascii="MetaPro-Norm" w:eastAsia="Calibri" w:hAnsi="MetaPro-Norm" w:cs="Calibri"/>
          <w:color w:val="000000" w:themeColor="text1"/>
        </w:rPr>
        <w:t>E</w:t>
      </w:r>
      <w:r w:rsidR="00E35A6B" w:rsidRPr="009B1BEC">
        <w:rPr>
          <w:rFonts w:ascii="MetaPro-Norm" w:eastAsia="Calibri" w:hAnsi="MetaPro-Norm" w:cs="Calibri"/>
          <w:color w:val="000000" w:themeColor="text1"/>
        </w:rPr>
        <w:t xml:space="preserve">ducation from </w:t>
      </w:r>
      <w:r w:rsidRPr="009B1BEC">
        <w:rPr>
          <w:rFonts w:ascii="MetaPro-Norm" w:eastAsia="Calibri" w:hAnsi="MetaPro-Norm" w:cs="Calibri"/>
          <w:color w:val="000000" w:themeColor="text1"/>
        </w:rPr>
        <w:t>A</w:t>
      </w:r>
      <w:r w:rsidR="00E35A6B" w:rsidRPr="009B1BEC">
        <w:rPr>
          <w:rFonts w:ascii="MetaPro-Norm" w:eastAsia="Calibri" w:hAnsi="MetaPro-Norm" w:cs="Calibri"/>
          <w:color w:val="000000" w:themeColor="text1"/>
        </w:rPr>
        <w:t>ttack</w:t>
      </w:r>
      <w:r w:rsidR="00ED3F9D">
        <w:rPr>
          <w:rFonts w:ascii="MetaPro-Norm" w:eastAsia="Calibri" w:hAnsi="MetaPro-Norm" w:cs="Calibri"/>
          <w:color w:val="000000" w:themeColor="text1"/>
        </w:rPr>
        <w:t xml:space="preserve"> (GCPEA)</w:t>
      </w:r>
      <w:r w:rsidRPr="009B1BEC">
        <w:rPr>
          <w:rFonts w:ascii="MetaPro-Norm" w:eastAsia="Calibri" w:hAnsi="MetaPro-Norm" w:cs="Calibri"/>
          <w:color w:val="000000" w:themeColor="text1"/>
        </w:rPr>
        <w:t xml:space="preserve"> identified </w:t>
      </w:r>
      <w:r w:rsidR="00135033">
        <w:rPr>
          <w:rFonts w:ascii="MetaPro-Norm" w:eastAsia="Calibri" w:hAnsi="MetaPro-Norm" w:cs="Calibri"/>
          <w:color w:val="000000" w:themeColor="text1"/>
        </w:rPr>
        <w:t xml:space="preserve">at least two </w:t>
      </w:r>
      <w:r w:rsidRPr="009B1BEC">
        <w:rPr>
          <w:rFonts w:ascii="MetaPro-Norm" w:eastAsia="Calibri" w:hAnsi="MetaPro-Norm" w:cs="Calibri"/>
          <w:color w:val="000000" w:themeColor="text1"/>
        </w:rPr>
        <w:t>incidents of attacks on schools</w:t>
      </w:r>
      <w:r w:rsidR="008A7974">
        <w:rPr>
          <w:rFonts w:ascii="MetaPro-Norm" w:eastAsia="Calibri" w:hAnsi="MetaPro-Norm" w:cs="Calibri"/>
          <w:color w:val="000000" w:themeColor="text1"/>
        </w:rPr>
        <w:t xml:space="preserve">. On May 26, 2020, </w:t>
      </w:r>
      <w:r w:rsidR="00833254">
        <w:rPr>
          <w:rFonts w:ascii="MetaPro-Norm" w:eastAsia="Calibri" w:hAnsi="MetaPro-Norm" w:cs="Calibri"/>
          <w:color w:val="000000" w:themeColor="text1"/>
        </w:rPr>
        <w:t>10</w:t>
      </w:r>
      <w:r w:rsidRPr="009B1BEC">
        <w:rPr>
          <w:rFonts w:ascii="MetaPro-Norm" w:eastAsia="Calibri" w:hAnsi="MetaPro-Norm" w:cs="Calibri"/>
          <w:color w:val="000000" w:themeColor="text1"/>
        </w:rPr>
        <w:t xml:space="preserve"> members of the Philippine Army and National Task Force to End Local Communist Armed Conflict,</w:t>
      </w:r>
      <w:r w:rsidR="00F56441" w:rsidRPr="009B1BEC">
        <w:rPr>
          <w:rFonts w:ascii="MetaPro-Norm" w:eastAsia="Calibri" w:hAnsi="MetaPro-Norm" w:cs="Calibri"/>
          <w:color w:val="000000" w:themeColor="text1"/>
        </w:rPr>
        <w:t xml:space="preserve"> </w:t>
      </w:r>
      <w:r w:rsidRPr="009B1BEC">
        <w:rPr>
          <w:rFonts w:ascii="MetaPro-Norm" w:eastAsia="Calibri" w:hAnsi="MetaPro-Norm" w:cs="Calibri"/>
          <w:color w:val="000000" w:themeColor="text1"/>
        </w:rPr>
        <w:t>dressed in civilian clothes, reportedly threatened village officials to close a school in Kisante barangay,</w:t>
      </w:r>
      <w:r w:rsidR="00F56441" w:rsidRPr="009B1BEC">
        <w:rPr>
          <w:rFonts w:ascii="MetaPro-Norm" w:eastAsia="Calibri" w:hAnsi="MetaPro-Norm" w:cs="Calibri"/>
          <w:color w:val="000000" w:themeColor="text1"/>
        </w:rPr>
        <w:t xml:space="preserve"> </w:t>
      </w:r>
      <w:r w:rsidRPr="009B1BEC">
        <w:rPr>
          <w:rFonts w:ascii="MetaPro-Norm" w:eastAsia="Calibri" w:hAnsi="MetaPro-Norm" w:cs="Calibri"/>
          <w:color w:val="000000" w:themeColor="text1"/>
        </w:rPr>
        <w:t>Cotabato province.</w:t>
      </w:r>
      <w:r w:rsidR="004703EF" w:rsidRPr="00DB3F71">
        <w:rPr>
          <w:rStyle w:val="FootnoteReference"/>
          <w:rFonts w:ascii="MetaPro-Medi" w:eastAsia="Calibri" w:hAnsi="MetaPro-Medi" w:cs="Calibri"/>
          <w:color w:val="000000" w:themeColor="text1"/>
        </w:rPr>
        <w:footnoteReference w:id="9"/>
      </w:r>
      <w:r w:rsidR="00623C08" w:rsidRPr="009B1BEC">
        <w:rPr>
          <w:rFonts w:ascii="MetaPro-Norm" w:eastAsia="Calibri" w:hAnsi="MetaPro-Norm" w:cs="Calibri"/>
          <w:color w:val="000000" w:themeColor="text1"/>
        </w:rPr>
        <w:t xml:space="preserve"> </w:t>
      </w:r>
      <w:r w:rsidR="00135033">
        <w:rPr>
          <w:rFonts w:ascii="MetaPro-Norm" w:eastAsia="Calibri" w:hAnsi="MetaPro-Norm" w:cs="Calibri"/>
          <w:color w:val="000000" w:themeColor="text1"/>
        </w:rPr>
        <w:t>O</w:t>
      </w:r>
      <w:r w:rsidR="00A90C1E" w:rsidRPr="009B1BEC">
        <w:rPr>
          <w:rFonts w:ascii="MetaPro-Norm" w:eastAsia="Calibri" w:hAnsi="MetaPro-Norm" w:cs="Calibri"/>
          <w:color w:val="000000" w:themeColor="text1"/>
        </w:rPr>
        <w:t>n</w:t>
      </w:r>
      <w:r w:rsidRPr="009B1BEC">
        <w:rPr>
          <w:rFonts w:ascii="MetaPro-Norm" w:eastAsia="Calibri" w:hAnsi="MetaPro-Norm" w:cs="Calibri"/>
          <w:color w:val="000000" w:themeColor="text1"/>
        </w:rPr>
        <w:t xml:space="preserve"> August 26, 2020, around 50 members of a paramilitary group reportedly attacked a Lumad school in</w:t>
      </w:r>
      <w:r w:rsidR="00623C08" w:rsidRPr="009B1BEC">
        <w:rPr>
          <w:rFonts w:ascii="MetaPro-Norm" w:eastAsia="Calibri" w:hAnsi="MetaPro-Norm" w:cs="Calibri"/>
          <w:color w:val="000000" w:themeColor="text1"/>
        </w:rPr>
        <w:t xml:space="preserve"> </w:t>
      </w:r>
      <w:r w:rsidRPr="009B1BEC">
        <w:rPr>
          <w:rFonts w:ascii="MetaPro-Norm" w:eastAsia="Calibri" w:hAnsi="MetaPro-Norm" w:cs="Calibri"/>
          <w:color w:val="000000" w:themeColor="text1"/>
        </w:rPr>
        <w:t>Sitio Laburon, Bukidnon province; they knocked down school walls and tore up textbooks.</w:t>
      </w:r>
      <w:r w:rsidR="00623C08" w:rsidRPr="00DB3F71">
        <w:rPr>
          <w:rStyle w:val="FootnoteReference"/>
          <w:rFonts w:ascii="MetaPro-Medi" w:eastAsia="Calibri" w:hAnsi="MetaPro-Medi" w:cs="Calibri"/>
          <w:color w:val="000000" w:themeColor="text1"/>
        </w:rPr>
        <w:footnoteReference w:id="10"/>
      </w:r>
    </w:p>
    <w:p w14:paraId="52221C78" w14:textId="77777777" w:rsidR="00304B9D" w:rsidRDefault="00304B9D" w:rsidP="00304B9D">
      <w:pPr>
        <w:spacing w:after="0" w:line="264" w:lineRule="auto"/>
        <w:rPr>
          <w:rFonts w:ascii="MetaPro-Norm" w:eastAsia="Calibri" w:hAnsi="MetaPro-Norm" w:cs="Calibri"/>
          <w:color w:val="000000" w:themeColor="text1"/>
        </w:rPr>
      </w:pPr>
    </w:p>
    <w:p w14:paraId="10B3C9CE" w14:textId="1812EC5A" w:rsidR="00E8237F" w:rsidRPr="009B1BEC" w:rsidRDefault="00E8237F" w:rsidP="00304B9D">
      <w:pPr>
        <w:spacing w:after="0" w:line="264" w:lineRule="auto"/>
        <w:rPr>
          <w:rFonts w:ascii="MetaPro-Norm" w:eastAsia="Calibri" w:hAnsi="MetaPro-Norm" w:cs="Calibri"/>
          <w:color w:val="000000" w:themeColor="text1"/>
        </w:rPr>
      </w:pPr>
      <w:r w:rsidRPr="009B1BEC">
        <w:rPr>
          <w:rFonts w:ascii="MetaPro-Norm" w:eastAsia="Calibri" w:hAnsi="MetaPro-Norm" w:cs="Calibri"/>
          <w:color w:val="000000" w:themeColor="text1"/>
        </w:rPr>
        <w:t>The UN Secretary</w:t>
      </w:r>
      <w:r w:rsidR="00135033">
        <w:rPr>
          <w:rFonts w:ascii="MetaPro-Norm" w:eastAsia="Calibri" w:hAnsi="MetaPro-Norm" w:cs="Calibri"/>
          <w:color w:val="000000" w:themeColor="text1"/>
        </w:rPr>
        <w:t>-</w:t>
      </w:r>
      <w:r w:rsidRPr="009B1BEC">
        <w:rPr>
          <w:rFonts w:ascii="MetaPro-Norm" w:eastAsia="Calibri" w:hAnsi="MetaPro-Norm" w:cs="Calibri"/>
          <w:color w:val="000000" w:themeColor="text1"/>
        </w:rPr>
        <w:t>General reported that there were five verified attacks on schools and “protected persons related to schools” in 2021, for which the Armed Forces of the Philippines were responsible for two incidents, the Philippines National Police responsible for two incidents, and the Bangsamoro Islamic Freedom Fighters were responsible for one incident.</w:t>
      </w:r>
      <w:r w:rsidRPr="00DB3F71">
        <w:rPr>
          <w:rStyle w:val="FootnoteReference"/>
          <w:rFonts w:ascii="MetaPro-Medi" w:eastAsia="Calibri" w:hAnsi="MetaPro-Medi" w:cs="Calibri"/>
          <w:color w:val="000000" w:themeColor="text1"/>
        </w:rPr>
        <w:footnoteReference w:id="11"/>
      </w:r>
    </w:p>
    <w:p w14:paraId="196E24F9" w14:textId="77777777" w:rsidR="00304B9D" w:rsidRDefault="00304B9D" w:rsidP="00304B9D">
      <w:pPr>
        <w:spacing w:after="0" w:line="264" w:lineRule="auto"/>
        <w:rPr>
          <w:rFonts w:ascii="MetaPro-Norm" w:eastAsia="Calibri" w:hAnsi="MetaPro-Norm" w:cs="Calibri"/>
          <w:color w:val="000000" w:themeColor="text1"/>
        </w:rPr>
      </w:pPr>
    </w:p>
    <w:p w14:paraId="2BB70FF3" w14:textId="1028BA4C" w:rsidR="00DF5A12" w:rsidRPr="009B1BEC" w:rsidRDefault="00DF5A12" w:rsidP="00304B9D">
      <w:pPr>
        <w:spacing w:after="0" w:line="264" w:lineRule="auto"/>
        <w:rPr>
          <w:rFonts w:ascii="MetaPro-Norm" w:eastAsia="Calibri" w:hAnsi="MetaPro-Norm" w:cs="Calibri"/>
          <w:color w:val="000000" w:themeColor="text1"/>
        </w:rPr>
      </w:pPr>
      <w:r w:rsidRPr="009B1BEC">
        <w:rPr>
          <w:rFonts w:ascii="MetaPro-Norm" w:eastAsia="Calibri" w:hAnsi="MetaPro-Norm" w:cs="Calibri"/>
          <w:color w:val="000000" w:themeColor="text1"/>
        </w:rPr>
        <w:t>The Philippines’ 1992 Special Protection of Children against Abuse, Exploitation and Discrimination Act declares children to be “Zones of Peace” and states</w:t>
      </w:r>
      <w:r w:rsidR="00F55A92">
        <w:rPr>
          <w:rFonts w:ascii="MetaPro-Norm" w:eastAsia="Calibri" w:hAnsi="MetaPro-Norm" w:cs="Calibri"/>
          <w:color w:val="000000" w:themeColor="text1"/>
        </w:rPr>
        <w:t>:</w:t>
      </w:r>
      <w:r w:rsidRPr="009B1BEC">
        <w:rPr>
          <w:rFonts w:ascii="MetaPro-Norm" w:eastAsia="Calibri" w:hAnsi="MetaPro-Norm" w:cs="Calibri"/>
          <w:color w:val="000000" w:themeColor="text1"/>
        </w:rPr>
        <w:t xml:space="preserve"> “To attain this objective, the following policies shall be observed</w:t>
      </w:r>
      <w:r w:rsidR="00F55A92">
        <w:rPr>
          <w:rFonts w:ascii="MetaPro-Norm" w:eastAsia="Calibri" w:hAnsi="MetaPro-Norm" w:cs="Calibri"/>
          <w:color w:val="000000" w:themeColor="text1"/>
        </w:rPr>
        <w:t xml:space="preserve"> </w:t>
      </w:r>
      <w:r w:rsidRPr="009B1BEC">
        <w:rPr>
          <w:rFonts w:ascii="MetaPro-Norm" w:eastAsia="Calibri" w:hAnsi="MetaPro-Norm" w:cs="Calibri"/>
          <w:color w:val="000000" w:themeColor="text1"/>
        </w:rPr>
        <w:t>… public infrastructure such as schools … shall not be utilized for military purposes such as command posts, barracks, detachments, and supply depots.”</w:t>
      </w:r>
      <w:r w:rsidRPr="00DB3F71">
        <w:rPr>
          <w:rStyle w:val="FootnoteReference"/>
          <w:rFonts w:ascii="MetaPro-Medi" w:eastAsia="Calibri" w:hAnsi="MetaPro-Medi" w:cs="Calibri"/>
          <w:color w:val="000000" w:themeColor="text1"/>
        </w:rPr>
        <w:footnoteReference w:id="12"/>
      </w:r>
      <w:r w:rsidRPr="009B1BEC">
        <w:rPr>
          <w:rFonts w:ascii="MetaPro-Norm" w:eastAsia="Calibri" w:hAnsi="MetaPro-Norm" w:cs="Calibri"/>
          <w:color w:val="000000" w:themeColor="text1"/>
        </w:rPr>
        <w:t xml:space="preserve"> In 2019, the Special Protection of Children in Situations of Armed Conflict Act </w:t>
      </w:r>
      <w:r w:rsidR="00135033">
        <w:rPr>
          <w:rFonts w:ascii="MetaPro-Norm" w:eastAsia="Calibri" w:hAnsi="MetaPro-Norm" w:cs="Calibri"/>
          <w:color w:val="000000" w:themeColor="text1"/>
        </w:rPr>
        <w:t xml:space="preserve">made </w:t>
      </w:r>
      <w:r w:rsidRPr="009B1BEC">
        <w:rPr>
          <w:rFonts w:ascii="MetaPro-Norm" w:eastAsia="Calibri" w:hAnsi="MetaPro-Norm" w:cs="Calibri"/>
          <w:color w:val="000000" w:themeColor="text1"/>
        </w:rPr>
        <w:t>attacks on schools</w:t>
      </w:r>
      <w:r w:rsidR="00135033">
        <w:rPr>
          <w:rFonts w:ascii="MetaPro-Norm" w:eastAsia="Calibri" w:hAnsi="MetaPro-Norm" w:cs="Calibri"/>
          <w:color w:val="000000" w:themeColor="text1"/>
        </w:rPr>
        <w:t xml:space="preserve"> a criminal offense</w:t>
      </w:r>
      <w:r w:rsidRPr="009B1BEC">
        <w:rPr>
          <w:rFonts w:ascii="MetaPro-Norm" w:eastAsia="Calibri" w:hAnsi="MetaPro-Norm" w:cs="Calibri"/>
          <w:color w:val="000000" w:themeColor="text1"/>
        </w:rPr>
        <w:t xml:space="preserve">, with potential sentences of between 14 and 20 years, </w:t>
      </w:r>
      <w:r w:rsidR="00E35A6B" w:rsidRPr="009B1BEC">
        <w:rPr>
          <w:rFonts w:ascii="MetaPro-Norm" w:eastAsia="Calibri" w:hAnsi="MetaPro-Norm" w:cs="Calibri"/>
          <w:color w:val="000000" w:themeColor="text1"/>
        </w:rPr>
        <w:t>with</w:t>
      </w:r>
      <w:r w:rsidRPr="009B1BEC">
        <w:rPr>
          <w:rFonts w:ascii="MetaPro-Norm" w:eastAsia="Calibri" w:hAnsi="MetaPro-Norm" w:cs="Calibri"/>
          <w:color w:val="000000" w:themeColor="text1"/>
        </w:rPr>
        <w:t xml:space="preserve"> “attacks on schools” being defined to include “occupation … of schools … or disruption of educational activities.”</w:t>
      </w:r>
      <w:r w:rsidRPr="00DB3F71">
        <w:rPr>
          <w:rStyle w:val="FootnoteReference"/>
          <w:rFonts w:ascii="MetaPro-Medi" w:eastAsia="Calibri" w:hAnsi="MetaPro-Medi" w:cs="Calibri"/>
          <w:color w:val="000000" w:themeColor="text1"/>
        </w:rPr>
        <w:footnoteReference w:id="13"/>
      </w:r>
    </w:p>
    <w:p w14:paraId="0CD934A2" w14:textId="77777777" w:rsidR="00304B9D" w:rsidRDefault="00304B9D" w:rsidP="00304B9D">
      <w:pPr>
        <w:spacing w:after="0" w:line="264" w:lineRule="auto"/>
        <w:rPr>
          <w:rFonts w:ascii="MetaPro-Norm" w:eastAsia="Calibri" w:hAnsi="MetaPro-Norm" w:cs="Calibri"/>
          <w:color w:val="000000" w:themeColor="text1"/>
        </w:rPr>
      </w:pPr>
    </w:p>
    <w:p w14:paraId="0B9DF203" w14:textId="72E39835" w:rsidR="00304B9D" w:rsidRDefault="00C12A40" w:rsidP="00304B9D">
      <w:pPr>
        <w:spacing w:after="0" w:line="264" w:lineRule="auto"/>
        <w:rPr>
          <w:rFonts w:ascii="MetaPro-Norm" w:eastAsia="Calibri" w:hAnsi="MetaPro-Norm" w:cs="Calibri"/>
          <w:color w:val="000000" w:themeColor="text1"/>
        </w:rPr>
      </w:pPr>
      <w:r w:rsidRPr="009B1BEC">
        <w:rPr>
          <w:rFonts w:ascii="MetaPro-Norm" w:eastAsia="Calibri" w:hAnsi="MetaPro-Norm" w:cs="Calibri"/>
          <w:color w:val="000000" w:themeColor="text1"/>
        </w:rPr>
        <w:t>In 2022, the United Nations Secretary</w:t>
      </w:r>
      <w:r w:rsidR="00135033">
        <w:rPr>
          <w:rFonts w:ascii="MetaPro-Norm" w:eastAsia="Calibri" w:hAnsi="MetaPro-Norm" w:cs="Calibri"/>
          <w:color w:val="000000" w:themeColor="text1"/>
        </w:rPr>
        <w:t>-</w:t>
      </w:r>
      <w:r w:rsidRPr="009B1BEC">
        <w:rPr>
          <w:rFonts w:ascii="MetaPro-Norm" w:eastAsia="Calibri" w:hAnsi="MetaPro-Norm" w:cs="Calibri"/>
          <w:color w:val="000000" w:themeColor="text1"/>
        </w:rPr>
        <w:t>General encouraged government</w:t>
      </w:r>
      <w:r w:rsidR="00AD58E6">
        <w:rPr>
          <w:rFonts w:ascii="MetaPro-Norm" w:eastAsia="Calibri" w:hAnsi="MetaPro-Norm" w:cs="Calibri"/>
          <w:color w:val="000000" w:themeColor="text1"/>
        </w:rPr>
        <w:t>s</w:t>
      </w:r>
      <w:r w:rsidRPr="009B1BEC">
        <w:rPr>
          <w:rFonts w:ascii="MetaPro-Norm" w:eastAsia="Calibri" w:hAnsi="MetaPro-Norm" w:cs="Calibri"/>
          <w:color w:val="000000" w:themeColor="text1"/>
        </w:rPr>
        <w:t xml:space="preserve"> to endorse the Safe Schools Declaration,</w:t>
      </w:r>
      <w:r w:rsidRPr="00DB3F71">
        <w:rPr>
          <w:rStyle w:val="FootnoteReference"/>
          <w:rFonts w:ascii="MetaPro-Medi" w:eastAsia="Calibri" w:hAnsi="MetaPro-Medi" w:cs="Calibri"/>
          <w:color w:val="000000" w:themeColor="text1"/>
        </w:rPr>
        <w:footnoteReference w:id="14"/>
      </w:r>
      <w:r w:rsidRPr="009B1BEC">
        <w:rPr>
          <w:rFonts w:ascii="MetaPro-Norm" w:eastAsia="Calibri" w:hAnsi="MetaPro-Norm" w:cs="Calibri"/>
          <w:color w:val="000000" w:themeColor="text1"/>
        </w:rPr>
        <w:t xml:space="preserve"> </w:t>
      </w:r>
      <w:r w:rsidR="006C1823" w:rsidRPr="009B1BEC">
        <w:rPr>
          <w:rFonts w:ascii="MetaPro-Norm" w:eastAsia="Calibri" w:hAnsi="MetaPro-Norm" w:cs="Calibri"/>
          <w:color w:val="000000" w:themeColor="text1"/>
        </w:rPr>
        <w:t>an inter-governmental political commitment that provides countries the opportunity to express political support for the protection of students, teachers, and schools during times of armed conflict</w:t>
      </w:r>
      <w:r w:rsidR="00DF5A12" w:rsidRPr="009B1BEC">
        <w:rPr>
          <w:rFonts w:ascii="MetaPro-Norm" w:eastAsia="Calibri" w:hAnsi="MetaPro-Norm" w:cs="Calibri"/>
          <w:color w:val="000000" w:themeColor="text1"/>
        </w:rPr>
        <w:t>.</w:t>
      </w:r>
      <w:r w:rsidR="006C1823" w:rsidRPr="00DB3F71">
        <w:rPr>
          <w:rStyle w:val="FootnoteReference"/>
          <w:rFonts w:ascii="MetaPro-Medi" w:eastAsia="Calibri" w:hAnsi="MetaPro-Medi" w:cs="Calibri"/>
          <w:color w:val="000000" w:themeColor="text1"/>
        </w:rPr>
        <w:footnoteReference w:id="15"/>
      </w:r>
      <w:r w:rsidR="00DF5A12" w:rsidRPr="009B1BEC">
        <w:rPr>
          <w:rFonts w:ascii="MetaPro-Norm" w:eastAsia="Calibri" w:hAnsi="MetaPro-Norm" w:cs="Calibri"/>
          <w:color w:val="000000" w:themeColor="text1"/>
        </w:rPr>
        <w:t xml:space="preserve"> </w:t>
      </w:r>
      <w:r w:rsidR="006C1823" w:rsidRPr="009B1BEC">
        <w:rPr>
          <w:rFonts w:ascii="MetaPro-Norm" w:eastAsia="Calibri" w:hAnsi="MetaPro-Norm" w:cs="Calibri"/>
          <w:color w:val="000000" w:themeColor="text1"/>
        </w:rPr>
        <w:t>As of August 2022, 114 countries have endorsed the Safe Schools Declaration.</w:t>
      </w:r>
      <w:r w:rsidR="00AD58E6">
        <w:rPr>
          <w:rFonts w:ascii="MetaPro-Norm" w:eastAsia="Calibri" w:hAnsi="MetaPro-Norm" w:cs="Calibri"/>
          <w:color w:val="000000" w:themeColor="text1"/>
        </w:rPr>
        <w:t xml:space="preserve"> However, the Philippines has not done so.</w:t>
      </w:r>
      <w:r w:rsidR="006C1823" w:rsidRPr="00DB3F71">
        <w:rPr>
          <w:rStyle w:val="FootnoteReference"/>
          <w:rFonts w:ascii="MetaPro-Medi" w:eastAsia="Calibri" w:hAnsi="MetaPro-Medi" w:cs="Calibri"/>
          <w:color w:val="000000" w:themeColor="text1"/>
        </w:rPr>
        <w:footnoteReference w:id="16"/>
      </w:r>
    </w:p>
    <w:p w14:paraId="2C347119" w14:textId="77777777" w:rsidR="00304B9D" w:rsidRDefault="00304B9D" w:rsidP="00304B9D">
      <w:pPr>
        <w:spacing w:after="0" w:line="264" w:lineRule="auto"/>
        <w:rPr>
          <w:rFonts w:ascii="MetaPro-Norm" w:eastAsia="Calibri" w:hAnsi="MetaPro-Norm" w:cs="Calibri"/>
          <w:color w:val="000000" w:themeColor="text1"/>
        </w:rPr>
      </w:pPr>
    </w:p>
    <w:p w14:paraId="06D8D5D4" w14:textId="455A1716" w:rsidR="006C1823" w:rsidRPr="00304B9D" w:rsidRDefault="006C1823" w:rsidP="00304B9D">
      <w:pPr>
        <w:spacing w:after="0" w:line="264" w:lineRule="auto"/>
        <w:rPr>
          <w:rFonts w:ascii="MetaPro-Norm" w:eastAsia="Calibri" w:hAnsi="MetaPro-Norm" w:cs="Calibri"/>
          <w:color w:val="000000" w:themeColor="text1"/>
        </w:rPr>
      </w:pPr>
      <w:r w:rsidRPr="009B1BEC">
        <w:rPr>
          <w:rFonts w:ascii="MetaPro-Norm" w:eastAsia="Calibri" w:hAnsi="MetaPro-Norm" w:cs="Calibri"/>
          <w:i/>
          <w:iCs/>
          <w:color w:val="000000" w:themeColor="text1"/>
        </w:rPr>
        <w:t>Suggested Questions</w:t>
      </w:r>
    </w:p>
    <w:p w14:paraId="73109A08" w14:textId="1B0978CD" w:rsidR="006C1823" w:rsidRPr="009B1BEC" w:rsidRDefault="00E35A6B" w:rsidP="00304B9D">
      <w:pPr>
        <w:pStyle w:val="ListParagraph"/>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after="0" w:line="264" w:lineRule="auto"/>
        <w:contextualSpacing/>
        <w:rPr>
          <w:rFonts w:ascii="MetaPro-Norm" w:eastAsiaTheme="minorEastAsia" w:hAnsi="MetaPro-Norm"/>
          <w:color w:val="000000" w:themeColor="text1"/>
        </w:rPr>
      </w:pPr>
      <w:r w:rsidRPr="009B1BEC">
        <w:rPr>
          <w:rFonts w:ascii="MetaPro-Norm" w:eastAsiaTheme="minorEastAsia" w:hAnsi="MetaPro-Norm"/>
          <w:color w:val="000000" w:themeColor="text1"/>
        </w:rPr>
        <w:t>How many individuals have been prosecuted for attacks on schools during the reporting period?</w:t>
      </w:r>
    </w:p>
    <w:p w14:paraId="7F0B3048" w14:textId="77777777" w:rsidR="00304B9D" w:rsidRDefault="00304B9D" w:rsidP="00304B9D">
      <w:pPr>
        <w:spacing w:after="0" w:line="264" w:lineRule="auto"/>
        <w:rPr>
          <w:rFonts w:ascii="MetaPro-Norm" w:eastAsia="Calibri" w:hAnsi="MetaPro-Norm" w:cs="Calibri"/>
          <w:i/>
          <w:iCs/>
          <w:color w:val="000000" w:themeColor="text1"/>
        </w:rPr>
      </w:pPr>
    </w:p>
    <w:p w14:paraId="5EF215AC" w14:textId="308525E3" w:rsidR="006C1823" w:rsidRPr="009B1BEC" w:rsidRDefault="006C1823" w:rsidP="00304B9D">
      <w:pPr>
        <w:spacing w:after="0" w:line="264" w:lineRule="auto"/>
        <w:rPr>
          <w:rFonts w:ascii="MetaPro-Norm" w:hAnsi="MetaPro-Norm"/>
          <w:color w:val="000000" w:themeColor="text1"/>
        </w:rPr>
      </w:pPr>
      <w:r w:rsidRPr="009B1BEC">
        <w:rPr>
          <w:rFonts w:ascii="MetaPro-Norm" w:eastAsia="Calibri" w:hAnsi="MetaPro-Norm" w:cs="Calibri"/>
          <w:i/>
          <w:iCs/>
          <w:color w:val="000000" w:themeColor="text1"/>
        </w:rPr>
        <w:t xml:space="preserve">Suggested Recommendations </w:t>
      </w:r>
    </w:p>
    <w:p w14:paraId="2272DC8E" w14:textId="04D5F947" w:rsidR="006C1823" w:rsidRPr="00784FCF" w:rsidRDefault="006C1823" w:rsidP="00304B9D">
      <w:pPr>
        <w:pStyle w:val="ListParagraph"/>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after="0" w:line="264" w:lineRule="auto"/>
        <w:contextualSpacing/>
        <w:rPr>
          <w:rFonts w:ascii="MetaPro-Norm" w:eastAsiaTheme="minorEastAsia" w:hAnsi="MetaPro-Norm"/>
          <w:color w:val="000000" w:themeColor="text1"/>
        </w:rPr>
      </w:pPr>
      <w:r w:rsidRPr="009B1BEC">
        <w:rPr>
          <w:rFonts w:ascii="MetaPro-Norm" w:hAnsi="MetaPro-Norm"/>
          <w:color w:val="000000" w:themeColor="text1"/>
        </w:rPr>
        <w:t>Endorse the Safe Schools Declaration</w:t>
      </w:r>
      <w:r w:rsidR="00E35A6B" w:rsidRPr="009B1BEC">
        <w:rPr>
          <w:rFonts w:ascii="MetaPro-Norm" w:hAnsi="MetaPro-Norm"/>
          <w:color w:val="000000" w:themeColor="text1"/>
        </w:rPr>
        <w:t xml:space="preserve">, and share </w:t>
      </w:r>
      <w:r w:rsidR="003A45EB" w:rsidRPr="009B1BEC">
        <w:rPr>
          <w:rFonts w:ascii="MetaPro-Norm" w:hAnsi="MetaPro-Norm"/>
          <w:color w:val="000000" w:themeColor="text1"/>
        </w:rPr>
        <w:t xml:space="preserve">with other endorsing countries </w:t>
      </w:r>
      <w:r w:rsidR="00E35A6B" w:rsidRPr="009B1BEC">
        <w:rPr>
          <w:rFonts w:ascii="MetaPro-Norm" w:hAnsi="MetaPro-Norm"/>
          <w:color w:val="000000" w:themeColor="text1"/>
        </w:rPr>
        <w:t>examples of Philippines’ laws and policies protecting schools from attack and</w:t>
      </w:r>
      <w:r w:rsidR="003A45EB" w:rsidRPr="009B1BEC">
        <w:rPr>
          <w:rFonts w:ascii="MetaPro-Norm" w:hAnsi="MetaPro-Norm"/>
          <w:color w:val="000000" w:themeColor="text1"/>
        </w:rPr>
        <w:t xml:space="preserve"> preventing the</w:t>
      </w:r>
      <w:r w:rsidR="00E35A6B" w:rsidRPr="009B1BEC">
        <w:rPr>
          <w:rFonts w:ascii="MetaPro-Norm" w:hAnsi="MetaPro-Norm"/>
          <w:color w:val="000000" w:themeColor="text1"/>
        </w:rPr>
        <w:t xml:space="preserve"> use of schools for military purposes</w:t>
      </w:r>
      <w:r w:rsidRPr="009B1BEC">
        <w:rPr>
          <w:rFonts w:ascii="MetaPro-Norm" w:hAnsi="MetaPro-Norm"/>
          <w:color w:val="000000" w:themeColor="text1"/>
        </w:rPr>
        <w:t>.</w:t>
      </w:r>
    </w:p>
    <w:sectPr w:rsidR="006C1823" w:rsidRPr="00784FCF">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4B2212" w14:textId="77777777" w:rsidR="00534CF3" w:rsidRDefault="00534CF3" w:rsidP="006C1823">
      <w:pPr>
        <w:spacing w:after="0" w:line="240" w:lineRule="auto"/>
      </w:pPr>
      <w:r>
        <w:separator/>
      </w:r>
    </w:p>
  </w:endnote>
  <w:endnote w:type="continuationSeparator" w:id="0">
    <w:p w14:paraId="6B61D743" w14:textId="77777777" w:rsidR="00534CF3" w:rsidRDefault="00534CF3" w:rsidP="006C1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etaPro-Norm">
    <w:altName w:val="Arial"/>
    <w:panose1 w:val="00000000000000000000"/>
    <w:charset w:val="00"/>
    <w:family w:val="swiss"/>
    <w:notTrueType/>
    <w:pitch w:val="variable"/>
    <w:sig w:usb0="A00002FF" w:usb1="4000207B"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etaPro-Medi">
    <w:altName w:val="Arial"/>
    <w:panose1 w:val="00000000000000000000"/>
    <w:charset w:val="00"/>
    <w:family w:val="swiss"/>
    <w:notTrueType/>
    <w:pitch w:val="variable"/>
    <w:sig w:usb0="A00002FF" w:usb1="4000207B" w:usb2="00000000" w:usb3="00000000" w:csb0="0000009F" w:csb1="00000000"/>
  </w:font>
  <w:font w:name="MetaPro-Bold">
    <w:altName w:val="Arial Black"/>
    <w:panose1 w:val="00000000000000000000"/>
    <w:charset w:val="00"/>
    <w:family w:val="swiss"/>
    <w:notTrueType/>
    <w:pitch w:val="variable"/>
    <w:sig w:usb0="A00002F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850374"/>
      <w:docPartObj>
        <w:docPartGallery w:val="Page Numbers (Bottom of Page)"/>
        <w:docPartUnique/>
      </w:docPartObj>
    </w:sdtPr>
    <w:sdtEndPr>
      <w:rPr>
        <w:rFonts w:ascii="MetaPro-Bold" w:hAnsi="MetaPro-Bold"/>
        <w:noProof/>
        <w:sz w:val="20"/>
        <w:szCs w:val="20"/>
      </w:rPr>
    </w:sdtEndPr>
    <w:sdtContent>
      <w:p w14:paraId="11F71AD0" w14:textId="5A162575" w:rsidR="00304B9D" w:rsidRPr="00304B9D" w:rsidRDefault="00304B9D">
        <w:pPr>
          <w:pStyle w:val="Footer"/>
          <w:jc w:val="center"/>
          <w:rPr>
            <w:rFonts w:ascii="MetaPro-Bold" w:hAnsi="MetaPro-Bold"/>
            <w:sz w:val="20"/>
            <w:szCs w:val="20"/>
          </w:rPr>
        </w:pPr>
        <w:r w:rsidRPr="00304B9D">
          <w:rPr>
            <w:rFonts w:ascii="MetaPro-Bold" w:hAnsi="MetaPro-Bold"/>
            <w:sz w:val="20"/>
            <w:szCs w:val="20"/>
          </w:rPr>
          <w:fldChar w:fldCharType="begin"/>
        </w:r>
        <w:r w:rsidRPr="00304B9D">
          <w:rPr>
            <w:rFonts w:ascii="MetaPro-Bold" w:hAnsi="MetaPro-Bold"/>
            <w:sz w:val="20"/>
            <w:szCs w:val="20"/>
          </w:rPr>
          <w:instrText xml:space="preserve"> PAGE   \* MERGEFORMAT </w:instrText>
        </w:r>
        <w:r w:rsidRPr="00304B9D">
          <w:rPr>
            <w:rFonts w:ascii="MetaPro-Bold" w:hAnsi="MetaPro-Bold"/>
            <w:sz w:val="20"/>
            <w:szCs w:val="20"/>
          </w:rPr>
          <w:fldChar w:fldCharType="separate"/>
        </w:r>
        <w:r w:rsidR="00415F5B">
          <w:rPr>
            <w:rFonts w:ascii="MetaPro-Bold" w:hAnsi="MetaPro-Bold"/>
            <w:noProof/>
            <w:sz w:val="20"/>
            <w:szCs w:val="20"/>
          </w:rPr>
          <w:t>1</w:t>
        </w:r>
        <w:r w:rsidRPr="00304B9D">
          <w:rPr>
            <w:rFonts w:ascii="MetaPro-Bold" w:hAnsi="MetaPro-Bold"/>
            <w:noProof/>
            <w:sz w:val="20"/>
            <w:szCs w:val="20"/>
          </w:rPr>
          <w:fldChar w:fldCharType="end"/>
        </w:r>
      </w:p>
    </w:sdtContent>
  </w:sdt>
  <w:p w14:paraId="3A82684E" w14:textId="77777777" w:rsidR="00304B9D" w:rsidRDefault="00304B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61FEEB" w14:textId="77777777" w:rsidR="00534CF3" w:rsidRDefault="00534CF3" w:rsidP="006C1823">
      <w:pPr>
        <w:spacing w:after="0" w:line="240" w:lineRule="auto"/>
      </w:pPr>
      <w:r>
        <w:separator/>
      </w:r>
    </w:p>
  </w:footnote>
  <w:footnote w:type="continuationSeparator" w:id="0">
    <w:p w14:paraId="26C6ECF5" w14:textId="77777777" w:rsidR="00534CF3" w:rsidRDefault="00534CF3" w:rsidP="006C1823">
      <w:pPr>
        <w:spacing w:after="0" w:line="240" w:lineRule="auto"/>
      </w:pPr>
      <w:r>
        <w:continuationSeparator/>
      </w:r>
    </w:p>
  </w:footnote>
  <w:footnote w:id="1">
    <w:p w14:paraId="4D3DD5B4" w14:textId="092991D1" w:rsidR="00784FCF" w:rsidRDefault="00784FCF">
      <w:pPr>
        <w:pStyle w:val="FootnoteText"/>
      </w:pPr>
      <w:r w:rsidRPr="00DB3F71">
        <w:rPr>
          <w:rStyle w:val="FootnoteReference"/>
          <w:rFonts w:ascii="MetaPro-Medi" w:hAnsi="MetaPro-Medi"/>
          <w:sz w:val="22"/>
          <w:szCs w:val="22"/>
        </w:rPr>
        <w:footnoteRef/>
      </w:r>
      <w:r>
        <w:t xml:space="preserve"> </w:t>
      </w:r>
      <w:r w:rsidRPr="003834AE">
        <w:rPr>
          <w:rFonts w:ascii="MetaPro-Norm" w:hAnsi="MetaPro-Norm"/>
          <w:sz w:val="16"/>
          <w:szCs w:val="16"/>
        </w:rPr>
        <w:t xml:space="preserve">Human Rights Watch, </w:t>
      </w:r>
      <w:r w:rsidRPr="003834AE">
        <w:rPr>
          <w:rFonts w:ascii="MetaPro-Norm" w:hAnsi="MetaPro-Norm"/>
          <w:i/>
          <w:iCs/>
          <w:sz w:val="16"/>
          <w:szCs w:val="16"/>
        </w:rPr>
        <w:t>Living in Chains: Shackling of People with Psychosocial Disabilities Worldwide</w:t>
      </w:r>
      <w:r w:rsidR="00A77A6D">
        <w:rPr>
          <w:rFonts w:ascii="MetaPro-Norm" w:hAnsi="MetaPro-Norm"/>
          <w:sz w:val="16"/>
          <w:szCs w:val="16"/>
        </w:rPr>
        <w:t xml:space="preserve"> (New York: </w:t>
      </w:r>
      <w:r w:rsidR="008F2911">
        <w:rPr>
          <w:rFonts w:ascii="MetaPro-Norm" w:hAnsi="MetaPro-Norm"/>
          <w:sz w:val="16"/>
          <w:szCs w:val="16"/>
        </w:rPr>
        <w:t>Human Rights Watch,</w:t>
      </w:r>
      <w:r w:rsidRPr="003834AE">
        <w:rPr>
          <w:rFonts w:ascii="MetaPro-Norm" w:hAnsi="MetaPro-Norm"/>
          <w:sz w:val="16"/>
          <w:szCs w:val="16"/>
        </w:rPr>
        <w:t xml:space="preserve"> 2020</w:t>
      </w:r>
      <w:r w:rsidR="000A3AE7">
        <w:rPr>
          <w:rFonts w:ascii="MetaPro-Norm" w:hAnsi="MetaPro-Norm"/>
          <w:sz w:val="16"/>
          <w:szCs w:val="16"/>
        </w:rPr>
        <w:t>)</w:t>
      </w:r>
      <w:r w:rsidRPr="003834AE">
        <w:rPr>
          <w:rFonts w:ascii="MetaPro-Norm" w:hAnsi="MetaPro-Norm"/>
          <w:sz w:val="16"/>
          <w:szCs w:val="16"/>
        </w:rPr>
        <w:t>, https://www.hrw.org/sites/default/files/reports/ghana1012webwcover.pdf.</w:t>
      </w:r>
    </w:p>
  </w:footnote>
  <w:footnote w:id="2">
    <w:p w14:paraId="63AECA4B" w14:textId="0AFABAFF" w:rsidR="00E36FE2" w:rsidRPr="003834AE" w:rsidRDefault="00E36FE2" w:rsidP="00E36FE2">
      <w:pPr>
        <w:pStyle w:val="FootnoteText"/>
        <w:rPr>
          <w:rFonts w:ascii="MetaPro-Norm" w:hAnsi="MetaPro-Norm"/>
          <w:sz w:val="16"/>
          <w:szCs w:val="16"/>
        </w:rPr>
      </w:pPr>
      <w:r w:rsidRPr="00DB3F71">
        <w:rPr>
          <w:rStyle w:val="FootnoteReference"/>
          <w:rFonts w:ascii="MetaPro-Medi" w:hAnsi="MetaPro-Medi"/>
          <w:sz w:val="22"/>
          <w:szCs w:val="22"/>
        </w:rPr>
        <w:footnoteRef/>
      </w:r>
      <w:r w:rsidRPr="003834AE">
        <w:rPr>
          <w:rFonts w:ascii="MetaPro-Norm" w:hAnsi="MetaPro-Norm"/>
          <w:sz w:val="16"/>
          <w:szCs w:val="16"/>
        </w:rPr>
        <w:t xml:space="preserve"> </w:t>
      </w:r>
      <w:r w:rsidR="00784FCF">
        <w:rPr>
          <w:rFonts w:ascii="MetaPro-Norm" w:hAnsi="MetaPro-Norm"/>
          <w:sz w:val="16"/>
          <w:szCs w:val="16"/>
        </w:rPr>
        <w:t>Ibid.</w:t>
      </w:r>
    </w:p>
  </w:footnote>
  <w:footnote w:id="3">
    <w:p w14:paraId="4393921C" w14:textId="77777777" w:rsidR="00E36FE2" w:rsidRPr="003834AE" w:rsidRDefault="00E36FE2" w:rsidP="00E36FE2">
      <w:pPr>
        <w:pStyle w:val="FootnoteText"/>
        <w:rPr>
          <w:rFonts w:ascii="MetaPro-Norm" w:hAnsi="MetaPro-Norm"/>
          <w:sz w:val="16"/>
          <w:szCs w:val="16"/>
        </w:rPr>
      </w:pPr>
      <w:r w:rsidRPr="00DB3F71">
        <w:rPr>
          <w:rStyle w:val="FootnoteReference"/>
          <w:rFonts w:ascii="MetaPro-Medi" w:hAnsi="MetaPro-Medi"/>
          <w:sz w:val="22"/>
          <w:szCs w:val="22"/>
        </w:rPr>
        <w:footnoteRef/>
      </w:r>
      <w:r w:rsidRPr="003834AE">
        <w:rPr>
          <w:rFonts w:ascii="MetaPro-Norm" w:hAnsi="MetaPro-Norm"/>
          <w:sz w:val="16"/>
          <w:szCs w:val="16"/>
        </w:rPr>
        <w:t xml:space="preserve"> </w:t>
      </w:r>
      <w:r>
        <w:rPr>
          <w:rFonts w:ascii="MetaPro-Norm" w:hAnsi="MetaPro-Norm"/>
          <w:sz w:val="16"/>
          <w:szCs w:val="16"/>
        </w:rPr>
        <w:t>Ibid.</w:t>
      </w:r>
      <w:r w:rsidRPr="003834AE">
        <w:rPr>
          <w:rFonts w:ascii="MetaPro-Norm" w:hAnsi="MetaPro-Norm"/>
          <w:sz w:val="16"/>
          <w:szCs w:val="16"/>
        </w:rPr>
        <w:t>, p. 4.</w:t>
      </w:r>
    </w:p>
  </w:footnote>
  <w:footnote w:id="4">
    <w:p w14:paraId="0F592779" w14:textId="3F0316F9" w:rsidR="00E36FE2" w:rsidRPr="003834AE" w:rsidRDefault="00E36FE2" w:rsidP="00E36FE2">
      <w:pPr>
        <w:pStyle w:val="FootnoteText"/>
        <w:rPr>
          <w:rFonts w:ascii="MetaPro-Norm" w:hAnsi="MetaPro-Norm"/>
          <w:sz w:val="16"/>
          <w:szCs w:val="16"/>
        </w:rPr>
      </w:pPr>
      <w:r w:rsidRPr="00DB3F71">
        <w:rPr>
          <w:rStyle w:val="FootnoteReference"/>
          <w:rFonts w:ascii="MetaPro-Medi" w:hAnsi="MetaPro-Medi"/>
          <w:sz w:val="22"/>
          <w:szCs w:val="22"/>
        </w:rPr>
        <w:footnoteRef/>
      </w:r>
      <w:r w:rsidRPr="00196656">
        <w:rPr>
          <w:rFonts w:ascii="MetaPro-Norm" w:hAnsi="MetaPro-Norm"/>
          <w:sz w:val="16"/>
          <w:szCs w:val="16"/>
        </w:rPr>
        <w:t xml:space="preserve"> </w:t>
      </w:r>
      <w:r w:rsidRPr="003834AE">
        <w:rPr>
          <w:rFonts w:ascii="MetaPro-Norm" w:eastAsia="MetaPro-Norm" w:hAnsi="MetaPro-Norm" w:cs="MetaPro-Norm"/>
          <w:sz w:val="16"/>
          <w:szCs w:val="16"/>
        </w:rPr>
        <w:t xml:space="preserve">UN Human Rights Council, Follow up report of the Special Rapporteur on torture and other cruel, inhuman or degrading treatment or punishment on his follow-up visit to the Republic of Ghana, A/HRC/31/57/Add.2, February 25, 2015, </w:t>
      </w:r>
      <w:r w:rsidRPr="003834AE">
        <w:rPr>
          <w:rFonts w:ascii="MetaPro-Norm" w:hAnsi="MetaPro-Norm"/>
          <w:sz w:val="16"/>
          <w:szCs w:val="16"/>
        </w:rPr>
        <w:t>https://undocs</w:t>
      </w:r>
      <w:r w:rsidRPr="003834AE">
        <w:rPr>
          <w:rFonts w:ascii="MetaPro-Norm" w:eastAsia="MetaPro-Norm" w:hAnsi="MetaPro-Norm" w:cs="MetaPro-Norm"/>
          <w:sz w:val="16"/>
          <w:szCs w:val="16"/>
        </w:rPr>
        <w:t xml:space="preserve">.org/en/A/HRC/31/57/Add.2 (accessed </w:t>
      </w:r>
      <w:r w:rsidR="004A76DF">
        <w:rPr>
          <w:rFonts w:ascii="MetaPro-Norm" w:eastAsia="MetaPro-Norm" w:hAnsi="MetaPro-Norm" w:cs="MetaPro-Norm"/>
          <w:sz w:val="16"/>
          <w:szCs w:val="16"/>
        </w:rPr>
        <w:t>August 4</w:t>
      </w:r>
      <w:r w:rsidRPr="003834AE">
        <w:rPr>
          <w:rFonts w:ascii="MetaPro-Norm" w:eastAsia="MetaPro-Norm" w:hAnsi="MetaPro-Norm" w:cs="MetaPro-Norm"/>
          <w:sz w:val="16"/>
          <w:szCs w:val="16"/>
        </w:rPr>
        <w:t>, 2022).</w:t>
      </w:r>
    </w:p>
  </w:footnote>
  <w:footnote w:id="5">
    <w:p w14:paraId="6A4C04A0" w14:textId="77777777" w:rsidR="00E36FE2" w:rsidRPr="00196656" w:rsidRDefault="00E36FE2" w:rsidP="00E36FE2">
      <w:pPr>
        <w:pStyle w:val="FootnoteText"/>
        <w:rPr>
          <w:rFonts w:ascii="MetaPro-Norm" w:hAnsi="MetaPro-Norm"/>
          <w:sz w:val="16"/>
          <w:szCs w:val="16"/>
        </w:rPr>
      </w:pPr>
      <w:r w:rsidRPr="00DB3F71">
        <w:rPr>
          <w:rStyle w:val="FootnoteReference"/>
          <w:rFonts w:ascii="MetaPro-Medi" w:hAnsi="MetaPro-Medi"/>
          <w:sz w:val="22"/>
          <w:szCs w:val="22"/>
        </w:rPr>
        <w:footnoteRef/>
      </w:r>
      <w:r>
        <w:rPr>
          <w:rFonts w:ascii="MetaPro-Norm" w:hAnsi="MetaPro-Norm"/>
          <w:sz w:val="16"/>
          <w:szCs w:val="16"/>
        </w:rPr>
        <w:t xml:space="preserve"> </w:t>
      </w:r>
      <w:r w:rsidRPr="00980051">
        <w:rPr>
          <w:rFonts w:ascii="MetaPro-Norm" w:hAnsi="MetaPro-Norm"/>
          <w:sz w:val="16"/>
          <w:szCs w:val="16"/>
        </w:rPr>
        <w:t>“</w:t>
      </w:r>
      <w:r w:rsidRPr="00024854">
        <w:rPr>
          <w:rFonts w:ascii="MetaPro-Norm" w:hAnsi="MetaPro-Norm"/>
          <w:sz w:val="16"/>
          <w:szCs w:val="16"/>
        </w:rPr>
        <w:t xml:space="preserve">Twins with mental </w:t>
      </w:r>
      <w:r>
        <w:rPr>
          <w:rFonts w:ascii="MetaPro-Norm" w:hAnsi="MetaPro-Norm"/>
          <w:sz w:val="16"/>
          <w:szCs w:val="16"/>
        </w:rPr>
        <w:t xml:space="preserve">disabilities </w:t>
      </w:r>
      <w:r w:rsidRPr="00024854">
        <w:rPr>
          <w:rFonts w:ascii="MetaPro-Norm" w:hAnsi="MetaPro-Norm"/>
          <w:sz w:val="16"/>
          <w:szCs w:val="16"/>
        </w:rPr>
        <w:t>c</w:t>
      </w:r>
      <w:r>
        <w:rPr>
          <w:rFonts w:ascii="MetaPro-Norm" w:hAnsi="MetaPro-Norm"/>
          <w:sz w:val="16"/>
          <w:szCs w:val="16"/>
        </w:rPr>
        <w:t>hained,</w:t>
      </w:r>
      <w:r w:rsidRPr="00024854">
        <w:rPr>
          <w:rFonts w:ascii="MetaPro-Norm" w:hAnsi="MetaPro-Norm"/>
          <w:sz w:val="16"/>
          <w:szCs w:val="16"/>
        </w:rPr>
        <w:t xml:space="preserve"> abandoned at GenSan</w:t>
      </w:r>
      <w:r w:rsidRPr="00980051">
        <w:rPr>
          <w:rFonts w:ascii="MetaPro-Norm" w:hAnsi="MetaPro-Norm"/>
          <w:sz w:val="16"/>
          <w:szCs w:val="16"/>
        </w:rPr>
        <w:t>”</w:t>
      </w:r>
      <w:r w:rsidRPr="00024854">
        <w:rPr>
          <w:rFonts w:ascii="MetaPro-Norm" w:hAnsi="MetaPro-Norm"/>
          <w:sz w:val="16"/>
          <w:szCs w:val="16"/>
        </w:rPr>
        <w:t xml:space="preserve"> </w:t>
      </w:r>
      <w:r>
        <w:rPr>
          <w:rFonts w:ascii="MetaPro-Norm" w:hAnsi="MetaPro-Norm"/>
          <w:sz w:val="16"/>
          <w:szCs w:val="16"/>
        </w:rPr>
        <w:t>(</w:t>
      </w:r>
      <w:r w:rsidRPr="00980051">
        <w:rPr>
          <w:rFonts w:ascii="MetaPro-Norm" w:hAnsi="MetaPro-Norm"/>
          <w:sz w:val="16"/>
          <w:szCs w:val="16"/>
        </w:rPr>
        <w:t>“</w:t>
      </w:r>
      <w:r w:rsidRPr="00196656">
        <w:rPr>
          <w:rFonts w:ascii="MetaPro-Norm" w:hAnsi="MetaPro-Norm"/>
          <w:sz w:val="16"/>
          <w:szCs w:val="16"/>
        </w:rPr>
        <w:t>Kambal na may kapansanan sa pag-iisip, ikinadena at inabandona sa GenSan</w:t>
      </w:r>
      <w:r w:rsidRPr="00980051">
        <w:rPr>
          <w:rFonts w:ascii="MetaPro-Norm" w:hAnsi="MetaPro-Norm"/>
          <w:sz w:val="16"/>
          <w:szCs w:val="16"/>
        </w:rPr>
        <w:t>”</w:t>
      </w:r>
      <w:r>
        <w:rPr>
          <w:rFonts w:ascii="MetaPro-Norm" w:hAnsi="MetaPro-Norm"/>
          <w:sz w:val="16"/>
          <w:szCs w:val="16"/>
        </w:rPr>
        <w:t xml:space="preserve">), </w:t>
      </w:r>
      <w:r w:rsidRPr="00CE74B8">
        <w:rPr>
          <w:rFonts w:ascii="MetaPro-Norm" w:hAnsi="MetaPro-Norm"/>
          <w:i/>
          <w:iCs/>
          <w:sz w:val="16"/>
          <w:szCs w:val="16"/>
        </w:rPr>
        <w:t>GMA News Balitambayan</w:t>
      </w:r>
      <w:r>
        <w:rPr>
          <w:rFonts w:ascii="MetaPro-Norm" w:hAnsi="MetaPro-Norm"/>
          <w:sz w:val="16"/>
          <w:szCs w:val="16"/>
        </w:rPr>
        <w:t xml:space="preserve">, November 22, 2021, </w:t>
      </w:r>
      <w:r w:rsidRPr="00644D8B">
        <w:rPr>
          <w:rFonts w:ascii="MetaPro-Norm" w:hAnsi="MetaPro-Norm"/>
          <w:sz w:val="16"/>
          <w:szCs w:val="16"/>
        </w:rPr>
        <w:t>https://www.gmanetwork.com/news/balitambayan/talakayan/811854/kambal-na-may-kapansanan-sa-pag-iisip-ikinadena-at-inabandona-sa-gensan/story/</w:t>
      </w:r>
      <w:r w:rsidRPr="00196656">
        <w:rPr>
          <w:rFonts w:ascii="MetaPro-Norm" w:hAnsi="MetaPro-Norm"/>
          <w:sz w:val="16"/>
          <w:szCs w:val="16"/>
        </w:rPr>
        <w:t xml:space="preserve"> (accessed August 4, 2022).</w:t>
      </w:r>
    </w:p>
  </w:footnote>
  <w:footnote w:id="6">
    <w:p w14:paraId="015A6CC2" w14:textId="77777777" w:rsidR="00E36FE2" w:rsidRPr="00196656" w:rsidRDefault="00E36FE2" w:rsidP="00E36FE2">
      <w:pPr>
        <w:pStyle w:val="FootnoteText"/>
        <w:rPr>
          <w:rFonts w:ascii="MetaPro-Norm" w:hAnsi="MetaPro-Norm"/>
          <w:sz w:val="16"/>
          <w:szCs w:val="16"/>
        </w:rPr>
      </w:pPr>
      <w:r w:rsidRPr="00DB3F71">
        <w:rPr>
          <w:rStyle w:val="FootnoteReference"/>
          <w:rFonts w:ascii="MetaPro-Medi" w:hAnsi="MetaPro-Medi"/>
          <w:sz w:val="22"/>
          <w:szCs w:val="22"/>
        </w:rPr>
        <w:footnoteRef/>
      </w:r>
      <w:r>
        <w:rPr>
          <w:rFonts w:ascii="MetaPro-Norm" w:hAnsi="MetaPro-Norm"/>
          <w:sz w:val="16"/>
          <w:szCs w:val="16"/>
        </w:rPr>
        <w:t xml:space="preserve"> </w:t>
      </w:r>
      <w:r w:rsidRPr="00980051">
        <w:rPr>
          <w:rFonts w:ascii="MetaPro-Norm" w:hAnsi="MetaPro-Norm"/>
          <w:sz w:val="16"/>
          <w:szCs w:val="16"/>
        </w:rPr>
        <w:t>“</w:t>
      </w:r>
      <w:r w:rsidRPr="00512A46">
        <w:rPr>
          <w:rFonts w:ascii="MetaPro-Norm" w:hAnsi="MetaPro-Norm"/>
          <w:sz w:val="16"/>
          <w:szCs w:val="16"/>
        </w:rPr>
        <w:t xml:space="preserve">11-year-old </w:t>
      </w:r>
      <w:r>
        <w:rPr>
          <w:rFonts w:ascii="MetaPro-Norm" w:hAnsi="MetaPro-Norm"/>
          <w:sz w:val="16"/>
          <w:szCs w:val="16"/>
        </w:rPr>
        <w:t>girl</w:t>
      </w:r>
      <w:r w:rsidRPr="00512A46">
        <w:rPr>
          <w:rFonts w:ascii="MetaPro-Norm" w:hAnsi="MetaPro-Norm"/>
          <w:sz w:val="16"/>
          <w:szCs w:val="16"/>
        </w:rPr>
        <w:t xml:space="preserve"> in Cebu</w:t>
      </w:r>
      <w:r>
        <w:rPr>
          <w:rFonts w:ascii="MetaPro-Norm" w:hAnsi="MetaPro-Norm"/>
          <w:sz w:val="16"/>
          <w:szCs w:val="16"/>
        </w:rPr>
        <w:t xml:space="preserve"> chained to her bed for</w:t>
      </w:r>
      <w:r w:rsidRPr="00512A46">
        <w:rPr>
          <w:rFonts w:ascii="MetaPro-Norm" w:hAnsi="MetaPro-Norm"/>
          <w:sz w:val="16"/>
          <w:szCs w:val="16"/>
        </w:rPr>
        <w:t xml:space="preserve"> eight years</w:t>
      </w:r>
      <w:r w:rsidRPr="00980051">
        <w:rPr>
          <w:rFonts w:ascii="MetaPro-Norm" w:hAnsi="MetaPro-Norm"/>
          <w:sz w:val="16"/>
          <w:szCs w:val="16"/>
        </w:rPr>
        <w:t>”</w:t>
      </w:r>
      <w:r w:rsidRPr="00512A46">
        <w:rPr>
          <w:rFonts w:ascii="MetaPro-Norm" w:hAnsi="MetaPro-Norm"/>
          <w:sz w:val="16"/>
          <w:szCs w:val="16"/>
        </w:rPr>
        <w:t xml:space="preserve"> </w:t>
      </w:r>
      <w:r>
        <w:rPr>
          <w:rFonts w:ascii="MetaPro-Norm" w:hAnsi="MetaPro-Norm"/>
          <w:sz w:val="16"/>
          <w:szCs w:val="16"/>
        </w:rPr>
        <w:t>(</w:t>
      </w:r>
      <w:r w:rsidRPr="00980051">
        <w:rPr>
          <w:rFonts w:ascii="MetaPro-Norm" w:hAnsi="MetaPro-Norm"/>
          <w:sz w:val="16"/>
          <w:szCs w:val="16"/>
        </w:rPr>
        <w:t>“</w:t>
      </w:r>
      <w:r w:rsidRPr="00196656">
        <w:rPr>
          <w:rFonts w:ascii="MetaPro-Norm" w:hAnsi="MetaPro-Norm"/>
          <w:sz w:val="16"/>
          <w:szCs w:val="16"/>
        </w:rPr>
        <w:t>11-anyos na babae sa Cebu, walong taon nang nakagapos sa higaan</w:t>
      </w:r>
      <w:r w:rsidRPr="00980051">
        <w:rPr>
          <w:rFonts w:ascii="MetaPro-Norm" w:hAnsi="MetaPro-Norm"/>
          <w:sz w:val="16"/>
          <w:szCs w:val="16"/>
        </w:rPr>
        <w:t>”</w:t>
      </w:r>
      <w:r>
        <w:rPr>
          <w:rFonts w:ascii="MetaPro-Norm" w:hAnsi="MetaPro-Norm"/>
          <w:sz w:val="16"/>
          <w:szCs w:val="16"/>
        </w:rPr>
        <w:t xml:space="preserve">), </w:t>
      </w:r>
      <w:r w:rsidRPr="00CE74B8">
        <w:rPr>
          <w:rFonts w:ascii="MetaPro-Norm" w:hAnsi="MetaPro-Norm"/>
          <w:i/>
          <w:iCs/>
          <w:sz w:val="16"/>
          <w:szCs w:val="16"/>
        </w:rPr>
        <w:t>GMA News Balitambayan</w:t>
      </w:r>
      <w:r>
        <w:rPr>
          <w:rFonts w:ascii="MetaPro-Norm" w:hAnsi="MetaPro-Norm"/>
          <w:sz w:val="16"/>
          <w:szCs w:val="16"/>
        </w:rPr>
        <w:t xml:space="preserve">, July 19, 2021, </w:t>
      </w:r>
      <w:r w:rsidRPr="00644D8B">
        <w:rPr>
          <w:rFonts w:ascii="MetaPro-Norm" w:hAnsi="MetaPro-Norm"/>
          <w:sz w:val="16"/>
          <w:szCs w:val="16"/>
        </w:rPr>
        <w:t>https://www.gmanetwork.com/news/balitambayan/promdi/795965/11-anyos-na-babae-sa-cebu-walong-taon-nang-nakagapos-sa-higaan/story/</w:t>
      </w:r>
      <w:r w:rsidRPr="00196656">
        <w:rPr>
          <w:rFonts w:ascii="MetaPro-Norm" w:hAnsi="MetaPro-Norm"/>
          <w:sz w:val="16"/>
          <w:szCs w:val="16"/>
        </w:rPr>
        <w:t xml:space="preserve"> (accessed August 4, 2022).</w:t>
      </w:r>
    </w:p>
  </w:footnote>
  <w:footnote w:id="7">
    <w:p w14:paraId="09E25B8A" w14:textId="6B3B4909" w:rsidR="00637BC0" w:rsidRPr="00E35A6B" w:rsidRDefault="00637BC0" w:rsidP="00EE4336">
      <w:pPr>
        <w:pStyle w:val="FootnoteText"/>
        <w:rPr>
          <w:rFonts w:ascii="MetaPro-Norm" w:hAnsi="MetaPro-Norm"/>
          <w:sz w:val="16"/>
          <w:szCs w:val="16"/>
        </w:rPr>
      </w:pPr>
      <w:r w:rsidRPr="00DB3F71">
        <w:rPr>
          <w:rStyle w:val="FootnoteReference"/>
          <w:rFonts w:ascii="MetaPro-Medi" w:hAnsi="MetaPro-Medi"/>
          <w:sz w:val="22"/>
          <w:szCs w:val="22"/>
        </w:rPr>
        <w:footnoteRef/>
      </w:r>
      <w:r w:rsidRPr="00E35A6B">
        <w:rPr>
          <w:rFonts w:ascii="MetaPro-Norm" w:hAnsi="MetaPro-Norm"/>
          <w:sz w:val="16"/>
          <w:szCs w:val="16"/>
        </w:rPr>
        <w:t xml:space="preserve"> </w:t>
      </w:r>
      <w:r w:rsidR="00EE4336" w:rsidRPr="00EE4336">
        <w:rPr>
          <w:rFonts w:ascii="MetaPro-Norm" w:hAnsi="MetaPro-Norm"/>
          <w:sz w:val="16"/>
          <w:szCs w:val="16"/>
        </w:rPr>
        <w:t>Global Coalition to Protect Education from Attack</w:t>
      </w:r>
      <w:r w:rsidR="00EE4336">
        <w:rPr>
          <w:rFonts w:ascii="MetaPro-Norm" w:hAnsi="MetaPro-Norm"/>
          <w:sz w:val="16"/>
          <w:szCs w:val="16"/>
        </w:rPr>
        <w:t xml:space="preserve"> (GCPEA)</w:t>
      </w:r>
      <w:r w:rsidRPr="00E35A6B">
        <w:rPr>
          <w:rFonts w:ascii="MetaPro-Norm" w:hAnsi="MetaPro-Norm"/>
          <w:sz w:val="16"/>
          <w:szCs w:val="16"/>
        </w:rPr>
        <w:t xml:space="preserve">, </w:t>
      </w:r>
      <w:r w:rsidR="00997682">
        <w:rPr>
          <w:rFonts w:ascii="MetaPro-Norm" w:hAnsi="MetaPro-Norm"/>
          <w:sz w:val="16"/>
          <w:szCs w:val="16"/>
        </w:rPr>
        <w:t xml:space="preserve">“Turkey Country Profile,” in </w:t>
      </w:r>
      <w:r w:rsidRPr="00EE4336">
        <w:rPr>
          <w:rFonts w:ascii="MetaPro-Norm" w:hAnsi="MetaPro-Norm"/>
          <w:i/>
          <w:iCs/>
          <w:sz w:val="16"/>
          <w:szCs w:val="16"/>
        </w:rPr>
        <w:t>Education Under Attack 2022: A Global Study of Attacks on Schools, Universities, their Students and Staff</w:t>
      </w:r>
      <w:r w:rsidRPr="00E35A6B">
        <w:rPr>
          <w:rFonts w:ascii="MetaPro-Norm" w:hAnsi="MetaPro-Norm"/>
          <w:sz w:val="16"/>
          <w:szCs w:val="16"/>
        </w:rPr>
        <w:t xml:space="preserve">, June 2022, </w:t>
      </w:r>
      <w:r w:rsidRPr="00AF7E04">
        <w:rPr>
          <w:rFonts w:ascii="MetaPro-Norm" w:hAnsi="MetaPro-Norm"/>
          <w:sz w:val="16"/>
          <w:szCs w:val="16"/>
        </w:rPr>
        <w:t>https://9ehb82bl65d34vylp1jrlfy5-wpengine.netdna-ssl.com/wp-content/uploads/eua_2022.pdf</w:t>
      </w:r>
      <w:r w:rsidRPr="00E35A6B">
        <w:rPr>
          <w:rFonts w:ascii="MetaPro-Norm" w:hAnsi="MetaPro-Norm"/>
          <w:sz w:val="16"/>
          <w:szCs w:val="16"/>
        </w:rPr>
        <w:t xml:space="preserve"> (accessed July 22, 2022), p. 175.</w:t>
      </w:r>
    </w:p>
  </w:footnote>
  <w:footnote w:id="8">
    <w:p w14:paraId="63806CF8" w14:textId="29541F60" w:rsidR="00DB0908" w:rsidRPr="00E35A6B" w:rsidRDefault="00DB0908" w:rsidP="008E1531">
      <w:pPr>
        <w:pStyle w:val="FootnoteText"/>
        <w:rPr>
          <w:rFonts w:ascii="MetaPro-Norm" w:hAnsi="MetaPro-Norm"/>
          <w:sz w:val="16"/>
          <w:szCs w:val="16"/>
        </w:rPr>
      </w:pPr>
      <w:r w:rsidRPr="00DB3F71">
        <w:rPr>
          <w:rStyle w:val="FootnoteReference"/>
          <w:rFonts w:ascii="MetaPro-Medi" w:hAnsi="MetaPro-Medi"/>
          <w:sz w:val="22"/>
          <w:szCs w:val="22"/>
        </w:rPr>
        <w:footnoteRef/>
      </w:r>
      <w:r w:rsidR="00DA3118">
        <w:rPr>
          <w:rFonts w:ascii="MetaPro-Norm" w:hAnsi="MetaPro-Norm"/>
          <w:sz w:val="16"/>
          <w:szCs w:val="16"/>
        </w:rPr>
        <w:t xml:space="preserve"> </w:t>
      </w:r>
      <w:r w:rsidRPr="00E35A6B">
        <w:rPr>
          <w:rFonts w:ascii="MetaPro-Norm" w:hAnsi="MetaPro-Norm"/>
          <w:sz w:val="16"/>
          <w:szCs w:val="16"/>
        </w:rPr>
        <w:t>“Filipino children continue missing education opportunities in another year of school closure</w:t>
      </w:r>
      <w:r w:rsidR="00FA0223">
        <w:rPr>
          <w:rFonts w:ascii="MetaPro-Norm" w:hAnsi="MetaPro-Norm"/>
          <w:sz w:val="16"/>
          <w:szCs w:val="16"/>
        </w:rPr>
        <w:t>,</w:t>
      </w:r>
      <w:r w:rsidRPr="00E35A6B">
        <w:rPr>
          <w:rFonts w:ascii="MetaPro-Norm" w:hAnsi="MetaPro-Norm"/>
          <w:sz w:val="16"/>
          <w:szCs w:val="16"/>
        </w:rPr>
        <w:t xml:space="preserve">” </w:t>
      </w:r>
      <w:r w:rsidR="00DA3118">
        <w:rPr>
          <w:rFonts w:ascii="MetaPro-Norm" w:hAnsi="MetaPro-Norm"/>
          <w:sz w:val="16"/>
          <w:szCs w:val="16"/>
        </w:rPr>
        <w:t xml:space="preserve">UNICEF press release, August 25, 2021, </w:t>
      </w:r>
      <w:r w:rsidR="00DA3118" w:rsidRPr="00DA3118">
        <w:rPr>
          <w:rFonts w:ascii="MetaPro-Norm" w:hAnsi="MetaPro-Norm"/>
          <w:sz w:val="16"/>
          <w:szCs w:val="16"/>
        </w:rPr>
        <w:t>https://www.unicef.org/philippines/press-releases/filipino-children-continue-missing-education-opportunities-another-year-school</w:t>
      </w:r>
      <w:r w:rsidR="00DA3118">
        <w:rPr>
          <w:rFonts w:ascii="MetaPro-Norm" w:hAnsi="MetaPro-Norm"/>
          <w:sz w:val="16"/>
          <w:szCs w:val="16"/>
        </w:rPr>
        <w:t xml:space="preserve"> (accessed August 4, 2022)</w:t>
      </w:r>
      <w:r w:rsidR="0046655D" w:rsidRPr="00E35A6B">
        <w:rPr>
          <w:rFonts w:ascii="MetaPro-Norm" w:hAnsi="MetaPro-Norm"/>
          <w:sz w:val="16"/>
          <w:szCs w:val="16"/>
        </w:rPr>
        <w:t>;</w:t>
      </w:r>
      <w:r w:rsidRPr="00E35A6B">
        <w:rPr>
          <w:rFonts w:ascii="MetaPro-Norm" w:hAnsi="MetaPro-Norm"/>
          <w:sz w:val="16"/>
          <w:szCs w:val="16"/>
        </w:rPr>
        <w:t xml:space="preserve"> “Fighting Against a World Without Education</w:t>
      </w:r>
      <w:r w:rsidR="00DA3118">
        <w:rPr>
          <w:rFonts w:ascii="MetaPro-Norm" w:hAnsi="MetaPro-Norm"/>
          <w:sz w:val="16"/>
          <w:szCs w:val="16"/>
        </w:rPr>
        <w:t>,</w:t>
      </w:r>
      <w:r w:rsidRPr="00E35A6B">
        <w:rPr>
          <w:rFonts w:ascii="MetaPro-Norm" w:hAnsi="MetaPro-Norm"/>
          <w:sz w:val="16"/>
          <w:szCs w:val="16"/>
        </w:rPr>
        <w:t>” FundLife International news release, March 17, 2021</w:t>
      </w:r>
      <w:r w:rsidR="000368E9">
        <w:rPr>
          <w:rFonts w:ascii="MetaPro-Norm" w:hAnsi="MetaPro-Norm"/>
          <w:sz w:val="16"/>
          <w:szCs w:val="16"/>
        </w:rPr>
        <w:t xml:space="preserve">, </w:t>
      </w:r>
      <w:r w:rsidR="000368E9" w:rsidRPr="000368E9">
        <w:rPr>
          <w:rFonts w:ascii="MetaPro-Norm" w:hAnsi="MetaPro-Norm"/>
          <w:sz w:val="16"/>
          <w:szCs w:val="16"/>
        </w:rPr>
        <w:t>https://reliefweb.int/report/philippines/fighting-against-world-without-education</w:t>
      </w:r>
      <w:r w:rsidR="000368E9">
        <w:rPr>
          <w:rFonts w:ascii="MetaPro-Norm" w:hAnsi="MetaPro-Norm"/>
          <w:sz w:val="16"/>
          <w:szCs w:val="16"/>
        </w:rPr>
        <w:t xml:space="preserve"> (accessed August 4, 2021)</w:t>
      </w:r>
      <w:r w:rsidR="0046655D" w:rsidRPr="00E35A6B">
        <w:rPr>
          <w:rFonts w:ascii="MetaPro-Norm" w:hAnsi="MetaPro-Norm"/>
          <w:sz w:val="16"/>
          <w:szCs w:val="16"/>
        </w:rPr>
        <w:t xml:space="preserve">; and Carlos H. Conde, “Troubling Raid on Philippine Indigenous School,” </w:t>
      </w:r>
      <w:r w:rsidR="005B0B8B">
        <w:rPr>
          <w:rFonts w:ascii="MetaPro-Norm" w:hAnsi="MetaPro-Norm"/>
          <w:sz w:val="16"/>
          <w:szCs w:val="16"/>
        </w:rPr>
        <w:t xml:space="preserve">commentary, </w:t>
      </w:r>
      <w:r w:rsidR="0046655D" w:rsidRPr="00E35A6B">
        <w:rPr>
          <w:rFonts w:ascii="MetaPro-Norm" w:hAnsi="MetaPro-Norm"/>
          <w:sz w:val="16"/>
          <w:szCs w:val="16"/>
        </w:rPr>
        <w:t xml:space="preserve">Human Rights </w:t>
      </w:r>
      <w:r w:rsidR="000368E9">
        <w:rPr>
          <w:rFonts w:ascii="MetaPro-Norm" w:hAnsi="MetaPro-Norm"/>
          <w:sz w:val="16"/>
          <w:szCs w:val="16"/>
        </w:rPr>
        <w:t>D</w:t>
      </w:r>
      <w:r w:rsidR="0046655D" w:rsidRPr="00E35A6B">
        <w:rPr>
          <w:rFonts w:ascii="MetaPro-Norm" w:hAnsi="MetaPro-Norm"/>
          <w:sz w:val="16"/>
          <w:szCs w:val="16"/>
        </w:rPr>
        <w:t>ispatch, February 17, 2021</w:t>
      </w:r>
      <w:r w:rsidR="00CF6E16">
        <w:rPr>
          <w:rFonts w:ascii="MetaPro-Norm" w:hAnsi="MetaPro-Norm"/>
          <w:sz w:val="16"/>
          <w:szCs w:val="16"/>
        </w:rPr>
        <w:t xml:space="preserve">, </w:t>
      </w:r>
      <w:r w:rsidR="00CF6E16" w:rsidRPr="00CF6E16">
        <w:rPr>
          <w:rFonts w:ascii="MetaPro-Norm" w:hAnsi="MetaPro-Norm"/>
          <w:sz w:val="16"/>
          <w:szCs w:val="16"/>
        </w:rPr>
        <w:t>https://www.hrw.org/news/2021/02/17/troubling-raid-philippine-indigenous-school</w:t>
      </w:r>
      <w:r w:rsidR="00CF6E16">
        <w:rPr>
          <w:rFonts w:ascii="MetaPro-Norm" w:hAnsi="MetaPro-Norm"/>
          <w:sz w:val="16"/>
          <w:szCs w:val="16"/>
        </w:rPr>
        <w:t>.</w:t>
      </w:r>
    </w:p>
  </w:footnote>
  <w:footnote w:id="9">
    <w:p w14:paraId="271B2C7B" w14:textId="63FD147F" w:rsidR="004703EF" w:rsidRPr="00E35A6B" w:rsidRDefault="004703EF" w:rsidP="008E1531">
      <w:pPr>
        <w:pStyle w:val="FootnoteText"/>
        <w:rPr>
          <w:rFonts w:ascii="MetaPro-Norm" w:hAnsi="MetaPro-Norm"/>
          <w:sz w:val="16"/>
          <w:szCs w:val="16"/>
        </w:rPr>
      </w:pPr>
      <w:r w:rsidRPr="00DB3F71">
        <w:rPr>
          <w:rStyle w:val="FootnoteReference"/>
          <w:rFonts w:ascii="MetaPro-Medi" w:hAnsi="MetaPro-Medi"/>
          <w:sz w:val="22"/>
          <w:szCs w:val="22"/>
        </w:rPr>
        <w:footnoteRef/>
      </w:r>
      <w:r w:rsidRPr="00E35A6B">
        <w:rPr>
          <w:rFonts w:ascii="MetaPro-Norm" w:hAnsi="MetaPro-Norm"/>
          <w:sz w:val="16"/>
          <w:szCs w:val="16"/>
        </w:rPr>
        <w:t xml:space="preserve"> GCPEA, </w:t>
      </w:r>
      <w:r w:rsidR="00872B58">
        <w:rPr>
          <w:rFonts w:ascii="MetaPro-Norm" w:hAnsi="MetaPro-Norm"/>
          <w:sz w:val="16"/>
          <w:szCs w:val="16"/>
        </w:rPr>
        <w:t xml:space="preserve">“Turkey Country Profile,” in </w:t>
      </w:r>
      <w:r w:rsidRPr="00872B58">
        <w:rPr>
          <w:rFonts w:ascii="MetaPro-Norm" w:hAnsi="MetaPro-Norm"/>
          <w:i/>
          <w:iCs/>
          <w:sz w:val="16"/>
          <w:szCs w:val="16"/>
        </w:rPr>
        <w:t>Education Under Attack 2022: A Global Study of Attacks on Schools, Universities, their Students and Staff</w:t>
      </w:r>
      <w:r w:rsidRPr="00E35A6B">
        <w:rPr>
          <w:rFonts w:ascii="MetaPro-Norm" w:hAnsi="MetaPro-Norm"/>
          <w:sz w:val="16"/>
          <w:szCs w:val="16"/>
        </w:rPr>
        <w:t xml:space="preserve">, June 2022, </w:t>
      </w:r>
      <w:r w:rsidRPr="00872B58">
        <w:rPr>
          <w:rFonts w:ascii="MetaPro-Norm" w:hAnsi="MetaPro-Norm"/>
          <w:sz w:val="16"/>
          <w:szCs w:val="16"/>
        </w:rPr>
        <w:t>https://9ehb82bl65d34vylp1jrlfy5-wpengine.netdna-ssl.com/wp-content/uploads/eua_2022.pdf</w:t>
      </w:r>
      <w:r w:rsidRPr="00E35A6B">
        <w:rPr>
          <w:rFonts w:ascii="MetaPro-Norm" w:hAnsi="MetaPro-Norm"/>
          <w:sz w:val="16"/>
          <w:szCs w:val="16"/>
        </w:rPr>
        <w:t xml:space="preserve"> (accessed Ju</w:t>
      </w:r>
      <w:r w:rsidR="003360D3" w:rsidRPr="00E35A6B">
        <w:rPr>
          <w:rFonts w:ascii="MetaPro-Norm" w:hAnsi="MetaPro-Norm"/>
          <w:sz w:val="16"/>
          <w:szCs w:val="16"/>
        </w:rPr>
        <w:t>ly</w:t>
      </w:r>
      <w:r w:rsidRPr="00E35A6B">
        <w:rPr>
          <w:rFonts w:ascii="MetaPro-Norm" w:hAnsi="MetaPro-Norm"/>
          <w:sz w:val="16"/>
          <w:szCs w:val="16"/>
        </w:rPr>
        <w:t xml:space="preserve"> 2</w:t>
      </w:r>
      <w:r w:rsidR="003360D3" w:rsidRPr="00E35A6B">
        <w:rPr>
          <w:rFonts w:ascii="MetaPro-Norm" w:hAnsi="MetaPro-Norm"/>
          <w:sz w:val="16"/>
          <w:szCs w:val="16"/>
        </w:rPr>
        <w:t>2</w:t>
      </w:r>
      <w:r w:rsidRPr="00E35A6B">
        <w:rPr>
          <w:rFonts w:ascii="MetaPro-Norm" w:hAnsi="MetaPro-Norm"/>
          <w:sz w:val="16"/>
          <w:szCs w:val="16"/>
        </w:rPr>
        <w:t>, 2022), p. 1</w:t>
      </w:r>
      <w:r w:rsidR="003360D3" w:rsidRPr="00E35A6B">
        <w:rPr>
          <w:rFonts w:ascii="MetaPro-Norm" w:hAnsi="MetaPro-Norm"/>
          <w:sz w:val="16"/>
          <w:szCs w:val="16"/>
        </w:rPr>
        <w:t>76.</w:t>
      </w:r>
    </w:p>
  </w:footnote>
  <w:footnote w:id="10">
    <w:p w14:paraId="272A45B7" w14:textId="7F083FD3" w:rsidR="00623C08" w:rsidRPr="00E35A6B" w:rsidRDefault="00623C08" w:rsidP="008E1531">
      <w:pPr>
        <w:pStyle w:val="FootnoteText"/>
        <w:rPr>
          <w:rFonts w:ascii="MetaPro-Norm" w:hAnsi="MetaPro-Norm"/>
          <w:sz w:val="16"/>
          <w:szCs w:val="16"/>
        </w:rPr>
      </w:pPr>
      <w:r w:rsidRPr="00DB3F71">
        <w:rPr>
          <w:rStyle w:val="FootnoteReference"/>
          <w:rFonts w:ascii="MetaPro-Medi" w:hAnsi="MetaPro-Medi"/>
          <w:sz w:val="22"/>
          <w:szCs w:val="22"/>
        </w:rPr>
        <w:footnoteRef/>
      </w:r>
      <w:r w:rsidRPr="00E35A6B">
        <w:rPr>
          <w:rFonts w:ascii="MetaPro-Norm" w:hAnsi="MetaPro-Norm"/>
          <w:sz w:val="16"/>
          <w:szCs w:val="16"/>
        </w:rPr>
        <w:t xml:space="preserve"> Ibid.</w:t>
      </w:r>
    </w:p>
  </w:footnote>
  <w:footnote w:id="11">
    <w:p w14:paraId="27A0E5DC" w14:textId="489E3219" w:rsidR="00E8237F" w:rsidRPr="00DB05D1" w:rsidRDefault="00E8237F" w:rsidP="00E8237F">
      <w:pPr>
        <w:pStyle w:val="FootnoteText"/>
        <w:rPr>
          <w:rFonts w:ascii="MetaPro-Norm" w:hAnsi="MetaPro-Norm"/>
          <w:sz w:val="16"/>
          <w:szCs w:val="16"/>
        </w:rPr>
      </w:pPr>
      <w:r w:rsidRPr="00F15448">
        <w:rPr>
          <w:rStyle w:val="FootnoteReference"/>
          <w:rFonts w:ascii="MetaPro-Medi" w:hAnsi="MetaPro-Medi"/>
          <w:sz w:val="22"/>
          <w:szCs w:val="22"/>
        </w:rPr>
        <w:footnoteRef/>
      </w:r>
      <w:r w:rsidRPr="00DB05D1">
        <w:rPr>
          <w:rFonts w:ascii="MetaPro-Norm" w:hAnsi="MetaPro-Norm"/>
          <w:sz w:val="16"/>
          <w:szCs w:val="16"/>
        </w:rPr>
        <w:t xml:space="preserve"> UN Secretary</w:t>
      </w:r>
      <w:r w:rsidR="00135033">
        <w:rPr>
          <w:rFonts w:ascii="MetaPro-Norm" w:hAnsi="MetaPro-Norm"/>
          <w:sz w:val="16"/>
          <w:szCs w:val="16"/>
        </w:rPr>
        <w:t>-</w:t>
      </w:r>
      <w:r w:rsidRPr="00DB05D1">
        <w:rPr>
          <w:rFonts w:ascii="MetaPro-Norm" w:hAnsi="MetaPro-Norm"/>
          <w:sz w:val="16"/>
          <w:szCs w:val="16"/>
        </w:rPr>
        <w:t>General, “Children and Armed Conflict,” S/2022/493, June 23, 2022, para. 2</w:t>
      </w:r>
      <w:r w:rsidR="001F4F28" w:rsidRPr="00DB05D1">
        <w:rPr>
          <w:rFonts w:ascii="MetaPro-Norm" w:hAnsi="MetaPro-Norm"/>
          <w:sz w:val="16"/>
          <w:szCs w:val="16"/>
        </w:rPr>
        <w:t>85</w:t>
      </w:r>
      <w:r w:rsidRPr="00DB05D1">
        <w:rPr>
          <w:rFonts w:ascii="MetaPro-Norm" w:hAnsi="MetaPro-Norm"/>
          <w:sz w:val="16"/>
          <w:szCs w:val="16"/>
        </w:rPr>
        <w:t>.</w:t>
      </w:r>
    </w:p>
  </w:footnote>
  <w:footnote w:id="12">
    <w:p w14:paraId="38AE8E2B" w14:textId="614CE53B" w:rsidR="00DF5A12" w:rsidRPr="00DB05D1" w:rsidRDefault="00DF5A12">
      <w:pPr>
        <w:pStyle w:val="FootnoteText"/>
        <w:rPr>
          <w:rFonts w:ascii="MetaPro-Norm" w:hAnsi="MetaPro-Norm"/>
          <w:sz w:val="16"/>
          <w:szCs w:val="16"/>
        </w:rPr>
      </w:pPr>
      <w:r w:rsidRPr="00F15448">
        <w:rPr>
          <w:rStyle w:val="FootnoteReference"/>
          <w:rFonts w:ascii="MetaPro-Medi" w:hAnsi="MetaPro-Medi"/>
          <w:sz w:val="22"/>
          <w:szCs w:val="22"/>
        </w:rPr>
        <w:footnoteRef/>
      </w:r>
      <w:r w:rsidRPr="00DB05D1">
        <w:rPr>
          <w:rFonts w:ascii="MetaPro-Norm" w:hAnsi="MetaPro-Norm"/>
          <w:sz w:val="16"/>
          <w:szCs w:val="16"/>
        </w:rPr>
        <w:t xml:space="preserve"> Republic Act No. 7610, An Act Providing for Stronger Deterrence and Special Protection against Child Abuse, Exploitation, and Discrimination, Providing Penalties for its Violation and Other Purposes, June 17, 1992, art. X(22)(e).</w:t>
      </w:r>
    </w:p>
  </w:footnote>
  <w:footnote w:id="13">
    <w:p w14:paraId="1A07B5DB" w14:textId="411C7A23" w:rsidR="00DF5A12" w:rsidRPr="00DB05D1" w:rsidRDefault="00DF5A12">
      <w:pPr>
        <w:pStyle w:val="FootnoteText"/>
        <w:rPr>
          <w:rFonts w:ascii="MetaPro-Norm" w:hAnsi="MetaPro-Norm"/>
          <w:sz w:val="16"/>
          <w:szCs w:val="16"/>
        </w:rPr>
      </w:pPr>
      <w:r w:rsidRPr="00F15448">
        <w:rPr>
          <w:rStyle w:val="FootnoteReference"/>
          <w:rFonts w:ascii="MetaPro-Medi" w:hAnsi="MetaPro-Medi"/>
          <w:sz w:val="22"/>
          <w:szCs w:val="22"/>
        </w:rPr>
        <w:footnoteRef/>
      </w:r>
      <w:r w:rsidRPr="00DB05D1">
        <w:rPr>
          <w:rFonts w:ascii="MetaPro-Norm" w:hAnsi="MetaPro-Norm"/>
          <w:sz w:val="16"/>
          <w:szCs w:val="16"/>
        </w:rPr>
        <w:t xml:space="preserve"> Republic Act No. 11188, An Act Providing for the Special Protection of Children in Situations of Armed Conflict and Providing Penalties for Violations Thereof, January 10, 2019, sec</w:t>
      </w:r>
      <w:r w:rsidR="00E9268E">
        <w:rPr>
          <w:rFonts w:ascii="MetaPro-Norm" w:hAnsi="MetaPro-Norm"/>
          <w:sz w:val="16"/>
          <w:szCs w:val="16"/>
        </w:rPr>
        <w:t>s</w:t>
      </w:r>
      <w:r w:rsidRPr="00DB05D1">
        <w:rPr>
          <w:rFonts w:ascii="MetaPro-Norm" w:hAnsi="MetaPro-Norm"/>
          <w:sz w:val="16"/>
          <w:szCs w:val="16"/>
        </w:rPr>
        <w:t xml:space="preserve">. </w:t>
      </w:r>
      <w:r w:rsidR="00E35A6B" w:rsidRPr="00DB05D1">
        <w:rPr>
          <w:rFonts w:ascii="MetaPro-Norm" w:hAnsi="MetaPro-Norm"/>
          <w:sz w:val="16"/>
          <w:szCs w:val="16"/>
        </w:rPr>
        <w:t>5 &amp; 9</w:t>
      </w:r>
      <w:r w:rsidRPr="00DB05D1">
        <w:rPr>
          <w:rFonts w:ascii="MetaPro-Norm" w:hAnsi="MetaPro-Norm"/>
          <w:sz w:val="16"/>
          <w:szCs w:val="16"/>
        </w:rPr>
        <w:t>.</w:t>
      </w:r>
    </w:p>
  </w:footnote>
  <w:footnote w:id="14">
    <w:p w14:paraId="7356B155" w14:textId="7C79A164" w:rsidR="00C12A40" w:rsidRPr="00DB05D1" w:rsidRDefault="00C12A40" w:rsidP="00C12A40">
      <w:pPr>
        <w:pStyle w:val="FootnoteText"/>
        <w:rPr>
          <w:rFonts w:ascii="MetaPro-Norm" w:hAnsi="MetaPro-Norm"/>
          <w:sz w:val="16"/>
          <w:szCs w:val="16"/>
        </w:rPr>
      </w:pPr>
      <w:r w:rsidRPr="00F15448">
        <w:rPr>
          <w:rStyle w:val="FootnoteReference"/>
          <w:rFonts w:ascii="MetaPro-Medi" w:hAnsi="MetaPro-Medi"/>
          <w:sz w:val="22"/>
          <w:szCs w:val="22"/>
        </w:rPr>
        <w:footnoteRef/>
      </w:r>
      <w:r w:rsidRPr="00DB05D1">
        <w:rPr>
          <w:rFonts w:ascii="MetaPro-Norm" w:hAnsi="MetaPro-Norm"/>
          <w:sz w:val="16"/>
          <w:szCs w:val="16"/>
        </w:rPr>
        <w:t xml:space="preserve"> UN Secretary</w:t>
      </w:r>
      <w:r w:rsidR="00135033">
        <w:rPr>
          <w:rFonts w:ascii="MetaPro-Norm" w:hAnsi="MetaPro-Norm"/>
          <w:sz w:val="16"/>
          <w:szCs w:val="16"/>
        </w:rPr>
        <w:t>-</w:t>
      </w:r>
      <w:r w:rsidRPr="00DB05D1">
        <w:rPr>
          <w:rFonts w:ascii="MetaPro-Norm" w:hAnsi="MetaPro-Norm"/>
          <w:sz w:val="16"/>
          <w:szCs w:val="16"/>
        </w:rPr>
        <w:t>General, “Children and Armed Conflict,” S/2022/493, June 23, 2022, para. 291.</w:t>
      </w:r>
    </w:p>
  </w:footnote>
  <w:footnote w:id="15">
    <w:p w14:paraId="3027E092" w14:textId="5461731C" w:rsidR="006C1823" w:rsidRPr="00E35A6B" w:rsidRDefault="006C1823" w:rsidP="008E1531">
      <w:pPr>
        <w:pStyle w:val="FootnoteText"/>
        <w:rPr>
          <w:rFonts w:ascii="MetaPro-Norm" w:hAnsi="MetaPro-Norm"/>
          <w:sz w:val="16"/>
          <w:szCs w:val="16"/>
        </w:rPr>
      </w:pPr>
      <w:r w:rsidRPr="00F15448">
        <w:rPr>
          <w:rStyle w:val="FootnoteReference"/>
          <w:rFonts w:ascii="MetaPro-Medi" w:hAnsi="MetaPro-Medi"/>
          <w:sz w:val="22"/>
          <w:szCs w:val="22"/>
        </w:rPr>
        <w:footnoteRef/>
      </w:r>
      <w:r w:rsidRPr="00E35A6B">
        <w:rPr>
          <w:rFonts w:ascii="MetaPro-Norm" w:hAnsi="MetaPro-Norm"/>
          <w:sz w:val="16"/>
          <w:szCs w:val="16"/>
        </w:rPr>
        <w:t xml:space="preserve"> </w:t>
      </w:r>
      <w:r w:rsidRPr="00E35A6B">
        <w:rPr>
          <w:rFonts w:ascii="MetaPro-Norm" w:eastAsia="Calibri" w:hAnsi="MetaPro-Norm" w:cs="Calibri"/>
          <w:sz w:val="16"/>
          <w:szCs w:val="16"/>
        </w:rPr>
        <w:t xml:space="preserve">Safe Schools Declaration, May 28, 2015, </w:t>
      </w:r>
      <w:r w:rsidRPr="0032616A">
        <w:rPr>
          <w:rFonts w:ascii="MetaPro-Norm" w:eastAsia="Calibri" w:hAnsi="MetaPro-Norm" w:cs="Calibri"/>
          <w:sz w:val="16"/>
          <w:szCs w:val="16"/>
        </w:rPr>
        <w:t>https://www.regjeringen.no/globalassets/departementene/ud/vedlegg/utvikling/safe_schools_declaration.pdf</w:t>
      </w:r>
      <w:r w:rsidRPr="00E35A6B">
        <w:rPr>
          <w:rFonts w:ascii="MetaPro-Norm" w:eastAsia="Calibri" w:hAnsi="MetaPro-Norm" w:cs="Calibri"/>
          <w:sz w:val="16"/>
          <w:szCs w:val="16"/>
        </w:rPr>
        <w:t xml:space="preserve"> (accessed </w:t>
      </w:r>
      <w:r w:rsidR="000C058A">
        <w:rPr>
          <w:rFonts w:ascii="MetaPro-Norm" w:eastAsia="Calibri" w:hAnsi="MetaPro-Norm" w:cs="Calibri"/>
          <w:sz w:val="16"/>
          <w:szCs w:val="16"/>
        </w:rPr>
        <w:t>August</w:t>
      </w:r>
      <w:r w:rsidRPr="00E35A6B">
        <w:rPr>
          <w:rFonts w:ascii="MetaPro-Norm" w:eastAsia="Calibri" w:hAnsi="MetaPro-Norm" w:cs="Calibri"/>
          <w:sz w:val="16"/>
          <w:szCs w:val="16"/>
        </w:rPr>
        <w:t xml:space="preserve"> </w:t>
      </w:r>
      <w:r w:rsidR="000C058A">
        <w:rPr>
          <w:rFonts w:ascii="MetaPro-Norm" w:eastAsia="Calibri" w:hAnsi="MetaPro-Norm" w:cs="Calibri"/>
          <w:sz w:val="16"/>
          <w:szCs w:val="16"/>
        </w:rPr>
        <w:t>4</w:t>
      </w:r>
      <w:r w:rsidRPr="00E35A6B">
        <w:rPr>
          <w:rFonts w:ascii="MetaPro-Norm" w:eastAsia="Calibri" w:hAnsi="MetaPro-Norm" w:cs="Calibri"/>
          <w:sz w:val="16"/>
          <w:szCs w:val="16"/>
        </w:rPr>
        <w:t>, 20</w:t>
      </w:r>
      <w:r w:rsidR="000C058A">
        <w:rPr>
          <w:rFonts w:ascii="MetaPro-Norm" w:eastAsia="Calibri" w:hAnsi="MetaPro-Norm" w:cs="Calibri"/>
          <w:sz w:val="16"/>
          <w:szCs w:val="16"/>
        </w:rPr>
        <w:t>22</w:t>
      </w:r>
      <w:r w:rsidRPr="00E35A6B">
        <w:rPr>
          <w:rFonts w:ascii="MetaPro-Norm" w:eastAsia="Calibri" w:hAnsi="MetaPro-Norm" w:cs="Calibri"/>
          <w:sz w:val="16"/>
          <w:szCs w:val="16"/>
        </w:rPr>
        <w:t>).</w:t>
      </w:r>
    </w:p>
  </w:footnote>
  <w:footnote w:id="16">
    <w:p w14:paraId="7BB876B2" w14:textId="50830482" w:rsidR="006C1823" w:rsidRPr="00E35A6B" w:rsidRDefault="006C1823" w:rsidP="008E1531">
      <w:pPr>
        <w:spacing w:after="0" w:line="240" w:lineRule="auto"/>
        <w:rPr>
          <w:rFonts w:ascii="MetaPro-Norm" w:hAnsi="MetaPro-Norm"/>
          <w:sz w:val="16"/>
          <w:szCs w:val="16"/>
        </w:rPr>
      </w:pPr>
      <w:r w:rsidRPr="00F15448">
        <w:rPr>
          <w:rStyle w:val="FootnoteReference"/>
          <w:rFonts w:ascii="MetaPro-Medi" w:hAnsi="MetaPro-Medi"/>
        </w:rPr>
        <w:footnoteRef/>
      </w:r>
      <w:r w:rsidRPr="00E35A6B">
        <w:rPr>
          <w:rFonts w:ascii="MetaPro-Norm" w:hAnsi="MetaPro-Norm"/>
          <w:sz w:val="16"/>
          <w:szCs w:val="16"/>
        </w:rPr>
        <w:t xml:space="preserve"> </w:t>
      </w:r>
      <w:r w:rsidR="004A4400" w:rsidRPr="004A4400">
        <w:rPr>
          <w:rFonts w:ascii="MetaPro-Norm" w:eastAsia="Calibri" w:hAnsi="MetaPro-Norm" w:cs="Calibri"/>
          <w:sz w:val="16"/>
          <w:szCs w:val="16"/>
        </w:rPr>
        <w:t>The Global Coalition to Protect Education from Attack, “Safe Schools Declaration Endorsements,” undated, https://ssd.protectingeducation.org/endorsement/ (accessed A</w:t>
      </w:r>
      <w:r w:rsidR="004A4400">
        <w:rPr>
          <w:rFonts w:ascii="MetaPro-Norm" w:eastAsia="Calibri" w:hAnsi="MetaPro-Norm" w:cs="Calibri"/>
          <w:sz w:val="16"/>
          <w:szCs w:val="16"/>
        </w:rPr>
        <w:t>ugust 4</w:t>
      </w:r>
      <w:r w:rsidR="004A4400" w:rsidRPr="004A4400">
        <w:rPr>
          <w:rFonts w:ascii="MetaPro-Norm" w:eastAsia="Calibri" w:hAnsi="MetaPro-Norm" w:cs="Calibri"/>
          <w:sz w:val="16"/>
          <w:szCs w:val="16"/>
        </w:rPr>
        <w:t>,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9D6B3C"/>
    <w:multiLevelType w:val="hybridMultilevel"/>
    <w:tmpl w:val="44886E36"/>
    <w:lvl w:ilvl="0" w:tplc="5AE80782">
      <w:numFmt w:val="bullet"/>
      <w:lvlText w:val="•"/>
      <w:lvlJc w:val="left"/>
      <w:pPr>
        <w:ind w:left="720" w:hanging="360"/>
      </w:pPr>
      <w:rPr>
        <w:rFonts w:ascii="MetaPro-Norm" w:eastAsiaTheme="minorHAnsi" w:hAnsi="MetaPro-Norm"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E0833B7"/>
    <w:multiLevelType w:val="hybridMultilevel"/>
    <w:tmpl w:val="FFFFFFFF"/>
    <w:lvl w:ilvl="0" w:tplc="7834E516">
      <w:start w:val="1"/>
      <w:numFmt w:val="bullet"/>
      <w:lvlText w:val="·"/>
      <w:lvlJc w:val="left"/>
      <w:pPr>
        <w:ind w:left="720" w:hanging="360"/>
      </w:pPr>
      <w:rPr>
        <w:rFonts w:ascii="Symbol" w:hAnsi="Symbol" w:hint="default"/>
      </w:rPr>
    </w:lvl>
    <w:lvl w:ilvl="1" w:tplc="34B8C9E6">
      <w:start w:val="1"/>
      <w:numFmt w:val="bullet"/>
      <w:lvlText w:val="o"/>
      <w:lvlJc w:val="left"/>
      <w:pPr>
        <w:ind w:left="1440" w:hanging="360"/>
      </w:pPr>
      <w:rPr>
        <w:rFonts w:ascii="Courier New" w:hAnsi="Courier New" w:hint="default"/>
      </w:rPr>
    </w:lvl>
    <w:lvl w:ilvl="2" w:tplc="125CA9D6">
      <w:start w:val="1"/>
      <w:numFmt w:val="bullet"/>
      <w:lvlText w:val=""/>
      <w:lvlJc w:val="left"/>
      <w:pPr>
        <w:ind w:left="2160" w:hanging="360"/>
      </w:pPr>
      <w:rPr>
        <w:rFonts w:ascii="Wingdings" w:hAnsi="Wingdings" w:hint="default"/>
      </w:rPr>
    </w:lvl>
    <w:lvl w:ilvl="3" w:tplc="2528C75C">
      <w:start w:val="1"/>
      <w:numFmt w:val="bullet"/>
      <w:lvlText w:val=""/>
      <w:lvlJc w:val="left"/>
      <w:pPr>
        <w:ind w:left="2880" w:hanging="360"/>
      </w:pPr>
      <w:rPr>
        <w:rFonts w:ascii="Symbol" w:hAnsi="Symbol" w:hint="default"/>
      </w:rPr>
    </w:lvl>
    <w:lvl w:ilvl="4" w:tplc="B6043FDE">
      <w:start w:val="1"/>
      <w:numFmt w:val="bullet"/>
      <w:lvlText w:val="o"/>
      <w:lvlJc w:val="left"/>
      <w:pPr>
        <w:ind w:left="3600" w:hanging="360"/>
      </w:pPr>
      <w:rPr>
        <w:rFonts w:ascii="Courier New" w:hAnsi="Courier New" w:hint="default"/>
      </w:rPr>
    </w:lvl>
    <w:lvl w:ilvl="5" w:tplc="7DB60FF6">
      <w:start w:val="1"/>
      <w:numFmt w:val="bullet"/>
      <w:lvlText w:val=""/>
      <w:lvlJc w:val="left"/>
      <w:pPr>
        <w:ind w:left="4320" w:hanging="360"/>
      </w:pPr>
      <w:rPr>
        <w:rFonts w:ascii="Wingdings" w:hAnsi="Wingdings" w:hint="default"/>
      </w:rPr>
    </w:lvl>
    <w:lvl w:ilvl="6" w:tplc="D19AAA4A">
      <w:start w:val="1"/>
      <w:numFmt w:val="bullet"/>
      <w:lvlText w:val=""/>
      <w:lvlJc w:val="left"/>
      <w:pPr>
        <w:ind w:left="5040" w:hanging="360"/>
      </w:pPr>
      <w:rPr>
        <w:rFonts w:ascii="Symbol" w:hAnsi="Symbol" w:hint="default"/>
      </w:rPr>
    </w:lvl>
    <w:lvl w:ilvl="7" w:tplc="6EC268E2">
      <w:start w:val="1"/>
      <w:numFmt w:val="bullet"/>
      <w:lvlText w:val="o"/>
      <w:lvlJc w:val="left"/>
      <w:pPr>
        <w:ind w:left="5760" w:hanging="360"/>
      </w:pPr>
      <w:rPr>
        <w:rFonts w:ascii="Courier New" w:hAnsi="Courier New" w:hint="default"/>
      </w:rPr>
    </w:lvl>
    <w:lvl w:ilvl="8" w:tplc="0722F6CA">
      <w:start w:val="1"/>
      <w:numFmt w:val="bullet"/>
      <w:lvlText w:val=""/>
      <w:lvlJc w:val="left"/>
      <w:pPr>
        <w:ind w:left="6480" w:hanging="360"/>
      </w:pPr>
      <w:rPr>
        <w:rFonts w:ascii="Wingdings" w:hAnsi="Wingdings" w:hint="default"/>
      </w:rPr>
    </w:lvl>
  </w:abstractNum>
  <w:abstractNum w:abstractNumId="2" w15:restartNumberingAfterBreak="0">
    <w:nsid w:val="6A131D45"/>
    <w:multiLevelType w:val="hybridMultilevel"/>
    <w:tmpl w:val="4F4C83AC"/>
    <w:lvl w:ilvl="0" w:tplc="5AE80782">
      <w:numFmt w:val="bullet"/>
      <w:lvlText w:val="•"/>
      <w:lvlJc w:val="left"/>
      <w:pPr>
        <w:ind w:left="720" w:hanging="360"/>
      </w:pPr>
      <w:rPr>
        <w:rFonts w:ascii="MetaPro-Norm" w:eastAsiaTheme="minorHAnsi" w:hAnsi="MetaPro-Norm"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AC60A0E"/>
    <w:multiLevelType w:val="hybridMultilevel"/>
    <w:tmpl w:val="FFFFFFFF"/>
    <w:lvl w:ilvl="0" w:tplc="CC58DB22">
      <w:start w:val="1"/>
      <w:numFmt w:val="bullet"/>
      <w:lvlText w:val="·"/>
      <w:lvlJc w:val="left"/>
      <w:pPr>
        <w:ind w:left="720" w:hanging="360"/>
      </w:pPr>
      <w:rPr>
        <w:rFonts w:ascii="Symbol" w:hAnsi="Symbol" w:hint="default"/>
      </w:rPr>
    </w:lvl>
    <w:lvl w:ilvl="1" w:tplc="22628030">
      <w:start w:val="1"/>
      <w:numFmt w:val="bullet"/>
      <w:lvlText w:val="o"/>
      <w:lvlJc w:val="left"/>
      <w:pPr>
        <w:ind w:left="1440" w:hanging="360"/>
      </w:pPr>
      <w:rPr>
        <w:rFonts w:ascii="Courier New" w:hAnsi="Courier New" w:hint="default"/>
      </w:rPr>
    </w:lvl>
    <w:lvl w:ilvl="2" w:tplc="30DE0572">
      <w:start w:val="1"/>
      <w:numFmt w:val="bullet"/>
      <w:lvlText w:val=""/>
      <w:lvlJc w:val="left"/>
      <w:pPr>
        <w:ind w:left="2160" w:hanging="360"/>
      </w:pPr>
      <w:rPr>
        <w:rFonts w:ascii="Wingdings" w:hAnsi="Wingdings" w:hint="default"/>
      </w:rPr>
    </w:lvl>
    <w:lvl w:ilvl="3" w:tplc="2B7E076C">
      <w:start w:val="1"/>
      <w:numFmt w:val="bullet"/>
      <w:lvlText w:val=""/>
      <w:lvlJc w:val="left"/>
      <w:pPr>
        <w:ind w:left="2880" w:hanging="360"/>
      </w:pPr>
      <w:rPr>
        <w:rFonts w:ascii="Symbol" w:hAnsi="Symbol" w:hint="default"/>
      </w:rPr>
    </w:lvl>
    <w:lvl w:ilvl="4" w:tplc="FF20201A">
      <w:start w:val="1"/>
      <w:numFmt w:val="bullet"/>
      <w:lvlText w:val="o"/>
      <w:lvlJc w:val="left"/>
      <w:pPr>
        <w:ind w:left="3600" w:hanging="360"/>
      </w:pPr>
      <w:rPr>
        <w:rFonts w:ascii="Courier New" w:hAnsi="Courier New" w:hint="default"/>
      </w:rPr>
    </w:lvl>
    <w:lvl w:ilvl="5" w:tplc="0A70A44A">
      <w:start w:val="1"/>
      <w:numFmt w:val="bullet"/>
      <w:lvlText w:val=""/>
      <w:lvlJc w:val="left"/>
      <w:pPr>
        <w:ind w:left="4320" w:hanging="360"/>
      </w:pPr>
      <w:rPr>
        <w:rFonts w:ascii="Wingdings" w:hAnsi="Wingdings" w:hint="default"/>
      </w:rPr>
    </w:lvl>
    <w:lvl w:ilvl="6" w:tplc="4EF2F7C6">
      <w:start w:val="1"/>
      <w:numFmt w:val="bullet"/>
      <w:lvlText w:val=""/>
      <w:lvlJc w:val="left"/>
      <w:pPr>
        <w:ind w:left="5040" w:hanging="360"/>
      </w:pPr>
      <w:rPr>
        <w:rFonts w:ascii="Symbol" w:hAnsi="Symbol" w:hint="default"/>
      </w:rPr>
    </w:lvl>
    <w:lvl w:ilvl="7" w:tplc="F036F2D0">
      <w:start w:val="1"/>
      <w:numFmt w:val="bullet"/>
      <w:lvlText w:val="o"/>
      <w:lvlJc w:val="left"/>
      <w:pPr>
        <w:ind w:left="5760" w:hanging="360"/>
      </w:pPr>
      <w:rPr>
        <w:rFonts w:ascii="Courier New" w:hAnsi="Courier New" w:hint="default"/>
      </w:rPr>
    </w:lvl>
    <w:lvl w:ilvl="8" w:tplc="D646D382">
      <w:start w:val="1"/>
      <w:numFmt w:val="bullet"/>
      <w:lvlText w:val=""/>
      <w:lvlJc w:val="left"/>
      <w:pPr>
        <w:ind w:left="6480" w:hanging="360"/>
      </w:pPr>
      <w:rPr>
        <w:rFonts w:ascii="Wingdings" w:hAnsi="Wingdings" w:hint="default"/>
      </w:rPr>
    </w:lvl>
  </w:abstractNum>
  <w:abstractNum w:abstractNumId="4" w15:restartNumberingAfterBreak="0">
    <w:nsid w:val="79FC0AF9"/>
    <w:multiLevelType w:val="hybridMultilevel"/>
    <w:tmpl w:val="3F168BB6"/>
    <w:lvl w:ilvl="0" w:tplc="04090001">
      <w:start w:val="1"/>
      <w:numFmt w:val="bullet"/>
      <w:lvlText w:val=""/>
      <w:lvlJc w:val="left"/>
      <w:pPr>
        <w:ind w:left="720" w:hanging="360"/>
      </w:pPr>
      <w:rPr>
        <w:rFonts w:ascii="Symbol" w:hAnsi="Symbol" w:hint="default"/>
      </w:rPr>
    </w:lvl>
    <w:lvl w:ilvl="1" w:tplc="6326097C">
      <w:numFmt w:val="bullet"/>
      <w:lvlText w:val="•"/>
      <w:lvlJc w:val="left"/>
      <w:pPr>
        <w:ind w:left="1440" w:hanging="360"/>
      </w:pPr>
      <w:rPr>
        <w:rFonts w:ascii="MetaPro-Norm" w:eastAsiaTheme="minorHAnsi" w:hAnsi="MetaPro-Norm"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AF1"/>
    <w:rsid w:val="00011D04"/>
    <w:rsid w:val="000254DF"/>
    <w:rsid w:val="000368E9"/>
    <w:rsid w:val="0008715D"/>
    <w:rsid w:val="000A3AE7"/>
    <w:rsid w:val="000A751A"/>
    <w:rsid w:val="000C058A"/>
    <w:rsid w:val="00135033"/>
    <w:rsid w:val="00141C5C"/>
    <w:rsid w:val="001E5E3D"/>
    <w:rsid w:val="001F4F28"/>
    <w:rsid w:val="00224E62"/>
    <w:rsid w:val="00283CE9"/>
    <w:rsid w:val="00304B9D"/>
    <w:rsid w:val="0032616A"/>
    <w:rsid w:val="003360D3"/>
    <w:rsid w:val="003A45EB"/>
    <w:rsid w:val="00405C69"/>
    <w:rsid w:val="00415F5B"/>
    <w:rsid w:val="0046655D"/>
    <w:rsid w:val="004703EF"/>
    <w:rsid w:val="0047509E"/>
    <w:rsid w:val="004A4400"/>
    <w:rsid w:val="004A76DF"/>
    <w:rsid w:val="00504BBC"/>
    <w:rsid w:val="00534CF3"/>
    <w:rsid w:val="005B0B8B"/>
    <w:rsid w:val="00623C08"/>
    <w:rsid w:val="00637BC0"/>
    <w:rsid w:val="0068125A"/>
    <w:rsid w:val="00681AFA"/>
    <w:rsid w:val="006B2282"/>
    <w:rsid w:val="006C1823"/>
    <w:rsid w:val="00721D0C"/>
    <w:rsid w:val="00751C42"/>
    <w:rsid w:val="00784FCF"/>
    <w:rsid w:val="00797A5B"/>
    <w:rsid w:val="007A2116"/>
    <w:rsid w:val="007C6AF1"/>
    <w:rsid w:val="007D34F8"/>
    <w:rsid w:val="00833254"/>
    <w:rsid w:val="00872B58"/>
    <w:rsid w:val="008A7974"/>
    <w:rsid w:val="008C5D4D"/>
    <w:rsid w:val="008E1531"/>
    <w:rsid w:val="008F2911"/>
    <w:rsid w:val="00954916"/>
    <w:rsid w:val="00997682"/>
    <w:rsid w:val="009B1BEC"/>
    <w:rsid w:val="00A77A6D"/>
    <w:rsid w:val="00A90C1E"/>
    <w:rsid w:val="00AD58E6"/>
    <w:rsid w:val="00AF7E04"/>
    <w:rsid w:val="00B860D8"/>
    <w:rsid w:val="00C12A40"/>
    <w:rsid w:val="00CB433E"/>
    <w:rsid w:val="00CF6E16"/>
    <w:rsid w:val="00D55991"/>
    <w:rsid w:val="00DA3118"/>
    <w:rsid w:val="00DB05D1"/>
    <w:rsid w:val="00DB0908"/>
    <w:rsid w:val="00DB3F71"/>
    <w:rsid w:val="00DD18DE"/>
    <w:rsid w:val="00DF5A12"/>
    <w:rsid w:val="00E35A6B"/>
    <w:rsid w:val="00E36FE2"/>
    <w:rsid w:val="00E8237F"/>
    <w:rsid w:val="00E9268E"/>
    <w:rsid w:val="00EB7376"/>
    <w:rsid w:val="00ED3F9D"/>
    <w:rsid w:val="00EE4336"/>
    <w:rsid w:val="00F05DA3"/>
    <w:rsid w:val="00F076E2"/>
    <w:rsid w:val="00F15448"/>
    <w:rsid w:val="00F55A92"/>
    <w:rsid w:val="00F56441"/>
    <w:rsid w:val="00FA02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2D796"/>
  <w15:chartTrackingRefBased/>
  <w15:docId w15:val="{BD4A844E-A481-4751-90B6-A77CB2273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18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A">
    <w:name w:val="Body A"/>
    <w:rsid w:val="007C6AF1"/>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14:textOutline w14:w="12700" w14:cap="flat" w14:cmpd="sng" w14:algn="ctr">
        <w14:noFill/>
        <w14:prstDash w14:val="solid"/>
        <w14:miter w14:lim="400000"/>
      </w14:textOutline>
    </w:rPr>
  </w:style>
  <w:style w:type="paragraph" w:styleId="NoSpacing">
    <w:name w:val="No Spacing"/>
    <w:rsid w:val="007C6AF1"/>
    <w:pPr>
      <w:pBdr>
        <w:top w:val="nil"/>
        <w:left w:val="nil"/>
        <w:bottom w:val="nil"/>
        <w:right w:val="nil"/>
        <w:between w:val="nil"/>
        <w:bar w:val="nil"/>
      </w:pBdr>
      <w:suppressAutoHyphens/>
      <w:spacing w:after="0" w:line="240" w:lineRule="auto"/>
    </w:pPr>
    <w:rPr>
      <w:rFonts w:ascii="Calibri" w:eastAsia="Calibri" w:hAnsi="Calibri" w:cs="Calibri"/>
      <w:color w:val="000000"/>
      <w:u w:color="000000"/>
      <w:bdr w:val="nil"/>
    </w:rPr>
  </w:style>
  <w:style w:type="character" w:customStyle="1" w:styleId="None">
    <w:name w:val="None"/>
    <w:rsid w:val="007C6AF1"/>
  </w:style>
  <w:style w:type="paragraph" w:styleId="ListParagraph">
    <w:name w:val="List Paragraph"/>
    <w:uiPriority w:val="34"/>
    <w:qFormat/>
    <w:rsid w:val="007C6AF1"/>
    <w:pPr>
      <w:pBdr>
        <w:top w:val="nil"/>
        <w:left w:val="nil"/>
        <w:bottom w:val="nil"/>
        <w:right w:val="nil"/>
        <w:between w:val="nil"/>
        <w:bar w:val="nil"/>
      </w:pBdr>
      <w:ind w:left="720"/>
    </w:pPr>
    <w:rPr>
      <w:rFonts w:ascii="Calibri" w:eastAsia="Calibri" w:hAnsi="Calibri" w:cs="Calibri"/>
      <w:color w:val="000000"/>
      <w:u w:color="000000"/>
      <w:bdr w:val="nil"/>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
    <w:basedOn w:val="DefaultParagraphFont"/>
    <w:link w:val="4GCharCharChar"/>
    <w:unhideWhenUsed/>
    <w:qFormat/>
    <w:rsid w:val="006C1823"/>
    <w:rPr>
      <w:vertAlign w:val="superscript"/>
    </w:rPr>
  </w:style>
  <w:style w:type="character" w:styleId="Hyperlink">
    <w:name w:val="Hyperlink"/>
    <w:basedOn w:val="DefaultParagraphFont"/>
    <w:uiPriority w:val="99"/>
    <w:unhideWhenUsed/>
    <w:rsid w:val="006C1823"/>
    <w:rPr>
      <w:color w:val="0563C1" w:themeColor="hyperlink"/>
      <w:u w:val="single"/>
    </w:rPr>
  </w:style>
  <w:style w:type="character" w:customStyle="1" w:styleId="FootnoteTextChar">
    <w:name w:val="Footnote Text Char"/>
    <w:aliases w:val="5_G Char,Char Char Char,Char Char1,fn Char,Footnote Text Char Char Char1,Footnote Text Char Char Char Char,ft Char,footnotes Char,Footnote Text Char2 Char Char,Footnote Text Char Char1 Char Char,Footnote Text Char2 Char Char Char Char"/>
    <w:basedOn w:val="DefaultParagraphFont"/>
    <w:link w:val="FootnoteText"/>
    <w:uiPriority w:val="99"/>
    <w:rsid w:val="006C1823"/>
    <w:rPr>
      <w:sz w:val="20"/>
      <w:szCs w:val="20"/>
    </w:rPr>
  </w:style>
  <w:style w:type="paragraph" w:styleId="FootnoteText">
    <w:name w:val="footnote text"/>
    <w:aliases w:val="5_G,Char Char,Char,fn,Footnote Text Char Char,Footnote Text Char Char Char,ft,footnotes,Footnote Text Char2 Char,Footnote Text Char Char1 Char,Footnote Text Char2 Char Char Char,Footnote Text Char1 Char Char Char Char, Char Char, Char"/>
    <w:basedOn w:val="Normal"/>
    <w:link w:val="FootnoteTextChar"/>
    <w:uiPriority w:val="99"/>
    <w:unhideWhenUsed/>
    <w:rsid w:val="006C1823"/>
    <w:pPr>
      <w:spacing w:after="0" w:line="240" w:lineRule="auto"/>
    </w:pPr>
    <w:rPr>
      <w:sz w:val="20"/>
      <w:szCs w:val="20"/>
    </w:rPr>
  </w:style>
  <w:style w:type="character" w:customStyle="1" w:styleId="FootnoteTextChar1">
    <w:name w:val="Footnote Text Char1"/>
    <w:basedOn w:val="DefaultParagraphFont"/>
    <w:uiPriority w:val="99"/>
    <w:semiHidden/>
    <w:rsid w:val="006C1823"/>
    <w:rPr>
      <w:sz w:val="20"/>
      <w:szCs w:val="20"/>
    </w:rPr>
  </w:style>
  <w:style w:type="paragraph" w:styleId="Revision">
    <w:name w:val="Revision"/>
    <w:hidden/>
    <w:uiPriority w:val="99"/>
    <w:semiHidden/>
    <w:rsid w:val="0046655D"/>
    <w:pPr>
      <w:spacing w:after="0" w:line="240" w:lineRule="auto"/>
    </w:pPr>
  </w:style>
  <w:style w:type="character" w:styleId="FollowedHyperlink">
    <w:name w:val="FollowedHyperlink"/>
    <w:basedOn w:val="DefaultParagraphFont"/>
    <w:uiPriority w:val="99"/>
    <w:semiHidden/>
    <w:unhideWhenUsed/>
    <w:rsid w:val="0046655D"/>
    <w:rPr>
      <w:color w:val="954F72" w:themeColor="followedHyperlink"/>
      <w:u w:val="singl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E36FE2"/>
    <w:pPr>
      <w:spacing w:line="240" w:lineRule="exact"/>
      <w:jc w:val="both"/>
    </w:pPr>
    <w:rPr>
      <w:vertAlign w:val="superscript"/>
    </w:rPr>
  </w:style>
  <w:style w:type="character" w:customStyle="1" w:styleId="normaltextrun">
    <w:name w:val="normaltextrun"/>
    <w:basedOn w:val="DefaultParagraphFont"/>
    <w:rsid w:val="00E36FE2"/>
  </w:style>
  <w:style w:type="character" w:styleId="CommentReference">
    <w:name w:val="annotation reference"/>
    <w:basedOn w:val="DefaultParagraphFont"/>
    <w:uiPriority w:val="99"/>
    <w:semiHidden/>
    <w:unhideWhenUsed/>
    <w:rsid w:val="00135033"/>
    <w:rPr>
      <w:sz w:val="16"/>
      <w:szCs w:val="16"/>
    </w:rPr>
  </w:style>
  <w:style w:type="paragraph" w:styleId="CommentText">
    <w:name w:val="annotation text"/>
    <w:basedOn w:val="Normal"/>
    <w:link w:val="CommentTextChar"/>
    <w:uiPriority w:val="99"/>
    <w:unhideWhenUsed/>
    <w:rsid w:val="00135033"/>
    <w:pPr>
      <w:spacing w:line="240" w:lineRule="auto"/>
    </w:pPr>
    <w:rPr>
      <w:sz w:val="20"/>
      <w:szCs w:val="20"/>
    </w:rPr>
  </w:style>
  <w:style w:type="character" w:customStyle="1" w:styleId="CommentTextChar">
    <w:name w:val="Comment Text Char"/>
    <w:basedOn w:val="DefaultParagraphFont"/>
    <w:link w:val="CommentText"/>
    <w:uiPriority w:val="99"/>
    <w:rsid w:val="00135033"/>
    <w:rPr>
      <w:sz w:val="20"/>
      <w:szCs w:val="20"/>
    </w:rPr>
  </w:style>
  <w:style w:type="paragraph" w:styleId="CommentSubject">
    <w:name w:val="annotation subject"/>
    <w:basedOn w:val="CommentText"/>
    <w:next w:val="CommentText"/>
    <w:link w:val="CommentSubjectChar"/>
    <w:uiPriority w:val="99"/>
    <w:semiHidden/>
    <w:unhideWhenUsed/>
    <w:rsid w:val="00135033"/>
    <w:rPr>
      <w:b/>
      <w:bCs/>
    </w:rPr>
  </w:style>
  <w:style w:type="character" w:customStyle="1" w:styleId="CommentSubjectChar">
    <w:name w:val="Comment Subject Char"/>
    <w:basedOn w:val="CommentTextChar"/>
    <w:link w:val="CommentSubject"/>
    <w:uiPriority w:val="99"/>
    <w:semiHidden/>
    <w:rsid w:val="00135033"/>
    <w:rPr>
      <w:b/>
      <w:bCs/>
      <w:sz w:val="20"/>
      <w:szCs w:val="20"/>
    </w:rPr>
  </w:style>
  <w:style w:type="paragraph" w:styleId="Header">
    <w:name w:val="header"/>
    <w:basedOn w:val="Normal"/>
    <w:link w:val="HeaderChar"/>
    <w:uiPriority w:val="99"/>
    <w:unhideWhenUsed/>
    <w:rsid w:val="00304B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4B9D"/>
  </w:style>
  <w:style w:type="paragraph" w:styleId="Footer">
    <w:name w:val="footer"/>
    <w:basedOn w:val="Normal"/>
    <w:link w:val="FooterChar"/>
    <w:uiPriority w:val="99"/>
    <w:unhideWhenUsed/>
    <w:rsid w:val="00304B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4B9D"/>
  </w:style>
  <w:style w:type="character" w:customStyle="1" w:styleId="UnresolvedMention">
    <w:name w:val="Unresolved Mention"/>
    <w:basedOn w:val="DefaultParagraphFont"/>
    <w:uiPriority w:val="99"/>
    <w:semiHidden/>
    <w:unhideWhenUsed/>
    <w:rsid w:val="00EE4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8639277">
      <w:bodyDiv w:val="1"/>
      <w:marLeft w:val="0"/>
      <w:marRight w:val="0"/>
      <w:marTop w:val="0"/>
      <w:marBottom w:val="0"/>
      <w:divBdr>
        <w:top w:val="none" w:sz="0" w:space="0" w:color="auto"/>
        <w:left w:val="none" w:sz="0" w:space="0" w:color="auto"/>
        <w:bottom w:val="none" w:sz="0" w:space="0" w:color="auto"/>
        <w:right w:val="none" w:sz="0" w:space="0" w:color="auto"/>
      </w:divBdr>
    </w:div>
    <w:div w:id="1557929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5AFDAC-6466-481B-9509-FBB634ECB55A}">
  <ds:schemaRefs>
    <ds:schemaRef ds:uri="http://schemas.openxmlformats.org/officeDocument/2006/bibliography"/>
  </ds:schemaRefs>
</ds:datastoreItem>
</file>

<file path=customXml/itemProps2.xml><?xml version="1.0" encoding="utf-8"?>
<ds:datastoreItem xmlns:ds="http://schemas.openxmlformats.org/officeDocument/2006/customXml" ds:itemID="{C90214E6-F447-45C5-BB89-A58D8818C95C}"/>
</file>

<file path=customXml/itemProps3.xml><?xml version="1.0" encoding="utf-8"?>
<ds:datastoreItem xmlns:ds="http://schemas.openxmlformats.org/officeDocument/2006/customXml" ds:itemID="{82F62E6B-86A6-4BD4-8266-0737B749DF67}"/>
</file>

<file path=customXml/itemProps4.xml><?xml version="1.0" encoding="utf-8"?>
<ds:datastoreItem xmlns:ds="http://schemas.openxmlformats.org/officeDocument/2006/customXml" ds:itemID="{DEB19209-8E7A-45FA-9EE4-6B4A5DC9A859}"/>
</file>

<file path=docProps/app.xml><?xml version="1.0" encoding="utf-8"?>
<Properties xmlns="http://schemas.openxmlformats.org/officeDocument/2006/extended-properties" xmlns:vt="http://schemas.openxmlformats.org/officeDocument/2006/docPropsVTypes">
  <Template>Normal.dotm</Template>
  <TotalTime>0</TotalTime>
  <Pages>4</Pages>
  <Words>1220</Words>
  <Characters>6955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Firth</dc:creator>
  <cp:keywords/>
  <dc:description/>
  <cp:lastModifiedBy>REYNAUD Céline</cp:lastModifiedBy>
  <cp:revision>2</cp:revision>
  <dcterms:created xsi:type="dcterms:W3CDTF">2022-08-15T09:40:00Z</dcterms:created>
  <dcterms:modified xsi:type="dcterms:W3CDTF">2022-08-15T09:40:00Z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