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2" w14:textId="77777777" w:rsidR="008A5E97" w:rsidRDefault="008F69C4">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Joint Civil Society Submission to the UN CEDAW Committee</w:t>
      </w:r>
    </w:p>
    <w:p w14:paraId="00000003" w14:textId="77777777" w:rsidR="008A5E97" w:rsidRDefault="008F69C4">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Committee on the Elimination of Discrimination against Women (CEDAW)</w:t>
      </w:r>
    </w:p>
    <w:p w14:paraId="00000004" w14:textId="77777777" w:rsidR="008A5E97" w:rsidRDefault="008F69C4">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Ninety-First Session</w:t>
      </w:r>
    </w:p>
    <w:p w14:paraId="00000005" w14:textId="77777777" w:rsidR="008A5E97" w:rsidRDefault="008F69C4">
      <w:pPr>
        <w:pBdr>
          <w:bottom w:val="single" w:sz="6" w:space="1" w:color="000000"/>
        </w:pBd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 June – 4 July 2025</w:t>
      </w:r>
    </w:p>
    <w:p w14:paraId="00000007" w14:textId="23F7DEDC" w:rsidR="008A5E97" w:rsidRPr="00874F84" w:rsidRDefault="00DA47F9">
      <w:pPr>
        <w:rPr>
          <w:rFonts w:ascii="Times New Roman" w:eastAsia="Times New Roman" w:hAnsi="Times New Roman" w:cs="Times New Roman"/>
          <w:b/>
          <w:bCs/>
          <w:sz w:val="24"/>
          <w:szCs w:val="24"/>
        </w:rPr>
      </w:pPr>
      <w:r w:rsidRPr="00874F84">
        <w:rPr>
          <w:rFonts w:ascii="Times New Roman" w:eastAsia="Times New Roman" w:hAnsi="Times New Roman" w:cs="Times New Roman"/>
          <w:b/>
          <w:bCs/>
          <w:sz w:val="24"/>
          <w:szCs w:val="24"/>
        </w:rPr>
        <w:t>Shadow Report on Stigma and Discrimination Against Women and LBT People Who Use Drugs, Live with HIV</w:t>
      </w:r>
      <w:r w:rsidR="008F69C4" w:rsidRPr="00874F84">
        <w:rPr>
          <w:rFonts w:ascii="Times New Roman" w:eastAsia="Times New Roman" w:hAnsi="Times New Roman" w:cs="Times New Roman"/>
          <w:b/>
          <w:bCs/>
          <w:sz w:val="24"/>
          <w:szCs w:val="24"/>
        </w:rPr>
        <w:t>, and LBT Sex Workers in Thailand.</w:t>
      </w:r>
    </w:p>
    <w:p w14:paraId="00000008" w14:textId="26CE4A11" w:rsidR="008A5E97" w:rsidRPr="00F31C13" w:rsidRDefault="008F69C4">
      <w:pPr>
        <w:rPr>
          <w:rFonts w:ascii="Times New Roman" w:eastAsia="Times New Roman" w:hAnsi="Times New Roman" w:cs="Times New Roman"/>
          <w:b/>
          <w:bCs/>
          <w:sz w:val="24"/>
          <w:szCs w:val="24"/>
        </w:rPr>
      </w:pPr>
      <w:r w:rsidRPr="00F31C13">
        <w:rPr>
          <w:rFonts w:ascii="Times New Roman" w:eastAsia="Times New Roman" w:hAnsi="Times New Roman" w:cs="Times New Roman"/>
          <w:b/>
          <w:bCs/>
          <w:sz w:val="24"/>
          <w:szCs w:val="24"/>
        </w:rPr>
        <w:t>Introduction</w:t>
      </w:r>
      <w:r w:rsidR="00F0147B" w:rsidRPr="00F31C13">
        <w:rPr>
          <w:rFonts w:ascii="Times New Roman" w:eastAsia="Times New Roman" w:hAnsi="Times New Roman" w:cs="Times New Roman"/>
          <w:b/>
          <w:bCs/>
          <w:sz w:val="24"/>
          <w:szCs w:val="24"/>
        </w:rPr>
        <w:t>:</w:t>
      </w:r>
    </w:p>
    <w:p w14:paraId="00000009" w14:textId="4679F61A" w:rsidR="008A5E97" w:rsidRDefault="00DA47F9" w:rsidP="00F31C13">
      <w:pPr>
        <w:jc w:val="thaiDistribute"/>
        <w:rPr>
          <w:rFonts w:ascii="Times New Roman" w:eastAsia="Times New Roman" w:hAnsi="Times New Roman" w:cs="Times New Roman"/>
          <w:sz w:val="24"/>
          <w:szCs w:val="24"/>
        </w:rPr>
      </w:pPr>
      <w:r w:rsidRPr="00F31C13">
        <w:rPr>
          <w:rFonts w:ascii="Times New Roman" w:eastAsia="Times New Roman" w:hAnsi="Times New Roman" w:cs="Times New Roman"/>
          <w:sz w:val="24"/>
          <w:szCs w:val="24"/>
        </w:rPr>
        <w:t xml:space="preserve">Foundation for Action on Inclusion Rights (FAIR) is a Thai civil society organization advancing human rights and legal reform on issues such as HIV, drug use, and stigma. Using a rights-based approach, FAIR advocates for drug decriminalization, improved health access for migrants, and strategic litigation. It leads the REFORM Thailand Partnership on harm reduction, operates the Baan Samer socio-legal clinic, engages in public education through networks such as </w:t>
      </w:r>
      <w:proofErr w:type="spellStart"/>
      <w:r w:rsidRPr="00F31C13">
        <w:rPr>
          <w:rFonts w:ascii="Times New Roman" w:eastAsia="Times New Roman" w:hAnsi="Times New Roman" w:cs="Times New Roman"/>
          <w:sz w:val="24"/>
          <w:szCs w:val="24"/>
        </w:rPr>
        <w:t>MovED</w:t>
      </w:r>
      <w:proofErr w:type="spellEnd"/>
      <w:r w:rsidRPr="00F31C13">
        <w:rPr>
          <w:rFonts w:ascii="Times New Roman" w:eastAsia="Times New Roman" w:hAnsi="Times New Roman" w:cs="Times New Roman"/>
          <w:sz w:val="24"/>
          <w:szCs w:val="24"/>
        </w:rPr>
        <w:t xml:space="preserve"> and Go-</w:t>
      </w:r>
      <w:proofErr w:type="spellStart"/>
      <w:r w:rsidRPr="00F31C13">
        <w:rPr>
          <w:rFonts w:ascii="Times New Roman" w:eastAsia="Times New Roman" w:hAnsi="Times New Roman" w:cs="Times New Roman"/>
          <w:sz w:val="24"/>
          <w:szCs w:val="24"/>
        </w:rPr>
        <w:t>MovED</w:t>
      </w:r>
      <w:proofErr w:type="spellEnd"/>
      <w:r w:rsidRPr="00F31C13">
        <w:rPr>
          <w:rFonts w:ascii="Times New Roman" w:eastAsia="Times New Roman" w:hAnsi="Times New Roman" w:cs="Times New Roman"/>
          <w:sz w:val="24"/>
          <w:szCs w:val="24"/>
        </w:rPr>
        <w:t>, and promotes community-led, gender-responsive, and rights-based services through the CLHRGS model.</w:t>
      </w:r>
    </w:p>
    <w:p w14:paraId="0000000A" w14:textId="5E1B5EB1" w:rsidR="008A5E97" w:rsidRPr="00F31C13" w:rsidRDefault="008F69C4">
      <w:pPr>
        <w:rPr>
          <w:rFonts w:ascii="Times New Roman" w:eastAsia="Times New Roman" w:hAnsi="Times New Roman" w:cs="Times New Roman"/>
          <w:b/>
          <w:bCs/>
          <w:sz w:val="24"/>
          <w:szCs w:val="24"/>
        </w:rPr>
      </w:pPr>
      <w:r w:rsidRPr="00F31C13">
        <w:rPr>
          <w:rFonts w:ascii="Times New Roman" w:eastAsia="Times New Roman" w:hAnsi="Times New Roman" w:cs="Times New Roman"/>
          <w:b/>
          <w:bCs/>
          <w:sz w:val="24"/>
          <w:szCs w:val="24"/>
        </w:rPr>
        <w:t>Preparation Process</w:t>
      </w:r>
      <w:r w:rsidR="00F0147B" w:rsidRPr="00F31C13">
        <w:rPr>
          <w:rFonts w:ascii="Times New Roman" w:eastAsia="Times New Roman" w:hAnsi="Times New Roman" w:cs="Times New Roman"/>
          <w:b/>
          <w:bCs/>
          <w:sz w:val="24"/>
          <w:szCs w:val="24"/>
        </w:rPr>
        <w:t>:</w:t>
      </w:r>
    </w:p>
    <w:p w14:paraId="620115C9" w14:textId="62F6CF94" w:rsidR="004F7BBA" w:rsidRDefault="004F7BBA" w:rsidP="00F31C13">
      <w:pPr>
        <w:jc w:val="thaiDistribute"/>
        <w:rPr>
          <w:rFonts w:ascii="Times New Roman" w:eastAsia="Times New Roman" w:hAnsi="Times New Roman" w:cs="Times New Roman"/>
          <w:sz w:val="24"/>
          <w:szCs w:val="24"/>
        </w:rPr>
      </w:pPr>
      <w:r w:rsidRPr="004F7BBA">
        <w:rPr>
          <w:rFonts w:ascii="Times New Roman" w:eastAsia="Times New Roman" w:hAnsi="Times New Roman" w:cs="Times New Roman"/>
          <w:sz w:val="24"/>
          <w:szCs w:val="24"/>
        </w:rPr>
        <w:t xml:space="preserve">On 8 May 2025 in Bangkok, FAIR held a one-day workshop with members of the REFORM Thailand Partnership and civil society organizations (CSOs) working with marginalized women, including women living with HIV, women who use drugs, and LBT sex workers. Participating organizations included the Thai Women Living with HIV Foundation, </w:t>
      </w:r>
      <w:proofErr w:type="spellStart"/>
      <w:r w:rsidRPr="004F7BBA">
        <w:rPr>
          <w:rFonts w:ascii="Times New Roman" w:eastAsia="Times New Roman" w:hAnsi="Times New Roman" w:cs="Times New Roman"/>
          <w:sz w:val="24"/>
          <w:szCs w:val="24"/>
        </w:rPr>
        <w:t>Tamtang</w:t>
      </w:r>
      <w:proofErr w:type="spellEnd"/>
      <w:r w:rsidRPr="004F7BBA">
        <w:rPr>
          <w:rFonts w:ascii="Times New Roman" w:eastAsia="Times New Roman" w:hAnsi="Times New Roman" w:cs="Times New Roman"/>
          <w:sz w:val="24"/>
          <w:szCs w:val="24"/>
        </w:rPr>
        <w:t xml:space="preserve"> Foundation, SWING, </w:t>
      </w:r>
      <w:r w:rsidR="00A24E84">
        <w:rPr>
          <w:rFonts w:ascii="Times New Roman" w:eastAsia="Times New Roman" w:hAnsi="Times New Roman" w:cs="Times New Roman"/>
          <w:sz w:val="24"/>
          <w:szCs w:val="24"/>
        </w:rPr>
        <w:t xml:space="preserve">RSAT </w:t>
      </w:r>
      <w:r w:rsidRPr="004F7BBA">
        <w:rPr>
          <w:rFonts w:ascii="Times New Roman" w:eastAsia="Times New Roman" w:hAnsi="Times New Roman" w:cs="Times New Roman"/>
          <w:sz w:val="24"/>
          <w:szCs w:val="24"/>
        </w:rPr>
        <w:t>and People Change. The workshop aimed to identify key needs and priorities to inform a shadow report for Thailand’s review at the 91st CEDAW Committee Session (June–July 2025). Participants, including women with lived experience, shared firsthand insights and advocacy points. Their input is helping ensure the report accurately reflects the real human rights challenges faced by marginalized women in Thailand.</w:t>
      </w:r>
    </w:p>
    <w:p w14:paraId="0000000C" w14:textId="77777777" w:rsidR="008A5E97" w:rsidRDefault="008F69C4">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Women and LBT Persons Who Use Drugs</w:t>
      </w:r>
    </w:p>
    <w:p w14:paraId="0000000D" w14:textId="77777777" w:rsidR="008A5E97" w:rsidRDefault="008F69C4">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1: Policies, Laws, and Law Enforcement Practices</w:t>
      </w:r>
    </w:p>
    <w:p w14:paraId="0000000E" w14:textId="77777777" w:rsidR="008A5E97" w:rsidRDefault="008F69C4">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State Policies</w:t>
      </w:r>
    </w:p>
    <w:p w14:paraId="55699566" w14:textId="3E36D4EB" w:rsidR="004420DB" w:rsidRDefault="008F69C4" w:rsidP="00F31C13">
      <w:pPr>
        <w:jc w:val="thaiDistribut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Thai government’s "Drug-Free Thailand" </w:t>
      </w:r>
      <w:r w:rsidR="004420DB">
        <w:rPr>
          <w:rFonts w:ascii="Times New Roman" w:eastAsia="Times New Roman" w:hAnsi="Times New Roman" w:cs="Times New Roman"/>
          <w:sz w:val="24"/>
          <w:szCs w:val="24"/>
        </w:rPr>
        <w:t xml:space="preserve">policy, part of </w:t>
      </w:r>
      <w:r>
        <w:rPr>
          <w:rFonts w:ascii="Times New Roman" w:eastAsia="Times New Roman" w:hAnsi="Times New Roman" w:cs="Times New Roman"/>
          <w:sz w:val="24"/>
          <w:szCs w:val="24"/>
        </w:rPr>
        <w:t xml:space="preserve">the 20-Year National Strategy (2018–2037), has </w:t>
      </w:r>
      <w:r w:rsidR="004420DB" w:rsidRPr="004420DB">
        <w:rPr>
          <w:rFonts w:ascii="Times New Roman" w:eastAsia="Times New Roman" w:hAnsi="Times New Roman" w:cs="Times New Roman"/>
          <w:sz w:val="24"/>
          <w:szCs w:val="24"/>
        </w:rPr>
        <w:t>significantly impacted human rights</w:t>
      </w:r>
      <w:r w:rsidR="004420DB">
        <w:rPr>
          <w:rFonts w:ascii="Times New Roman" w:eastAsia="Times New Roman" w:hAnsi="Times New Roman" w:cs="Times New Roman"/>
          <w:sz w:val="24"/>
          <w:szCs w:val="24"/>
        </w:rPr>
        <w:t xml:space="preserve">, </w:t>
      </w:r>
      <w:r w:rsidR="004420DB" w:rsidRPr="004420DB">
        <w:rPr>
          <w:rFonts w:ascii="Times New Roman" w:eastAsia="Times New Roman" w:hAnsi="Times New Roman" w:cs="Times New Roman"/>
          <w:sz w:val="24"/>
          <w:szCs w:val="24"/>
        </w:rPr>
        <w:t>especially for women and girls.</w:t>
      </w:r>
      <w:r w:rsidR="004420DB">
        <w:rPr>
          <w:rFonts w:ascii="Times New Roman" w:eastAsia="Times New Roman" w:hAnsi="Times New Roman" w:cs="Times New Roman"/>
          <w:sz w:val="24"/>
          <w:szCs w:val="24"/>
        </w:rPr>
        <w:t xml:space="preserve"> Programs </w:t>
      </w:r>
      <w:r>
        <w:rPr>
          <w:rFonts w:ascii="Times New Roman" w:eastAsia="Times New Roman" w:hAnsi="Times New Roman" w:cs="Times New Roman"/>
          <w:sz w:val="24"/>
          <w:szCs w:val="24"/>
        </w:rPr>
        <w:t xml:space="preserve">the “White School Program for Drug and Vice Prevention,” </w:t>
      </w:r>
      <w:r w:rsidR="00A336FE" w:rsidRPr="00A336FE">
        <w:rPr>
          <w:rFonts w:ascii="Times New Roman" w:eastAsia="Times New Roman" w:hAnsi="Times New Roman" w:cs="Times New Roman"/>
          <w:sz w:val="24"/>
          <w:szCs w:val="24"/>
        </w:rPr>
        <w:t>implemented nationwide since 1998, mandate urine drug testing in schools under the Ministry of Education</w:t>
      </w:r>
      <w:r w:rsidR="00D76FF1">
        <w:rPr>
          <w:rStyle w:val="FootnoteReference"/>
          <w:rFonts w:ascii="Times New Roman" w:eastAsia="Times New Roman" w:hAnsi="Times New Roman" w:cs="Times New Roman"/>
          <w:sz w:val="24"/>
          <w:szCs w:val="24"/>
        </w:rPr>
        <w:footnoteReference w:id="1"/>
      </w:r>
      <w:r w:rsidR="00A336FE" w:rsidRPr="00A336FE">
        <w:rPr>
          <w:rFonts w:ascii="Times New Roman" w:eastAsia="Times New Roman" w:hAnsi="Times New Roman" w:cs="Times New Roman"/>
          <w:sz w:val="24"/>
          <w:szCs w:val="24"/>
        </w:rPr>
        <w:t>. Students who test positive may face disciplinary actions, stigmatization, expulsion, or referral to state-run rehabilitation programs</w:t>
      </w:r>
      <w:r w:rsidR="00B75E79">
        <w:rPr>
          <w:rFonts w:ascii="Times New Roman" w:eastAsia="Times New Roman" w:hAnsi="Times New Roman" w:cs="Times New Roman"/>
          <w:sz w:val="24"/>
          <w:szCs w:val="24"/>
        </w:rPr>
        <w:t xml:space="preserve"> </w:t>
      </w:r>
      <w:r w:rsidR="00A336FE" w:rsidRPr="00A336FE">
        <w:rPr>
          <w:rFonts w:ascii="Times New Roman" w:eastAsia="Times New Roman" w:hAnsi="Times New Roman" w:cs="Times New Roman"/>
          <w:sz w:val="24"/>
          <w:szCs w:val="24"/>
        </w:rPr>
        <w:t>often without consent</w:t>
      </w:r>
      <w:r w:rsidR="00B75E79">
        <w:rPr>
          <w:rFonts w:ascii="Times New Roman" w:eastAsia="Times New Roman" w:hAnsi="Times New Roman" w:cs="Times New Roman"/>
          <w:sz w:val="24"/>
          <w:szCs w:val="24"/>
        </w:rPr>
        <w:t xml:space="preserve">, </w:t>
      </w:r>
      <w:r w:rsidR="00A336FE" w:rsidRPr="00A336FE">
        <w:rPr>
          <w:rFonts w:ascii="Times New Roman" w:eastAsia="Times New Roman" w:hAnsi="Times New Roman" w:cs="Times New Roman"/>
          <w:sz w:val="24"/>
          <w:szCs w:val="24"/>
        </w:rPr>
        <w:t>raising serious concerns about privacy, bodily autonomy, and long-term social consequences.</w:t>
      </w:r>
      <w:r w:rsidR="00A336FE">
        <w:rPr>
          <w:rFonts w:ascii="Times New Roman" w:eastAsia="Times New Roman" w:hAnsi="Times New Roman" w:cs="Times New Roman"/>
          <w:sz w:val="24"/>
          <w:szCs w:val="24"/>
        </w:rPr>
        <w:t xml:space="preserve"> </w:t>
      </w:r>
      <w:r w:rsidR="00A336FE" w:rsidRPr="00A336FE">
        <w:rPr>
          <w:rFonts w:ascii="Times New Roman" w:eastAsia="Times New Roman" w:hAnsi="Times New Roman" w:cs="Times New Roman"/>
          <w:sz w:val="24"/>
          <w:szCs w:val="24"/>
        </w:rPr>
        <w:t xml:space="preserve">Testing is often done without reasonable suspicion or safeguards, </w:t>
      </w:r>
      <w:r w:rsidR="00A336FE" w:rsidRPr="00A336FE">
        <w:rPr>
          <w:rFonts w:ascii="Times New Roman" w:eastAsia="Times New Roman" w:hAnsi="Times New Roman" w:cs="Times New Roman"/>
          <w:sz w:val="24"/>
          <w:szCs w:val="24"/>
        </w:rPr>
        <w:lastRenderedPageBreak/>
        <w:t xml:space="preserve">as seen in cases involving over 1,000 students in Phetchabun and </w:t>
      </w:r>
      <w:proofErr w:type="spellStart"/>
      <w:r w:rsidR="00A336FE" w:rsidRPr="00A336FE">
        <w:rPr>
          <w:rFonts w:ascii="Times New Roman" w:eastAsia="Times New Roman" w:hAnsi="Times New Roman" w:cs="Times New Roman"/>
          <w:sz w:val="24"/>
          <w:szCs w:val="24"/>
        </w:rPr>
        <w:t>Udon</w:t>
      </w:r>
      <w:proofErr w:type="spellEnd"/>
      <w:r w:rsidR="00A336FE" w:rsidRPr="00A336FE">
        <w:rPr>
          <w:rFonts w:ascii="Times New Roman" w:eastAsia="Times New Roman" w:hAnsi="Times New Roman" w:cs="Times New Roman"/>
          <w:sz w:val="24"/>
          <w:szCs w:val="24"/>
        </w:rPr>
        <w:t xml:space="preserve"> Thani, raising concerns about privacy, bodily autonomy, and discrimination</w:t>
      </w:r>
      <w:r w:rsidR="00B75E79">
        <w:rPr>
          <w:rStyle w:val="FootnoteReference"/>
          <w:rFonts w:ascii="Times New Roman" w:eastAsia="Times New Roman" w:hAnsi="Times New Roman" w:cs="Times New Roman"/>
          <w:sz w:val="24"/>
          <w:szCs w:val="24"/>
        </w:rPr>
        <w:footnoteReference w:id="2"/>
      </w:r>
      <w:r w:rsidR="000021A4">
        <w:rPr>
          <w:rStyle w:val="FootnoteReference"/>
          <w:rFonts w:ascii="Times New Roman" w:eastAsia="Times New Roman" w:hAnsi="Times New Roman" w:cs="Times New Roman"/>
          <w:sz w:val="24"/>
          <w:szCs w:val="24"/>
        </w:rPr>
        <w:footnoteReference w:id="3"/>
      </w:r>
      <w:r w:rsidR="00A336FE" w:rsidRPr="00A336FE">
        <w:rPr>
          <w:rFonts w:ascii="Times New Roman" w:eastAsia="Times New Roman" w:hAnsi="Times New Roman" w:cs="Times New Roman"/>
          <w:sz w:val="24"/>
          <w:szCs w:val="24"/>
        </w:rPr>
        <w:t>.</w:t>
      </w:r>
    </w:p>
    <w:p w14:paraId="6585FB08" w14:textId="043301DE" w:rsidR="00A336FE" w:rsidRDefault="00A336FE" w:rsidP="00F31C13">
      <w:pPr>
        <w:jc w:val="thaiDistribute"/>
        <w:rPr>
          <w:rFonts w:ascii="Times New Roman" w:eastAsia="Times New Roman" w:hAnsi="Times New Roman" w:cs="Times New Roman"/>
          <w:sz w:val="24"/>
          <w:szCs w:val="24"/>
        </w:rPr>
      </w:pPr>
      <w:r w:rsidRPr="00A336FE">
        <w:rPr>
          <w:rFonts w:ascii="Times New Roman" w:eastAsia="Times New Roman" w:hAnsi="Times New Roman" w:cs="Times New Roman"/>
          <w:sz w:val="24"/>
          <w:szCs w:val="24"/>
        </w:rPr>
        <w:t xml:space="preserve">The “White Factory” Project, run by the Department of </w:t>
      </w:r>
      <w:proofErr w:type="spellStart"/>
      <w:r w:rsidRPr="00A336FE">
        <w:rPr>
          <w:rFonts w:ascii="Times New Roman" w:eastAsia="Times New Roman" w:hAnsi="Times New Roman" w:cs="Times New Roman"/>
          <w:sz w:val="24"/>
          <w:szCs w:val="24"/>
        </w:rPr>
        <w:t>Labour</w:t>
      </w:r>
      <w:proofErr w:type="spellEnd"/>
      <w:r w:rsidRPr="00A336FE">
        <w:rPr>
          <w:rFonts w:ascii="Times New Roman" w:eastAsia="Times New Roman" w:hAnsi="Times New Roman" w:cs="Times New Roman"/>
          <w:sz w:val="24"/>
          <w:szCs w:val="24"/>
        </w:rPr>
        <w:t xml:space="preserve"> Protection and Welfare since 2001, aims to raise employer awareness and prevent drug issues at work. Participating businesses cooperate by allowing drug tests. By April 2024, 64,494 establishments and over 5.5 million employees have met the criteria</w:t>
      </w:r>
      <w:r w:rsidR="00443053">
        <w:rPr>
          <w:rStyle w:val="FootnoteReference"/>
          <w:rFonts w:ascii="Times New Roman" w:eastAsia="Times New Roman" w:hAnsi="Times New Roman" w:cs="Times New Roman"/>
          <w:sz w:val="24"/>
          <w:szCs w:val="24"/>
        </w:rPr>
        <w:footnoteReference w:id="4"/>
      </w:r>
      <w:r w:rsidRPr="00A336FE">
        <w:rPr>
          <w:rFonts w:ascii="Times New Roman" w:eastAsia="Times New Roman" w:hAnsi="Times New Roman" w:cs="Times New Roman"/>
          <w:sz w:val="24"/>
          <w:szCs w:val="24"/>
        </w:rPr>
        <w:t>. However, drug tests are often done without prior notice, and employees may feel pressured to consent due to job security fears, raising concerns about voluntary consent and labor rights protection.</w:t>
      </w:r>
    </w:p>
    <w:p w14:paraId="00000012" w14:textId="77777777" w:rsidR="008A5E97" w:rsidRDefault="008F69C4" w:rsidP="00F31C13">
      <w:pPr>
        <w:jc w:val="thaiDistribute"/>
        <w:rPr>
          <w:rFonts w:ascii="Times New Roman" w:eastAsia="Times New Roman" w:hAnsi="Times New Roman" w:cs="Times New Roman"/>
          <w:sz w:val="24"/>
          <w:szCs w:val="24"/>
        </w:rPr>
      </w:pPr>
      <w:r>
        <w:rPr>
          <w:rFonts w:ascii="Times New Roman" w:eastAsia="Times New Roman" w:hAnsi="Times New Roman" w:cs="Times New Roman"/>
          <w:sz w:val="24"/>
          <w:szCs w:val="24"/>
        </w:rPr>
        <w:t>The “White Ministry of Interior” Project: Safe Zone No Drugs. This initiative aims to prevent civil servants, employees, and staff under the Ministry of Interior, both at the central and local levels, including local administrative organizations from engaging with drugs in any form.</w:t>
      </w:r>
      <w:r>
        <w:rPr>
          <w:rFonts w:ascii="Times New Roman" w:eastAsia="Times New Roman" w:hAnsi="Times New Roman" w:cs="Times New Roman"/>
          <w:sz w:val="24"/>
          <w:szCs w:val="24"/>
        </w:rPr>
        <w:br/>
        <w:t>A key component of the project is urine drug testing of personnel working under the Ministry’s supervision. On July 31, 2024, the Ministry of Interior signed a memorandum of understanding on drug prevention and control with the Ministry of Education and the Ministry of Higher Education, Science, Research, and Innovation. The MOU aims to eliminate drugs from communities, workplaces, and educational institutions.</w:t>
      </w:r>
    </w:p>
    <w:p w14:paraId="33EA38E7" w14:textId="0A6001BB" w:rsidR="00732272" w:rsidRDefault="00732272" w:rsidP="00F31C13">
      <w:pPr>
        <w:jc w:val="thaiDistribute"/>
        <w:rPr>
          <w:rFonts w:ascii="Times New Roman" w:eastAsia="Times New Roman" w:hAnsi="Times New Roman" w:cs="Times New Roman"/>
          <w:sz w:val="24"/>
          <w:szCs w:val="24"/>
        </w:rPr>
      </w:pPr>
      <w:r w:rsidRPr="00732272">
        <w:rPr>
          <w:rFonts w:ascii="Times New Roman" w:eastAsia="Times New Roman" w:hAnsi="Times New Roman" w:cs="Times New Roman"/>
          <w:sz w:val="24"/>
          <w:szCs w:val="24"/>
        </w:rPr>
        <w:t>Government policies like mandatory urine testing for people who use drugs (PWUDs) disproportionately harm women’s mental health. In Thailand’s socio-cultural context, women face strict moral expectations, and a positive urine test leads to harsh stigmatization, labeling them as immoral and causing social rejection by family, community, and employers. Women often experience public shame, job loss, and exclusion from education, which deepens feelings of isolation, anxiety, depression, and suicidal thoughts. Unlike men, women’s drug use is judged more severely, and this punitive approach fuels social exclusion and mental health crises, while also blocking access to needed healthcare and support.</w:t>
      </w:r>
    </w:p>
    <w:p w14:paraId="00000014" w14:textId="77777777" w:rsidR="008A5E97" w:rsidRDefault="008F69C4" w:rsidP="00F31C13">
      <w:pPr>
        <w:jc w:val="thaiDistribute"/>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Relevant Laws and Law Enforcement Practices</w:t>
      </w:r>
    </w:p>
    <w:p w14:paraId="00000015" w14:textId="3C575236" w:rsidR="008A5E97" w:rsidRDefault="008F69C4" w:rsidP="00F31C13">
      <w:pPr>
        <w:jc w:val="thaiDistribute"/>
        <w:rPr>
          <w:rFonts w:ascii="Times New Roman" w:eastAsia="Times New Roman" w:hAnsi="Times New Roman" w:cs="Times New Roman"/>
          <w:sz w:val="24"/>
          <w:szCs w:val="24"/>
        </w:rPr>
      </w:pPr>
      <w:r>
        <w:rPr>
          <w:rFonts w:ascii="Times New Roman" w:eastAsia="Times New Roman" w:hAnsi="Times New Roman" w:cs="Times New Roman"/>
          <w:sz w:val="24"/>
          <w:szCs w:val="24"/>
        </w:rPr>
        <w:t>Under Section 43 bis, paragraph two of the Land Traffic Act B.E. 2522</w:t>
      </w:r>
      <w:r w:rsidR="00205EB6">
        <w:rPr>
          <w:rStyle w:val="FootnoteReference"/>
          <w:rFonts w:ascii="Times New Roman" w:eastAsia="Times New Roman" w:hAnsi="Times New Roman" w:cs="Times New Roman"/>
          <w:sz w:val="24"/>
          <w:szCs w:val="24"/>
        </w:rPr>
        <w:footnoteReference w:id="5"/>
      </w:r>
      <w:r>
        <w:rPr>
          <w:rFonts w:ascii="Times New Roman" w:eastAsia="Times New Roman" w:hAnsi="Times New Roman" w:cs="Times New Roman"/>
          <w:sz w:val="24"/>
          <w:szCs w:val="24"/>
        </w:rPr>
        <w:t xml:space="preserve">, </w:t>
      </w:r>
      <w:r w:rsidR="00732272">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the Ministry of Public Health Notification No. 184 B.E. 2546</w:t>
      </w:r>
      <w:r w:rsidR="00550FC9">
        <w:rPr>
          <w:rStyle w:val="FootnoteReference"/>
          <w:rFonts w:ascii="Times New Roman" w:eastAsia="Times New Roman" w:hAnsi="Times New Roman" w:cs="Times New Roman"/>
          <w:sz w:val="24"/>
          <w:szCs w:val="24"/>
        </w:rPr>
        <w:footnoteReference w:id="6"/>
      </w:r>
      <w:r w:rsidR="00732272" w:rsidRPr="00732272">
        <w:rPr>
          <w:rFonts w:ascii="Times New Roman" w:eastAsia="Times New Roman" w:hAnsi="Times New Roman" w:cs="Times New Roman"/>
          <w:sz w:val="24"/>
          <w:szCs w:val="24"/>
        </w:rPr>
        <w:t>, officials can conduct urine drug tests without reasonable suspicion or clear criteria. These practices often violate privacy and dignity, especially for women and LBT individuals, as private, gender-appropriate spaces are rarely provided, and male officers frequently oversee urine collection, disregarding gender identity and bodily integrity.</w:t>
      </w:r>
    </w:p>
    <w:p w14:paraId="00000016" w14:textId="0041A39A" w:rsidR="008A5E97" w:rsidRDefault="008F69C4" w:rsidP="00F31C13">
      <w:pPr>
        <w:jc w:val="thaiDistribut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also growing concern about the abuse of power by law enforcement officials in the implementation of drug laws. Notably, checkpoints are frequently set up without warrants or legal justification based on reasonable suspicion. Reports have also surfaced of extortion from suspects </w:t>
      </w:r>
      <w:r>
        <w:rPr>
          <w:rFonts w:ascii="Times New Roman" w:eastAsia="Times New Roman" w:hAnsi="Times New Roman" w:cs="Times New Roman"/>
          <w:sz w:val="24"/>
          <w:szCs w:val="24"/>
        </w:rPr>
        <w:lastRenderedPageBreak/>
        <w:t xml:space="preserve">or arrestees. Of particular concern in the context of women are reports of coercion, sexual harassment, and even rape in exchange for immunity from legal proceedings. </w:t>
      </w:r>
      <w:sdt>
        <w:sdtPr>
          <w:tag w:val="goog_rdk_2"/>
          <w:id w:val="48971515"/>
        </w:sdtPr>
        <w:sdtContent/>
      </w:sdt>
      <w:r>
        <w:rPr>
          <w:rFonts w:ascii="Times New Roman" w:eastAsia="Times New Roman" w:hAnsi="Times New Roman" w:cs="Times New Roman"/>
          <w:sz w:val="24"/>
          <w:szCs w:val="24"/>
        </w:rPr>
        <w:t xml:space="preserve">A widely publicized case occurred on 12 December 2023, when a woman filed a complaint at the Government House Complaint Center alleging that she had been arrested in a drug-related case by seven police officers. She was extorted for over 300,000 baht and subsequently sexually assaulted by one of the officers in a hotel. The National Human Rights Commission of Thailand (NHRCT) conducted a fact-finding investigation and issued </w:t>
      </w:r>
      <w:sdt>
        <w:sdtPr>
          <w:tag w:val="goog_rdk_3"/>
          <w:id w:val="-1554228802"/>
        </w:sdtPr>
        <w:sdtContent/>
      </w:sdt>
      <w:r>
        <w:rPr>
          <w:rFonts w:ascii="Times New Roman" w:eastAsia="Times New Roman" w:hAnsi="Times New Roman" w:cs="Times New Roman"/>
          <w:sz w:val="24"/>
          <w:szCs w:val="24"/>
        </w:rPr>
        <w:t>recommendations to the Royal Thai Police to take both disciplinary and legal actions against the involved officers and to provide comprehensive remedies for the survivor including financial restitution, psychological rehabilitation, and access to justice</w:t>
      </w:r>
      <w:r w:rsidR="00AE1D2A">
        <w:rPr>
          <w:rStyle w:val="FootnoteReference"/>
          <w:rFonts w:ascii="Times New Roman" w:eastAsia="Times New Roman" w:hAnsi="Times New Roman" w:cs="Times New Roman"/>
          <w:sz w:val="24"/>
          <w:szCs w:val="24"/>
        </w:rPr>
        <w:footnoteReference w:id="7"/>
      </w:r>
      <w:r>
        <w:rPr>
          <w:rFonts w:ascii="Times New Roman" w:eastAsia="Times New Roman" w:hAnsi="Times New Roman" w:cs="Times New Roman"/>
          <w:sz w:val="24"/>
          <w:szCs w:val="24"/>
        </w:rPr>
        <w:t>.</w:t>
      </w:r>
      <w:r>
        <w:t xml:space="preserve"> </w:t>
      </w:r>
      <w:r>
        <w:rPr>
          <w:rFonts w:ascii="Times New Roman" w:eastAsia="Times New Roman" w:hAnsi="Times New Roman" w:cs="Times New Roman"/>
          <w:sz w:val="24"/>
          <w:szCs w:val="24"/>
        </w:rPr>
        <w:t>The aforementioned case underscores the structural violence that women involved in drug-related situations distinctly face. This encompasses dimensions of gender discrimination, abuse of official power, a lack of female police officers, and the absence of effective protection mechanisms to prevent and address these issues adequately.</w:t>
      </w:r>
    </w:p>
    <w:p w14:paraId="56CB17EC" w14:textId="43B2294B" w:rsidR="00F0147B" w:rsidRDefault="00F0147B" w:rsidP="00F31C13">
      <w:pPr>
        <w:jc w:val="thaiDistribute"/>
        <w:rPr>
          <w:rFonts w:ascii="Times New Roman" w:eastAsia="Times New Roman" w:hAnsi="Times New Roman" w:cs="Times New Roman"/>
          <w:sz w:val="24"/>
          <w:szCs w:val="24"/>
        </w:rPr>
      </w:pPr>
      <w:r w:rsidRPr="00F0147B">
        <w:rPr>
          <w:rFonts w:ascii="Times New Roman" w:eastAsia="Times New Roman" w:hAnsi="Times New Roman" w:cs="Times New Roman"/>
          <w:sz w:val="24"/>
          <w:szCs w:val="24"/>
        </w:rPr>
        <w:t>Under Thailand’s Narcotics Act B.E. 2564, criminal prosecution remains the main approach toward people who use drugs (PWUDs). A 2024 Ministerial Regulation defines small quantities of narcotics, such as less than one methamphetamine tablet, as personal use</w:t>
      </w:r>
      <w:r w:rsidR="00A861A1">
        <w:rPr>
          <w:rStyle w:val="FootnoteReference"/>
          <w:rFonts w:ascii="Times New Roman" w:eastAsia="Times New Roman" w:hAnsi="Times New Roman" w:cs="Times New Roman"/>
          <w:sz w:val="24"/>
          <w:szCs w:val="24"/>
        </w:rPr>
        <w:footnoteReference w:id="8"/>
      </w:r>
      <w:r w:rsidRPr="00F0147B">
        <w:rPr>
          <w:rFonts w:ascii="Times New Roman" w:eastAsia="Times New Roman" w:hAnsi="Times New Roman" w:cs="Times New Roman"/>
          <w:sz w:val="24"/>
          <w:szCs w:val="24"/>
        </w:rPr>
        <w:t>. However, relying on these quantity limits has not reduced arrests or incarceration, especially among women. Many women are prosecuted not for personal use but as ‘intermediaries’ or ‘couriers,’ often without significant roles in trafficking networks</w:t>
      </w:r>
      <w:r w:rsidR="0030405D">
        <w:rPr>
          <w:rStyle w:val="FootnoteReference"/>
          <w:rFonts w:ascii="Times New Roman" w:eastAsia="Times New Roman" w:hAnsi="Times New Roman" w:cs="Times New Roman"/>
          <w:sz w:val="24"/>
          <w:szCs w:val="24"/>
        </w:rPr>
        <w:footnoteReference w:id="9"/>
      </w:r>
      <w:r w:rsidRPr="00F0147B">
        <w:rPr>
          <w:rFonts w:ascii="Times New Roman" w:eastAsia="Times New Roman" w:hAnsi="Times New Roman" w:cs="Times New Roman"/>
          <w:sz w:val="24"/>
          <w:szCs w:val="24"/>
        </w:rPr>
        <w:t>. Some women drug users are also charged as traffickers when found with amounts</w:t>
      </w:r>
      <w:r w:rsidR="00D83727" w:rsidRPr="00D83727">
        <w:t xml:space="preserve"> </w:t>
      </w:r>
      <w:r w:rsidR="00D83727" w:rsidRPr="00D83727">
        <w:rPr>
          <w:rFonts w:ascii="Times New Roman" w:eastAsia="Times New Roman" w:hAnsi="Times New Roman" w:cs="Times New Roman"/>
          <w:sz w:val="24"/>
          <w:szCs w:val="24"/>
        </w:rPr>
        <w:t>slightly over the threshold</w:t>
      </w:r>
      <w:r w:rsidRPr="00F0147B">
        <w:rPr>
          <w:rFonts w:ascii="Times New Roman" w:eastAsia="Times New Roman" w:hAnsi="Times New Roman" w:cs="Times New Roman"/>
          <w:sz w:val="24"/>
          <w:szCs w:val="24"/>
        </w:rPr>
        <w:t xml:space="preserve">. </w:t>
      </w:r>
      <w:r w:rsidR="002D1230" w:rsidRPr="002D1230">
        <w:rPr>
          <w:rFonts w:ascii="Times New Roman" w:eastAsia="Times New Roman" w:hAnsi="Times New Roman" w:cs="Times New Roman"/>
          <w:sz w:val="24"/>
          <w:szCs w:val="24"/>
        </w:rPr>
        <w:t>Notably, many older women are imprisoned for taking the blame for family members—reflecting harmful social dynamics, such as stigma around drug use, deep-rooted maternal sacrifice, and fatalism about aging. These cases raise serious concerns about the criminalization of caregiving and contribute to the overlooked burden of elderly female incarceration. High recidivism rates</w:t>
      </w:r>
      <w:r w:rsidR="002D1230">
        <w:rPr>
          <w:rFonts w:ascii="Times New Roman" w:eastAsia="Times New Roman" w:hAnsi="Times New Roman" w:cs="Times New Roman"/>
          <w:sz w:val="24"/>
          <w:szCs w:val="24"/>
        </w:rPr>
        <w:t xml:space="preserve"> </w:t>
      </w:r>
      <w:r w:rsidR="002D1230" w:rsidRPr="002D1230">
        <w:rPr>
          <w:rFonts w:ascii="Times New Roman" w:eastAsia="Times New Roman" w:hAnsi="Times New Roman" w:cs="Times New Roman"/>
          <w:sz w:val="24"/>
          <w:szCs w:val="24"/>
        </w:rPr>
        <w:t>30% within three years post-release</w:t>
      </w:r>
      <w:r w:rsidR="008F69C4">
        <w:rPr>
          <w:rStyle w:val="FootnoteReference"/>
          <w:rFonts w:ascii="Times New Roman" w:eastAsia="Times New Roman" w:hAnsi="Times New Roman" w:cs="Times New Roman"/>
          <w:sz w:val="24"/>
          <w:szCs w:val="24"/>
        </w:rPr>
        <w:footnoteReference w:id="10"/>
      </w:r>
      <w:r w:rsidR="00B64B26">
        <w:rPr>
          <w:rFonts w:ascii="Times New Roman" w:eastAsia="Times New Roman" w:hAnsi="Times New Roman" w:cs="Times New Roman"/>
          <w:sz w:val="24"/>
          <w:szCs w:val="24"/>
        </w:rPr>
        <w:t xml:space="preserve">, </w:t>
      </w:r>
      <w:r w:rsidR="00B64B26" w:rsidRPr="002D1230">
        <w:rPr>
          <w:rFonts w:ascii="Times New Roman" w:eastAsia="Times New Roman" w:hAnsi="Times New Roman" w:cs="Times New Roman"/>
          <w:sz w:val="24"/>
          <w:szCs w:val="24"/>
        </w:rPr>
        <w:t>further underscore the urgent need for alternatives to punitive approaches to prevent relapse and reduce incarceration.</w:t>
      </w:r>
    </w:p>
    <w:p w14:paraId="00000018" w14:textId="0396004C" w:rsidR="008A5E97" w:rsidRDefault="008F69C4" w:rsidP="00F31C13">
      <w:pPr>
        <w:jc w:val="thaiDistribute"/>
        <w:rPr>
          <w:rFonts w:ascii="Times New Roman" w:eastAsia="Times New Roman" w:hAnsi="Times New Roman" w:cs="Times New Roman"/>
          <w:sz w:val="24"/>
          <w:szCs w:val="24"/>
        </w:rPr>
      </w:pPr>
      <w:r>
        <w:rPr>
          <w:rFonts w:ascii="Times New Roman" w:eastAsia="Times New Roman" w:hAnsi="Times New Roman" w:cs="Times New Roman"/>
          <w:sz w:val="24"/>
          <w:szCs w:val="24"/>
        </w:rPr>
        <w:t>The severe criminal penalties stipulated by the aforementioned law have resulted in an alarmingly high number of individuals incarcerated for drug-related offenses. As of May 1, 2025 C.E., over 71.19 percent of the prison population is detained under narcotics legislation, with 23,227 of these being women. A significant number of these women, specifically 1,604 individuals, are held in pre-trial detention</w:t>
      </w:r>
      <w:r w:rsidR="00A52B13">
        <w:rPr>
          <w:rStyle w:val="FootnoteReference"/>
          <w:rFonts w:ascii="Times New Roman" w:eastAsia="Times New Roman" w:hAnsi="Times New Roman" w:cs="Times New Roman"/>
          <w:sz w:val="24"/>
          <w:szCs w:val="24"/>
        </w:rPr>
        <w:footnoteReference w:id="11"/>
      </w:r>
      <w:r>
        <w:rPr>
          <w:rFonts w:ascii="Times New Roman" w:eastAsia="Times New Roman" w:hAnsi="Times New Roman" w:cs="Times New Roman"/>
          <w:sz w:val="24"/>
          <w:szCs w:val="24"/>
        </w:rPr>
        <w:t xml:space="preserve">. This is largely due to the current legal framework, which permits pre-trial detention for up to 84 days under the Criminal Procedure Code, leading to the unduly prolonged </w:t>
      </w:r>
      <w:r>
        <w:rPr>
          <w:rFonts w:ascii="Times New Roman" w:eastAsia="Times New Roman" w:hAnsi="Times New Roman" w:cs="Times New Roman"/>
          <w:sz w:val="24"/>
          <w:szCs w:val="24"/>
        </w:rPr>
        <w:lastRenderedPageBreak/>
        <w:t>detention of individuals arrested for minor drug-related offenses and fostering an environment conducive to involuntary confessions.</w:t>
      </w:r>
    </w:p>
    <w:p w14:paraId="00000019" w14:textId="77777777" w:rsidR="008A5E97" w:rsidRDefault="008F69C4" w:rsidP="00F31C13">
      <w:pPr>
        <w:jc w:val="thaiDistribute"/>
        <w:rPr>
          <w:rFonts w:ascii="Times New Roman" w:eastAsia="Times New Roman" w:hAnsi="Times New Roman" w:cs="Times New Roman"/>
          <w:sz w:val="24"/>
          <w:szCs w:val="24"/>
        </w:rPr>
      </w:pPr>
      <w:r>
        <w:rPr>
          <w:rFonts w:ascii="Times New Roman" w:eastAsia="Times New Roman" w:hAnsi="Times New Roman" w:cs="Times New Roman"/>
          <w:sz w:val="24"/>
          <w:szCs w:val="24"/>
        </w:rPr>
        <w:t>Alarmingly, a substantial number of women who use drugs are detained without proper assessment of the necessity for such detention and face unequal access to the justice system, particularly during the investigative stage. This includes a failure to inform them of their rights, a lack of legal representation, and, in the case of ethnic minority women, the absence of interpretation services. Consequently, these women may be coerced into signing legal documents without understanding the details of their case and may be forced to confess through violence or intimidation. This has devastating consequences for women, including family separation, family breakdown, the creation of debt due to bail expenses, and social ostracization. The situation is further exacerbated for women with intersecting identities, such as those belonging to ethnic minorities and sex workers, who face compounded vulnerabilities within the criminal justice system.</w:t>
      </w:r>
    </w:p>
    <w:p w14:paraId="0000001A" w14:textId="77777777" w:rsidR="008A5E97" w:rsidRDefault="008F69C4" w:rsidP="00F31C13">
      <w:pPr>
        <w:jc w:val="thaiDistribute"/>
        <w:rPr>
          <w:rFonts w:ascii="Times New Roman" w:eastAsia="Times New Roman" w:hAnsi="Times New Roman" w:cs="Times New Roman"/>
          <w:sz w:val="24"/>
          <w:szCs w:val="24"/>
        </w:rPr>
      </w:pPr>
      <w:r>
        <w:rPr>
          <w:rFonts w:ascii="Times New Roman" w:eastAsia="Times New Roman" w:hAnsi="Times New Roman" w:cs="Times New Roman"/>
          <w:b/>
          <w:sz w:val="24"/>
          <w:szCs w:val="24"/>
        </w:rPr>
        <w:t>Section 2: Coerced Voluntary Treatment under the Narcotic Code B.E. 2564 (2021)</w:t>
      </w:r>
    </w:p>
    <w:p w14:paraId="6D81436B" w14:textId="79678B5D" w:rsidR="00FF1D49" w:rsidRDefault="007306E2" w:rsidP="00F31C13">
      <w:pPr>
        <w:jc w:val="thaiDistribute"/>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FF1D49" w:rsidRPr="00FF1D49">
        <w:rPr>
          <w:rFonts w:ascii="Times New Roman" w:eastAsia="Times New Roman" w:hAnsi="Times New Roman" w:cs="Times New Roman"/>
          <w:sz w:val="24"/>
          <w:szCs w:val="24"/>
        </w:rPr>
        <w:t xml:space="preserve">hailand’s new Narcotic Code, effective from 9 December 2021, assigns the Committee on Drug Dependence Treatment and Rehabilitation—led by a Deputy Prime Minister—to oversee treatment and rehabilitation services. Seven Ministerial Notifications have established four types of facilities: 9,541 Screening Centers, 1,081 Drug Treatment Facilities, 141 Rehabilitation Centers, and 258 Social Reintegration Centers. While the government promotes a “people who use drugs are patients” policy, 2022 data </w:t>
      </w:r>
      <w:r w:rsidR="00FF1D49" w:rsidRPr="00FF1D49">
        <w:rPr>
          <w:rFonts w:ascii="Times New Roman" w:eastAsia="Times New Roman" w:hAnsi="Times New Roman" w:cs="Times New Roman"/>
          <w:sz w:val="24"/>
          <w:szCs w:val="24"/>
        </w:rPr>
        <w:t>show</w:t>
      </w:r>
      <w:r w:rsidR="00FF1D49" w:rsidRPr="00FF1D49">
        <w:rPr>
          <w:rFonts w:ascii="Times New Roman" w:eastAsia="Times New Roman" w:hAnsi="Times New Roman" w:cs="Times New Roman"/>
          <w:sz w:val="24"/>
          <w:szCs w:val="24"/>
        </w:rPr>
        <w:t xml:space="preserve"> stark gender disparity: only 14,206 of 120,915 people treated were women</w:t>
      </w:r>
      <w:r w:rsidR="00FF1D49">
        <w:rPr>
          <w:rStyle w:val="FootnoteReference"/>
          <w:rFonts w:ascii="Times New Roman" w:eastAsia="Times New Roman" w:hAnsi="Times New Roman" w:cs="Times New Roman"/>
          <w:sz w:val="24"/>
          <w:szCs w:val="24"/>
        </w:rPr>
        <w:footnoteReference w:id="12"/>
      </w:r>
      <w:r w:rsidR="00FF1D49" w:rsidRPr="00FF1D49">
        <w:rPr>
          <w:rFonts w:ascii="Times New Roman" w:eastAsia="Times New Roman" w:hAnsi="Times New Roman" w:cs="Times New Roman"/>
          <w:sz w:val="24"/>
          <w:szCs w:val="24"/>
        </w:rPr>
        <w:t>. This gap suggests gender-specific barriers to access and highlights the need for deeper analysis of social, economic, and cultural factors driving the inequality.</w:t>
      </w:r>
    </w:p>
    <w:p w14:paraId="0000001C" w14:textId="0866A238" w:rsidR="008A5E97" w:rsidRDefault="008F69C4" w:rsidP="00F31C13">
      <w:pPr>
        <w:jc w:val="thaiDistribut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the law promotes voluntary access to drug treatment, in practice, many women who use drugs are denied genuine choice and are coerced into treatment following arrest for minor drug possession or court determinations that they are drug-dependent. </w:t>
      </w:r>
      <w:sdt>
        <w:sdtPr>
          <w:tag w:val="goog_rdk_5"/>
          <w:id w:val="1849833023"/>
        </w:sdtPr>
        <w:sdtContent/>
      </w:sdt>
      <w:r>
        <w:rPr>
          <w:rFonts w:ascii="Times New Roman" w:eastAsia="Times New Roman" w:hAnsi="Times New Roman" w:cs="Times New Roman"/>
          <w:sz w:val="24"/>
          <w:szCs w:val="24"/>
        </w:rPr>
        <w:t>Such practices constitute a clear infringement on their right to bodily autonomy and health-related decision-making</w:t>
      </w:r>
      <w:r w:rsidR="00ED5DBA">
        <w:rPr>
          <w:rStyle w:val="FootnoteReference"/>
          <w:rFonts w:ascii="Times New Roman" w:eastAsia="Times New Roman" w:hAnsi="Times New Roman" w:cs="Times New Roman"/>
          <w:sz w:val="24"/>
          <w:szCs w:val="24"/>
        </w:rPr>
        <w:footnoteReference w:id="13"/>
      </w:r>
      <w:r>
        <w:rPr>
          <w:rFonts w:ascii="Times New Roman" w:eastAsia="Times New Roman" w:hAnsi="Times New Roman" w:cs="Times New Roman"/>
          <w:sz w:val="24"/>
          <w:szCs w:val="24"/>
        </w:rPr>
        <w:t xml:space="preserve">. Existing treatment approaches largely emphasize drug abstinence through outpatient or inpatient programs, </w:t>
      </w:r>
      <w:sdt>
        <w:sdtPr>
          <w:tag w:val="goog_rdk_6"/>
          <w:id w:val="-2057541217"/>
        </w:sdtPr>
        <w:sdtContent/>
      </w:sdt>
      <w:r>
        <w:rPr>
          <w:rFonts w:ascii="Times New Roman" w:eastAsia="Times New Roman" w:hAnsi="Times New Roman" w:cs="Times New Roman"/>
          <w:sz w:val="24"/>
          <w:szCs w:val="24"/>
        </w:rPr>
        <w:t>which directly contradict internationally recognized harm reduction principles</w:t>
      </w:r>
      <w:r w:rsidR="00ED5DBA">
        <w:rPr>
          <w:rStyle w:val="FootnoteReference"/>
          <w:rFonts w:ascii="Times New Roman" w:eastAsia="Times New Roman" w:hAnsi="Times New Roman" w:cs="Times New Roman"/>
          <w:sz w:val="24"/>
          <w:szCs w:val="24"/>
        </w:rPr>
        <w:footnoteReference w:id="14"/>
      </w:r>
      <w:r>
        <w:rPr>
          <w:rFonts w:ascii="Times New Roman" w:eastAsia="Times New Roman" w:hAnsi="Times New Roman" w:cs="Times New Roman"/>
          <w:sz w:val="24"/>
          <w:szCs w:val="24"/>
        </w:rPr>
        <w:t>. These principles prioritize human rights, dignity, autonomy, and voluntary, client-centered care. Despite Thailand having adopted a harm reduction policy since 2014, government agencies still demonstrate inconsistent understanding and implementation, and the current Narcotic Code lacks clear definitions or operational guidelines to support this policy.</w:t>
      </w:r>
    </w:p>
    <w:p w14:paraId="0000001D" w14:textId="2976CB80" w:rsidR="008A5E97" w:rsidRDefault="008F69C4" w:rsidP="00F31C13">
      <w:pPr>
        <w:jc w:val="thaiDistribut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Coerced treatment especially in state-run and some private facilities often fails to meet appropriate medical standards. Alarming reports have emerged, such as from Wat </w:t>
      </w:r>
      <w:proofErr w:type="spellStart"/>
      <w:r>
        <w:rPr>
          <w:rFonts w:ascii="Times New Roman" w:eastAsia="Times New Roman" w:hAnsi="Times New Roman" w:cs="Times New Roman"/>
          <w:sz w:val="24"/>
          <w:szCs w:val="24"/>
        </w:rPr>
        <w:t>Tha</w:t>
      </w:r>
      <w:proofErr w:type="spellEnd"/>
      <w:r>
        <w:rPr>
          <w:rFonts w:ascii="Times New Roman" w:eastAsia="Times New Roman" w:hAnsi="Times New Roman" w:cs="Times New Roman"/>
          <w:sz w:val="24"/>
          <w:szCs w:val="24"/>
        </w:rPr>
        <w:t xml:space="preserve"> Phu Rat Bamrung in Dan </w:t>
      </w:r>
      <w:proofErr w:type="spellStart"/>
      <w:r>
        <w:rPr>
          <w:rFonts w:ascii="Times New Roman" w:eastAsia="Times New Roman" w:hAnsi="Times New Roman" w:cs="Times New Roman"/>
          <w:sz w:val="24"/>
          <w:szCs w:val="24"/>
        </w:rPr>
        <w:t>Makham</w:t>
      </w:r>
      <w:proofErr w:type="spellEnd"/>
      <w:r>
        <w:rPr>
          <w:rFonts w:ascii="Times New Roman" w:eastAsia="Times New Roman" w:hAnsi="Times New Roman" w:cs="Times New Roman"/>
          <w:sz w:val="24"/>
          <w:szCs w:val="24"/>
        </w:rPr>
        <w:t xml:space="preserve"> Tia District, Kanchanaburi Province, </w:t>
      </w:r>
      <w:sdt>
        <w:sdtPr>
          <w:tag w:val="goog_rdk_7"/>
          <w:id w:val="-912776696"/>
        </w:sdtPr>
        <w:sdtContent/>
      </w:sdt>
      <w:r>
        <w:rPr>
          <w:rFonts w:ascii="Times New Roman" w:eastAsia="Times New Roman" w:hAnsi="Times New Roman" w:cs="Times New Roman"/>
          <w:sz w:val="24"/>
          <w:szCs w:val="24"/>
        </w:rPr>
        <w:t xml:space="preserve">a drug rehabilitation center where detainees allegedly suffered torture resulting in death, violent abuse, and inhumane punishment, including being forced to eat spoiled food from toilet bowls. Individuals have also been held in these centers for extended periods against their will. There are reports of police extorting money from family </w:t>
      </w:r>
      <w:r>
        <w:rPr>
          <w:rFonts w:ascii="Times New Roman" w:eastAsia="Times New Roman" w:hAnsi="Times New Roman" w:cs="Times New Roman"/>
          <w:sz w:val="24"/>
          <w:szCs w:val="24"/>
        </w:rPr>
        <w:lastRenderedPageBreak/>
        <w:t>members in exchange for referring drug users to treatment. Some individuals with no history of drug use have also been involuntarily committed to such centers</w:t>
      </w:r>
      <w:r w:rsidR="007306E2">
        <w:rPr>
          <w:rStyle w:val="FootnoteReference"/>
          <w:rFonts w:ascii="Times New Roman" w:eastAsia="Times New Roman" w:hAnsi="Times New Roman" w:cs="Times New Roman"/>
          <w:sz w:val="24"/>
          <w:szCs w:val="24"/>
        </w:rPr>
        <w:footnoteReference w:id="15"/>
      </w:r>
      <w:r>
        <w:rPr>
          <w:rFonts w:ascii="Times New Roman" w:eastAsia="Times New Roman" w:hAnsi="Times New Roman" w:cs="Times New Roman"/>
          <w:sz w:val="24"/>
          <w:szCs w:val="24"/>
        </w:rPr>
        <w:t>. While the aforementioned case involved male victims, it underscores the State's failure to provide free, high-quality, rights-based treatment services. The lack of sufficient and regulated public treatment facilities has driven families to resort to unregulated private institutions.</w:t>
      </w:r>
    </w:p>
    <w:p w14:paraId="0000001E" w14:textId="354F1F5F" w:rsidR="008A5E97" w:rsidRDefault="00F0147B" w:rsidP="00F31C13">
      <w:pPr>
        <w:jc w:val="thaiDistribute"/>
        <w:rPr>
          <w:rFonts w:ascii="Times New Roman" w:eastAsia="Times New Roman" w:hAnsi="Times New Roman" w:cs="Times New Roman"/>
          <w:sz w:val="24"/>
          <w:szCs w:val="24"/>
        </w:rPr>
      </w:pPr>
      <w:r w:rsidRPr="00F0147B">
        <w:rPr>
          <w:rFonts w:ascii="Times New Roman" w:eastAsia="Times New Roman" w:hAnsi="Times New Roman" w:cs="Times New Roman"/>
          <w:sz w:val="24"/>
          <w:szCs w:val="24"/>
        </w:rPr>
        <w:t>Human rights violations against women who use drugs</w:t>
      </w:r>
      <w:r w:rsidR="008674C2">
        <w:rPr>
          <w:rFonts w:ascii="Times New Roman" w:eastAsia="Times New Roman" w:hAnsi="Times New Roman" w:cs="Times New Roman"/>
          <w:sz w:val="24"/>
          <w:szCs w:val="24"/>
        </w:rPr>
        <w:t xml:space="preserve"> </w:t>
      </w:r>
      <w:r w:rsidRPr="00F0147B">
        <w:rPr>
          <w:rFonts w:ascii="Times New Roman" w:eastAsia="Times New Roman" w:hAnsi="Times New Roman" w:cs="Times New Roman"/>
          <w:sz w:val="24"/>
          <w:szCs w:val="24"/>
        </w:rPr>
        <w:t>especially ethnic minorities and sex workers</w:t>
      </w:r>
      <w:r>
        <w:rPr>
          <w:rFonts w:ascii="Times New Roman" w:eastAsia="Times New Roman" w:hAnsi="Times New Roman" w:cs="Times New Roman"/>
          <w:sz w:val="24"/>
          <w:szCs w:val="24"/>
        </w:rPr>
        <w:t xml:space="preserve"> </w:t>
      </w:r>
      <w:r w:rsidRPr="00F0147B">
        <w:rPr>
          <w:rFonts w:ascii="Times New Roman" w:eastAsia="Times New Roman" w:hAnsi="Times New Roman" w:cs="Times New Roman"/>
          <w:sz w:val="24"/>
          <w:szCs w:val="24"/>
        </w:rPr>
        <w:t>are more severe. Forced rehabilitation causes family separation, stigma, and financial hardship</w:t>
      </w:r>
      <w:r w:rsidR="008F69C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w:t>
      </w:r>
      <w:r w:rsidR="008F69C4">
        <w:rPr>
          <w:rFonts w:ascii="Times New Roman" w:eastAsia="Times New Roman" w:hAnsi="Times New Roman" w:cs="Times New Roman"/>
          <w:sz w:val="24"/>
          <w:szCs w:val="24"/>
        </w:rPr>
        <w:t xml:space="preserve">eedback from people who use drugs and frontline workers at </w:t>
      </w:r>
      <w:r>
        <w:rPr>
          <w:rFonts w:ascii="Times New Roman" w:eastAsia="Times New Roman" w:hAnsi="Times New Roman" w:cs="Times New Roman"/>
          <w:sz w:val="24"/>
          <w:szCs w:val="24"/>
        </w:rPr>
        <w:t xml:space="preserve">the </w:t>
      </w:r>
      <w:r w:rsidR="008F69C4">
        <w:rPr>
          <w:rFonts w:ascii="Times New Roman" w:eastAsia="Times New Roman" w:hAnsi="Times New Roman" w:cs="Times New Roman"/>
          <w:sz w:val="24"/>
          <w:szCs w:val="24"/>
        </w:rPr>
        <w:t xml:space="preserve">May 8th, </w:t>
      </w:r>
      <w:r>
        <w:rPr>
          <w:rFonts w:ascii="Times New Roman" w:eastAsia="Times New Roman" w:hAnsi="Times New Roman" w:cs="Times New Roman"/>
          <w:sz w:val="24"/>
          <w:szCs w:val="24"/>
        </w:rPr>
        <w:t xml:space="preserve">meeting </w:t>
      </w:r>
      <w:r w:rsidRPr="00F0147B">
        <w:rPr>
          <w:rFonts w:ascii="Times New Roman" w:eastAsia="Times New Roman" w:hAnsi="Times New Roman" w:cs="Times New Roman"/>
          <w:sz w:val="24"/>
          <w:szCs w:val="24"/>
        </w:rPr>
        <w:t>highlights gender-based discrimination, such as a lack of women-specific rehab centers, limited menstrual and specialized health services, and barriers for women without legal status. Ethnic minority women face additional challenges like language barriers, no interpreters, and unequal power dynamics, making them vulnerable without proper safeguards.</w:t>
      </w:r>
    </w:p>
    <w:p w14:paraId="0000001F" w14:textId="77777777" w:rsidR="008A5E97" w:rsidRDefault="008F69C4" w:rsidP="00F31C13">
      <w:pPr>
        <w:jc w:val="thaiDistribute"/>
        <w:rPr>
          <w:rFonts w:ascii="Times New Roman" w:eastAsia="Times New Roman" w:hAnsi="Times New Roman" w:cs="Times New Roman"/>
          <w:sz w:val="24"/>
          <w:szCs w:val="24"/>
        </w:rPr>
      </w:pPr>
      <w:r>
        <w:rPr>
          <w:rFonts w:ascii="Times New Roman" w:eastAsia="Times New Roman" w:hAnsi="Times New Roman" w:cs="Times New Roman"/>
          <w:sz w:val="24"/>
          <w:szCs w:val="24"/>
        </w:rPr>
        <w:t>Moreover, women who have caregiving responsibilities such as looking after children or family members often cannot fully access treatment services due to the lack of alternative support systems that recognize and accommodate women’s gender-related burdens. This reflects a systemic neglect of the distinct and complex needs women have in accessing treatment services.</w:t>
      </w:r>
      <w:r>
        <w:rPr>
          <w:sz w:val="24"/>
          <w:szCs w:val="24"/>
        </w:rPr>
        <w:t xml:space="preserve"> </w:t>
      </w:r>
      <w:r>
        <w:rPr>
          <w:rFonts w:ascii="Times New Roman" w:eastAsia="Times New Roman" w:hAnsi="Times New Roman" w:cs="Times New Roman"/>
          <w:sz w:val="24"/>
          <w:szCs w:val="24"/>
        </w:rPr>
        <w:t>Another serious concern is the forced admission of people who use drugs into treatment without appropriate alternatives. For example, some private rehabilitation centers where deaths have been reported tend to offer only limited forms of treatment, typically for depressant or injectable drug use, and lack clear medical standards or harm reduction guidelines. Treatment measures in such facilities often emphasize physical exercise, meditation, coercion, and punitive violence for rule violations, without providing adequate aftercare or follow-up systems. Access to state-run treatment services remains unavailable for those without Thai nationality, including stateless ethnic minority women. Furthermore, the government lacks appropriate legal protections for individuals of diverse gender identities particularly trans women who are at high risk of sexual assault if placed in male prisons. These individuals are also forced to cut their hair, which constitutes psychological torture and a violation of their human dignity, causing severe harm to their mental health and self-worth.</w:t>
      </w:r>
    </w:p>
    <w:p w14:paraId="00000020" w14:textId="77777777" w:rsidR="008A5E97" w:rsidRDefault="008F69C4" w:rsidP="00F31C13">
      <w:pPr>
        <w:jc w:val="thaiDistribute"/>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Access to Justice</w:t>
      </w:r>
    </w:p>
    <w:p w14:paraId="00000021" w14:textId="162D8E58" w:rsidR="008A5E97" w:rsidRDefault="008F69C4" w:rsidP="00F31C13">
      <w:pPr>
        <w:jc w:val="thaiDistribut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Thailand has regulations issued by the </w:t>
      </w:r>
      <w:r w:rsidRPr="00F31C13">
        <w:rPr>
          <w:rFonts w:ascii="Times New Roman" w:eastAsia="Times New Roman" w:hAnsi="Times New Roman" w:cs="Times New Roman"/>
          <w:sz w:val="24"/>
          <w:szCs w:val="24"/>
        </w:rPr>
        <w:t xml:space="preserve">Justice Fund Committee specifically, the </w:t>
      </w:r>
      <w:r w:rsidRPr="00F31C13">
        <w:rPr>
          <w:rFonts w:ascii="Times New Roman" w:eastAsia="Times New Roman" w:hAnsi="Times New Roman" w:cs="Times New Roman"/>
          <w:i/>
          <w:sz w:val="24"/>
          <w:szCs w:val="24"/>
        </w:rPr>
        <w:t>Regulation on Criteria, Methods, and Conditions for Providing Legal Aid to the Public B.E. 2559 (2016)</w:t>
      </w:r>
      <w:r>
        <w:rPr>
          <w:rFonts w:ascii="Times New Roman" w:eastAsia="Times New Roman" w:hAnsi="Times New Roman" w:cs="Times New Roman"/>
          <w:sz w:val="24"/>
          <w:szCs w:val="24"/>
        </w:rPr>
        <w:t xml:space="preserve"> which stipulates under Article 8 that officials must provide expedited and special assistance to children, women, the elderly, persons with disabilities, or the disadvantaged in accessing justice, statistical data reveals significant disparities in women's access to such services. In 2022, out of 262,226 drug-related arrests</w:t>
      </w:r>
      <w:r w:rsidR="008674C2">
        <w:rPr>
          <w:rStyle w:val="FootnoteReference"/>
          <w:rFonts w:ascii="Times New Roman" w:eastAsia="Times New Roman" w:hAnsi="Times New Roman" w:cs="Times New Roman"/>
          <w:sz w:val="24"/>
          <w:szCs w:val="24"/>
        </w:rPr>
        <w:footnoteReference w:id="16"/>
      </w:r>
      <w:r>
        <w:rPr>
          <w:rFonts w:ascii="Times New Roman" w:eastAsia="Times New Roman" w:hAnsi="Times New Roman" w:cs="Times New Roman"/>
          <w:sz w:val="24"/>
          <w:szCs w:val="24"/>
        </w:rPr>
        <w:t xml:space="preserve">, only </w:t>
      </w:r>
      <w:r>
        <w:rPr>
          <w:rFonts w:ascii="Times New Roman" w:eastAsia="Times New Roman" w:hAnsi="Times New Roman" w:cs="Times New Roman"/>
          <w:b/>
          <w:sz w:val="24"/>
          <w:szCs w:val="24"/>
        </w:rPr>
        <w:t>19 individuals</w:t>
      </w:r>
      <w:r>
        <w:rPr>
          <w:rFonts w:ascii="Times New Roman" w:eastAsia="Times New Roman" w:hAnsi="Times New Roman" w:cs="Times New Roman"/>
          <w:sz w:val="24"/>
          <w:szCs w:val="24"/>
        </w:rPr>
        <w:t xml:space="preserve"> approached for assistance from the Justice Fund for drug-related cases</w:t>
      </w:r>
      <w:r w:rsidR="00EA1EE0">
        <w:rPr>
          <w:rStyle w:val="FootnoteReference"/>
          <w:rFonts w:ascii="Times New Roman" w:eastAsia="Times New Roman" w:hAnsi="Times New Roman" w:cs="Times New Roman"/>
          <w:sz w:val="24"/>
          <w:szCs w:val="24"/>
        </w:rPr>
        <w:footnoteReference w:id="17"/>
      </w:r>
      <w:r>
        <w:rPr>
          <w:rFonts w:ascii="Times New Roman" w:eastAsia="Times New Roman" w:hAnsi="Times New Roman" w:cs="Times New Roman"/>
          <w:sz w:val="24"/>
          <w:szCs w:val="24"/>
        </w:rPr>
        <w:t xml:space="preserve">, from a total of </w:t>
      </w:r>
      <w:r>
        <w:rPr>
          <w:rFonts w:ascii="Times New Roman" w:eastAsia="Times New Roman" w:hAnsi="Times New Roman" w:cs="Times New Roman"/>
          <w:b/>
          <w:sz w:val="24"/>
          <w:szCs w:val="24"/>
        </w:rPr>
        <w:t>3,028 requests</w:t>
      </w:r>
      <w:r>
        <w:rPr>
          <w:rFonts w:ascii="Times New Roman" w:eastAsia="Times New Roman" w:hAnsi="Times New Roman" w:cs="Times New Roman"/>
          <w:sz w:val="24"/>
          <w:szCs w:val="24"/>
        </w:rPr>
        <w:t xml:space="preserve"> for aid across all case types</w:t>
      </w:r>
      <w:r w:rsidR="00EA1EE0">
        <w:rPr>
          <w:rStyle w:val="FootnoteReference"/>
          <w:rFonts w:ascii="Times New Roman" w:eastAsia="Times New Roman" w:hAnsi="Times New Roman" w:cs="Times New Roman"/>
          <w:sz w:val="24"/>
          <w:szCs w:val="24"/>
        </w:rPr>
        <w:footnoteReference w:id="18"/>
      </w:r>
      <w:r>
        <w:rPr>
          <w:rFonts w:ascii="Times New Roman" w:eastAsia="Times New Roman" w:hAnsi="Times New Roman" w:cs="Times New Roman"/>
          <w:sz w:val="24"/>
          <w:szCs w:val="24"/>
        </w:rPr>
        <w:t xml:space="preserve">. In </w:t>
      </w:r>
      <w:r>
        <w:rPr>
          <w:rFonts w:ascii="Times New Roman" w:eastAsia="Times New Roman" w:hAnsi="Times New Roman" w:cs="Times New Roman"/>
          <w:sz w:val="24"/>
          <w:szCs w:val="24"/>
        </w:rPr>
        <w:lastRenderedPageBreak/>
        <w:t xml:space="preserve">2024, there were </w:t>
      </w:r>
      <w:r>
        <w:rPr>
          <w:rFonts w:ascii="Times New Roman" w:eastAsia="Times New Roman" w:hAnsi="Times New Roman" w:cs="Times New Roman"/>
          <w:b/>
          <w:sz w:val="24"/>
          <w:szCs w:val="24"/>
        </w:rPr>
        <w:t>250,878 arrests</w:t>
      </w:r>
      <w:r>
        <w:rPr>
          <w:rFonts w:ascii="Times New Roman" w:eastAsia="Times New Roman" w:hAnsi="Times New Roman" w:cs="Times New Roman"/>
          <w:sz w:val="24"/>
          <w:szCs w:val="24"/>
        </w:rPr>
        <w:t xml:space="preserve"> for drug-related offenses</w:t>
      </w:r>
      <w:r w:rsidR="00EA1EE0">
        <w:rPr>
          <w:rStyle w:val="FootnoteReference"/>
          <w:rFonts w:ascii="Times New Roman" w:eastAsia="Times New Roman" w:hAnsi="Times New Roman" w:cs="Times New Roman"/>
          <w:sz w:val="24"/>
          <w:szCs w:val="24"/>
        </w:rPr>
        <w:footnoteReference w:id="19"/>
      </w:r>
      <w:r>
        <w:rPr>
          <w:rFonts w:ascii="Times New Roman" w:eastAsia="Times New Roman" w:hAnsi="Times New Roman" w:cs="Times New Roman"/>
          <w:sz w:val="24"/>
          <w:szCs w:val="24"/>
        </w:rPr>
        <w:t xml:space="preserve">, but only </w:t>
      </w:r>
      <w:r>
        <w:rPr>
          <w:rFonts w:ascii="Times New Roman" w:eastAsia="Times New Roman" w:hAnsi="Times New Roman" w:cs="Times New Roman"/>
          <w:b/>
          <w:sz w:val="24"/>
          <w:szCs w:val="24"/>
        </w:rPr>
        <w:t>17 women</w:t>
      </w:r>
      <w:r>
        <w:rPr>
          <w:rFonts w:ascii="Times New Roman" w:eastAsia="Times New Roman" w:hAnsi="Times New Roman" w:cs="Times New Roman"/>
          <w:sz w:val="24"/>
          <w:szCs w:val="24"/>
        </w:rPr>
        <w:t xml:space="preserve"> seeking support from the </w:t>
      </w:r>
      <w:r w:rsidRPr="00F31C13">
        <w:rPr>
          <w:rFonts w:ascii="Times New Roman" w:eastAsia="Times New Roman" w:hAnsi="Times New Roman" w:cs="Times New Roman"/>
          <w:sz w:val="24"/>
          <w:szCs w:val="24"/>
        </w:rPr>
        <w:t>Justice Fund</w:t>
      </w:r>
      <w:r w:rsidR="00957DB3">
        <w:rPr>
          <w:rStyle w:val="FootnoteReference"/>
          <w:rFonts w:ascii="Times New Roman" w:eastAsia="Times New Roman" w:hAnsi="Times New Roman" w:cs="Times New Roman"/>
          <w:sz w:val="24"/>
          <w:szCs w:val="24"/>
        </w:rPr>
        <w:footnoteReference w:id="20"/>
      </w:r>
      <w:r>
        <w:rPr>
          <w:rFonts w:ascii="Times New Roman" w:eastAsia="Times New Roman" w:hAnsi="Times New Roman" w:cs="Times New Roman"/>
          <w:sz w:val="24"/>
          <w:szCs w:val="24"/>
        </w:rPr>
        <w:t xml:space="preserve">, out of </w:t>
      </w:r>
      <w:r>
        <w:rPr>
          <w:rFonts w:ascii="Times New Roman" w:eastAsia="Times New Roman" w:hAnsi="Times New Roman" w:cs="Times New Roman"/>
          <w:b/>
          <w:sz w:val="24"/>
          <w:szCs w:val="24"/>
        </w:rPr>
        <w:t>2,071 total applicants</w:t>
      </w:r>
      <w:r>
        <w:rPr>
          <w:rFonts w:ascii="Times New Roman" w:eastAsia="Times New Roman" w:hAnsi="Times New Roman" w:cs="Times New Roman"/>
          <w:sz w:val="24"/>
          <w:szCs w:val="24"/>
        </w:rPr>
        <w:t xml:space="preserve"> that year</w:t>
      </w:r>
      <w:r w:rsidR="00957DB3">
        <w:rPr>
          <w:rStyle w:val="FootnoteReference"/>
          <w:rFonts w:ascii="Times New Roman" w:eastAsia="Times New Roman" w:hAnsi="Times New Roman" w:cs="Times New Roman"/>
          <w:sz w:val="24"/>
          <w:szCs w:val="24"/>
        </w:rPr>
        <w:footnoteReference w:id="21"/>
      </w:r>
      <w:r>
        <w:rPr>
          <w:rFonts w:ascii="Times New Roman" w:eastAsia="Times New Roman" w:hAnsi="Times New Roman" w:cs="Times New Roman"/>
          <w:sz w:val="24"/>
          <w:szCs w:val="24"/>
        </w:rPr>
        <w:t xml:space="preserve">. This data stands in stark contrast to the number of incarcerated women nationwide, which reached </w:t>
      </w:r>
      <w:r>
        <w:rPr>
          <w:rFonts w:ascii="Times New Roman" w:eastAsia="Times New Roman" w:hAnsi="Times New Roman" w:cs="Times New Roman"/>
          <w:b/>
          <w:sz w:val="24"/>
          <w:szCs w:val="24"/>
        </w:rPr>
        <w:t>22,844</w:t>
      </w:r>
      <w:r>
        <w:rPr>
          <w:rFonts w:ascii="Times New Roman" w:eastAsia="Times New Roman" w:hAnsi="Times New Roman" w:cs="Times New Roman"/>
          <w:sz w:val="24"/>
          <w:szCs w:val="24"/>
        </w:rPr>
        <w:t xml:space="preserve"> as of December 1, 2024</w:t>
      </w:r>
      <w:r w:rsidR="00957DB3">
        <w:rPr>
          <w:rStyle w:val="FootnoteReference"/>
          <w:rFonts w:ascii="Times New Roman" w:eastAsia="Times New Roman" w:hAnsi="Times New Roman" w:cs="Times New Roman"/>
          <w:sz w:val="24"/>
          <w:szCs w:val="24"/>
        </w:rPr>
        <w:footnoteReference w:id="22"/>
      </w:r>
      <w:r>
        <w:rPr>
          <w:rFonts w:ascii="Times New Roman" w:eastAsia="Times New Roman" w:hAnsi="Times New Roman" w:cs="Times New Roman"/>
          <w:sz w:val="24"/>
          <w:szCs w:val="24"/>
        </w:rPr>
        <w:t>.</w:t>
      </w:r>
    </w:p>
    <w:p w14:paraId="00000022" w14:textId="77777777" w:rsidR="008A5E97" w:rsidRDefault="008F69C4" w:rsidP="00F31C13">
      <w:pPr>
        <w:jc w:val="thaiDistribute"/>
        <w:rPr>
          <w:rFonts w:ascii="Times New Roman" w:eastAsia="Times New Roman" w:hAnsi="Times New Roman" w:cs="Times New Roman"/>
          <w:sz w:val="24"/>
          <w:szCs w:val="24"/>
        </w:rPr>
      </w:pPr>
      <w:r>
        <w:rPr>
          <w:rFonts w:ascii="Times New Roman" w:eastAsia="Times New Roman" w:hAnsi="Times New Roman" w:cs="Times New Roman"/>
          <w:sz w:val="24"/>
          <w:szCs w:val="24"/>
        </w:rPr>
        <w:t>These figures highlight the barriers women who use drugs face in accessing existing state services and information. These obstacles may stem from experiences of stigma and gender-based discrimination, as well as other socio-cultural factors that hinder their equal right to access justice. When women who use drugs are prosecuted and receive no legal support, the impacts can be devastating: no one is left to care for their children or families, leading to family breakdown, children being orphaned or becoming burdens on relatives or the community. Families may fall into debt especially when borrowing money to fight legal battles or to pay bribes to officials seeking personal gain.</w:t>
      </w:r>
    </w:p>
    <w:p w14:paraId="00000023" w14:textId="77777777" w:rsidR="008A5E97" w:rsidRDefault="008F69C4" w:rsidP="00F31C13">
      <w:pPr>
        <w:jc w:val="thaiDistribute"/>
        <w:rPr>
          <w:sz w:val="24"/>
          <w:szCs w:val="24"/>
          <w:u w:val="single"/>
        </w:rPr>
      </w:pPr>
      <w:r>
        <w:rPr>
          <w:rFonts w:ascii="Times New Roman" w:eastAsia="Times New Roman" w:hAnsi="Times New Roman" w:cs="Times New Roman"/>
          <w:sz w:val="24"/>
          <w:szCs w:val="24"/>
          <w:u w:val="single"/>
        </w:rPr>
        <w:t>Access to Public Health Services</w:t>
      </w:r>
    </w:p>
    <w:p w14:paraId="3B559DF8" w14:textId="0A634B43" w:rsidR="00957DB3" w:rsidRDefault="00957DB3" w:rsidP="00F31C13">
      <w:pPr>
        <w:jc w:val="thaiDistribute"/>
        <w:rPr>
          <w:rFonts w:ascii="Times New Roman" w:eastAsia="Times New Roman" w:hAnsi="Times New Roman" w:cs="Times New Roman"/>
          <w:sz w:val="24"/>
          <w:szCs w:val="24"/>
        </w:rPr>
      </w:pPr>
      <w:r w:rsidRPr="00957DB3">
        <w:rPr>
          <w:rFonts w:ascii="Times New Roman" w:eastAsia="Times New Roman" w:hAnsi="Times New Roman" w:cs="Times New Roman"/>
          <w:sz w:val="24"/>
          <w:szCs w:val="24"/>
        </w:rPr>
        <w:t>Access to health services for women and sexually and gender diverse individuals (LBT) who use drugs is often blocked by gender- and identity-based discrimination. Many avoid reproductive or prenatal care due to stigma, fear of arrest, and biased treatment by healthcare providers. Pregnant women are frequently judged as unfit mothers, denied methadone, or given negligent care, leading to serious health risks, including miscarriage. Providers often lack training in harm reduction and caring for drug-exposed newborns.</w:t>
      </w:r>
    </w:p>
    <w:p w14:paraId="00000025" w14:textId="77777777" w:rsidR="008A5E97" w:rsidRDefault="008F69C4" w:rsidP="00F31C13">
      <w:pPr>
        <w:jc w:val="thaiDistribute"/>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also a significant lack of gender-responsive health services tailored to the needs of women who use drugs. Services that are sensitive to the gendered impacts of drug use and the violence women face are limited. There are few integrated services that combine mental health care, reproductive health, and drug treatment in one setting. Safe spaces where women can openly discuss sensitive issues—such as being coerced into drug use, sex work, or unintended pregnancies are absent.</w:t>
      </w:r>
      <w:r>
        <w:rPr>
          <w:sz w:val="24"/>
          <w:szCs w:val="24"/>
        </w:rPr>
        <w:t xml:space="preserve"> </w:t>
      </w:r>
      <w:r>
        <w:rPr>
          <w:rFonts w:ascii="Times New Roman" w:eastAsia="Times New Roman" w:hAnsi="Times New Roman" w:cs="Times New Roman"/>
          <w:sz w:val="24"/>
          <w:szCs w:val="24"/>
        </w:rPr>
        <w:t>Economic and legal barriers further restrict access to healthcare for women who use drugs. Many lack stable income and cannot afford medical care or related expenses such as transportation or childcare. Some avoid hospitals out of fear of arrest or being forced to disclose their drug use. Existing referral and screening systems often rely on potentially harmful information, such as drug use history, which could lead to police reporting. Crucially, women who use drugs are excluded from participating in the design of health services. Most services are developed from the perspective of providers without consulting or addressing the actual needs of women who use drugs, resulting in services that are misaligned with their realities. Moreover, women who use drugs lack accessible mechanisms to file complaints or monitor the quality of services they receive.</w:t>
      </w:r>
    </w:p>
    <w:p w14:paraId="00000026" w14:textId="77777777" w:rsidR="008A5E97" w:rsidRDefault="008F69C4" w:rsidP="00F31C13">
      <w:pPr>
        <w:jc w:val="thaiDistribut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Pregnant ethnic minority women who experience substance use disorders face multifaceted inequalities that severely impact the health rights of both mothers and their infants. These inequalities encompass geographical, economic, linguistic, and attitudinal barriers stemming from </w:t>
      </w:r>
      <w:r>
        <w:rPr>
          <w:rFonts w:ascii="Times New Roman" w:eastAsia="Times New Roman" w:hAnsi="Times New Roman" w:cs="Times New Roman"/>
          <w:sz w:val="24"/>
          <w:szCs w:val="24"/>
        </w:rPr>
        <w:lastRenderedPageBreak/>
        <w:t>society and state officials. These women often lack knowledge and understanding regarding the effects of substance use during pregnancy and are unaware of the necessity for prenatal and postnatal care for themselves and their children. This is compounded by their daily struggle to obtain substances to manage their dependence. Simultaneously, they lack adequate support systems that address their specific ethnic context, including healthcare services with interpreters or local language options, and health information that is easily understandable and culturally appropriate. Furthermore, they face high travel costs from remote areas and fear arrest while seeking medical care, deterring many from accessing the healthcare system. The stigma and discrimination they encounter from state officials, healthcare personnel, and communities, such as being perceived as second-class citizens or unfit mothers, further exacerbate their avoidance of the healthcare system and denial of fundamental human rights. Consequently, the impact on infants is severe, including developmental delays, disabilities, and malnutrition from birth due to inadequate care during and after pregnancy. This constitutes a grave violation of the rights of the child and the health rights of ethnic minority women.</w:t>
      </w:r>
    </w:p>
    <w:p w14:paraId="00000027" w14:textId="77777777" w:rsidR="008A5E97" w:rsidRDefault="008F69C4" w:rsidP="00F31C13">
      <w:pPr>
        <w:jc w:val="thaiDistribute"/>
        <w:rPr>
          <w:rFonts w:ascii="Times New Roman" w:eastAsia="Times New Roman" w:hAnsi="Times New Roman" w:cs="Times New Roman"/>
          <w:sz w:val="24"/>
          <w:szCs w:val="24"/>
        </w:rPr>
      </w:pPr>
      <w:r>
        <w:rPr>
          <w:rFonts w:ascii="Times New Roman" w:eastAsia="Times New Roman" w:hAnsi="Times New Roman" w:cs="Times New Roman"/>
          <w:sz w:val="24"/>
          <w:szCs w:val="24"/>
        </w:rPr>
        <w:t>The critical and urgent issues surrounding the health and human rights of women in prisons persist as significant challenges in Thailand. The chronic inadequacy of healthcare personnel relative to the growing population of female inmates results in a failure to provide appropriate and standardized healthcare. Furthermore, the absence of an independent and secure complaint mechanism, coupled with a lack of confidentiality regarding personal health information, constitutes a violation of their rights to health and privacy. Moreover, many correctional facilities lack essential basic health supplies for women, such as condoms and sanitary pads, directly impacting their well-being. The severely overcrowded conditions within prisons further compromise both the physical and mental health of female inmates, exemplified by inadequate nutrition, limited access to clean drinking water and sanitation, leading to poor hygiene and an increased risk of infectious diseases.</w:t>
      </w:r>
    </w:p>
    <w:p w14:paraId="00000028" w14:textId="77777777" w:rsidR="008A5E97" w:rsidRDefault="008F69C4" w:rsidP="00F31C13">
      <w:pPr>
        <w:jc w:val="thaiDistribute"/>
        <w:rPr>
          <w:rFonts w:ascii="Times New Roman" w:eastAsia="Times New Roman" w:hAnsi="Times New Roman" w:cs="Times New Roman"/>
          <w:sz w:val="24"/>
          <w:szCs w:val="24"/>
        </w:rPr>
      </w:pPr>
      <w:r>
        <w:rPr>
          <w:rFonts w:ascii="Times New Roman" w:eastAsia="Times New Roman" w:hAnsi="Times New Roman" w:cs="Times New Roman"/>
          <w:sz w:val="24"/>
          <w:szCs w:val="24"/>
        </w:rPr>
        <w:t>Pregnant women who are incarcerated face extreme stress and severe health complications throughout their pregnancy and postpartum periods. The mandatory separation of children from their mothers upon reaching the age stipulated by the Department of Corrections inflicts profound and lasting damage on the emotional bond and developmental trajectory of the child, as well as the mental state of the mother. The distress and repercussions extend to the children, families, and communities of women imprisoned with young children. This situation underscores the imperative need for comprehensive reform of the system of care for female prisoners, particularly those in highly vulnerable situations such as pregnant women and mothers with young children, to ensure their fundamental human rights and well-being are protected.</w:t>
      </w:r>
    </w:p>
    <w:p w14:paraId="00000029" w14:textId="77777777" w:rsidR="008A5E97" w:rsidRDefault="008F69C4" w:rsidP="00F31C13">
      <w:pPr>
        <w:jc w:val="thaiDistribute"/>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Access to State Social Welfare</w:t>
      </w:r>
    </w:p>
    <w:p w14:paraId="0000002A" w14:textId="07E976AC" w:rsidR="008A5E97" w:rsidRDefault="008F69C4" w:rsidP="00F31C13">
      <w:pPr>
        <w:jc w:val="thaiDistribut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Thailand particularly </w:t>
      </w:r>
      <w:r w:rsidRPr="00F31C13">
        <w:rPr>
          <w:rFonts w:ascii="Times New Roman" w:eastAsia="Times New Roman" w:hAnsi="Times New Roman" w:cs="Times New Roman"/>
          <w:sz w:val="24"/>
          <w:szCs w:val="24"/>
        </w:rPr>
        <w:t>the Ministry of Social Development and Human Security</w:t>
      </w:r>
      <w:r>
        <w:rPr>
          <w:rFonts w:ascii="Times New Roman" w:eastAsia="Times New Roman" w:hAnsi="Times New Roman" w:cs="Times New Roman"/>
          <w:sz w:val="24"/>
          <w:szCs w:val="24"/>
        </w:rPr>
        <w:t xml:space="preserve"> has established policies to support individuals facing social difficulties, focusing primarily on key target groups such as children, persons with disabilities, the elderly, and families in emergency situations, as outlined in the </w:t>
      </w:r>
      <w:r w:rsidRPr="00F31C13">
        <w:rPr>
          <w:rFonts w:ascii="Times New Roman" w:eastAsia="Times New Roman" w:hAnsi="Times New Roman" w:cs="Times New Roman"/>
          <w:sz w:val="24"/>
          <w:szCs w:val="24"/>
        </w:rPr>
        <w:t xml:space="preserve">Ministry’s Regulation on Administrative Measures for Assisting </w:t>
      </w:r>
      <w:r w:rsidRPr="00F31C13">
        <w:rPr>
          <w:rFonts w:ascii="Times New Roman" w:eastAsia="Times New Roman" w:hAnsi="Times New Roman" w:cs="Times New Roman"/>
          <w:sz w:val="24"/>
          <w:szCs w:val="24"/>
        </w:rPr>
        <w:lastRenderedPageBreak/>
        <w:t>People with Social Problems</w:t>
      </w:r>
      <w:r>
        <w:rPr>
          <w:rFonts w:ascii="Times New Roman" w:eastAsia="Times New Roman" w:hAnsi="Times New Roman" w:cs="Times New Roman"/>
          <w:sz w:val="24"/>
          <w:szCs w:val="24"/>
        </w:rPr>
        <w:t xml:space="preserve"> (B.E. 2561)</w:t>
      </w:r>
      <w:r w:rsidR="005A3616">
        <w:rPr>
          <w:rStyle w:val="FootnoteReference"/>
          <w:rFonts w:ascii="Times New Roman" w:eastAsia="Times New Roman" w:hAnsi="Times New Roman" w:cs="Times New Roman"/>
          <w:sz w:val="24"/>
          <w:szCs w:val="24"/>
        </w:rPr>
        <w:footnoteReference w:id="23"/>
      </w:r>
      <w:r>
        <w:rPr>
          <w:rFonts w:ascii="Times New Roman" w:eastAsia="Times New Roman" w:hAnsi="Times New Roman" w:cs="Times New Roman"/>
          <w:sz w:val="24"/>
          <w:szCs w:val="24"/>
        </w:rPr>
        <w:t>, the support system also includes women experiencing violence or living with HIV, who may request state-provided shelter and basic welfare. However, there are no specific measures or service access channels tailored to women and LBT individuals who use drugs. This is rooted in a prevailing perspective that treats drug use as a “crime” rather than recognizing it as a health and social issue. As a result, the state has not provided targeted social welfare programs for these groups, nor created an enabling environment that encourages them to access services. For example, the number of state-run emergency shelters is very limited, there are no specialized services for people who use drugs, and the prevailing attitudes of government officials toward women who use drugs are often judgmental.</w:t>
      </w:r>
    </w:p>
    <w:p w14:paraId="3569CAE8" w14:textId="3B3D37D5" w:rsidR="005A3616" w:rsidRDefault="005A3616" w:rsidP="00F31C13">
      <w:pPr>
        <w:jc w:val="thaiDistribute"/>
        <w:rPr>
          <w:rFonts w:ascii="Times New Roman" w:eastAsia="Times New Roman" w:hAnsi="Times New Roman" w:cs="Times New Roman"/>
          <w:sz w:val="24"/>
          <w:szCs w:val="24"/>
        </w:rPr>
      </w:pPr>
      <w:r w:rsidRPr="005A3616">
        <w:rPr>
          <w:rFonts w:ascii="Times New Roman" w:eastAsia="Times New Roman" w:hAnsi="Times New Roman" w:cs="Times New Roman"/>
          <w:sz w:val="24"/>
          <w:szCs w:val="24"/>
        </w:rPr>
        <w:t>Moreover, while emergency shelter services under the Ministry of Social Development and Human Security are intended for women facing social problems</w:t>
      </w:r>
      <w:r>
        <w:rPr>
          <w:rFonts w:ascii="Times New Roman" w:eastAsia="Times New Roman" w:hAnsi="Times New Roman" w:cs="Times New Roman"/>
          <w:sz w:val="24"/>
          <w:szCs w:val="24"/>
        </w:rPr>
        <w:t xml:space="preserve"> </w:t>
      </w:r>
      <w:r w:rsidRPr="005A3616">
        <w:rPr>
          <w:rFonts w:ascii="Times New Roman" w:eastAsia="Times New Roman" w:hAnsi="Times New Roman" w:cs="Times New Roman"/>
          <w:sz w:val="24"/>
          <w:szCs w:val="24"/>
        </w:rPr>
        <w:t>such as those affected by family crises or violence</w:t>
      </w:r>
      <w:r>
        <w:rPr>
          <w:rFonts w:ascii="Times New Roman" w:eastAsia="Times New Roman" w:hAnsi="Times New Roman" w:cs="Times New Roman"/>
          <w:sz w:val="24"/>
          <w:szCs w:val="24"/>
        </w:rPr>
        <w:t xml:space="preserve"> </w:t>
      </w:r>
      <w:r w:rsidRPr="005A3616">
        <w:rPr>
          <w:rFonts w:ascii="Times New Roman" w:eastAsia="Times New Roman" w:hAnsi="Times New Roman" w:cs="Times New Roman"/>
          <w:sz w:val="24"/>
          <w:szCs w:val="24"/>
        </w:rPr>
        <w:t>their accessibility remains limited. In practice, support is often prioritized for women who are survivors of trafficking or those with unplanned pregnancies, with little accommodation for the specific needs of women who use drugs. These services are also generally restricted to individuals assigned female at birth, excluding many transgender women. Women who use drugs often face multiple, overlapping social challenges, including unstable income, violence, stigma, and a lack of family or institutional support. However, because drug use is still perceived by state authorities primarily as a criminal or prohibited behavior rather than a social issue, these women are not clearly recognized as “persons experiencing social problems” and are thus often excluded from receiving support from the Ministry.</w:t>
      </w:r>
    </w:p>
    <w:p w14:paraId="0000002C" w14:textId="77777777" w:rsidR="008A5E97" w:rsidRDefault="008F69C4" w:rsidP="00F31C13">
      <w:pPr>
        <w:jc w:val="thaiDistribute"/>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Access to Employment</w:t>
      </w:r>
    </w:p>
    <w:p w14:paraId="0000002D" w14:textId="65DF54FF" w:rsidR="008A5E97" w:rsidRDefault="008F69C4" w:rsidP="00F31C13">
      <w:pPr>
        <w:jc w:val="thaiDistribute"/>
        <w:rPr>
          <w:rFonts w:ascii="Times New Roman" w:eastAsia="Times New Roman" w:hAnsi="Times New Roman" w:cs="Times New Roman"/>
          <w:sz w:val="24"/>
          <w:szCs w:val="24"/>
        </w:rPr>
      </w:pPr>
      <w:r>
        <w:rPr>
          <w:rFonts w:ascii="Times New Roman" w:eastAsia="Times New Roman" w:hAnsi="Times New Roman" w:cs="Times New Roman"/>
          <w:sz w:val="24"/>
          <w:szCs w:val="24"/>
        </w:rPr>
        <w:t>A</w:t>
      </w:r>
      <w:sdt>
        <w:sdtPr>
          <w:tag w:val="goog_rdk_10"/>
          <w:id w:val="1722631713"/>
        </w:sdtPr>
        <w:sdtContent/>
      </w:sdt>
      <w:r>
        <w:rPr>
          <w:rFonts w:ascii="Times New Roman" w:eastAsia="Times New Roman" w:hAnsi="Times New Roman" w:cs="Times New Roman"/>
          <w:sz w:val="24"/>
          <w:szCs w:val="24"/>
        </w:rPr>
        <w:t xml:space="preserve"> </w:t>
      </w:r>
      <w:r w:rsidR="005A3616" w:rsidRPr="00F31C13">
        <w:rPr>
          <w:rFonts w:ascii="Times New Roman" w:eastAsia="Times New Roman" w:hAnsi="Times New Roman" w:cs="Times New Roman"/>
          <w:sz w:val="24"/>
          <w:szCs w:val="24"/>
        </w:rPr>
        <w:t>c</w:t>
      </w:r>
      <w:r w:rsidRPr="005A3616">
        <w:rPr>
          <w:rFonts w:ascii="Times New Roman" w:eastAsia="Times New Roman" w:hAnsi="Times New Roman" w:cs="Times New Roman"/>
          <w:sz w:val="24"/>
          <w:szCs w:val="24"/>
        </w:rPr>
        <w:t>r</w:t>
      </w:r>
      <w:r>
        <w:rPr>
          <w:rFonts w:ascii="Times New Roman" w:eastAsia="Times New Roman" w:hAnsi="Times New Roman" w:cs="Times New Roman"/>
          <w:sz w:val="24"/>
          <w:szCs w:val="24"/>
        </w:rPr>
        <w:t>iminal record related to drug offenses has severe and long-lasting impacts on the rights and opportunities of women with prior convictions, affecting multiple dimensions of their lives. This constitutes a form of gender and social status discrimination with enduring consequences. Particularly concerning is the fact that under current laws, authorities are allowed to use past convictions as grounds for prosecuting new cases without the need to fully consider the current behavior or life context of the accused. For example, when a woman with a prior drug-related conviction is arrested in a new case, she may be immediately sentenced to imprisonment and face harsher penalties, regardless of her efforts to rehabilitate and rebuild her life after release. This practice disregards her human dignity and the right to reintegrate into society.</w:t>
      </w:r>
    </w:p>
    <w:p w14:paraId="0000002E" w14:textId="1E7F2EEB" w:rsidR="008A5E97" w:rsidRDefault="008F69C4" w:rsidP="00F31C13">
      <w:pPr>
        <w:jc w:val="thaiDistribute"/>
        <w:rPr>
          <w:rFonts w:ascii="Times New Roman" w:eastAsia="Times New Roman" w:hAnsi="Times New Roman" w:cs="Times New Roman"/>
          <w:sz w:val="24"/>
          <w:szCs w:val="24"/>
        </w:rPr>
      </w:pPr>
      <w:r>
        <w:rPr>
          <w:rFonts w:ascii="Times New Roman" w:eastAsia="Times New Roman" w:hAnsi="Times New Roman" w:cs="Times New Roman"/>
          <w:sz w:val="24"/>
          <w:szCs w:val="24"/>
        </w:rPr>
        <w:t>The consequences of having a “</w:t>
      </w:r>
      <w:r w:rsidR="005A3616" w:rsidRPr="00604ACF">
        <w:rPr>
          <w:rFonts w:ascii="Times New Roman" w:eastAsia="Times New Roman" w:hAnsi="Times New Roman" w:cs="Times New Roman"/>
          <w:sz w:val="24"/>
          <w:szCs w:val="24"/>
        </w:rPr>
        <w:t>c</w:t>
      </w:r>
      <w:r w:rsidR="005A3616" w:rsidRPr="005A3616">
        <w:rPr>
          <w:rFonts w:ascii="Times New Roman" w:eastAsia="Times New Roman" w:hAnsi="Times New Roman" w:cs="Times New Roman"/>
          <w:sz w:val="24"/>
          <w:szCs w:val="24"/>
        </w:rPr>
        <w:t>r</w:t>
      </w:r>
      <w:r w:rsidR="005A3616">
        <w:rPr>
          <w:rFonts w:ascii="Times New Roman" w:eastAsia="Times New Roman" w:hAnsi="Times New Roman" w:cs="Times New Roman"/>
          <w:sz w:val="24"/>
          <w:szCs w:val="24"/>
        </w:rPr>
        <w:t>iminal record</w:t>
      </w:r>
      <w:r>
        <w:rPr>
          <w:rFonts w:ascii="Times New Roman" w:eastAsia="Times New Roman" w:hAnsi="Times New Roman" w:cs="Times New Roman"/>
          <w:sz w:val="24"/>
          <w:szCs w:val="24"/>
        </w:rPr>
        <w:t xml:space="preserve">” also extend significantly into other areas of these women’s lives. They are often immediately rejected by employers upon learning of their criminal record, making it extremely difficult to secure honest employment. This forces many women back into a cycle of economic vulnerability and may lead them to return to drug use or engage in illegal activities due to the lack of stable income-generating opportunities. Moreover, they face barriers in accessing state welfare services for instance, being ineligible to enroll in certain vocational training programs or receiving inadequate post-release support from government agencies. Such exclusion hinders their ability to develop themselves and reintegrate into society with dignity. </w:t>
      </w:r>
      <w:r>
        <w:rPr>
          <w:rFonts w:ascii="Times New Roman" w:eastAsia="Times New Roman" w:hAnsi="Times New Roman" w:cs="Times New Roman"/>
          <w:sz w:val="24"/>
          <w:szCs w:val="24"/>
        </w:rPr>
        <w:lastRenderedPageBreak/>
        <w:t>Thus, the existence of a “</w:t>
      </w:r>
      <w:r w:rsidR="005A3616" w:rsidRPr="00604ACF">
        <w:rPr>
          <w:rFonts w:ascii="Times New Roman" w:eastAsia="Times New Roman" w:hAnsi="Times New Roman" w:cs="Times New Roman"/>
          <w:sz w:val="24"/>
          <w:szCs w:val="24"/>
        </w:rPr>
        <w:t>c</w:t>
      </w:r>
      <w:r w:rsidR="005A3616" w:rsidRPr="005A3616">
        <w:rPr>
          <w:rFonts w:ascii="Times New Roman" w:eastAsia="Times New Roman" w:hAnsi="Times New Roman" w:cs="Times New Roman"/>
          <w:sz w:val="24"/>
          <w:szCs w:val="24"/>
        </w:rPr>
        <w:t>r</w:t>
      </w:r>
      <w:r w:rsidR="005A3616">
        <w:rPr>
          <w:rFonts w:ascii="Times New Roman" w:eastAsia="Times New Roman" w:hAnsi="Times New Roman" w:cs="Times New Roman"/>
          <w:sz w:val="24"/>
          <w:szCs w:val="24"/>
        </w:rPr>
        <w:t>iminal record</w:t>
      </w:r>
      <w:r>
        <w:rPr>
          <w:rFonts w:ascii="Times New Roman" w:eastAsia="Times New Roman" w:hAnsi="Times New Roman" w:cs="Times New Roman"/>
          <w:sz w:val="24"/>
          <w:szCs w:val="24"/>
        </w:rPr>
        <w:t>” serves as a major obstacle that reinforces gender inequality and social marginalization.</w:t>
      </w:r>
    </w:p>
    <w:p w14:paraId="0000002F" w14:textId="77777777" w:rsidR="008A5E97" w:rsidRDefault="008F69C4" w:rsidP="00F31C13">
      <w:pPr>
        <w:jc w:val="thaiDistribute"/>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Relationships and Intersectionality</w:t>
      </w:r>
    </w:p>
    <w:p w14:paraId="00000030" w14:textId="1258AD9A" w:rsidR="008A5E97" w:rsidRDefault="008F69C4" w:rsidP="00F31C13">
      <w:pPr>
        <w:jc w:val="thaiDistribut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Women and LBT individuals are not exempt from the use of drugs in sexual contexts, including </w:t>
      </w:r>
      <w:proofErr w:type="spellStart"/>
      <w:r>
        <w:rPr>
          <w:rFonts w:ascii="Times New Roman" w:eastAsia="Times New Roman" w:hAnsi="Times New Roman" w:cs="Times New Roman"/>
          <w:sz w:val="24"/>
          <w:szCs w:val="24"/>
        </w:rPr>
        <w:t>chemsex</w:t>
      </w:r>
      <w:proofErr w:type="spellEnd"/>
      <w:r>
        <w:rPr>
          <w:rFonts w:ascii="Times New Roman" w:eastAsia="Times New Roman" w:hAnsi="Times New Roman" w:cs="Times New Roman"/>
          <w:sz w:val="24"/>
          <w:szCs w:val="24"/>
        </w:rPr>
        <w:t xml:space="preserve"> settings. While Thailand still lacks systematic research specifically on </w:t>
      </w:r>
      <w:proofErr w:type="spellStart"/>
      <w:r>
        <w:rPr>
          <w:rFonts w:ascii="Times New Roman" w:eastAsia="Times New Roman" w:hAnsi="Times New Roman" w:cs="Times New Roman"/>
          <w:sz w:val="24"/>
          <w:szCs w:val="24"/>
        </w:rPr>
        <w:t>chemsex</w:t>
      </w:r>
      <w:proofErr w:type="spellEnd"/>
      <w:r>
        <w:rPr>
          <w:rFonts w:ascii="Times New Roman" w:eastAsia="Times New Roman" w:hAnsi="Times New Roman" w:cs="Times New Roman"/>
          <w:sz w:val="24"/>
          <w:szCs w:val="24"/>
        </w:rPr>
        <w:t xml:space="preserve"> among women and LBT populations, both service providers and experts confirm the existence of this group and their heightened vulnerability to systemic violence and rights violations. In stakeholder discussions, reports have surfaced of women particularly sex workers being coerced into drug use and sex without the power to refuse or negotiate. It is common for clients to offer extra payment in exchange for drug use before or during sex. A recent case in February highlights the deadly consequences</w:t>
      </w:r>
      <w:sdt>
        <w:sdtPr>
          <w:tag w:val="goog_rdk_11"/>
          <w:id w:val="768897663"/>
        </w:sdtPr>
        <w:sdtContent/>
      </w:sdt>
      <w:r>
        <w:rPr>
          <w:rFonts w:ascii="Times New Roman" w:eastAsia="Times New Roman" w:hAnsi="Times New Roman" w:cs="Times New Roman"/>
          <w:sz w:val="24"/>
          <w:szCs w:val="24"/>
        </w:rPr>
        <w:t>: a female sex worker died while servicing a client, and evidence found by police pointed to the use of "happy water" and an unidentified white powder</w:t>
      </w:r>
      <w:r w:rsidR="00591BB2">
        <w:rPr>
          <w:rStyle w:val="FootnoteReference"/>
          <w:rFonts w:ascii="Times New Roman" w:eastAsia="Times New Roman" w:hAnsi="Times New Roman" w:cs="Times New Roman"/>
          <w:sz w:val="24"/>
          <w:szCs w:val="24"/>
        </w:rPr>
        <w:footnoteReference w:id="24"/>
      </w:r>
      <w:r>
        <w:rPr>
          <w:rFonts w:ascii="Times New Roman" w:eastAsia="Times New Roman" w:hAnsi="Times New Roman" w:cs="Times New Roman"/>
          <w:sz w:val="24"/>
          <w:szCs w:val="24"/>
        </w:rPr>
        <w:t xml:space="preserve">. </w:t>
      </w:r>
      <w:r w:rsidR="00591BB2" w:rsidRPr="00591BB2">
        <w:rPr>
          <w:rFonts w:ascii="Times New Roman" w:eastAsia="Times New Roman" w:hAnsi="Times New Roman" w:cs="Times New Roman"/>
          <w:sz w:val="24"/>
          <w:szCs w:val="24"/>
        </w:rPr>
        <w:t xml:space="preserve">Chat logs in the case revealed offers of increased pay in exchange for drug use prior to sex, raising serious concerns about the conditions under which consent was obtained. This case highlights the severe risks faced by women and LBT individuals involved in </w:t>
      </w:r>
      <w:proofErr w:type="spellStart"/>
      <w:r w:rsidR="00591BB2" w:rsidRPr="00591BB2">
        <w:rPr>
          <w:rFonts w:ascii="Times New Roman" w:eastAsia="Times New Roman" w:hAnsi="Times New Roman" w:cs="Times New Roman"/>
          <w:sz w:val="24"/>
          <w:szCs w:val="24"/>
        </w:rPr>
        <w:t>chemsex</w:t>
      </w:r>
      <w:proofErr w:type="spellEnd"/>
      <w:r w:rsidR="00591BB2" w:rsidRPr="00591BB2">
        <w:rPr>
          <w:rFonts w:ascii="Times New Roman" w:eastAsia="Times New Roman" w:hAnsi="Times New Roman" w:cs="Times New Roman"/>
          <w:sz w:val="24"/>
          <w:szCs w:val="24"/>
        </w:rPr>
        <w:t>, including vulnerability to coercion, sexual violence, exposure to sexually transmitted infections, unwanted pregnancies, reproductive health complications, fatal overdoses, and profound mental health consequences from repeated trauma and stigma. Protective systems remain absent. Beyond direct harm, many also experience family rejection, are expelled from their homes, or are forced into non-consensual rehabilitation</w:t>
      </w:r>
      <w:r w:rsidR="00591BB2">
        <w:rPr>
          <w:rFonts w:ascii="Times New Roman" w:eastAsia="Times New Roman" w:hAnsi="Times New Roman" w:cs="Times New Roman"/>
          <w:sz w:val="24"/>
          <w:szCs w:val="24"/>
        </w:rPr>
        <w:t xml:space="preserve"> </w:t>
      </w:r>
      <w:r w:rsidR="00591BB2" w:rsidRPr="00591BB2">
        <w:rPr>
          <w:rFonts w:ascii="Times New Roman" w:eastAsia="Times New Roman" w:hAnsi="Times New Roman" w:cs="Times New Roman"/>
          <w:sz w:val="24"/>
          <w:szCs w:val="24"/>
        </w:rPr>
        <w:t>deepening psychological distress. Most families lack understanding of harm reduction, and the state has failed to implement effective, dignified support mechanisms for drug users. As a result, women and LBT individuals are left to navigate these crises alone, without safe or trustworthy support. Alarmingly, some have reported being coerced into serving as informants or decoys in drug enforcement operations</w:t>
      </w:r>
      <w:r w:rsidR="00591BB2">
        <w:rPr>
          <w:rFonts w:ascii="Times New Roman" w:eastAsia="Times New Roman" w:hAnsi="Times New Roman" w:cs="Times New Roman"/>
          <w:sz w:val="24"/>
          <w:szCs w:val="24"/>
        </w:rPr>
        <w:t xml:space="preserve"> </w:t>
      </w:r>
      <w:r w:rsidR="00591BB2" w:rsidRPr="00591BB2">
        <w:rPr>
          <w:rFonts w:ascii="Times New Roman" w:eastAsia="Times New Roman" w:hAnsi="Times New Roman" w:cs="Times New Roman"/>
          <w:sz w:val="24"/>
          <w:szCs w:val="24"/>
        </w:rPr>
        <w:t xml:space="preserve">a serious violation of rights that compounds </w:t>
      </w:r>
      <w:proofErr w:type="gramStart"/>
      <w:r w:rsidR="00591BB2" w:rsidRPr="00591BB2">
        <w:rPr>
          <w:rFonts w:ascii="Times New Roman" w:eastAsia="Times New Roman" w:hAnsi="Times New Roman" w:cs="Times New Roman"/>
          <w:sz w:val="24"/>
          <w:szCs w:val="24"/>
        </w:rPr>
        <w:t>risks</w:t>
      </w:r>
      <w:proofErr w:type="gramEnd"/>
      <w:r w:rsidR="00591BB2" w:rsidRPr="00591BB2">
        <w:rPr>
          <w:rFonts w:ascii="Times New Roman" w:eastAsia="Times New Roman" w:hAnsi="Times New Roman" w:cs="Times New Roman"/>
          <w:sz w:val="24"/>
          <w:szCs w:val="24"/>
        </w:rPr>
        <w:t xml:space="preserve"> of violence and discrimination, particularly for women from ethnic minority backgrounds who remain largely invisible within the justice system.</w:t>
      </w:r>
      <w:r w:rsidR="00591BB2" w:rsidRPr="00591BB2" w:rsidDel="00591BB2">
        <w:rPr>
          <w:rFonts w:ascii="Times New Roman" w:eastAsia="Times New Roman" w:hAnsi="Times New Roman" w:cs="Times New Roman"/>
          <w:sz w:val="24"/>
          <w:szCs w:val="24"/>
        </w:rPr>
        <w:t xml:space="preserve"> </w:t>
      </w:r>
    </w:p>
    <w:p w14:paraId="00000031" w14:textId="77777777" w:rsidR="008A5E97" w:rsidRDefault="008A5E97" w:rsidP="00F31C13">
      <w:pPr>
        <w:jc w:val="thaiDistribute"/>
        <w:rPr>
          <w:rFonts w:ascii="Times New Roman" w:eastAsia="Times New Roman" w:hAnsi="Times New Roman" w:cs="Times New Roman"/>
          <w:b/>
          <w:sz w:val="24"/>
          <w:szCs w:val="24"/>
        </w:rPr>
      </w:pPr>
    </w:p>
    <w:p w14:paraId="00000032" w14:textId="77777777" w:rsidR="008A5E97" w:rsidRDefault="008F69C4" w:rsidP="00F31C13">
      <w:pPr>
        <w:jc w:val="thaiDistribute"/>
        <w:rPr>
          <w:rFonts w:ascii="Times New Roman" w:eastAsia="Times New Roman" w:hAnsi="Times New Roman" w:cs="Times New Roman"/>
          <w:sz w:val="24"/>
          <w:szCs w:val="24"/>
        </w:rPr>
      </w:pPr>
      <w:r>
        <w:rPr>
          <w:rFonts w:ascii="Times New Roman" w:eastAsia="Times New Roman" w:hAnsi="Times New Roman" w:cs="Times New Roman"/>
          <w:b/>
          <w:sz w:val="24"/>
          <w:szCs w:val="24"/>
        </w:rPr>
        <w:t>Women and LBT Individuals Living with HIV</w:t>
      </w:r>
    </w:p>
    <w:p w14:paraId="1D43ED7D" w14:textId="363FFA60" w:rsidR="00A62C37" w:rsidRDefault="000F58CF" w:rsidP="00F31C13">
      <w:pPr>
        <w:jc w:val="thaiDistribute"/>
        <w:rPr>
          <w:rFonts w:ascii="Times New Roman" w:eastAsia="Times New Roman" w:hAnsi="Times New Roman" w:cs="Times New Roman"/>
          <w:sz w:val="24"/>
          <w:szCs w:val="24"/>
        </w:rPr>
      </w:pPr>
      <w:r w:rsidRPr="000F58CF">
        <w:rPr>
          <w:rFonts w:ascii="Times New Roman" w:eastAsia="Times New Roman" w:hAnsi="Times New Roman" w:cs="Times New Roman"/>
          <w:sz w:val="24"/>
          <w:szCs w:val="24"/>
        </w:rPr>
        <w:t>Although Thailand has made significant progress in preventing the spread of HIV/AIDS and providing comprehensive antiretroviral treatment services, the country still faces challenges in ending stigma and discrimination against people living with HIV, especially women. According to the 2022 Thailand AIDS/HIV Situation Report, there are currently 561,578 people living with HIV, of whom 231,901 are women. New infections among women remain at 1,746, while AIDS-related deaths reach as high as 5,618. A 2019 survey on the situation of children and women in Thailand showed that negative attitudes toward people living with HIV persist at 26.7%</w:t>
      </w:r>
      <w:r w:rsidR="0076772A">
        <w:rPr>
          <w:rStyle w:val="FootnoteReference"/>
          <w:rFonts w:ascii="Times New Roman" w:eastAsia="Times New Roman" w:hAnsi="Times New Roman" w:cs="Times New Roman"/>
          <w:sz w:val="24"/>
          <w:szCs w:val="24"/>
        </w:rPr>
        <w:footnoteReference w:id="25"/>
      </w:r>
      <w:r w:rsidRPr="000F58CF">
        <w:rPr>
          <w:rFonts w:ascii="Times New Roman" w:eastAsia="Times New Roman" w:hAnsi="Times New Roman" w:cs="Times New Roman"/>
          <w:sz w:val="24"/>
          <w:szCs w:val="24"/>
        </w:rPr>
        <w:t xml:space="preserve">. Additionally, the 2023 Thailand HIV Stigma and Discrimination Index survey found that among </w:t>
      </w:r>
      <w:r w:rsidRPr="000F58CF">
        <w:rPr>
          <w:rFonts w:ascii="Times New Roman" w:eastAsia="Times New Roman" w:hAnsi="Times New Roman" w:cs="Times New Roman"/>
          <w:sz w:val="24"/>
          <w:szCs w:val="24"/>
        </w:rPr>
        <w:lastRenderedPageBreak/>
        <w:t>youth aged 18–24, self-stigma is as high as 49.3%, rights violations affect 7.5%, and community discrimination reaches 9.0%</w:t>
      </w:r>
      <w:r w:rsidR="005B5781">
        <w:rPr>
          <w:rStyle w:val="FootnoteReference"/>
          <w:rFonts w:ascii="Times New Roman" w:eastAsia="Times New Roman" w:hAnsi="Times New Roman" w:cs="Times New Roman"/>
          <w:sz w:val="24"/>
          <w:szCs w:val="24"/>
        </w:rPr>
        <w:footnoteReference w:id="26"/>
      </w:r>
      <w:r w:rsidRPr="000F58CF">
        <w:rPr>
          <w:rFonts w:ascii="Times New Roman" w:eastAsia="Times New Roman" w:hAnsi="Times New Roman" w:cs="Times New Roman"/>
          <w:sz w:val="24"/>
          <w:szCs w:val="24"/>
        </w:rPr>
        <w:t>. This stigma and discrimination deeply impact the physical and mental health, access to essential health services, and equal economic and social participation of women living with HIV, limiting their opportunities and potential to live with dignity and equality.</w:t>
      </w:r>
    </w:p>
    <w:p w14:paraId="548540EF" w14:textId="60EA04C7" w:rsidR="000F58CF" w:rsidRDefault="00A62C37" w:rsidP="00F31C13">
      <w:pPr>
        <w:jc w:val="thaiDistribute"/>
        <w:rPr>
          <w:rFonts w:ascii="Times New Roman" w:eastAsia="Times New Roman" w:hAnsi="Times New Roman" w:cs="Times New Roman"/>
          <w:sz w:val="24"/>
          <w:szCs w:val="24"/>
        </w:rPr>
      </w:pPr>
      <w:r w:rsidRPr="00A62C37">
        <w:rPr>
          <w:rFonts w:ascii="Times New Roman" w:eastAsia="Times New Roman" w:hAnsi="Times New Roman" w:cs="Times New Roman"/>
          <w:sz w:val="24"/>
          <w:szCs w:val="24"/>
        </w:rPr>
        <w:t xml:space="preserve">Women living with HIV face intersecting forms of discrimination that violate their rights to health, privacy, dignity, and equality. Many </w:t>
      </w:r>
      <w:r w:rsidR="00C6403A" w:rsidRPr="00A62C37">
        <w:rPr>
          <w:rFonts w:ascii="Times New Roman" w:eastAsia="Times New Roman" w:hAnsi="Times New Roman" w:cs="Times New Roman"/>
          <w:sz w:val="24"/>
          <w:szCs w:val="24"/>
        </w:rPr>
        <w:t>experiences</w:t>
      </w:r>
      <w:r w:rsidRPr="00A62C37">
        <w:rPr>
          <w:rFonts w:ascii="Times New Roman" w:eastAsia="Times New Roman" w:hAnsi="Times New Roman" w:cs="Times New Roman"/>
          <w:sz w:val="24"/>
          <w:szCs w:val="24"/>
        </w:rPr>
        <w:t xml:space="preserve"> involuntary disclosure of their HIV status</w:t>
      </w:r>
      <w:r w:rsidR="00C6403A">
        <w:rPr>
          <w:rFonts w:ascii="Times New Roman" w:eastAsia="Times New Roman" w:hAnsi="Times New Roman" w:cs="Times New Roman"/>
          <w:sz w:val="24"/>
          <w:szCs w:val="24"/>
        </w:rPr>
        <w:t xml:space="preserve"> </w:t>
      </w:r>
      <w:r w:rsidRPr="00A62C37">
        <w:rPr>
          <w:rFonts w:ascii="Times New Roman" w:eastAsia="Times New Roman" w:hAnsi="Times New Roman" w:cs="Times New Roman"/>
          <w:sz w:val="24"/>
          <w:szCs w:val="24"/>
        </w:rPr>
        <w:t>often by intimate partners</w:t>
      </w:r>
      <w:r w:rsidR="00C6403A">
        <w:rPr>
          <w:rFonts w:ascii="Times New Roman" w:eastAsia="Times New Roman" w:hAnsi="Times New Roman" w:cs="Times New Roman"/>
          <w:sz w:val="24"/>
          <w:szCs w:val="24"/>
        </w:rPr>
        <w:t xml:space="preserve"> </w:t>
      </w:r>
      <w:r w:rsidRPr="00A62C37">
        <w:rPr>
          <w:rFonts w:ascii="Times New Roman" w:eastAsia="Times New Roman" w:hAnsi="Times New Roman" w:cs="Times New Roman"/>
          <w:sz w:val="24"/>
          <w:szCs w:val="24"/>
        </w:rPr>
        <w:t xml:space="preserve">as a form of control, particularly in </w:t>
      </w:r>
      <w:proofErr w:type="spellStart"/>
      <w:r w:rsidR="00D17706" w:rsidRPr="00D17706">
        <w:rPr>
          <w:rFonts w:ascii="Times New Roman" w:eastAsia="Times New Roman" w:hAnsi="Times New Roman" w:cs="Times New Roman"/>
          <w:sz w:val="24"/>
          <w:szCs w:val="24"/>
        </w:rPr>
        <w:t>sero</w:t>
      </w:r>
      <w:proofErr w:type="spellEnd"/>
      <w:r w:rsidR="00D17706" w:rsidRPr="00D17706">
        <w:rPr>
          <w:rFonts w:ascii="Times New Roman" w:eastAsia="Times New Roman" w:hAnsi="Times New Roman" w:cs="Times New Roman"/>
          <w:sz w:val="24"/>
          <w:szCs w:val="24"/>
        </w:rPr>
        <w:t>-discordant relationships</w:t>
      </w:r>
      <w:r w:rsidRPr="00A62C37">
        <w:rPr>
          <w:rFonts w:ascii="Times New Roman" w:eastAsia="Times New Roman" w:hAnsi="Times New Roman" w:cs="Times New Roman"/>
          <w:sz w:val="24"/>
          <w:szCs w:val="24"/>
        </w:rPr>
        <w:t>. These situations lead to severe self-stigma, depression, domestic violence, divorce, and lost economic opportunities. Such gender-based violations are exacerbated by a lack of legal safeguards and structural protection, limiting women’s autonomy and reinforcing unequal power dynamics. Addressing these systemic barriers is crucial to upholding the human rights of women living with HIV and ensuring their full participation in society with dignity and equality.</w:t>
      </w:r>
    </w:p>
    <w:p w14:paraId="00000034" w14:textId="77777777" w:rsidR="008A5E97" w:rsidRDefault="008F69C4" w:rsidP="00F31C13">
      <w:pPr>
        <w:jc w:val="thaiDistribute"/>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Discrimination in Workplaces</w:t>
      </w:r>
    </w:p>
    <w:p w14:paraId="00000035" w14:textId="77777777" w:rsidR="008A5E97" w:rsidRDefault="008F69C4" w:rsidP="00F31C13">
      <w:pPr>
        <w:jc w:val="thaiDistribut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Thailand’s efforts to eliminate stigma and discrimination in various aspects such as capacity building for officials, public awareness campaigns, and the establishment of the Crisis Response System (CRS) “Sawasdee </w:t>
      </w:r>
      <w:proofErr w:type="spellStart"/>
      <w:r>
        <w:rPr>
          <w:rFonts w:ascii="Times New Roman" w:eastAsia="Times New Roman" w:hAnsi="Times New Roman" w:cs="Times New Roman"/>
          <w:sz w:val="24"/>
          <w:szCs w:val="24"/>
        </w:rPr>
        <w:t>Pokpong</w:t>
      </w:r>
      <w:proofErr w:type="spellEnd"/>
      <w:r>
        <w:rPr>
          <w:rFonts w:ascii="Times New Roman" w:eastAsia="Times New Roman" w:hAnsi="Times New Roman" w:cs="Times New Roman"/>
          <w:sz w:val="24"/>
          <w:szCs w:val="24"/>
        </w:rPr>
        <w:t xml:space="preserve">” complaint mechanism, as well as the issuance of the Ministry of </w:t>
      </w:r>
      <w:proofErr w:type="spellStart"/>
      <w:r>
        <w:rPr>
          <w:rFonts w:ascii="Times New Roman" w:eastAsia="Times New Roman" w:hAnsi="Times New Roman" w:cs="Times New Roman"/>
          <w:sz w:val="24"/>
          <w:szCs w:val="24"/>
        </w:rPr>
        <w:t>Labour’s</w:t>
      </w:r>
      <w:proofErr w:type="spellEnd"/>
      <w:r>
        <w:rPr>
          <w:rFonts w:ascii="Times New Roman" w:eastAsia="Times New Roman" w:hAnsi="Times New Roman" w:cs="Times New Roman"/>
          <w:sz w:val="24"/>
          <w:szCs w:val="24"/>
        </w:rPr>
        <w:t xml:space="preserve"> guidelines on the prevention and management of HIV and tuberculosis in workplaces (dated 25 July 2012) and guidelines on HIV prevention and management in workplaces (dated 5 November 2020) to protect the rights of vulnerable groups, many women living with HIV continue to face hidden discrimination within systems, both in policies and in unjust practices.</w:t>
      </w:r>
    </w:p>
    <w:p w14:paraId="00000036" w14:textId="3B86A12A" w:rsidR="008A5E97" w:rsidRDefault="008F69C4" w:rsidP="00F31C13">
      <w:pPr>
        <w:jc w:val="thaiDistribute"/>
        <w:rPr>
          <w:rFonts w:ascii="Times New Roman" w:eastAsia="Times New Roman" w:hAnsi="Times New Roman" w:cs="Times New Roman"/>
          <w:sz w:val="24"/>
          <w:szCs w:val="24"/>
        </w:rPr>
      </w:pPr>
      <w:r>
        <w:rPr>
          <w:rFonts w:ascii="Times New Roman" w:eastAsia="Times New Roman" w:hAnsi="Times New Roman" w:cs="Times New Roman"/>
          <w:sz w:val="24"/>
          <w:szCs w:val="24"/>
        </w:rPr>
        <w:t>Baan Samer Complaint Center, under the Foundation for Action on Inclusion Rights (FAIR), continues to receive reports from PLHIV indicating that both government and private agencies still enforce mandatory HIV testing, particularly in workplaces and educational institutions. For example, in January 2024, complaints were received regarding forced HIV testing during job application processes and termination of employment upon HIV-positive results. It was found that most employers and educational institutions do not explicitly state in job postings or admissions notices that they reject HIV-positive individuals. However, once candidates pass interviews, a health check often including an HIV test is required. If the result is positive, many employers or institutions will refuse to hire or admit the individual</w:t>
      </w:r>
      <w:r w:rsidR="00F201FE">
        <w:rPr>
          <w:rStyle w:val="FootnoteReference"/>
          <w:rFonts w:ascii="Times New Roman" w:eastAsia="Times New Roman" w:hAnsi="Times New Roman" w:cs="Times New Roman"/>
          <w:sz w:val="24"/>
          <w:szCs w:val="24"/>
        </w:rPr>
        <w:footnoteReference w:id="27"/>
      </w:r>
      <w:r>
        <w:rPr>
          <w:rFonts w:ascii="Times New Roman" w:eastAsia="Times New Roman" w:hAnsi="Times New Roman" w:cs="Times New Roman"/>
          <w:sz w:val="24"/>
          <w:szCs w:val="24"/>
        </w:rPr>
        <w:t>.</w:t>
      </w:r>
    </w:p>
    <w:p w14:paraId="00000037" w14:textId="3C5A1B43" w:rsidR="008A5E97" w:rsidRDefault="008F69C4" w:rsidP="00F31C13">
      <w:pPr>
        <w:jc w:val="thaiDistribut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clear example is the case of a woman living with HIV who continues to be excluded from equal participation in employment and education. Although job or school applications may not openly reject PLHIV, once applicants pass the selection process, they are often required to undergo health checks, including HIV tests. If the result is positive, they are typically denied entry or employment. As stated in an interview, one woman living with HIV decided to resign from her job because the </w:t>
      </w:r>
      <w:r>
        <w:rPr>
          <w:rFonts w:ascii="Times New Roman" w:eastAsia="Times New Roman" w:hAnsi="Times New Roman" w:cs="Times New Roman"/>
          <w:sz w:val="24"/>
          <w:szCs w:val="24"/>
        </w:rPr>
        <w:lastRenderedPageBreak/>
        <w:t>company required HIV testing. She did not want anyone to know about her status due to fear of stigma, her mother had also experienced discrimination from family members</w:t>
      </w:r>
      <w:r w:rsidR="00882D8D">
        <w:rPr>
          <w:rStyle w:val="FootnoteReference"/>
          <w:rFonts w:ascii="Times New Roman" w:eastAsia="Times New Roman" w:hAnsi="Times New Roman" w:cs="Times New Roman"/>
          <w:sz w:val="24"/>
          <w:szCs w:val="24"/>
        </w:rPr>
        <w:footnoteReference w:id="28"/>
      </w:r>
      <w:r>
        <w:rPr>
          <w:rFonts w:ascii="Times New Roman" w:eastAsia="Times New Roman" w:hAnsi="Times New Roman" w:cs="Times New Roman"/>
          <w:sz w:val="24"/>
          <w:szCs w:val="24"/>
        </w:rPr>
        <w:t>.</w:t>
      </w:r>
    </w:p>
    <w:p w14:paraId="00000038" w14:textId="344853D6" w:rsidR="008A5E97" w:rsidRDefault="008F69C4" w:rsidP="00F31C13">
      <w:pPr>
        <w:jc w:val="thaiDistribute"/>
        <w:rPr>
          <w:rFonts w:ascii="Times New Roman" w:eastAsia="Times New Roman" w:hAnsi="Times New Roman" w:cstheme="minorBidi"/>
          <w:sz w:val="24"/>
          <w:szCs w:val="24"/>
        </w:rPr>
      </w:pPr>
      <w:r>
        <w:rPr>
          <w:rFonts w:ascii="Times New Roman" w:eastAsia="Times New Roman" w:hAnsi="Times New Roman" w:cs="Times New Roman"/>
          <w:sz w:val="24"/>
          <w:szCs w:val="24"/>
        </w:rPr>
        <w:t xml:space="preserve">This situation is consistent with the findings of </w:t>
      </w:r>
      <w:sdt>
        <w:sdtPr>
          <w:tag w:val="goog_rdk_13"/>
          <w:id w:val="405655492"/>
        </w:sdtPr>
        <w:sdtContent/>
      </w:sdt>
      <w:r>
        <w:rPr>
          <w:rFonts w:ascii="Times New Roman" w:eastAsia="Times New Roman" w:hAnsi="Times New Roman" w:cs="Times New Roman"/>
          <w:sz w:val="24"/>
          <w:szCs w:val="24"/>
        </w:rPr>
        <w:t>a research report by the National Human Rights Commission of Thailand (dated 14 January 2025), which documents complaints of discrimination based on health status affecting the freedom to pursue employment. Specifically, it highlights the imposition of HIV testing and the refusal to employ HIV-positive individuals. Such discrimination persists both at the policy level and in practice for example, within regulations of the Royal Thai Police and the Judicial Commission, which list HIV infection as a disqualifying condition for public service. In the private sector, particularly in the food, hotel, retail, and service industries, there have also been unfair rejections and dismissals of HIV-positive workers</w:t>
      </w:r>
      <w:r w:rsidR="00416CA2">
        <w:rPr>
          <w:rFonts w:ascii="Times New Roman" w:eastAsia="Times New Roman" w:hAnsi="Times New Roman" w:cs="Angsana New"/>
          <w:sz w:val="24"/>
          <w:szCs w:val="30"/>
        </w:rPr>
        <w:t>.</w:t>
      </w:r>
      <w:r w:rsidR="00AF0C50">
        <w:rPr>
          <w:rStyle w:val="FootnoteReference"/>
          <w:rFonts w:ascii="Times New Roman" w:eastAsia="Times New Roman" w:hAnsi="Times New Roman" w:cs="Times New Roman"/>
          <w:sz w:val="24"/>
          <w:szCs w:val="24"/>
        </w:rPr>
        <w:footnoteReference w:id="29"/>
      </w:r>
    </w:p>
    <w:p w14:paraId="50045D07" w14:textId="0428559B" w:rsidR="00416CA2" w:rsidRPr="00F31C13" w:rsidRDefault="00416CA2" w:rsidP="00F31C13">
      <w:pPr>
        <w:jc w:val="thaiDistribute"/>
        <w:rPr>
          <w:rFonts w:ascii="Times New Roman" w:eastAsia="Times New Roman" w:hAnsi="Times New Roman" w:cstheme="minorBidi" w:hint="cs"/>
          <w:sz w:val="24"/>
          <w:szCs w:val="24"/>
        </w:rPr>
      </w:pPr>
      <w:r w:rsidRPr="00416CA2">
        <w:rPr>
          <w:rFonts w:ascii="Times New Roman" w:eastAsia="Times New Roman" w:hAnsi="Times New Roman" w:cstheme="minorBidi"/>
          <w:sz w:val="24"/>
          <w:szCs w:val="24"/>
        </w:rPr>
        <w:t>This situation reveals a serious lack of HIV awareness in both public and private workplaces, creating major barriers to gender equality and non-discrimination for women living with HIV. Weak legal enforcement, vague penalties, and absent remedies leave affected women</w:t>
      </w:r>
      <w:r w:rsidR="00983198">
        <w:rPr>
          <w:rFonts w:ascii="Times New Roman" w:eastAsia="Times New Roman" w:hAnsi="Times New Roman" w:cstheme="minorBidi"/>
          <w:sz w:val="24"/>
          <w:szCs w:val="24"/>
        </w:rPr>
        <w:t xml:space="preserve">, </w:t>
      </w:r>
      <w:r w:rsidRPr="00416CA2">
        <w:rPr>
          <w:rFonts w:ascii="Times New Roman" w:eastAsia="Times New Roman" w:hAnsi="Times New Roman" w:cstheme="minorBidi"/>
          <w:sz w:val="24"/>
          <w:szCs w:val="24"/>
        </w:rPr>
        <w:t>many of them primary earners</w:t>
      </w:r>
      <w:r w:rsidR="00983198">
        <w:rPr>
          <w:rFonts w:ascii="Times New Roman" w:eastAsia="Times New Roman" w:hAnsi="Times New Roman" w:cstheme="minorBidi"/>
          <w:sz w:val="24"/>
          <w:szCs w:val="24"/>
        </w:rPr>
        <w:t xml:space="preserve"> </w:t>
      </w:r>
      <w:r w:rsidRPr="00416CA2">
        <w:rPr>
          <w:rFonts w:ascii="Times New Roman" w:eastAsia="Times New Roman" w:hAnsi="Times New Roman" w:cstheme="minorBidi"/>
          <w:sz w:val="24"/>
          <w:szCs w:val="24"/>
        </w:rPr>
        <w:t>without protection. Denied jobs or education, they lose income, healthcare, and basic dignity. Discrimination also drives internalized stigma, harming their well-being and risking disengagement from care.</w:t>
      </w:r>
    </w:p>
    <w:p w14:paraId="0000003A" w14:textId="77777777" w:rsidR="008A5E97" w:rsidRPr="00F31C13" w:rsidRDefault="008F69C4" w:rsidP="00F31C13">
      <w:pPr>
        <w:jc w:val="thaiDistribute"/>
        <w:rPr>
          <w:rFonts w:ascii="Times New Roman" w:eastAsia="Times New Roman" w:hAnsi="Times New Roman" w:cstheme="minorBidi" w:hint="cs"/>
          <w:sz w:val="24"/>
          <w:szCs w:val="24"/>
          <w:u w:val="single"/>
          <w:cs/>
        </w:rPr>
      </w:pPr>
      <w:r>
        <w:rPr>
          <w:rFonts w:ascii="Times New Roman" w:eastAsia="Times New Roman" w:hAnsi="Times New Roman" w:cs="Times New Roman"/>
          <w:sz w:val="24"/>
          <w:szCs w:val="24"/>
          <w:u w:val="single"/>
        </w:rPr>
        <w:t>Discrimination in Healthcare Facilities</w:t>
      </w:r>
    </w:p>
    <w:p w14:paraId="0000003B" w14:textId="7B2F5C4B" w:rsidR="008A5E97" w:rsidRDefault="008F69C4" w:rsidP="00F31C13">
      <w:pPr>
        <w:jc w:val="thaiDistribute"/>
        <w:rPr>
          <w:rFonts w:ascii="Times New Roman" w:eastAsia="Times New Roman" w:hAnsi="Times New Roman" w:cs="Times New Roman"/>
          <w:sz w:val="24"/>
          <w:szCs w:val="24"/>
        </w:rPr>
      </w:pPr>
      <w:r>
        <w:rPr>
          <w:rFonts w:ascii="Times New Roman" w:eastAsia="Times New Roman" w:hAnsi="Times New Roman" w:cs="Times New Roman"/>
          <w:sz w:val="24"/>
          <w:szCs w:val="24"/>
        </w:rPr>
        <w:t>Women living with HIV especially those without legal Thai status and stateless ethnic women face complex and severe barriers in accessing safe and quality sexual and reproductive health services. These barriers amount to discrimination based on legal and health status. For example, PLHIV who seek dental services and disclose their HIV status are often made to wait until the end of the queue, are rescheduled for another day, or are denied treatment altogether. Some report overhearing or witnessing gossip and stigmatizing behavior from healthcare staff during service. As a result, many women livings with HIV choose not to disclose their status, seek care at facilities that do not have their medical records, or avoid care entirely out of fear that their HIV status will be revealed</w:t>
      </w:r>
      <w:r w:rsidR="00616A6F">
        <w:rPr>
          <w:rStyle w:val="FootnoteReference"/>
          <w:rFonts w:ascii="Times New Roman" w:eastAsia="Times New Roman" w:hAnsi="Times New Roman" w:cs="Times New Roman"/>
          <w:sz w:val="24"/>
          <w:szCs w:val="24"/>
        </w:rPr>
        <w:footnoteReference w:id="30"/>
      </w:r>
      <w:r>
        <w:rPr>
          <w:rFonts w:ascii="Times New Roman" w:eastAsia="Times New Roman" w:hAnsi="Times New Roman" w:cs="Times New Roman"/>
          <w:sz w:val="24"/>
          <w:szCs w:val="24"/>
        </w:rPr>
        <w:t>. This fear leads to disengagement from care, which can worsen oral health issues. Moreover, those who opt for alternative care must often pay higher costs to access services at facilities unfamiliar with their health history.</w:t>
      </w:r>
    </w:p>
    <w:p w14:paraId="0000003C" w14:textId="6B1813B2" w:rsidR="008A5E97" w:rsidRDefault="008F69C4" w:rsidP="00F31C13">
      <w:pPr>
        <w:jc w:val="thaiDistribut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have also been clear cases of discrimination against women living with HIV in access to healthcare. According to a January 2024 report by the NHRCT, one woman living with HIV filed a complaint after being charged 160,000 baht for an eyebrow lift surgery at a private hospital in Bangkok, twice the standard rate of 80,000 baht. The hospital cited staff safety concerns and increased sterilization costs, despite the patient having undetectable viral load (below 20 copies/mL) and a safe CD4 count, consistent with the U=U principle (Undetectable = </w:t>
      </w:r>
      <w:proofErr w:type="spellStart"/>
      <w:r>
        <w:rPr>
          <w:rFonts w:ascii="Times New Roman" w:eastAsia="Times New Roman" w:hAnsi="Times New Roman" w:cs="Times New Roman"/>
          <w:sz w:val="24"/>
          <w:szCs w:val="24"/>
        </w:rPr>
        <w:lastRenderedPageBreak/>
        <w:t>Untransmittable</w:t>
      </w:r>
      <w:proofErr w:type="spellEnd"/>
      <w:r>
        <w:rPr>
          <w:rFonts w:ascii="Times New Roman" w:eastAsia="Times New Roman" w:hAnsi="Times New Roman" w:cs="Times New Roman"/>
          <w:sz w:val="24"/>
          <w:szCs w:val="24"/>
        </w:rPr>
        <w:t>)</w:t>
      </w:r>
      <w:r w:rsidR="003E37C9">
        <w:rPr>
          <w:rStyle w:val="FootnoteReference"/>
          <w:rFonts w:ascii="Times New Roman" w:eastAsia="Times New Roman" w:hAnsi="Times New Roman" w:cs="Times New Roman"/>
          <w:sz w:val="24"/>
          <w:szCs w:val="24"/>
        </w:rPr>
        <w:footnoteReference w:id="31"/>
      </w:r>
      <w:r>
        <w:rPr>
          <w:rFonts w:ascii="Times New Roman" w:eastAsia="Times New Roman" w:hAnsi="Times New Roman" w:cs="Times New Roman"/>
          <w:sz w:val="24"/>
          <w:szCs w:val="24"/>
        </w:rPr>
        <w:t>. This case reflects ongoing fear and prejudice within healthcare institutions. This aligns with findings from the PLHIV Stigma Index 2.0, which reported that 16% of participants experienced discrimination in healthcare settings within the previous 12 months. Stigma and discrimination tend to be more severe among women with intersecting identities, such as sex workers, transgender individuals, and people who use drugs.</w:t>
      </w:r>
    </w:p>
    <w:p w14:paraId="0000003D" w14:textId="77777777" w:rsidR="008A5E97" w:rsidRDefault="008F69C4" w:rsidP="00F31C13">
      <w:pPr>
        <w:jc w:val="thaiDistribute"/>
        <w:rPr>
          <w:rFonts w:ascii="Times New Roman" w:eastAsia="Times New Roman" w:hAnsi="Times New Roman" w:cs="Times New Roman"/>
          <w:sz w:val="24"/>
          <w:szCs w:val="24"/>
        </w:rPr>
      </w:pPr>
      <w:r>
        <w:rPr>
          <w:rFonts w:ascii="Times New Roman" w:eastAsia="Times New Roman" w:hAnsi="Times New Roman" w:cs="Times New Roman"/>
          <w:sz w:val="24"/>
          <w:szCs w:val="24"/>
        </w:rPr>
        <w:t>Pregnancy remains stigmatized among women living with HIV. Many are pressured by healthcare providers to use contraception or to undergo specific forms of birth control, such as contraceptive implants, or are encouraged to terminate their pregnancies. In cases where women continue with pregnancy, providers often prescribe antiretroviral medications and recommend specific delivery methods. These practices stem from biased attitudes among healthcare workers, and many women lack the power to negotiate or the knowledge of their rights.</w:t>
      </w:r>
    </w:p>
    <w:p w14:paraId="0000003E" w14:textId="77777777" w:rsidR="008A5E97" w:rsidRDefault="008F69C4" w:rsidP="00F31C13">
      <w:pPr>
        <w:jc w:val="thaiDistribut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Women who wish to terminate a pregnancy often face coercion to continue it, which can have devastating impacts on their health and lives. Unwanted pregnancies may lead to dangerous complications, including hemorrhage and unsafe abortion, sometimes resulting in death </w:t>
      </w:r>
    </w:p>
    <w:p w14:paraId="0000003F" w14:textId="77777777" w:rsidR="008A5E97" w:rsidRDefault="008F69C4" w:rsidP="00F31C13">
      <w:pPr>
        <w:jc w:val="thaiDistribute"/>
        <w:rPr>
          <w:rFonts w:ascii="Times New Roman" w:eastAsia="Times New Roman" w:hAnsi="Times New Roman" w:cs="Times New Roman"/>
          <w:sz w:val="24"/>
          <w:szCs w:val="24"/>
        </w:rPr>
      </w:pPr>
      <w:r>
        <w:rPr>
          <w:rFonts w:ascii="Times New Roman" w:eastAsia="Times New Roman" w:hAnsi="Times New Roman" w:cs="Times New Roman"/>
          <w:sz w:val="24"/>
          <w:szCs w:val="24"/>
        </w:rPr>
        <w:t>as well as serious psychological effects, such as stress, depression, or suicidal ideation. Women may also be burdened with childcare responsibilities without adequate physical, emotional, or financial readiness, affecting child development and family stability. This limits their livelihood opportunities and deepens economic dependency. Additionally, women living with HIV often face stigma and discrimination from their families and communities, such as being blamed for transmitting HIV to their children.</w:t>
      </w:r>
    </w:p>
    <w:p w14:paraId="00000040" w14:textId="77777777" w:rsidR="008A5E97" w:rsidRDefault="008F69C4" w:rsidP="00F31C13">
      <w:pPr>
        <w:jc w:val="thaiDistribute"/>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 to the CEDAW Committee Regarding Women and LBT Persons Who Use Drugs</w:t>
      </w:r>
    </w:p>
    <w:p w14:paraId="00000041" w14:textId="5A55CA71" w:rsidR="008A5E97" w:rsidRPr="00F31C13" w:rsidRDefault="008F69C4" w:rsidP="00CD64F4">
      <w:pPr>
        <w:numPr>
          <w:ilvl w:val="0"/>
          <w:numId w:val="1"/>
        </w:numPr>
        <w:pBdr>
          <w:top w:val="nil"/>
          <w:left w:val="nil"/>
          <w:bottom w:val="nil"/>
          <w:right w:val="nil"/>
          <w:between w:val="nil"/>
        </w:pBdr>
        <w:spacing w:after="0"/>
        <w:jc w:val="thaiDistribut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w:t>
      </w:r>
      <w:r w:rsidR="00305258" w:rsidRPr="00305258">
        <w:t xml:space="preserve"> </w:t>
      </w:r>
      <w:r w:rsidR="00305258" w:rsidRPr="00305258">
        <w:rPr>
          <w:rFonts w:ascii="Times New Roman" w:eastAsia="Times New Roman" w:hAnsi="Times New Roman" w:cs="Times New Roman"/>
          <w:color w:val="000000"/>
          <w:sz w:val="24"/>
          <w:szCs w:val="24"/>
        </w:rPr>
        <w:t>Thai government should decriminalize drug use and possession for personal use to promote public health and harm reduction approaches. This is especially urgent as current law enforcement disproportionately impacts vulnerable groups, including people who are poor, socially marginalized, survivors of violence, transgender individuals, and formerly incarcerated persons.</w:t>
      </w:r>
    </w:p>
    <w:p w14:paraId="35CDCCB2" w14:textId="7082123E" w:rsidR="007F2094" w:rsidRDefault="007F2094" w:rsidP="00F31C13">
      <w:pPr>
        <w:numPr>
          <w:ilvl w:val="0"/>
          <w:numId w:val="1"/>
        </w:numPr>
        <w:pBdr>
          <w:top w:val="nil"/>
          <w:left w:val="nil"/>
          <w:bottom w:val="nil"/>
          <w:right w:val="nil"/>
          <w:between w:val="nil"/>
        </w:pBdr>
        <w:spacing w:after="0"/>
        <w:jc w:val="thaiDistribute"/>
        <w:rPr>
          <w:rFonts w:ascii="Times New Roman" w:eastAsia="Times New Roman" w:hAnsi="Times New Roman" w:cs="Times New Roman"/>
          <w:color w:val="000000"/>
          <w:sz w:val="24"/>
          <w:szCs w:val="24"/>
        </w:rPr>
      </w:pPr>
      <w:r w:rsidRPr="007F2094">
        <w:rPr>
          <w:rFonts w:ascii="Times New Roman" w:eastAsia="Times New Roman" w:hAnsi="Times New Roman" w:cs="Times New Roman"/>
          <w:color w:val="000000"/>
          <w:sz w:val="24"/>
          <w:szCs w:val="24"/>
        </w:rPr>
        <w:t>The Thai government should repeal laws criminalizing sex work to protect the rights, safety, and dignity of sex workers. Decriminalization will reduce stigma and discrimination, improve access to services, and ensure safer working conditions.</w:t>
      </w:r>
    </w:p>
    <w:p w14:paraId="7C95DAB4" w14:textId="320B7CDA" w:rsidR="00305258" w:rsidRDefault="00305258" w:rsidP="00F31C13">
      <w:pPr>
        <w:numPr>
          <w:ilvl w:val="0"/>
          <w:numId w:val="1"/>
        </w:numPr>
        <w:pBdr>
          <w:top w:val="nil"/>
          <w:left w:val="nil"/>
          <w:bottom w:val="nil"/>
          <w:right w:val="nil"/>
          <w:between w:val="nil"/>
        </w:pBdr>
        <w:spacing w:after="0"/>
        <w:jc w:val="thaiDistribute"/>
        <w:rPr>
          <w:rFonts w:ascii="Times New Roman" w:eastAsia="Times New Roman" w:hAnsi="Times New Roman" w:cs="Times New Roman"/>
          <w:color w:val="000000"/>
          <w:sz w:val="24"/>
          <w:szCs w:val="24"/>
        </w:rPr>
      </w:pPr>
      <w:r w:rsidRPr="00305258">
        <w:rPr>
          <w:rFonts w:ascii="Times New Roman" w:eastAsia="Times New Roman" w:hAnsi="Times New Roman" w:cs="Times New Roman"/>
          <w:color w:val="000000"/>
          <w:sz w:val="24"/>
          <w:szCs w:val="24"/>
        </w:rPr>
        <w:t xml:space="preserve">The </w:t>
      </w:r>
      <w:r>
        <w:rPr>
          <w:rFonts w:ascii="Times New Roman" w:eastAsia="Times New Roman" w:hAnsi="Times New Roman" w:cs="Times New Roman"/>
          <w:color w:val="000000"/>
          <w:sz w:val="24"/>
          <w:szCs w:val="24"/>
        </w:rPr>
        <w:t xml:space="preserve">Thai </w:t>
      </w:r>
      <w:r w:rsidRPr="00305258">
        <w:rPr>
          <w:rFonts w:ascii="Times New Roman" w:eastAsia="Times New Roman" w:hAnsi="Times New Roman" w:cs="Times New Roman"/>
          <w:color w:val="000000"/>
          <w:sz w:val="24"/>
          <w:szCs w:val="24"/>
        </w:rPr>
        <w:t>government must end harmful practices such as forced urine testing, which violate human rights and disproportionately affect vulnerable populations. Urine testing should be replaced with non-punitive, rights-respecting health interventions.</w:t>
      </w:r>
    </w:p>
    <w:p w14:paraId="00000042" w14:textId="77777777" w:rsidR="008A5E97" w:rsidRDefault="008F69C4" w:rsidP="00F31C13">
      <w:pPr>
        <w:numPr>
          <w:ilvl w:val="0"/>
          <w:numId w:val="1"/>
        </w:numPr>
        <w:pBdr>
          <w:top w:val="nil"/>
          <w:left w:val="nil"/>
          <w:bottom w:val="nil"/>
          <w:right w:val="nil"/>
          <w:between w:val="nil"/>
        </w:pBdr>
        <w:spacing w:after="0"/>
        <w:jc w:val="thaiDistribut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use of criminal records ("red cards") to automatically increase penalties in new prosecutions—without considering the individual’s current behavior or context—should be abolished. This practice violates the principle of fairness and severely impacts women’s </w:t>
      </w:r>
      <w:r>
        <w:rPr>
          <w:rFonts w:ascii="Times New Roman" w:eastAsia="Times New Roman" w:hAnsi="Times New Roman" w:cs="Times New Roman"/>
          <w:color w:val="000000"/>
          <w:sz w:val="24"/>
          <w:szCs w:val="24"/>
        </w:rPr>
        <w:lastRenderedPageBreak/>
        <w:t>opportunities for reintegration into society, including access to employment, income, and stability.</w:t>
      </w:r>
    </w:p>
    <w:p w14:paraId="00000043" w14:textId="77777777" w:rsidR="008A5E97" w:rsidRDefault="008F69C4" w:rsidP="00F31C13">
      <w:pPr>
        <w:numPr>
          <w:ilvl w:val="0"/>
          <w:numId w:val="1"/>
        </w:numPr>
        <w:pBdr>
          <w:top w:val="nil"/>
          <w:left w:val="nil"/>
          <w:bottom w:val="nil"/>
          <w:right w:val="nil"/>
          <w:between w:val="nil"/>
        </w:pBdr>
        <w:spacing w:after="0"/>
        <w:jc w:val="thaiDistribut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Legal and policy reforms are needed to address arrest, detention, and compulsory treatment practices. This includes setting clear, transparent, and non-discriminatory thresholds for drug quantity to prevent the wrongful arrest and detention of women.</w:t>
      </w:r>
    </w:p>
    <w:p w14:paraId="00000044" w14:textId="77777777" w:rsidR="008A5E97" w:rsidRDefault="008F69C4" w:rsidP="00F31C13">
      <w:pPr>
        <w:numPr>
          <w:ilvl w:val="0"/>
          <w:numId w:val="1"/>
        </w:numPr>
        <w:pBdr>
          <w:top w:val="nil"/>
          <w:left w:val="nil"/>
          <w:bottom w:val="nil"/>
          <w:right w:val="nil"/>
          <w:between w:val="nil"/>
        </w:pBdr>
        <w:spacing w:after="0"/>
        <w:jc w:val="thaiDistribut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Relevant officials (police, military, prosecutors, judges, and treatment personnel) must be trained to understand and uphold the rights of women who use drugs, with a focus on gender-sensitive approaches and effective harm reduction strategies.</w:t>
      </w:r>
    </w:p>
    <w:p w14:paraId="00000045" w14:textId="77777777" w:rsidR="008A5E97" w:rsidRDefault="008F69C4" w:rsidP="00F31C13">
      <w:pPr>
        <w:numPr>
          <w:ilvl w:val="0"/>
          <w:numId w:val="1"/>
        </w:numPr>
        <w:pBdr>
          <w:top w:val="nil"/>
          <w:left w:val="nil"/>
          <w:bottom w:val="nil"/>
          <w:right w:val="nil"/>
          <w:between w:val="nil"/>
        </w:pBdr>
        <w:spacing w:after="0"/>
        <w:jc w:val="thaiDistribut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Women who use drugs and civil society organizations should be meaningfully involved in the development of drug policies and laws to ensure these frameworks are responsive to </w:t>
      </w:r>
      <w:proofErr w:type="gramStart"/>
      <w:r>
        <w:rPr>
          <w:rFonts w:ascii="Times New Roman" w:eastAsia="Times New Roman" w:hAnsi="Times New Roman" w:cs="Times New Roman"/>
          <w:color w:val="000000"/>
          <w:sz w:val="24"/>
          <w:szCs w:val="24"/>
        </w:rPr>
        <w:t>women’s</w:t>
      </w:r>
      <w:proofErr w:type="gramEnd"/>
      <w:r>
        <w:rPr>
          <w:rFonts w:ascii="Times New Roman" w:eastAsia="Times New Roman" w:hAnsi="Times New Roman" w:cs="Times New Roman"/>
          <w:color w:val="000000"/>
          <w:sz w:val="24"/>
          <w:szCs w:val="24"/>
        </w:rPr>
        <w:t xml:space="preserve"> lived realities.</w:t>
      </w:r>
    </w:p>
    <w:p w14:paraId="00000046" w14:textId="77777777" w:rsidR="008A5E97" w:rsidRDefault="008F69C4" w:rsidP="00F31C13">
      <w:pPr>
        <w:numPr>
          <w:ilvl w:val="0"/>
          <w:numId w:val="1"/>
        </w:numPr>
        <w:pBdr>
          <w:top w:val="nil"/>
          <w:left w:val="nil"/>
          <w:bottom w:val="nil"/>
          <w:right w:val="nil"/>
          <w:between w:val="nil"/>
        </w:pBdr>
        <w:spacing w:after="0"/>
        <w:jc w:val="thaiDistribut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Thai government should establish national standards for shelters that follow human rights principles and meet the needs of women with intersecting identities, including women who use drugs. Shelters must be monitored by independent agencies, evaluated based on scientific and medical evidence, and established across all regions to ensure safety, accessibility, and non-discrimination.</w:t>
      </w:r>
    </w:p>
    <w:p w14:paraId="00000047" w14:textId="77777777" w:rsidR="008A5E97" w:rsidRDefault="008F69C4" w:rsidP="00F31C13">
      <w:pPr>
        <w:numPr>
          <w:ilvl w:val="0"/>
          <w:numId w:val="1"/>
        </w:numPr>
        <w:pBdr>
          <w:top w:val="nil"/>
          <w:left w:val="nil"/>
          <w:bottom w:val="nil"/>
          <w:right w:val="nil"/>
          <w:between w:val="nil"/>
        </w:pBdr>
        <w:spacing w:after="0"/>
        <w:jc w:val="thaiDistribut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Support should be provided for pre-release planning and post-release access to employment, vocational training, education, and mental health services to prevent women from falling into cycles of criminalization and punishment.</w:t>
      </w:r>
    </w:p>
    <w:p w14:paraId="00000048" w14:textId="77777777" w:rsidR="008A5E97" w:rsidRDefault="008F69C4" w:rsidP="00F31C13">
      <w:pPr>
        <w:numPr>
          <w:ilvl w:val="0"/>
          <w:numId w:val="1"/>
        </w:numPr>
        <w:pBdr>
          <w:top w:val="nil"/>
          <w:left w:val="nil"/>
          <w:bottom w:val="nil"/>
          <w:right w:val="nil"/>
          <w:between w:val="nil"/>
        </w:pBdr>
        <w:spacing w:after="0"/>
        <w:jc w:val="thaiDistribut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Compulsory drug treatment must be abolished. Harm reduction should be the central strategy for addressing drug use, and all treatment centers must be regulated to meet human rights standards.</w:t>
      </w:r>
    </w:p>
    <w:p w14:paraId="00000049" w14:textId="77777777" w:rsidR="008A5E97" w:rsidRDefault="008F69C4" w:rsidP="00F31C13">
      <w:pPr>
        <w:numPr>
          <w:ilvl w:val="0"/>
          <w:numId w:val="1"/>
        </w:numPr>
        <w:pBdr>
          <w:top w:val="nil"/>
          <w:left w:val="nil"/>
          <w:bottom w:val="nil"/>
          <w:right w:val="nil"/>
          <w:between w:val="nil"/>
        </w:pBdr>
        <w:spacing w:after="0"/>
        <w:jc w:val="thaiDistribut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government should take action to monitor and regulate media content that stigmatizes women who use drugs, which fosters public hostility. Instead, efforts should promote rights-based, accurate, and respectful representations.</w:t>
      </w:r>
    </w:p>
    <w:p w14:paraId="0000004A" w14:textId="28444737" w:rsidR="008A5E97" w:rsidRDefault="008F69C4" w:rsidP="00F31C13">
      <w:pPr>
        <w:numPr>
          <w:ilvl w:val="0"/>
          <w:numId w:val="1"/>
        </w:numPr>
        <w:pBdr>
          <w:top w:val="nil"/>
          <w:left w:val="nil"/>
          <w:bottom w:val="nil"/>
          <w:right w:val="nil"/>
          <w:between w:val="nil"/>
        </w:pBdr>
        <w:spacing w:after="0"/>
        <w:jc w:val="thaiDistribut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Thai state must respect, protect, and fulfill the human rights of women who use drugs in all processes legal, therapeutic, and policy-related</w:t>
      </w:r>
      <w:r w:rsidR="00DE1AA5">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without discrimination.</w:t>
      </w:r>
    </w:p>
    <w:p w14:paraId="0000004B" w14:textId="77777777" w:rsidR="008A5E97" w:rsidRDefault="008F69C4" w:rsidP="00F31C13">
      <w:pPr>
        <w:numPr>
          <w:ilvl w:val="0"/>
          <w:numId w:val="1"/>
        </w:numPr>
        <w:pBdr>
          <w:top w:val="nil"/>
          <w:left w:val="nil"/>
          <w:bottom w:val="nil"/>
          <w:right w:val="nil"/>
          <w:between w:val="nil"/>
        </w:pBdr>
        <w:jc w:val="thaiDistribut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Measures and services should be developed to support the role of families in caring for and assisting women who use drugs, without imposing economic burdens or adverse consequences resulting from treatment processes or criminal proceedings.</w:t>
      </w:r>
    </w:p>
    <w:p w14:paraId="0000004C" w14:textId="77777777" w:rsidR="008A5E97" w:rsidRDefault="008F69C4" w:rsidP="00F31C13">
      <w:pPr>
        <w:jc w:val="thaiDistribute"/>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 to the CEDAW Committee women and LBT individuals living with HIV:</w:t>
      </w:r>
    </w:p>
    <w:p w14:paraId="0000004D" w14:textId="77777777" w:rsidR="008A5E97" w:rsidRDefault="008F69C4" w:rsidP="00F31C13">
      <w:pPr>
        <w:numPr>
          <w:ilvl w:val="0"/>
          <w:numId w:val="1"/>
        </w:numPr>
        <w:pBdr>
          <w:top w:val="nil"/>
          <w:left w:val="nil"/>
          <w:bottom w:val="nil"/>
          <w:right w:val="nil"/>
          <w:between w:val="nil"/>
        </w:pBdr>
        <w:spacing w:after="0"/>
        <w:jc w:val="thaiDistribut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Consider enacting anti-discrimination legislation that clearly establishes standards and obligations for both public and private entities to prevent and address discrimination. This law should include mechanisms and processes for rights protection that are directly accessible to individuals whose rights have been violated.</w:t>
      </w:r>
    </w:p>
    <w:p w14:paraId="0000004E" w14:textId="5E6CCD9D" w:rsidR="008A5E97" w:rsidRDefault="008F69C4" w:rsidP="00F31C13">
      <w:pPr>
        <w:numPr>
          <w:ilvl w:val="0"/>
          <w:numId w:val="1"/>
        </w:numPr>
        <w:pBdr>
          <w:top w:val="nil"/>
          <w:left w:val="nil"/>
          <w:bottom w:val="nil"/>
          <w:right w:val="nil"/>
          <w:between w:val="nil"/>
        </w:pBdr>
        <w:spacing w:after="0"/>
        <w:jc w:val="thaiDistribut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Establish a human rights protection fund, and propose that the government set up a dedicated fund to promote and protect the human rights of people living with HIV through the </w:t>
      </w:r>
      <w:r w:rsidR="00D7037A" w:rsidRPr="00D7037A">
        <w:rPr>
          <w:rFonts w:ascii="Times New Roman" w:eastAsia="Times New Roman" w:hAnsi="Times New Roman" w:cs="Times New Roman"/>
          <w:color w:val="000000"/>
          <w:sz w:val="24"/>
          <w:szCs w:val="24"/>
        </w:rPr>
        <w:t>National AIDS Committee</w:t>
      </w:r>
      <w:r w:rsidR="00D7037A">
        <w:rPr>
          <w:rFonts w:ascii="Times New Roman" w:eastAsia="Times New Roman" w:hAnsi="Times New Roman" w:cs="Times New Roman"/>
          <w:color w:val="000000"/>
          <w:sz w:val="24"/>
          <w:szCs w:val="24"/>
        </w:rPr>
        <w:t xml:space="preserve">. </w:t>
      </w:r>
    </w:p>
    <w:p w14:paraId="0000004F" w14:textId="77777777" w:rsidR="008A5E97" w:rsidRDefault="008F69C4" w:rsidP="00F31C13">
      <w:pPr>
        <w:numPr>
          <w:ilvl w:val="0"/>
          <w:numId w:val="1"/>
        </w:numPr>
        <w:pBdr>
          <w:top w:val="nil"/>
          <w:left w:val="nil"/>
          <w:bottom w:val="nil"/>
          <w:right w:val="nil"/>
          <w:between w:val="nil"/>
        </w:pBdr>
        <w:spacing w:after="0"/>
        <w:jc w:val="thaiDistribut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Issue directives to the Ministry of </w:t>
      </w:r>
      <w:proofErr w:type="spellStart"/>
      <w:r>
        <w:rPr>
          <w:rFonts w:ascii="Times New Roman" w:eastAsia="Times New Roman" w:hAnsi="Times New Roman" w:cs="Times New Roman"/>
          <w:color w:val="000000"/>
          <w:sz w:val="24"/>
          <w:szCs w:val="24"/>
        </w:rPr>
        <w:t>Labour</w:t>
      </w:r>
      <w:proofErr w:type="spellEnd"/>
      <w:r>
        <w:rPr>
          <w:rFonts w:ascii="Times New Roman" w:eastAsia="Times New Roman" w:hAnsi="Times New Roman" w:cs="Times New Roman"/>
          <w:color w:val="000000"/>
          <w:sz w:val="24"/>
          <w:szCs w:val="24"/>
        </w:rPr>
        <w:t xml:space="preserve"> to prioritize addressing discrimination in employment against people living with HIV. Public campaigns should be conducted to raise awareness about the significance of non-discrimination, and existing anti-discrimination measures should be actively enforced.</w:t>
      </w:r>
    </w:p>
    <w:p w14:paraId="00000050" w14:textId="77777777" w:rsidR="008A5E97" w:rsidRDefault="008F69C4" w:rsidP="00F31C13">
      <w:pPr>
        <w:numPr>
          <w:ilvl w:val="0"/>
          <w:numId w:val="1"/>
        </w:numPr>
        <w:pBdr>
          <w:top w:val="nil"/>
          <w:left w:val="nil"/>
          <w:bottom w:val="nil"/>
          <w:right w:val="nil"/>
          <w:between w:val="nil"/>
        </w:pBdr>
        <w:spacing w:after="0"/>
        <w:jc w:val="thaiDistribut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Public healthcare providers offering antiretroviral therapy (ARV) should strengthen education and understanding of antiretroviral treatment (ART) and harm reduction approaches for women living with HIV during pregnancy. Emphasis must be placed on respecting the pregnant woman’s right to informed decision-making.</w:t>
      </w:r>
    </w:p>
    <w:p w14:paraId="64734933" w14:textId="23304C8B" w:rsidR="009721B0" w:rsidRDefault="009721B0" w:rsidP="00F31C13">
      <w:pPr>
        <w:numPr>
          <w:ilvl w:val="0"/>
          <w:numId w:val="1"/>
        </w:numPr>
        <w:pBdr>
          <w:top w:val="nil"/>
          <w:left w:val="nil"/>
          <w:bottom w:val="nil"/>
          <w:right w:val="nil"/>
          <w:between w:val="nil"/>
        </w:pBdr>
        <w:spacing w:after="0"/>
        <w:jc w:val="thaiDistribute"/>
        <w:rPr>
          <w:rFonts w:ascii="Times New Roman" w:eastAsia="Times New Roman" w:hAnsi="Times New Roman" w:cs="Times New Roman"/>
          <w:color w:val="000000"/>
          <w:sz w:val="24"/>
          <w:szCs w:val="24"/>
        </w:rPr>
      </w:pPr>
      <w:r w:rsidRPr="009721B0">
        <w:rPr>
          <w:rFonts w:ascii="Times New Roman" w:eastAsia="Times New Roman" w:hAnsi="Times New Roman" w:cs="Times New Roman"/>
          <w:color w:val="000000"/>
          <w:sz w:val="24"/>
          <w:szCs w:val="24"/>
        </w:rPr>
        <w:t>The Thai government must urgently ensure accessible, safe, and legal abortion services within public health facilities, including a strengthened and non-discriminatory RSA (Referral System for Abortion) referral pathway. These services are a fundamental component of the sexual and reproductive health and rights of all women, and their availability is particularly critical for women living with HIV and women who use drugs.</w:t>
      </w:r>
    </w:p>
    <w:p w14:paraId="00000052" w14:textId="77777777" w:rsidR="008A5E97" w:rsidRDefault="008A5E97" w:rsidP="00F31C13">
      <w:pPr>
        <w:jc w:val="thaiDistribute"/>
        <w:rPr>
          <w:rFonts w:ascii="Times New Roman" w:eastAsia="Times New Roman" w:hAnsi="Times New Roman" w:cs="Times New Roman"/>
          <w:sz w:val="24"/>
          <w:szCs w:val="24"/>
        </w:rPr>
      </w:pPr>
    </w:p>
    <w:p w14:paraId="00000053" w14:textId="77777777" w:rsidR="008A5E97" w:rsidRDefault="008A5E97" w:rsidP="00F31C13">
      <w:pPr>
        <w:jc w:val="thaiDistribute"/>
        <w:rPr>
          <w:rFonts w:ascii="Times New Roman" w:eastAsia="Times New Roman" w:hAnsi="Times New Roman" w:cs="Times New Roman"/>
          <w:sz w:val="24"/>
          <w:szCs w:val="24"/>
        </w:rPr>
      </w:pPr>
    </w:p>
    <w:p w14:paraId="00000054" w14:textId="77777777" w:rsidR="008A5E97" w:rsidRDefault="008A5E97" w:rsidP="00F31C13">
      <w:pPr>
        <w:jc w:val="thaiDistribute"/>
        <w:rPr>
          <w:rFonts w:ascii="Times New Roman" w:eastAsia="Times New Roman" w:hAnsi="Times New Roman" w:cs="Times New Roman"/>
          <w:sz w:val="24"/>
          <w:szCs w:val="24"/>
        </w:rPr>
      </w:pPr>
    </w:p>
    <w:p w14:paraId="00000055" w14:textId="77777777" w:rsidR="008A5E97" w:rsidRDefault="008A5E97" w:rsidP="00F31C13">
      <w:pPr>
        <w:jc w:val="thaiDistribute"/>
        <w:rPr>
          <w:rFonts w:ascii="Times New Roman" w:eastAsia="Times New Roman" w:hAnsi="Times New Roman" w:cs="Times New Roman"/>
          <w:sz w:val="24"/>
          <w:szCs w:val="24"/>
        </w:rPr>
      </w:pPr>
    </w:p>
    <w:p w14:paraId="00000056" w14:textId="77777777" w:rsidR="008A5E97" w:rsidRDefault="008A5E97" w:rsidP="00F31C13">
      <w:pPr>
        <w:jc w:val="thaiDistribute"/>
        <w:rPr>
          <w:rFonts w:ascii="Times New Roman" w:eastAsia="Times New Roman" w:hAnsi="Times New Roman" w:cs="Times New Roman"/>
          <w:sz w:val="24"/>
          <w:szCs w:val="24"/>
        </w:rPr>
      </w:pPr>
    </w:p>
    <w:p w14:paraId="00000057" w14:textId="77777777" w:rsidR="008A5E97" w:rsidRDefault="008A5E97" w:rsidP="00F31C13">
      <w:pPr>
        <w:jc w:val="thaiDistribute"/>
        <w:rPr>
          <w:rFonts w:ascii="Times New Roman" w:eastAsia="Times New Roman" w:hAnsi="Times New Roman" w:cs="Times New Roman"/>
          <w:sz w:val="24"/>
          <w:szCs w:val="24"/>
        </w:rPr>
      </w:pPr>
    </w:p>
    <w:p w14:paraId="00000058" w14:textId="77777777" w:rsidR="008A5E97" w:rsidRDefault="008A5E97" w:rsidP="00F31C13">
      <w:pPr>
        <w:jc w:val="thaiDistribute"/>
        <w:rPr>
          <w:rFonts w:ascii="Times New Roman" w:eastAsia="Times New Roman" w:hAnsi="Times New Roman" w:cs="Times New Roman"/>
          <w:sz w:val="24"/>
          <w:szCs w:val="24"/>
        </w:rPr>
      </w:pPr>
    </w:p>
    <w:p w14:paraId="00000059" w14:textId="77777777" w:rsidR="008A5E97" w:rsidRDefault="008A5E97" w:rsidP="00F31C13">
      <w:pPr>
        <w:jc w:val="thaiDistribute"/>
        <w:rPr>
          <w:rFonts w:ascii="Times New Roman" w:eastAsia="Times New Roman" w:hAnsi="Times New Roman" w:cs="Times New Roman"/>
          <w:sz w:val="24"/>
          <w:szCs w:val="24"/>
        </w:rPr>
      </w:pPr>
    </w:p>
    <w:p w14:paraId="0000005A" w14:textId="77777777" w:rsidR="008A5E97" w:rsidRDefault="008A5E97" w:rsidP="00F31C13">
      <w:pPr>
        <w:jc w:val="thaiDistribute"/>
        <w:rPr>
          <w:rFonts w:ascii="Times New Roman" w:eastAsia="Times New Roman" w:hAnsi="Times New Roman" w:cs="Times New Roman"/>
          <w:sz w:val="24"/>
          <w:szCs w:val="24"/>
        </w:rPr>
      </w:pPr>
    </w:p>
    <w:p w14:paraId="0000005B" w14:textId="77777777" w:rsidR="008A5E97" w:rsidRDefault="008A5E97" w:rsidP="00F31C13">
      <w:pPr>
        <w:jc w:val="thaiDistribute"/>
        <w:rPr>
          <w:rFonts w:ascii="Times New Roman" w:eastAsia="Times New Roman" w:hAnsi="Times New Roman" w:cs="Times New Roman"/>
          <w:sz w:val="24"/>
          <w:szCs w:val="24"/>
        </w:rPr>
      </w:pPr>
    </w:p>
    <w:sectPr w:rsidR="008A5E9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0B088F" w14:textId="77777777" w:rsidR="001166AB" w:rsidRDefault="001166AB" w:rsidP="00D76FF1">
      <w:pPr>
        <w:spacing w:after="0" w:line="240" w:lineRule="auto"/>
      </w:pPr>
      <w:r>
        <w:separator/>
      </w:r>
    </w:p>
  </w:endnote>
  <w:endnote w:type="continuationSeparator" w:id="0">
    <w:p w14:paraId="613926E5" w14:textId="77777777" w:rsidR="001166AB" w:rsidRDefault="001166AB" w:rsidP="00D76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FE938BA1-0249-41D4-99D2-B6CFAA11E39D}"/>
  </w:font>
  <w:font w:name="Calibri">
    <w:panose1 w:val="020F0502020204030204"/>
    <w:charset w:val="00"/>
    <w:family w:val="swiss"/>
    <w:pitch w:val="variable"/>
    <w:sig w:usb0="E4002EFF" w:usb1="C200247B" w:usb2="00000009" w:usb3="00000000" w:csb0="000001FF" w:csb1="00000000"/>
    <w:embedRegular r:id="rId2" w:fontKey="{7BBDE85C-1918-4AD3-9681-473A3322E16E}"/>
    <w:embedBold r:id="rId3" w:fontKey="{4678E9AD-7A41-462D-B4F4-006D2ED878E7}"/>
    <w:embedItalic r:id="rId4" w:fontKey="{CF9A165E-8ABA-4EB1-9DA8-C1CC84102B76}"/>
  </w:font>
  <w:font w:name="Calibri Light">
    <w:panose1 w:val="020F0302020204030204"/>
    <w:charset w:val="00"/>
    <w:family w:val="swiss"/>
    <w:pitch w:val="variable"/>
    <w:sig w:usb0="E4002EFF" w:usb1="C200247B" w:usb2="00000009" w:usb3="00000000" w:csb0="000001FF" w:csb1="00000000"/>
    <w:embedRegular r:id="rId5" w:fontKey="{82222D53-286B-4E41-A934-825597B6AABC}"/>
  </w:font>
  <w:font w:name="Angsana New">
    <w:panose1 w:val="02020603050405020304"/>
    <w:charset w:val="00"/>
    <w:family w:val="roman"/>
    <w:pitch w:val="variable"/>
    <w:sig w:usb0="81000003" w:usb1="00000000" w:usb2="00000000" w:usb3="00000000" w:csb0="00010001" w:csb1="00000000"/>
    <w:embedRegular r:id="rId6" w:fontKey="{16EE4D1C-C7EC-4E23-B643-89D8BD6B8AA9}"/>
    <w:embedItalic r:id="rId7" w:fontKey="{E85BEBA5-1F83-4C31-84BB-EB353402CAC3}"/>
  </w:font>
  <w:font w:name="Cordia New">
    <w:panose1 w:val="020B0304020202020204"/>
    <w:charset w:val="00"/>
    <w:family w:val="swiss"/>
    <w:pitch w:val="variable"/>
    <w:sig w:usb0="81000003" w:usb1="00000000" w:usb2="00000000" w:usb3="00000000" w:csb0="00010001" w:csb1="00000000"/>
    <w:embedRegular r:id="rId8" w:fontKey="{8AD62DF6-ECB4-4D00-A3DC-D57E2898989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8F015" w14:textId="77777777" w:rsidR="001166AB" w:rsidRDefault="001166AB" w:rsidP="00D76FF1">
      <w:pPr>
        <w:spacing w:after="0" w:line="240" w:lineRule="auto"/>
      </w:pPr>
      <w:r>
        <w:separator/>
      </w:r>
    </w:p>
  </w:footnote>
  <w:footnote w:type="continuationSeparator" w:id="0">
    <w:p w14:paraId="2D1A364F" w14:textId="77777777" w:rsidR="001166AB" w:rsidRDefault="001166AB" w:rsidP="00D76FF1">
      <w:pPr>
        <w:spacing w:after="0" w:line="240" w:lineRule="auto"/>
      </w:pPr>
      <w:r>
        <w:continuationSeparator/>
      </w:r>
    </w:p>
  </w:footnote>
  <w:footnote w:id="1">
    <w:p w14:paraId="04F9D283" w14:textId="4421BC90" w:rsidR="00D76FF1" w:rsidRPr="00F31C13" w:rsidRDefault="00D76FF1">
      <w:pPr>
        <w:pStyle w:val="FootnoteText"/>
        <w:rPr>
          <w:rFonts w:ascii="Times New Roman" w:hAnsi="Times New Roman" w:cs="Times New Roman"/>
          <w:sz w:val="18"/>
          <w:szCs w:val="18"/>
        </w:rPr>
      </w:pPr>
      <w:r w:rsidRPr="00F31C13">
        <w:rPr>
          <w:rStyle w:val="FootnoteReference"/>
          <w:rFonts w:ascii="Times New Roman" w:hAnsi="Times New Roman" w:cs="Times New Roman"/>
          <w:sz w:val="18"/>
          <w:szCs w:val="18"/>
        </w:rPr>
        <w:footnoteRef/>
      </w:r>
      <w:r w:rsidRPr="00F31C13">
        <w:rPr>
          <w:rFonts w:ascii="Times New Roman" w:hAnsi="Times New Roman" w:cs="Times New Roman"/>
          <w:sz w:val="18"/>
          <w:szCs w:val="18"/>
        </w:rPr>
        <w:t xml:space="preserve"> </w:t>
      </w:r>
      <w:r w:rsidR="00E82C17" w:rsidRPr="00F31C13">
        <w:rPr>
          <w:rFonts w:ascii="Times New Roman" w:hAnsi="Times New Roman" w:cs="Times New Roman"/>
          <w:sz w:val="18"/>
          <w:szCs w:val="18"/>
        </w:rPr>
        <w:t xml:space="preserve">Office of the Permanent Secretary, Ministry of Education. (n.d.). Operational manual for the White School Project: Drug- and vice-free educational institutions [Operational manual]. Retrieved from </w:t>
      </w:r>
      <w:hyperlink r:id="rId1" w:history="1">
        <w:r w:rsidR="00660001" w:rsidRPr="00F31C13">
          <w:rPr>
            <w:rStyle w:val="Hyperlink"/>
            <w:rFonts w:ascii="Times New Roman" w:hAnsi="Times New Roman" w:cs="Times New Roman"/>
            <w:sz w:val="18"/>
            <w:szCs w:val="18"/>
          </w:rPr>
          <w:t>https://udn1.go.th/archives/11362</w:t>
        </w:r>
      </w:hyperlink>
      <w:r w:rsidR="00660001" w:rsidRPr="00F31C13">
        <w:rPr>
          <w:rFonts w:ascii="Times New Roman" w:hAnsi="Times New Roman" w:cs="Times New Roman"/>
          <w:sz w:val="18"/>
          <w:szCs w:val="18"/>
        </w:rPr>
        <w:t xml:space="preserve"> </w:t>
      </w:r>
    </w:p>
  </w:footnote>
  <w:footnote w:id="2">
    <w:p w14:paraId="6FC9F19A" w14:textId="53B366B1" w:rsidR="00B75E79" w:rsidRPr="00F31C13" w:rsidRDefault="00B75E79">
      <w:pPr>
        <w:pStyle w:val="FootnoteText"/>
        <w:rPr>
          <w:rFonts w:ascii="Times New Roman" w:hAnsi="Times New Roman" w:cs="Times New Roman"/>
          <w:sz w:val="18"/>
          <w:szCs w:val="18"/>
        </w:rPr>
      </w:pPr>
      <w:r w:rsidRPr="00F31C13">
        <w:rPr>
          <w:rStyle w:val="FootnoteReference"/>
          <w:rFonts w:ascii="Times New Roman" w:hAnsi="Times New Roman" w:cs="Times New Roman"/>
          <w:sz w:val="18"/>
          <w:szCs w:val="18"/>
        </w:rPr>
        <w:footnoteRef/>
      </w:r>
      <w:r w:rsidRPr="00F31C13">
        <w:rPr>
          <w:rFonts w:ascii="Times New Roman" w:hAnsi="Times New Roman" w:cs="Times New Roman"/>
          <w:sz w:val="18"/>
          <w:szCs w:val="18"/>
        </w:rPr>
        <w:t xml:space="preserve"> Sanook News. (2023, May 31)</w:t>
      </w:r>
      <w:r w:rsidR="00B936FB">
        <w:rPr>
          <w:rFonts w:ascii="Times New Roman" w:hAnsi="Times New Roman" w:cs="Times New Roman"/>
          <w:sz w:val="18"/>
          <w:szCs w:val="18"/>
        </w:rPr>
        <w:t>,</w:t>
      </w:r>
      <w:r w:rsidR="00F81E21" w:rsidRPr="00F31C13">
        <w:rPr>
          <w:rFonts w:ascii="Times New Roman" w:hAnsi="Times New Roman" w:cs="Times New Roman"/>
          <w:sz w:val="18"/>
          <w:szCs w:val="18"/>
        </w:rPr>
        <w:t xml:space="preserve"> Police clarify controversy over school-wide student urine testing, saying parents were informed. Sanook</w:t>
      </w:r>
      <w:r w:rsidR="00B936FB">
        <w:rPr>
          <w:rFonts w:ascii="Times New Roman" w:hAnsi="Times New Roman" w:cs="Times New Roman"/>
          <w:sz w:val="18"/>
          <w:szCs w:val="18"/>
        </w:rPr>
        <w:t>,</w:t>
      </w:r>
      <w:r w:rsidR="00F81E21" w:rsidRPr="00F31C13">
        <w:rPr>
          <w:rFonts w:ascii="Times New Roman" w:hAnsi="Times New Roman" w:cs="Times New Roman"/>
          <w:sz w:val="18"/>
          <w:szCs w:val="18"/>
        </w:rPr>
        <w:t xml:space="preserve"> </w:t>
      </w:r>
      <w:hyperlink r:id="rId2" w:tgtFrame="_new" w:history="1">
        <w:r w:rsidR="00F81E21" w:rsidRPr="00F31C13">
          <w:rPr>
            <w:rStyle w:val="Hyperlink"/>
            <w:rFonts w:ascii="Times New Roman" w:hAnsi="Times New Roman" w:cs="Times New Roman"/>
            <w:sz w:val="18"/>
            <w:szCs w:val="18"/>
          </w:rPr>
          <w:t>https://www.sanook.com/news/8876946/</w:t>
        </w:r>
      </w:hyperlink>
    </w:p>
  </w:footnote>
  <w:footnote w:id="3">
    <w:p w14:paraId="0D90C712" w14:textId="22C815C3" w:rsidR="000021A4" w:rsidRPr="00F31C13" w:rsidRDefault="000021A4">
      <w:pPr>
        <w:pStyle w:val="FootnoteText"/>
        <w:rPr>
          <w:rFonts w:ascii="Times New Roman" w:hAnsi="Times New Roman" w:cs="Times New Roman"/>
          <w:sz w:val="18"/>
          <w:szCs w:val="18"/>
        </w:rPr>
      </w:pPr>
      <w:r w:rsidRPr="00F31C13">
        <w:rPr>
          <w:rStyle w:val="FootnoteReference"/>
          <w:rFonts w:ascii="Times New Roman" w:hAnsi="Times New Roman" w:cs="Times New Roman"/>
          <w:sz w:val="18"/>
          <w:szCs w:val="18"/>
        </w:rPr>
        <w:footnoteRef/>
      </w:r>
      <w:r w:rsidRPr="00F31C13">
        <w:rPr>
          <w:rFonts w:ascii="Times New Roman" w:hAnsi="Times New Roman" w:cs="Times New Roman"/>
          <w:sz w:val="18"/>
          <w:szCs w:val="18"/>
        </w:rPr>
        <w:t xml:space="preserve"> Press Release No. 34/2022: NHRC urges government to implement non-discriminatory measures to protect students’ rights during school drug testing</w:t>
      </w:r>
      <w:r w:rsidR="00B936FB">
        <w:rPr>
          <w:rFonts w:ascii="Times New Roman" w:hAnsi="Times New Roman" w:cs="Times New Roman"/>
          <w:sz w:val="18"/>
          <w:szCs w:val="18"/>
        </w:rPr>
        <w:t>,</w:t>
      </w:r>
      <w:r w:rsidR="00490170" w:rsidRPr="00F31C13">
        <w:rPr>
          <w:rFonts w:ascii="Times New Roman" w:hAnsi="Times New Roman" w:cs="Times New Roman"/>
          <w:sz w:val="18"/>
          <w:szCs w:val="18"/>
        </w:rPr>
        <w:t xml:space="preserve"> </w:t>
      </w:r>
      <w:hyperlink r:id="rId3" w:history="1">
        <w:r w:rsidR="00490170" w:rsidRPr="00F31C13">
          <w:rPr>
            <w:rStyle w:val="Hyperlink"/>
            <w:rFonts w:ascii="Times New Roman" w:hAnsi="Times New Roman" w:cs="Times New Roman"/>
            <w:sz w:val="18"/>
            <w:szCs w:val="18"/>
          </w:rPr>
          <w:t>https://static.nhrc.or.th/file/content/document/24971/22-09-65-Press-release-34-2565-1713512880.pdf</w:t>
        </w:r>
      </w:hyperlink>
      <w:r w:rsidR="00490170" w:rsidRPr="00F31C13">
        <w:rPr>
          <w:rFonts w:ascii="Times New Roman" w:hAnsi="Times New Roman" w:cs="Times New Roman"/>
          <w:sz w:val="18"/>
          <w:szCs w:val="18"/>
        </w:rPr>
        <w:t xml:space="preserve"> </w:t>
      </w:r>
    </w:p>
  </w:footnote>
  <w:footnote w:id="4">
    <w:p w14:paraId="2318F379" w14:textId="54057730" w:rsidR="00443053" w:rsidRPr="00F31C13" w:rsidRDefault="00443053">
      <w:pPr>
        <w:pStyle w:val="FootnoteText"/>
        <w:rPr>
          <w:rFonts w:ascii="Times New Roman" w:hAnsi="Times New Roman" w:cs="Times New Roman"/>
          <w:sz w:val="18"/>
          <w:szCs w:val="18"/>
        </w:rPr>
      </w:pPr>
      <w:r w:rsidRPr="00F31C13">
        <w:rPr>
          <w:rStyle w:val="FootnoteReference"/>
          <w:rFonts w:ascii="Times New Roman" w:hAnsi="Times New Roman" w:cs="Times New Roman"/>
          <w:sz w:val="18"/>
          <w:szCs w:val="18"/>
        </w:rPr>
        <w:footnoteRef/>
      </w:r>
      <w:r w:rsidRPr="00F31C13">
        <w:rPr>
          <w:rFonts w:ascii="Times New Roman" w:hAnsi="Times New Roman" w:cs="Times New Roman"/>
          <w:sz w:val="18"/>
          <w:szCs w:val="18"/>
        </w:rPr>
        <w:t xml:space="preserve"> Ministry of </w:t>
      </w:r>
      <w:proofErr w:type="spellStart"/>
      <w:r w:rsidRPr="00F31C13">
        <w:rPr>
          <w:rFonts w:ascii="Times New Roman" w:hAnsi="Times New Roman" w:cs="Times New Roman"/>
          <w:sz w:val="18"/>
          <w:szCs w:val="18"/>
        </w:rPr>
        <w:t>Labour</w:t>
      </w:r>
      <w:proofErr w:type="spellEnd"/>
      <w:r w:rsidRPr="00F31C13">
        <w:rPr>
          <w:rFonts w:ascii="Times New Roman" w:hAnsi="Times New Roman" w:cs="Times New Roman"/>
          <w:sz w:val="18"/>
          <w:szCs w:val="18"/>
        </w:rPr>
        <w:t>, “‘</w:t>
      </w:r>
      <w:proofErr w:type="spellStart"/>
      <w:r w:rsidRPr="00F31C13">
        <w:rPr>
          <w:rFonts w:ascii="Times New Roman" w:hAnsi="Times New Roman" w:cs="Times New Roman"/>
          <w:sz w:val="18"/>
          <w:szCs w:val="18"/>
        </w:rPr>
        <w:t>Pipat</w:t>
      </w:r>
      <w:proofErr w:type="spellEnd"/>
      <w:r w:rsidRPr="00F31C13">
        <w:rPr>
          <w:rFonts w:ascii="Times New Roman" w:hAnsi="Times New Roman" w:cs="Times New Roman"/>
          <w:sz w:val="18"/>
          <w:szCs w:val="18"/>
        </w:rPr>
        <w:t>’ Pushes for Drug-Free Zones Nationwide in Collaboration with 437 CPF Sites, Advancing the ‘White Organization’ Initiative,” April 19, 2024</w:t>
      </w:r>
      <w:r w:rsidR="00672EF5" w:rsidRPr="00F31C13">
        <w:rPr>
          <w:rFonts w:ascii="Times New Roman" w:hAnsi="Times New Roman" w:cs="Times New Roman"/>
          <w:sz w:val="18"/>
          <w:szCs w:val="18"/>
        </w:rPr>
        <w:t xml:space="preserve">. </w:t>
      </w:r>
    </w:p>
  </w:footnote>
  <w:footnote w:id="5">
    <w:p w14:paraId="78077E62" w14:textId="47EA7FEC" w:rsidR="00205EB6" w:rsidRPr="00F31C13" w:rsidRDefault="00205EB6">
      <w:pPr>
        <w:pStyle w:val="FootnoteText"/>
        <w:rPr>
          <w:rFonts w:ascii="Times New Roman" w:hAnsi="Times New Roman" w:cs="Times New Roman"/>
          <w:sz w:val="18"/>
          <w:szCs w:val="18"/>
        </w:rPr>
      </w:pPr>
      <w:r w:rsidRPr="00F31C13">
        <w:rPr>
          <w:rStyle w:val="FootnoteReference"/>
          <w:rFonts w:ascii="Times New Roman" w:hAnsi="Times New Roman" w:cs="Times New Roman"/>
          <w:sz w:val="18"/>
          <w:szCs w:val="18"/>
        </w:rPr>
        <w:footnoteRef/>
      </w:r>
      <w:r w:rsidRPr="00F31C13">
        <w:rPr>
          <w:rFonts w:ascii="Times New Roman" w:hAnsi="Times New Roman" w:cs="Times New Roman"/>
          <w:sz w:val="18"/>
          <w:szCs w:val="18"/>
        </w:rPr>
        <w:t xml:space="preserve"> </w:t>
      </w:r>
      <w:r w:rsidRPr="00F31C13">
        <w:rPr>
          <w:rFonts w:ascii="Times New Roman" w:hAnsi="Times New Roman" w:cs="Times New Roman"/>
          <w:b/>
          <w:bCs/>
          <w:sz w:val="18"/>
          <w:szCs w:val="18"/>
        </w:rPr>
        <w:t>Thailand</w:t>
      </w:r>
      <w:r w:rsidRPr="00F31C13">
        <w:rPr>
          <w:rFonts w:ascii="Times New Roman" w:hAnsi="Times New Roman" w:cs="Times New Roman"/>
          <w:sz w:val="18"/>
          <w:szCs w:val="18"/>
        </w:rPr>
        <w:t xml:space="preserve">, </w:t>
      </w:r>
      <w:r w:rsidRPr="00F31C13">
        <w:rPr>
          <w:rFonts w:ascii="Times New Roman" w:hAnsi="Times New Roman" w:cs="Times New Roman"/>
          <w:i/>
          <w:iCs/>
          <w:sz w:val="18"/>
          <w:szCs w:val="18"/>
        </w:rPr>
        <w:t>Land Traffic Act B.E. 2522 (1979)</w:t>
      </w:r>
      <w:r w:rsidRPr="00F31C13">
        <w:rPr>
          <w:rFonts w:ascii="Times New Roman" w:hAnsi="Times New Roman" w:cs="Times New Roman"/>
          <w:sz w:val="18"/>
          <w:szCs w:val="18"/>
        </w:rPr>
        <w:t xml:space="preserve">, </w:t>
      </w:r>
      <w:hyperlink r:id="rId4" w:tgtFrame="_new" w:history="1">
        <w:r w:rsidRPr="00F31C13">
          <w:rPr>
            <w:rStyle w:val="Hyperlink"/>
            <w:rFonts w:ascii="Times New Roman" w:hAnsi="Times New Roman" w:cs="Times New Roman"/>
            <w:sz w:val="18"/>
            <w:szCs w:val="18"/>
          </w:rPr>
          <w:t>https://www.krabiimmigration.go.th/news/doc_download/a_150324_101620.pdf</w:t>
        </w:r>
      </w:hyperlink>
      <w:r w:rsidRPr="00F31C13">
        <w:rPr>
          <w:rFonts w:ascii="Times New Roman" w:hAnsi="Times New Roman" w:cs="Times New Roman"/>
          <w:sz w:val="18"/>
          <w:szCs w:val="18"/>
        </w:rPr>
        <w:t>.</w:t>
      </w:r>
      <w:r w:rsidR="00550FC9" w:rsidRPr="00F31C13">
        <w:rPr>
          <w:rFonts w:ascii="Times New Roman" w:hAnsi="Times New Roman" w:cs="Times New Roman"/>
          <w:sz w:val="18"/>
          <w:szCs w:val="18"/>
        </w:rPr>
        <w:t xml:space="preserve"> </w:t>
      </w:r>
    </w:p>
  </w:footnote>
  <w:footnote w:id="6">
    <w:p w14:paraId="08DB0C54" w14:textId="4EE1FB79" w:rsidR="00550FC9" w:rsidRDefault="00550FC9">
      <w:pPr>
        <w:pStyle w:val="FootnoteText"/>
      </w:pPr>
      <w:r w:rsidRPr="00F31C13">
        <w:rPr>
          <w:rStyle w:val="FootnoteReference"/>
          <w:rFonts w:ascii="Times New Roman" w:hAnsi="Times New Roman" w:cs="Times New Roman"/>
          <w:sz w:val="18"/>
          <w:szCs w:val="18"/>
        </w:rPr>
        <w:footnoteRef/>
      </w:r>
      <w:r w:rsidRPr="00F31C13">
        <w:rPr>
          <w:rFonts w:ascii="Times New Roman" w:hAnsi="Times New Roman" w:cs="Times New Roman"/>
          <w:sz w:val="18"/>
          <w:szCs w:val="18"/>
        </w:rPr>
        <w:t xml:space="preserve"> </w:t>
      </w:r>
      <w:r w:rsidRPr="00F31C13">
        <w:rPr>
          <w:rFonts w:ascii="Times New Roman" w:hAnsi="Times New Roman" w:cs="Times New Roman"/>
          <w:b/>
          <w:bCs/>
          <w:sz w:val="18"/>
          <w:szCs w:val="18"/>
        </w:rPr>
        <w:t>Thailand, Ministry of Public Health</w:t>
      </w:r>
      <w:r w:rsidRPr="00F31C13">
        <w:rPr>
          <w:rFonts w:ascii="Times New Roman" w:hAnsi="Times New Roman" w:cs="Times New Roman"/>
          <w:sz w:val="18"/>
          <w:szCs w:val="18"/>
        </w:rPr>
        <w:t xml:space="preserve">, </w:t>
      </w:r>
      <w:r w:rsidRPr="00F31C13">
        <w:rPr>
          <w:rFonts w:ascii="Times New Roman" w:hAnsi="Times New Roman" w:cs="Times New Roman"/>
          <w:i/>
          <w:iCs/>
          <w:sz w:val="18"/>
          <w:szCs w:val="18"/>
        </w:rPr>
        <w:t>Ministerial Notification No. 184 B.E. 2546 (2003)</w:t>
      </w:r>
      <w:r w:rsidRPr="00F31C13">
        <w:rPr>
          <w:rFonts w:ascii="Times New Roman" w:hAnsi="Times New Roman" w:cs="Times New Roman"/>
          <w:sz w:val="18"/>
          <w:szCs w:val="18"/>
        </w:rPr>
        <w:t xml:space="preserve">, </w:t>
      </w:r>
      <w:hyperlink r:id="rId5" w:tgtFrame="_new" w:history="1">
        <w:r w:rsidRPr="00F31C13">
          <w:rPr>
            <w:rStyle w:val="Hyperlink"/>
            <w:rFonts w:ascii="Times New Roman" w:hAnsi="Times New Roman" w:cs="Times New Roman"/>
            <w:sz w:val="18"/>
            <w:szCs w:val="18"/>
          </w:rPr>
          <w:t>https://narcotic.fda.moph.go.th/law-type/NC_184</w:t>
        </w:r>
      </w:hyperlink>
      <w:r w:rsidRPr="00F31C13">
        <w:rPr>
          <w:rFonts w:ascii="Times New Roman" w:hAnsi="Times New Roman" w:cs="Times New Roman"/>
          <w:sz w:val="18"/>
          <w:szCs w:val="18"/>
        </w:rPr>
        <w:t>.</w:t>
      </w:r>
    </w:p>
  </w:footnote>
  <w:footnote w:id="7">
    <w:p w14:paraId="712E046A" w14:textId="66529618" w:rsidR="00AE1D2A" w:rsidRPr="00F31C13" w:rsidRDefault="00AE1D2A">
      <w:pPr>
        <w:pStyle w:val="FootnoteText"/>
        <w:rPr>
          <w:rFonts w:ascii="Times New Roman" w:hAnsi="Times New Roman" w:cs="Times New Roman"/>
          <w:sz w:val="18"/>
          <w:szCs w:val="18"/>
        </w:rPr>
      </w:pPr>
      <w:r w:rsidRPr="00F31C13">
        <w:rPr>
          <w:rStyle w:val="FootnoteReference"/>
          <w:rFonts w:ascii="Times New Roman" w:hAnsi="Times New Roman" w:cs="Times New Roman"/>
          <w:sz w:val="18"/>
          <w:szCs w:val="18"/>
        </w:rPr>
        <w:footnoteRef/>
      </w:r>
      <w:r w:rsidRPr="00F31C13">
        <w:rPr>
          <w:rFonts w:ascii="Times New Roman" w:hAnsi="Times New Roman" w:cs="Times New Roman"/>
          <w:sz w:val="18"/>
          <w:szCs w:val="18"/>
        </w:rPr>
        <w:t xml:space="preserve"> </w:t>
      </w:r>
      <w:r w:rsidR="00B05E6D" w:rsidRPr="00F31C13">
        <w:rPr>
          <w:rFonts w:ascii="Times New Roman" w:hAnsi="Times New Roman" w:cs="Times New Roman"/>
          <w:sz w:val="18"/>
          <w:szCs w:val="18"/>
        </w:rPr>
        <w:t xml:space="preserve">Thai Post, “NHRC Investigates Police Extortion and Sexual Assault Allegations Against a Suspect,” </w:t>
      </w:r>
      <w:r w:rsidR="00B05E6D" w:rsidRPr="00F31C13">
        <w:rPr>
          <w:rFonts w:ascii="Times New Roman" w:hAnsi="Times New Roman" w:cs="Times New Roman"/>
          <w:i/>
          <w:iCs/>
          <w:sz w:val="18"/>
          <w:szCs w:val="18"/>
        </w:rPr>
        <w:t>Thai Post</w:t>
      </w:r>
      <w:r w:rsidR="00B05E6D" w:rsidRPr="00F31C13">
        <w:rPr>
          <w:rFonts w:ascii="Times New Roman" w:hAnsi="Times New Roman" w:cs="Times New Roman"/>
          <w:sz w:val="18"/>
          <w:szCs w:val="18"/>
        </w:rPr>
        <w:t xml:space="preserve">, May </w:t>
      </w:r>
      <w:r w:rsidR="002F3658" w:rsidRPr="00F31C13">
        <w:rPr>
          <w:rFonts w:ascii="Times New Roman" w:hAnsi="Times New Roman" w:cs="Times New Roman"/>
          <w:sz w:val="18"/>
          <w:szCs w:val="18"/>
        </w:rPr>
        <w:t>09</w:t>
      </w:r>
      <w:r w:rsidR="00B05E6D" w:rsidRPr="00F31C13">
        <w:rPr>
          <w:rFonts w:ascii="Times New Roman" w:hAnsi="Times New Roman" w:cs="Times New Roman"/>
          <w:sz w:val="18"/>
          <w:szCs w:val="18"/>
        </w:rPr>
        <w:t xml:space="preserve">, 2025, </w:t>
      </w:r>
      <w:hyperlink r:id="rId6" w:tgtFrame="_new" w:history="1">
        <w:r w:rsidR="00B05E6D" w:rsidRPr="00F31C13">
          <w:rPr>
            <w:rStyle w:val="Hyperlink"/>
            <w:rFonts w:ascii="Times New Roman" w:hAnsi="Times New Roman" w:cs="Times New Roman"/>
            <w:sz w:val="18"/>
            <w:szCs w:val="18"/>
          </w:rPr>
          <w:t>https://www.thaipost.net/general-news/607912/</w:t>
        </w:r>
      </w:hyperlink>
      <w:r w:rsidR="00B05E6D" w:rsidRPr="00F31C13">
        <w:rPr>
          <w:rFonts w:ascii="Times New Roman" w:hAnsi="Times New Roman" w:cs="Times New Roman"/>
          <w:sz w:val="18"/>
          <w:szCs w:val="18"/>
        </w:rPr>
        <w:t>.</w:t>
      </w:r>
    </w:p>
  </w:footnote>
  <w:footnote w:id="8">
    <w:p w14:paraId="1A15334A" w14:textId="0C47798B" w:rsidR="00A861A1" w:rsidRPr="00F31C13" w:rsidRDefault="00A861A1">
      <w:pPr>
        <w:pStyle w:val="FootnoteText"/>
        <w:rPr>
          <w:rFonts w:ascii="Times New Roman" w:hAnsi="Times New Roman" w:cs="Times New Roman"/>
          <w:sz w:val="18"/>
          <w:szCs w:val="18"/>
        </w:rPr>
      </w:pPr>
      <w:r w:rsidRPr="00F31C13">
        <w:rPr>
          <w:rStyle w:val="FootnoteReference"/>
          <w:rFonts w:ascii="Times New Roman" w:hAnsi="Times New Roman" w:cs="Times New Roman"/>
          <w:sz w:val="18"/>
          <w:szCs w:val="18"/>
        </w:rPr>
        <w:footnoteRef/>
      </w:r>
      <w:r w:rsidRPr="00F31C13">
        <w:rPr>
          <w:rFonts w:ascii="Times New Roman" w:hAnsi="Times New Roman" w:cs="Times New Roman"/>
          <w:sz w:val="18"/>
          <w:szCs w:val="18"/>
        </w:rPr>
        <w:t xml:space="preserve"> Ministry of Public Health, </w:t>
      </w:r>
      <w:r w:rsidRPr="00F31C13">
        <w:rPr>
          <w:rFonts w:ascii="Times New Roman" w:hAnsi="Times New Roman" w:cs="Times New Roman"/>
          <w:i/>
          <w:iCs/>
          <w:sz w:val="18"/>
          <w:szCs w:val="18"/>
        </w:rPr>
        <w:t>Ministerial Regulation on Specified Quantities of Narcotics and Psychoactive Substances Presumed to be for Personal Use, B.E. 2567 (2024)</w:t>
      </w:r>
      <w:r w:rsidRPr="00F31C13">
        <w:rPr>
          <w:rFonts w:ascii="Times New Roman" w:hAnsi="Times New Roman" w:cs="Times New Roman"/>
          <w:sz w:val="18"/>
          <w:szCs w:val="18"/>
        </w:rPr>
        <w:t xml:space="preserve">, available at: </w:t>
      </w:r>
      <w:hyperlink r:id="rId7" w:tgtFrame="_new" w:history="1">
        <w:r w:rsidRPr="00F31C13">
          <w:rPr>
            <w:rStyle w:val="Hyperlink"/>
            <w:rFonts w:ascii="Times New Roman" w:hAnsi="Times New Roman" w:cs="Times New Roman"/>
            <w:sz w:val="18"/>
            <w:szCs w:val="18"/>
          </w:rPr>
          <w:t>https://ncmc.moph.go.th/home/upload/web_download/xiqssflhrtw00w44wc.pdf</w:t>
        </w:r>
      </w:hyperlink>
      <w:r w:rsidRPr="00F31C13">
        <w:rPr>
          <w:rFonts w:ascii="Times New Roman" w:hAnsi="Times New Roman" w:cs="Times New Roman"/>
          <w:sz w:val="18"/>
          <w:szCs w:val="18"/>
        </w:rPr>
        <w:t xml:space="preserve"> (accessed May 1</w:t>
      </w:r>
      <w:r w:rsidR="002F3658" w:rsidRPr="00F31C13">
        <w:rPr>
          <w:rFonts w:ascii="Times New Roman" w:hAnsi="Times New Roman" w:cs="Times New Roman"/>
          <w:sz w:val="18"/>
          <w:szCs w:val="18"/>
        </w:rPr>
        <w:t>0</w:t>
      </w:r>
      <w:r w:rsidRPr="00F31C13">
        <w:rPr>
          <w:rFonts w:ascii="Times New Roman" w:hAnsi="Times New Roman" w:cs="Times New Roman"/>
          <w:sz w:val="18"/>
          <w:szCs w:val="18"/>
        </w:rPr>
        <w:t>, 2025).</w:t>
      </w:r>
    </w:p>
  </w:footnote>
  <w:footnote w:id="9">
    <w:p w14:paraId="41B158E9" w14:textId="7DA9E1FA" w:rsidR="0030405D" w:rsidRPr="00F31C13" w:rsidRDefault="0030405D">
      <w:pPr>
        <w:pStyle w:val="FootnoteText"/>
        <w:rPr>
          <w:rFonts w:ascii="Times New Roman" w:hAnsi="Times New Roman" w:cs="Times New Roman"/>
          <w:sz w:val="18"/>
          <w:szCs w:val="18"/>
        </w:rPr>
      </w:pPr>
      <w:r w:rsidRPr="00F31C13">
        <w:rPr>
          <w:rStyle w:val="FootnoteReference"/>
          <w:rFonts w:ascii="Times New Roman" w:hAnsi="Times New Roman" w:cs="Times New Roman"/>
          <w:sz w:val="18"/>
          <w:szCs w:val="18"/>
        </w:rPr>
        <w:footnoteRef/>
      </w:r>
      <w:r w:rsidRPr="00F31C13">
        <w:rPr>
          <w:rFonts w:ascii="Times New Roman" w:hAnsi="Times New Roman" w:cs="Times New Roman"/>
          <w:sz w:val="18"/>
          <w:szCs w:val="18"/>
        </w:rPr>
        <w:t xml:space="preserve"> Thailand Institute of Justice (TIJ), </w:t>
      </w:r>
      <w:r w:rsidRPr="00F31C13">
        <w:rPr>
          <w:rFonts w:ascii="Times New Roman" w:hAnsi="Times New Roman" w:cs="Times New Roman"/>
          <w:i/>
          <w:iCs/>
          <w:sz w:val="18"/>
          <w:szCs w:val="18"/>
        </w:rPr>
        <w:t>Gender and Pathways to Prison: A Narrative Study of Female and Male Drug Offenders in Thailand</w:t>
      </w:r>
      <w:r w:rsidRPr="00F31C13">
        <w:rPr>
          <w:rFonts w:ascii="Times New Roman" w:hAnsi="Times New Roman" w:cs="Times New Roman"/>
          <w:sz w:val="18"/>
          <w:szCs w:val="18"/>
        </w:rPr>
        <w:t>, October 2018,</w:t>
      </w:r>
      <w:r w:rsidRPr="00F31C13">
        <w:rPr>
          <w:rFonts w:ascii="Times New Roman" w:hAnsi="Times New Roman" w:cs="Times New Roman"/>
          <w:sz w:val="18"/>
          <w:szCs w:val="18"/>
        </w:rPr>
        <w:br/>
      </w:r>
      <w:hyperlink r:id="rId8" w:tgtFrame="_new" w:history="1">
        <w:r w:rsidRPr="00F31C13">
          <w:rPr>
            <w:rStyle w:val="Hyperlink"/>
            <w:rFonts w:ascii="Times New Roman" w:hAnsi="Times New Roman" w:cs="Times New Roman"/>
            <w:sz w:val="18"/>
            <w:szCs w:val="18"/>
          </w:rPr>
          <w:t>https://www.tijbangkokrules.org/uploads/publications/pUxN8DfSaW59EEDhG09d9SHsR9TBdtqgHFqrymBC.pdf</w:t>
        </w:r>
      </w:hyperlink>
      <w:r w:rsidRPr="00F31C13">
        <w:rPr>
          <w:rFonts w:ascii="Times New Roman" w:hAnsi="Times New Roman" w:cs="Times New Roman"/>
          <w:sz w:val="18"/>
          <w:szCs w:val="18"/>
        </w:rPr>
        <w:t xml:space="preserve"> (accessed May </w:t>
      </w:r>
      <w:r w:rsidR="002F3658" w:rsidRPr="00F31C13">
        <w:rPr>
          <w:rFonts w:ascii="Times New Roman" w:hAnsi="Times New Roman" w:cs="Times New Roman"/>
          <w:sz w:val="18"/>
          <w:szCs w:val="18"/>
        </w:rPr>
        <w:t>09</w:t>
      </w:r>
      <w:r w:rsidRPr="00F31C13">
        <w:rPr>
          <w:rFonts w:ascii="Times New Roman" w:hAnsi="Times New Roman" w:cs="Times New Roman"/>
          <w:sz w:val="18"/>
          <w:szCs w:val="18"/>
        </w:rPr>
        <w:t>, 2025).</w:t>
      </w:r>
    </w:p>
  </w:footnote>
  <w:footnote w:id="10">
    <w:p w14:paraId="24B9EC06" w14:textId="63E82BDE" w:rsidR="008F69C4" w:rsidRDefault="008F69C4">
      <w:pPr>
        <w:pStyle w:val="FootnoteText"/>
      </w:pPr>
      <w:r w:rsidRPr="00F31C13">
        <w:rPr>
          <w:rStyle w:val="FootnoteReference"/>
          <w:rFonts w:ascii="Times New Roman" w:hAnsi="Times New Roman" w:cs="Times New Roman"/>
          <w:sz w:val="18"/>
          <w:szCs w:val="18"/>
        </w:rPr>
        <w:footnoteRef/>
      </w:r>
      <w:r w:rsidRPr="00F31C13">
        <w:rPr>
          <w:rFonts w:ascii="Times New Roman" w:hAnsi="Times New Roman" w:cs="Times New Roman"/>
          <w:sz w:val="18"/>
          <w:szCs w:val="18"/>
        </w:rPr>
        <w:t xml:space="preserve"> </w:t>
      </w:r>
      <w:proofErr w:type="spellStart"/>
      <w:r w:rsidRPr="00F31C13">
        <w:rPr>
          <w:rFonts w:ascii="Times New Roman" w:hAnsi="Times New Roman" w:cs="Times New Roman"/>
          <w:sz w:val="18"/>
          <w:szCs w:val="18"/>
        </w:rPr>
        <w:t>Isranews</w:t>
      </w:r>
      <w:proofErr w:type="spellEnd"/>
      <w:r w:rsidRPr="00F31C13">
        <w:rPr>
          <w:rFonts w:ascii="Times New Roman" w:hAnsi="Times New Roman" w:cs="Times New Roman"/>
          <w:sz w:val="18"/>
          <w:szCs w:val="18"/>
        </w:rPr>
        <w:t xml:space="preserve">, “Dissecting the New Narcotics Law: Viewing 'Users' as 'Patients'—Can It Solve the Problem?”, May 18, 2025, available at: </w:t>
      </w:r>
      <w:hyperlink r:id="rId9" w:tgtFrame="_new" w:history="1">
        <w:r w:rsidRPr="00F31C13">
          <w:rPr>
            <w:rStyle w:val="Hyperlink"/>
            <w:rFonts w:ascii="Times New Roman" w:hAnsi="Times New Roman" w:cs="Times New Roman"/>
            <w:sz w:val="18"/>
            <w:szCs w:val="18"/>
          </w:rPr>
          <w:t>https://www.isranews.org/article/isranews-scoop/105306-isranews-druglaw.html</w:t>
        </w:r>
      </w:hyperlink>
      <w:r w:rsidRPr="00F31C13">
        <w:rPr>
          <w:rFonts w:ascii="Times New Roman" w:hAnsi="Times New Roman" w:cs="Times New Roman"/>
          <w:sz w:val="18"/>
          <w:szCs w:val="18"/>
        </w:rPr>
        <w:t xml:space="preserve"> (accessed May 10, 2025).</w:t>
      </w:r>
      <w:r>
        <w:t xml:space="preserve"> </w:t>
      </w:r>
    </w:p>
  </w:footnote>
  <w:footnote w:id="11">
    <w:p w14:paraId="2C96113E" w14:textId="2604FB76" w:rsidR="00A52B13" w:rsidRPr="00F31C13" w:rsidRDefault="00A52B13">
      <w:pPr>
        <w:pStyle w:val="FootnoteText"/>
        <w:rPr>
          <w:rFonts w:ascii="Times New Roman" w:hAnsi="Times New Roman" w:cs="Times New Roman"/>
          <w:sz w:val="18"/>
          <w:szCs w:val="18"/>
        </w:rPr>
      </w:pPr>
      <w:r w:rsidRPr="00F31C13">
        <w:rPr>
          <w:rStyle w:val="FootnoteReference"/>
          <w:rFonts w:ascii="Times New Roman" w:hAnsi="Times New Roman" w:cs="Times New Roman"/>
          <w:sz w:val="18"/>
          <w:szCs w:val="18"/>
        </w:rPr>
        <w:footnoteRef/>
      </w:r>
      <w:r w:rsidRPr="00F31C13">
        <w:rPr>
          <w:rFonts w:ascii="Times New Roman" w:hAnsi="Times New Roman" w:cs="Times New Roman"/>
          <w:sz w:val="18"/>
          <w:szCs w:val="18"/>
        </w:rPr>
        <w:t xml:space="preserve"> </w:t>
      </w:r>
      <w:r w:rsidRPr="00F31C13">
        <w:rPr>
          <w:rFonts w:ascii="Times New Roman" w:hAnsi="Times New Roman" w:cs="Times New Roman"/>
          <w:sz w:val="18"/>
          <w:szCs w:val="18"/>
        </w:rPr>
        <w:t xml:space="preserve">Department of Corrections, </w:t>
      </w:r>
      <w:r w:rsidRPr="00F31C13">
        <w:rPr>
          <w:rFonts w:ascii="Times New Roman" w:hAnsi="Times New Roman" w:cs="Times New Roman"/>
          <w:i/>
          <w:iCs/>
          <w:sz w:val="18"/>
          <w:szCs w:val="18"/>
        </w:rPr>
        <w:t>Nationwide Prisoner Statistics under the Narcotics Act</w:t>
      </w:r>
      <w:r w:rsidRPr="00F31C13">
        <w:rPr>
          <w:rFonts w:ascii="Times New Roman" w:hAnsi="Times New Roman" w:cs="Times New Roman"/>
          <w:sz w:val="18"/>
          <w:szCs w:val="18"/>
        </w:rPr>
        <w:t xml:space="preserve">, surveyed as of May 1, 2025, available at: </w:t>
      </w:r>
      <w:hyperlink r:id="rId10" w:tgtFrame="_new" w:history="1">
        <w:r w:rsidRPr="00F31C13">
          <w:rPr>
            <w:rStyle w:val="Hyperlink"/>
            <w:rFonts w:ascii="Times New Roman" w:hAnsi="Times New Roman" w:cs="Times New Roman"/>
            <w:sz w:val="18"/>
            <w:szCs w:val="18"/>
          </w:rPr>
          <w:t>http://www.correct.go.th/rt103pdf/report_result.php?date=2025-05-01&amp;report=drug</w:t>
        </w:r>
      </w:hyperlink>
      <w:r w:rsidRPr="00F31C13">
        <w:rPr>
          <w:rFonts w:ascii="Times New Roman" w:hAnsi="Times New Roman" w:cs="Times New Roman"/>
          <w:sz w:val="18"/>
          <w:szCs w:val="18"/>
        </w:rPr>
        <w:t xml:space="preserve"> (accessed May 1</w:t>
      </w:r>
      <w:r w:rsidRPr="00F31C13">
        <w:rPr>
          <w:rFonts w:ascii="Times New Roman" w:hAnsi="Times New Roman" w:cs="Times New Roman"/>
          <w:sz w:val="18"/>
          <w:szCs w:val="18"/>
        </w:rPr>
        <w:t>0</w:t>
      </w:r>
      <w:r w:rsidRPr="00F31C13">
        <w:rPr>
          <w:rFonts w:ascii="Times New Roman" w:hAnsi="Times New Roman" w:cs="Times New Roman"/>
          <w:sz w:val="18"/>
          <w:szCs w:val="18"/>
        </w:rPr>
        <w:t>, 2025).</w:t>
      </w:r>
    </w:p>
  </w:footnote>
  <w:footnote w:id="12">
    <w:p w14:paraId="0BB6E25E" w14:textId="2F10B5FD" w:rsidR="00FF1D49" w:rsidRPr="00F31C13" w:rsidRDefault="00FF1D49">
      <w:pPr>
        <w:pStyle w:val="FootnoteText"/>
        <w:rPr>
          <w:rFonts w:ascii="Times New Roman" w:hAnsi="Times New Roman" w:cs="Times New Roman"/>
          <w:sz w:val="18"/>
          <w:szCs w:val="18"/>
        </w:rPr>
      </w:pPr>
      <w:r w:rsidRPr="00F31C13">
        <w:rPr>
          <w:rStyle w:val="FootnoteReference"/>
          <w:rFonts w:ascii="Times New Roman" w:hAnsi="Times New Roman" w:cs="Times New Roman"/>
          <w:sz w:val="18"/>
          <w:szCs w:val="18"/>
        </w:rPr>
        <w:footnoteRef/>
      </w:r>
      <w:r w:rsidRPr="00F31C13">
        <w:rPr>
          <w:rFonts w:ascii="Times New Roman" w:hAnsi="Times New Roman" w:cs="Times New Roman"/>
          <w:sz w:val="18"/>
          <w:szCs w:val="18"/>
        </w:rPr>
        <w:t xml:space="preserve"> </w:t>
      </w:r>
      <w:proofErr w:type="spellStart"/>
      <w:r w:rsidRPr="00F31C13">
        <w:rPr>
          <w:rFonts w:ascii="Times New Roman" w:hAnsi="Times New Roman" w:cs="Times New Roman"/>
          <w:sz w:val="18"/>
          <w:szCs w:val="18"/>
        </w:rPr>
        <w:t>Phufa</w:t>
      </w:r>
      <w:proofErr w:type="spellEnd"/>
      <w:r w:rsidRPr="00F31C13">
        <w:rPr>
          <w:rFonts w:ascii="Times New Roman" w:hAnsi="Times New Roman" w:cs="Times New Roman"/>
          <w:sz w:val="18"/>
          <w:szCs w:val="18"/>
        </w:rPr>
        <w:t xml:space="preserve"> Rest Home, </w:t>
      </w:r>
      <w:r w:rsidRPr="00F31C13">
        <w:rPr>
          <w:rFonts w:ascii="Times New Roman" w:hAnsi="Times New Roman" w:cs="Times New Roman"/>
          <w:i/>
          <w:iCs/>
          <w:sz w:val="18"/>
          <w:szCs w:val="18"/>
        </w:rPr>
        <w:t>Latest Statistics on Drug Addiction Patients in Thailand for 2022–2023</w:t>
      </w:r>
      <w:r w:rsidRPr="00F31C13">
        <w:rPr>
          <w:rFonts w:ascii="Times New Roman" w:hAnsi="Times New Roman" w:cs="Times New Roman"/>
          <w:sz w:val="18"/>
          <w:szCs w:val="18"/>
        </w:rPr>
        <w:t xml:space="preserve">, February 10, 2023, available at: </w:t>
      </w:r>
      <w:hyperlink r:id="rId11" w:tgtFrame="_new" w:history="1">
        <w:r w:rsidRPr="00F31C13">
          <w:rPr>
            <w:rStyle w:val="Hyperlink"/>
            <w:rFonts w:ascii="Times New Roman" w:hAnsi="Times New Roman" w:cs="Times New Roman"/>
            <w:sz w:val="18"/>
            <w:szCs w:val="18"/>
          </w:rPr>
          <w:t>https://www.phufaresthome.com/blog/thailand-drugs-stats/</w:t>
        </w:r>
      </w:hyperlink>
      <w:r w:rsidRPr="00F31C13">
        <w:rPr>
          <w:rFonts w:ascii="Times New Roman" w:hAnsi="Times New Roman" w:cs="Times New Roman"/>
          <w:sz w:val="18"/>
          <w:szCs w:val="18"/>
        </w:rPr>
        <w:t xml:space="preserve"> (accessed May 18, 2025).</w:t>
      </w:r>
    </w:p>
  </w:footnote>
  <w:footnote w:id="13">
    <w:p w14:paraId="160B66F0" w14:textId="1002F12F" w:rsidR="00ED5DBA" w:rsidRPr="00F31C13" w:rsidRDefault="00ED5DBA">
      <w:pPr>
        <w:pStyle w:val="FootnoteText"/>
        <w:rPr>
          <w:rFonts w:ascii="Times New Roman" w:hAnsi="Times New Roman" w:cs="Times New Roman"/>
          <w:sz w:val="18"/>
          <w:szCs w:val="18"/>
        </w:rPr>
      </w:pPr>
      <w:r w:rsidRPr="00F31C13">
        <w:rPr>
          <w:rStyle w:val="FootnoteReference"/>
          <w:rFonts w:ascii="Times New Roman" w:hAnsi="Times New Roman" w:cs="Times New Roman"/>
          <w:sz w:val="18"/>
          <w:szCs w:val="18"/>
        </w:rPr>
        <w:footnoteRef/>
      </w:r>
      <w:r w:rsidRPr="00F31C13">
        <w:rPr>
          <w:rFonts w:ascii="Times New Roman" w:hAnsi="Times New Roman" w:cs="Times New Roman"/>
          <w:sz w:val="18"/>
          <w:szCs w:val="18"/>
        </w:rPr>
        <w:t xml:space="preserve"> </w:t>
      </w:r>
      <w:r w:rsidRPr="00F31C13">
        <w:rPr>
          <w:rFonts w:ascii="Times New Roman" w:hAnsi="Times New Roman" w:cs="Times New Roman"/>
          <w:sz w:val="18"/>
          <w:szCs w:val="18"/>
        </w:rPr>
        <w:t xml:space="preserve">UN Working Group on Arbitrary Detention, </w:t>
      </w:r>
      <w:r w:rsidRPr="00F31C13">
        <w:rPr>
          <w:rFonts w:ascii="Times New Roman" w:hAnsi="Times New Roman" w:cs="Times New Roman"/>
          <w:i/>
          <w:iCs/>
          <w:sz w:val="18"/>
          <w:szCs w:val="18"/>
        </w:rPr>
        <w:t>Report on Drug Policies</w:t>
      </w:r>
      <w:r w:rsidRPr="00F31C13">
        <w:rPr>
          <w:rFonts w:ascii="Times New Roman" w:hAnsi="Times New Roman" w:cs="Times New Roman"/>
          <w:sz w:val="18"/>
          <w:szCs w:val="18"/>
        </w:rPr>
        <w:t>, A/HRC/47/40, 2021, para. 83.</w:t>
      </w:r>
    </w:p>
  </w:footnote>
  <w:footnote w:id="14">
    <w:p w14:paraId="6469FF01" w14:textId="6D1CB386" w:rsidR="00ED5DBA" w:rsidRDefault="00ED5DBA">
      <w:pPr>
        <w:pStyle w:val="FootnoteText"/>
      </w:pPr>
      <w:r w:rsidRPr="00F31C13">
        <w:rPr>
          <w:rStyle w:val="FootnoteReference"/>
          <w:rFonts w:ascii="Times New Roman" w:hAnsi="Times New Roman" w:cs="Times New Roman"/>
          <w:sz w:val="18"/>
          <w:szCs w:val="18"/>
        </w:rPr>
        <w:footnoteRef/>
      </w:r>
      <w:r w:rsidRPr="00F31C13">
        <w:rPr>
          <w:rFonts w:ascii="Times New Roman" w:hAnsi="Times New Roman" w:cs="Times New Roman"/>
          <w:sz w:val="18"/>
          <w:szCs w:val="18"/>
        </w:rPr>
        <w:t xml:space="preserve"> </w:t>
      </w:r>
      <w:r w:rsidRPr="00F31C13">
        <w:rPr>
          <w:rFonts w:ascii="Times New Roman" w:hAnsi="Times New Roman" w:cs="Times New Roman"/>
          <w:b/>
          <w:bCs/>
          <w:sz w:val="18"/>
          <w:szCs w:val="18"/>
        </w:rPr>
        <w:t>UN Human Rights Council</w:t>
      </w:r>
      <w:r w:rsidRPr="00F31C13">
        <w:rPr>
          <w:rFonts w:ascii="Times New Roman" w:hAnsi="Times New Roman" w:cs="Times New Roman"/>
          <w:sz w:val="18"/>
          <w:szCs w:val="18"/>
        </w:rPr>
        <w:t xml:space="preserve">, </w:t>
      </w:r>
      <w:r w:rsidRPr="00F31C13">
        <w:rPr>
          <w:rFonts w:ascii="Times New Roman" w:hAnsi="Times New Roman" w:cs="Times New Roman"/>
          <w:i/>
          <w:iCs/>
          <w:sz w:val="18"/>
          <w:szCs w:val="18"/>
        </w:rPr>
        <w:t>Report on Drug Use, Harm Reduction and the Right to Health</w:t>
      </w:r>
      <w:r w:rsidRPr="00F31C13">
        <w:rPr>
          <w:rFonts w:ascii="Times New Roman" w:hAnsi="Times New Roman" w:cs="Times New Roman"/>
          <w:sz w:val="18"/>
          <w:szCs w:val="18"/>
        </w:rPr>
        <w:t>, A/HRC/56/52, 2024.</w:t>
      </w:r>
    </w:p>
  </w:footnote>
  <w:footnote w:id="15">
    <w:p w14:paraId="4D69AD7D" w14:textId="49709AEB" w:rsidR="007306E2" w:rsidRPr="00F31C13" w:rsidRDefault="007306E2">
      <w:pPr>
        <w:pStyle w:val="FootnoteText"/>
        <w:rPr>
          <w:rFonts w:ascii="Times New Roman" w:hAnsi="Times New Roman" w:cs="Times New Roman"/>
          <w:sz w:val="18"/>
          <w:szCs w:val="18"/>
        </w:rPr>
      </w:pPr>
      <w:r w:rsidRPr="00F31C13">
        <w:rPr>
          <w:rStyle w:val="FootnoteReference"/>
          <w:rFonts w:ascii="Times New Roman" w:hAnsi="Times New Roman" w:cs="Times New Roman"/>
          <w:sz w:val="18"/>
          <w:szCs w:val="18"/>
        </w:rPr>
        <w:footnoteRef/>
      </w:r>
      <w:r w:rsidRPr="00F31C13">
        <w:rPr>
          <w:rFonts w:ascii="Times New Roman" w:hAnsi="Times New Roman" w:cs="Times New Roman"/>
          <w:sz w:val="18"/>
          <w:szCs w:val="18"/>
        </w:rPr>
        <w:t xml:space="preserve"> </w:t>
      </w:r>
      <w:r w:rsidRPr="00F31C13">
        <w:rPr>
          <w:rFonts w:ascii="Times New Roman" w:hAnsi="Times New Roman" w:cs="Times New Roman"/>
          <w:sz w:val="18"/>
          <w:szCs w:val="18"/>
        </w:rPr>
        <w:t xml:space="preserve">Matichon, “Like Hell! Victim of Famous Temple Rehab Center Speaks Out About Beatings, Torture, and Rotten Rice in Toilet Bowls,” September 21, 2021, available at: </w:t>
      </w:r>
      <w:hyperlink r:id="rId12" w:tgtFrame="_new" w:history="1">
        <w:r w:rsidRPr="00F31C13">
          <w:rPr>
            <w:rStyle w:val="Hyperlink"/>
            <w:rFonts w:ascii="Times New Roman" w:hAnsi="Times New Roman" w:cs="Times New Roman"/>
            <w:sz w:val="18"/>
            <w:szCs w:val="18"/>
          </w:rPr>
          <w:t>https://www.matichon.co.th/region/news_2951045</w:t>
        </w:r>
      </w:hyperlink>
      <w:r w:rsidRPr="00F31C13">
        <w:rPr>
          <w:rFonts w:ascii="Times New Roman" w:hAnsi="Times New Roman" w:cs="Times New Roman"/>
          <w:sz w:val="18"/>
          <w:szCs w:val="18"/>
        </w:rPr>
        <w:t xml:space="preserve"> (accessed May 1</w:t>
      </w:r>
      <w:r w:rsidRPr="00EA1EE0">
        <w:rPr>
          <w:rFonts w:ascii="Times New Roman" w:hAnsi="Times New Roman" w:cs="Times New Roman"/>
          <w:sz w:val="18"/>
          <w:szCs w:val="18"/>
        </w:rPr>
        <w:t>1</w:t>
      </w:r>
      <w:r w:rsidRPr="00F31C13">
        <w:rPr>
          <w:rFonts w:ascii="Times New Roman" w:hAnsi="Times New Roman" w:cs="Times New Roman"/>
          <w:sz w:val="18"/>
          <w:szCs w:val="18"/>
        </w:rPr>
        <w:t>, 2025).</w:t>
      </w:r>
      <w:r w:rsidRPr="00F31C13">
        <w:rPr>
          <w:rFonts w:ascii="Times New Roman" w:hAnsi="Times New Roman" w:cs="Times New Roman"/>
          <w:sz w:val="18"/>
          <w:szCs w:val="18"/>
        </w:rPr>
        <w:t xml:space="preserve"> </w:t>
      </w:r>
    </w:p>
  </w:footnote>
  <w:footnote w:id="16">
    <w:p w14:paraId="58916EE4" w14:textId="59C22A52" w:rsidR="008674C2" w:rsidRDefault="008674C2">
      <w:pPr>
        <w:pStyle w:val="FootnoteText"/>
      </w:pPr>
      <w:r w:rsidRPr="00F31C13">
        <w:rPr>
          <w:rStyle w:val="FootnoteReference"/>
          <w:rFonts w:ascii="Times New Roman" w:hAnsi="Times New Roman" w:cs="Times New Roman"/>
          <w:sz w:val="18"/>
          <w:szCs w:val="18"/>
        </w:rPr>
        <w:footnoteRef/>
      </w:r>
      <w:r w:rsidRPr="00F31C13">
        <w:rPr>
          <w:rFonts w:ascii="Times New Roman" w:hAnsi="Times New Roman" w:cs="Times New Roman"/>
          <w:sz w:val="18"/>
          <w:szCs w:val="18"/>
        </w:rPr>
        <w:t xml:space="preserve"> </w:t>
      </w:r>
      <w:r w:rsidRPr="00F31C13">
        <w:rPr>
          <w:rFonts w:ascii="Times New Roman" w:hAnsi="Times New Roman" w:cs="Times New Roman"/>
          <w:sz w:val="18"/>
          <w:szCs w:val="18"/>
        </w:rPr>
        <w:t>Royal Thai Police, Criminal Offense Statistics (4 Major Categories), 2022.</w:t>
      </w:r>
      <w:r>
        <w:t xml:space="preserve"> </w:t>
      </w:r>
    </w:p>
  </w:footnote>
  <w:footnote w:id="17">
    <w:p w14:paraId="2415EEBE" w14:textId="761DDB1F" w:rsidR="00EA1EE0" w:rsidRPr="00F31C13" w:rsidRDefault="00EA1EE0">
      <w:pPr>
        <w:pStyle w:val="FootnoteText"/>
        <w:rPr>
          <w:rFonts w:ascii="Times New Roman" w:hAnsi="Times New Roman" w:cs="Times New Roman"/>
          <w:sz w:val="18"/>
          <w:szCs w:val="18"/>
        </w:rPr>
      </w:pPr>
      <w:r w:rsidRPr="00F31C13">
        <w:rPr>
          <w:rStyle w:val="FootnoteReference"/>
          <w:rFonts w:ascii="Times New Roman" w:hAnsi="Times New Roman" w:cs="Times New Roman"/>
          <w:sz w:val="18"/>
          <w:szCs w:val="18"/>
        </w:rPr>
        <w:footnoteRef/>
      </w:r>
      <w:r w:rsidRPr="00F31C13">
        <w:rPr>
          <w:rFonts w:ascii="Times New Roman" w:hAnsi="Times New Roman" w:cs="Times New Roman"/>
          <w:sz w:val="18"/>
          <w:szCs w:val="18"/>
        </w:rPr>
        <w:t xml:space="preserve"> </w:t>
      </w:r>
      <w:r w:rsidRPr="00F31C13">
        <w:rPr>
          <w:rFonts w:ascii="Times New Roman" w:hAnsi="Times New Roman" w:cs="Times New Roman"/>
          <w:sz w:val="18"/>
          <w:szCs w:val="18"/>
        </w:rPr>
        <w:t xml:space="preserve">Ministry of Justice, </w:t>
      </w:r>
      <w:r w:rsidRPr="00F31C13">
        <w:rPr>
          <w:rFonts w:ascii="Times New Roman" w:hAnsi="Times New Roman" w:cs="Times New Roman"/>
          <w:i/>
          <w:iCs/>
          <w:sz w:val="18"/>
          <w:szCs w:val="18"/>
        </w:rPr>
        <w:t>Assistance Data Calendar Year 2022</w:t>
      </w:r>
      <w:r w:rsidRPr="00F31C13">
        <w:rPr>
          <w:rFonts w:ascii="Times New Roman" w:hAnsi="Times New Roman" w:cs="Times New Roman"/>
          <w:sz w:val="18"/>
          <w:szCs w:val="18"/>
        </w:rPr>
        <w:t xml:space="preserve">, available at: </w:t>
      </w:r>
      <w:hyperlink r:id="rId13" w:tgtFrame="_new" w:history="1">
        <w:r w:rsidRPr="00F31C13">
          <w:rPr>
            <w:rStyle w:val="Hyperlink"/>
            <w:rFonts w:ascii="Times New Roman" w:hAnsi="Times New Roman" w:cs="Times New Roman"/>
            <w:sz w:val="18"/>
            <w:szCs w:val="18"/>
          </w:rPr>
          <w:t>https://gdcatalog.go.th/dataset/gdpublish-dataset_11_02/resource/662ff0a2-f440-498d-b9c5-04ba43ac9701</w:t>
        </w:r>
      </w:hyperlink>
      <w:r w:rsidRPr="00F31C13">
        <w:rPr>
          <w:rFonts w:ascii="Times New Roman" w:hAnsi="Times New Roman" w:cs="Times New Roman"/>
          <w:sz w:val="18"/>
          <w:szCs w:val="18"/>
        </w:rPr>
        <w:t xml:space="preserve"> (accessed May 18, 2025).</w:t>
      </w:r>
    </w:p>
  </w:footnote>
  <w:footnote w:id="18">
    <w:p w14:paraId="594EC9AE" w14:textId="09F0C074" w:rsidR="00EA1EE0" w:rsidRPr="00F31C13" w:rsidRDefault="00EA1EE0">
      <w:pPr>
        <w:pStyle w:val="FootnoteText"/>
        <w:rPr>
          <w:rFonts w:ascii="Times New Roman" w:hAnsi="Times New Roman" w:cs="Times New Roman"/>
          <w:sz w:val="18"/>
          <w:szCs w:val="18"/>
        </w:rPr>
      </w:pPr>
      <w:r w:rsidRPr="00F31C13">
        <w:rPr>
          <w:rStyle w:val="FootnoteReference"/>
          <w:rFonts w:ascii="Times New Roman" w:hAnsi="Times New Roman" w:cs="Times New Roman"/>
          <w:sz w:val="18"/>
          <w:szCs w:val="18"/>
        </w:rPr>
        <w:footnoteRef/>
      </w:r>
      <w:r w:rsidRPr="00F31C13">
        <w:rPr>
          <w:rFonts w:ascii="Times New Roman" w:hAnsi="Times New Roman" w:cs="Times New Roman"/>
          <w:sz w:val="18"/>
          <w:szCs w:val="18"/>
        </w:rPr>
        <w:t xml:space="preserve"> </w:t>
      </w:r>
      <w:r w:rsidRPr="00F31C13">
        <w:rPr>
          <w:rFonts w:ascii="Times New Roman" w:hAnsi="Times New Roman" w:cs="Times New Roman"/>
          <w:sz w:val="18"/>
          <w:szCs w:val="18"/>
        </w:rPr>
        <w:t xml:space="preserve">Ministry of Justice, </w:t>
      </w:r>
      <w:r w:rsidRPr="00F31C13">
        <w:rPr>
          <w:rFonts w:ascii="Times New Roman" w:hAnsi="Times New Roman" w:cs="Times New Roman"/>
          <w:i/>
          <w:iCs/>
          <w:sz w:val="18"/>
          <w:szCs w:val="18"/>
        </w:rPr>
        <w:t>Justice Fund Assistance Data 2022</w:t>
      </w:r>
      <w:r w:rsidRPr="00F31C13">
        <w:rPr>
          <w:rFonts w:ascii="Times New Roman" w:hAnsi="Times New Roman" w:cs="Times New Roman"/>
          <w:sz w:val="18"/>
          <w:szCs w:val="18"/>
        </w:rPr>
        <w:t>.</w:t>
      </w:r>
    </w:p>
  </w:footnote>
  <w:footnote w:id="19">
    <w:p w14:paraId="519C86C2" w14:textId="263A2BE6" w:rsidR="00EA1EE0" w:rsidRPr="00F31C13" w:rsidRDefault="00EA1EE0">
      <w:pPr>
        <w:pStyle w:val="FootnoteText"/>
        <w:rPr>
          <w:rFonts w:ascii="Times New Roman" w:hAnsi="Times New Roman" w:cs="Times New Roman"/>
          <w:sz w:val="18"/>
          <w:szCs w:val="18"/>
        </w:rPr>
      </w:pPr>
      <w:r w:rsidRPr="00F31C13">
        <w:rPr>
          <w:rStyle w:val="FootnoteReference"/>
          <w:rFonts w:ascii="Times New Roman" w:hAnsi="Times New Roman" w:cs="Times New Roman"/>
          <w:sz w:val="18"/>
          <w:szCs w:val="18"/>
        </w:rPr>
        <w:footnoteRef/>
      </w:r>
      <w:r w:rsidRPr="00F31C13">
        <w:rPr>
          <w:rFonts w:ascii="Times New Roman" w:hAnsi="Times New Roman" w:cs="Times New Roman"/>
          <w:sz w:val="18"/>
          <w:szCs w:val="18"/>
        </w:rPr>
        <w:t xml:space="preserve"> </w:t>
      </w:r>
      <w:r w:rsidRPr="00F31C13">
        <w:rPr>
          <w:rFonts w:ascii="Times New Roman" w:hAnsi="Times New Roman" w:cs="Times New Roman"/>
          <w:sz w:val="18"/>
          <w:szCs w:val="18"/>
        </w:rPr>
        <w:t xml:space="preserve">Government of Thailand, </w:t>
      </w:r>
      <w:r w:rsidRPr="00F31C13">
        <w:rPr>
          <w:rFonts w:ascii="Times New Roman" w:hAnsi="Times New Roman" w:cs="Times New Roman"/>
          <w:i/>
          <w:iCs/>
          <w:sz w:val="18"/>
          <w:szCs w:val="18"/>
        </w:rPr>
        <w:t>Crime Prevention Report 2024</w:t>
      </w:r>
      <w:r w:rsidRPr="00F31C13">
        <w:rPr>
          <w:rFonts w:ascii="Times New Roman" w:hAnsi="Times New Roman" w:cs="Times New Roman"/>
          <w:sz w:val="18"/>
          <w:szCs w:val="18"/>
        </w:rPr>
        <w:t>, 2025.</w:t>
      </w:r>
    </w:p>
  </w:footnote>
  <w:footnote w:id="20">
    <w:p w14:paraId="46DE0D4B" w14:textId="47E6CE5B" w:rsidR="00957DB3" w:rsidRPr="00F31C13" w:rsidRDefault="00957DB3">
      <w:pPr>
        <w:pStyle w:val="FootnoteText"/>
        <w:rPr>
          <w:rFonts w:ascii="Times New Roman" w:hAnsi="Times New Roman" w:cs="Times New Roman"/>
          <w:sz w:val="18"/>
          <w:szCs w:val="18"/>
        </w:rPr>
      </w:pPr>
      <w:r w:rsidRPr="00F31C13">
        <w:rPr>
          <w:rStyle w:val="FootnoteReference"/>
          <w:rFonts w:ascii="Times New Roman" w:hAnsi="Times New Roman" w:cs="Times New Roman"/>
          <w:sz w:val="18"/>
          <w:szCs w:val="18"/>
        </w:rPr>
        <w:footnoteRef/>
      </w:r>
      <w:r w:rsidRPr="00F31C13">
        <w:rPr>
          <w:rFonts w:ascii="Times New Roman" w:hAnsi="Times New Roman" w:cs="Times New Roman"/>
          <w:sz w:val="18"/>
          <w:szCs w:val="18"/>
        </w:rPr>
        <w:t xml:space="preserve"> </w:t>
      </w:r>
      <w:r w:rsidRPr="00F31C13">
        <w:rPr>
          <w:rFonts w:ascii="Times New Roman" w:hAnsi="Times New Roman" w:cs="Times New Roman"/>
          <w:sz w:val="18"/>
          <w:szCs w:val="18"/>
        </w:rPr>
        <w:t xml:space="preserve">Ministry of Justice, </w:t>
      </w:r>
      <w:r w:rsidRPr="00F31C13">
        <w:rPr>
          <w:rFonts w:ascii="Times New Roman" w:hAnsi="Times New Roman" w:cs="Times New Roman"/>
          <w:i/>
          <w:iCs/>
          <w:sz w:val="18"/>
          <w:szCs w:val="18"/>
        </w:rPr>
        <w:t>Assistance Data 2024</w:t>
      </w:r>
      <w:r w:rsidRPr="00F31C13">
        <w:rPr>
          <w:rFonts w:ascii="Times New Roman" w:hAnsi="Times New Roman" w:cs="Times New Roman"/>
          <w:sz w:val="18"/>
          <w:szCs w:val="18"/>
        </w:rPr>
        <w:t>.</w:t>
      </w:r>
    </w:p>
  </w:footnote>
  <w:footnote w:id="21">
    <w:p w14:paraId="2FC1AB3C" w14:textId="5A013A4F" w:rsidR="00957DB3" w:rsidRPr="00F31C13" w:rsidRDefault="00957DB3">
      <w:pPr>
        <w:pStyle w:val="FootnoteText"/>
        <w:rPr>
          <w:rFonts w:ascii="Times New Roman" w:hAnsi="Times New Roman" w:cs="Times New Roman"/>
          <w:sz w:val="18"/>
          <w:szCs w:val="18"/>
        </w:rPr>
      </w:pPr>
      <w:r w:rsidRPr="00F31C13">
        <w:rPr>
          <w:rStyle w:val="FootnoteReference"/>
          <w:rFonts w:ascii="Times New Roman" w:hAnsi="Times New Roman" w:cs="Times New Roman"/>
          <w:sz w:val="18"/>
          <w:szCs w:val="18"/>
        </w:rPr>
        <w:footnoteRef/>
      </w:r>
      <w:r w:rsidRPr="00F31C13">
        <w:rPr>
          <w:rFonts w:ascii="Times New Roman" w:hAnsi="Times New Roman" w:cs="Times New Roman"/>
          <w:sz w:val="18"/>
          <w:szCs w:val="18"/>
        </w:rPr>
        <w:t xml:space="preserve"> </w:t>
      </w:r>
      <w:r w:rsidRPr="00F31C13">
        <w:rPr>
          <w:rFonts w:ascii="Times New Roman" w:hAnsi="Times New Roman" w:cs="Times New Roman"/>
          <w:sz w:val="18"/>
          <w:szCs w:val="18"/>
        </w:rPr>
        <w:t xml:space="preserve">Ministry of Justice, </w:t>
      </w:r>
      <w:r w:rsidRPr="00F31C13">
        <w:rPr>
          <w:rFonts w:ascii="Times New Roman" w:hAnsi="Times New Roman" w:cs="Times New Roman"/>
          <w:i/>
          <w:iCs/>
          <w:sz w:val="18"/>
          <w:szCs w:val="18"/>
        </w:rPr>
        <w:t>Assistance Data 2024</w:t>
      </w:r>
      <w:r w:rsidRPr="00F31C13">
        <w:rPr>
          <w:rFonts w:ascii="Times New Roman" w:hAnsi="Times New Roman" w:cs="Times New Roman"/>
          <w:sz w:val="18"/>
          <w:szCs w:val="18"/>
        </w:rPr>
        <w:t>.</w:t>
      </w:r>
    </w:p>
  </w:footnote>
  <w:footnote w:id="22">
    <w:p w14:paraId="4369EB6E" w14:textId="77777777" w:rsidR="00957DB3" w:rsidRPr="00F31C13" w:rsidRDefault="00957DB3" w:rsidP="00957DB3">
      <w:pPr>
        <w:pStyle w:val="FootnoteText"/>
        <w:rPr>
          <w:rFonts w:ascii="Times New Roman" w:hAnsi="Times New Roman" w:cs="Times New Roman"/>
          <w:sz w:val="18"/>
          <w:szCs w:val="18"/>
        </w:rPr>
      </w:pPr>
      <w:r w:rsidRPr="00F31C13">
        <w:rPr>
          <w:rStyle w:val="FootnoteReference"/>
          <w:rFonts w:ascii="Times New Roman" w:hAnsi="Times New Roman" w:cs="Times New Roman"/>
          <w:sz w:val="18"/>
          <w:szCs w:val="18"/>
        </w:rPr>
        <w:footnoteRef/>
      </w:r>
      <w:r w:rsidRPr="00F31C13">
        <w:rPr>
          <w:rFonts w:ascii="Times New Roman" w:hAnsi="Times New Roman" w:cs="Times New Roman"/>
          <w:sz w:val="18"/>
          <w:szCs w:val="18"/>
        </w:rPr>
        <w:t xml:space="preserve"> </w:t>
      </w:r>
      <w:r w:rsidRPr="00F31C13">
        <w:rPr>
          <w:rFonts w:ascii="Times New Roman" w:hAnsi="Times New Roman" w:cs="Times New Roman"/>
          <w:sz w:val="18"/>
          <w:szCs w:val="18"/>
        </w:rPr>
        <w:t xml:space="preserve">Department of Corrections, </w:t>
      </w:r>
      <w:r w:rsidRPr="00F31C13">
        <w:rPr>
          <w:rFonts w:ascii="Times New Roman" w:hAnsi="Times New Roman" w:cs="Times New Roman"/>
          <w:i/>
          <w:iCs/>
          <w:sz w:val="18"/>
          <w:szCs w:val="18"/>
        </w:rPr>
        <w:t>Narcotics Act Prisoner Statistics</w:t>
      </w:r>
      <w:r w:rsidRPr="00F31C13">
        <w:rPr>
          <w:rFonts w:ascii="Times New Roman" w:hAnsi="Times New Roman" w:cs="Times New Roman"/>
          <w:sz w:val="18"/>
          <w:szCs w:val="18"/>
        </w:rPr>
        <w:t>, December 2024.</w:t>
      </w:r>
    </w:p>
    <w:p w14:paraId="6B2C4743" w14:textId="5179B46D" w:rsidR="00957DB3" w:rsidRDefault="00957DB3">
      <w:pPr>
        <w:pStyle w:val="FootnoteText"/>
      </w:pPr>
    </w:p>
  </w:footnote>
  <w:footnote w:id="23">
    <w:p w14:paraId="227A593C" w14:textId="0F5D54B7" w:rsidR="005A3616" w:rsidRDefault="005A3616">
      <w:pPr>
        <w:pStyle w:val="FootnoteText"/>
      </w:pPr>
      <w:r>
        <w:rPr>
          <w:rStyle w:val="FootnoteReference"/>
        </w:rPr>
        <w:footnoteRef/>
      </w:r>
      <w:r>
        <w:t xml:space="preserve"> </w:t>
      </w:r>
      <w:r w:rsidRPr="005A3616">
        <w:t xml:space="preserve">Ministry of Social Development and Human Security, </w:t>
      </w:r>
      <w:r w:rsidRPr="005A3616">
        <w:rPr>
          <w:i/>
          <w:iCs/>
        </w:rPr>
        <w:t>Regulation on Social Assistance Measures</w:t>
      </w:r>
      <w:r w:rsidRPr="005A3616">
        <w:t>, 2018.</w:t>
      </w:r>
    </w:p>
  </w:footnote>
  <w:footnote w:id="24">
    <w:p w14:paraId="43CAC2D5" w14:textId="39194479" w:rsidR="00591BB2" w:rsidRPr="00F31C13" w:rsidRDefault="00591BB2" w:rsidP="00591BB2">
      <w:pPr>
        <w:pStyle w:val="FootnoteText"/>
        <w:rPr>
          <w:rFonts w:ascii="Times New Roman" w:hAnsi="Times New Roman" w:cs="Times New Roman"/>
          <w:sz w:val="18"/>
          <w:szCs w:val="18"/>
        </w:rPr>
      </w:pPr>
      <w:r w:rsidRPr="00F31C13">
        <w:rPr>
          <w:rStyle w:val="FootnoteReference"/>
          <w:rFonts w:ascii="Times New Roman" w:hAnsi="Times New Roman" w:cs="Times New Roman"/>
          <w:sz w:val="18"/>
          <w:szCs w:val="18"/>
        </w:rPr>
        <w:footnoteRef/>
      </w:r>
      <w:r w:rsidRPr="00F31C13">
        <w:rPr>
          <w:rFonts w:ascii="Times New Roman" w:hAnsi="Times New Roman" w:cs="Times New Roman"/>
          <w:sz w:val="18"/>
          <w:szCs w:val="18"/>
        </w:rPr>
        <w:t xml:space="preserve"> </w:t>
      </w:r>
      <w:r w:rsidRPr="00F31C13">
        <w:rPr>
          <w:rFonts w:ascii="Times New Roman" w:hAnsi="Times New Roman" w:cs="Times New Roman"/>
          <w:b/>
          <w:bCs/>
          <w:sz w:val="18"/>
          <w:szCs w:val="18"/>
        </w:rPr>
        <w:t>Thai PBS.</w:t>
      </w:r>
      <w:r w:rsidRPr="00F31C13">
        <w:rPr>
          <w:rFonts w:ascii="Times New Roman" w:hAnsi="Times New Roman" w:cs="Times New Roman"/>
          <w:sz w:val="18"/>
          <w:szCs w:val="18"/>
        </w:rPr>
        <w:t xml:space="preserve"> “Timeline of the ‘entertaining girl’ found dead in hotel – Chinese suspect now under arrest warrant.” 16 February 2025. Available at: </w:t>
      </w:r>
      <w:hyperlink r:id="rId14" w:tgtFrame="_new" w:history="1">
        <w:r w:rsidRPr="00F31C13">
          <w:rPr>
            <w:rStyle w:val="Hyperlink"/>
            <w:rFonts w:ascii="Times New Roman" w:hAnsi="Times New Roman" w:cs="Times New Roman"/>
            <w:sz w:val="18"/>
            <w:szCs w:val="18"/>
          </w:rPr>
          <w:t>https://www.thaipbs.or.th/news/content/349334</w:t>
        </w:r>
      </w:hyperlink>
      <w:r w:rsidRPr="00F31C13">
        <w:rPr>
          <w:rFonts w:ascii="Times New Roman" w:hAnsi="Times New Roman" w:cs="Times New Roman"/>
          <w:sz w:val="18"/>
          <w:szCs w:val="18"/>
        </w:rPr>
        <w:t>. Accessed 18 May 2025.</w:t>
      </w:r>
    </w:p>
    <w:p w14:paraId="09FD8A9F" w14:textId="54A14ECD" w:rsidR="00591BB2" w:rsidRPr="00F31C13" w:rsidRDefault="00591BB2">
      <w:pPr>
        <w:pStyle w:val="FootnoteText"/>
        <w:rPr>
          <w:rFonts w:ascii="Times New Roman" w:hAnsi="Times New Roman" w:cs="Times New Roman"/>
          <w:sz w:val="18"/>
          <w:szCs w:val="18"/>
        </w:rPr>
      </w:pPr>
    </w:p>
  </w:footnote>
  <w:footnote w:id="25">
    <w:p w14:paraId="68CBD159" w14:textId="3D1E05C2" w:rsidR="0076772A" w:rsidRPr="00F31C13" w:rsidRDefault="0076772A">
      <w:pPr>
        <w:pStyle w:val="FootnoteText"/>
        <w:rPr>
          <w:rFonts w:ascii="Times New Roman" w:hAnsi="Times New Roman" w:cs="Times New Roman"/>
          <w:sz w:val="18"/>
          <w:szCs w:val="18"/>
        </w:rPr>
      </w:pPr>
      <w:r w:rsidRPr="00F31C13">
        <w:rPr>
          <w:rStyle w:val="FootnoteReference"/>
          <w:rFonts w:ascii="Times New Roman" w:hAnsi="Times New Roman" w:cs="Times New Roman"/>
          <w:sz w:val="18"/>
          <w:szCs w:val="18"/>
        </w:rPr>
        <w:footnoteRef/>
      </w:r>
      <w:r w:rsidRPr="00F31C13">
        <w:rPr>
          <w:rFonts w:ascii="Times New Roman" w:hAnsi="Times New Roman" w:cs="Times New Roman"/>
          <w:sz w:val="18"/>
          <w:szCs w:val="18"/>
        </w:rPr>
        <w:t xml:space="preserve"> </w:t>
      </w:r>
      <w:r w:rsidRPr="00F31C13">
        <w:rPr>
          <w:rFonts w:ascii="Times New Roman" w:hAnsi="Times New Roman" w:cs="Times New Roman"/>
          <w:sz w:val="18"/>
          <w:szCs w:val="18"/>
        </w:rPr>
        <w:t xml:space="preserve">Department of Disease Control, Ministry of Public Health. </w:t>
      </w:r>
      <w:r w:rsidRPr="00F31C13">
        <w:rPr>
          <w:rFonts w:ascii="Times New Roman" w:hAnsi="Times New Roman" w:cs="Times New Roman"/>
          <w:i/>
          <w:iCs/>
          <w:sz w:val="18"/>
          <w:szCs w:val="18"/>
        </w:rPr>
        <w:t>HIV/AIDS Situation in Thailand, 2022.</w:t>
      </w:r>
      <w:r w:rsidRPr="00F31C13">
        <w:rPr>
          <w:rFonts w:ascii="Times New Roman" w:hAnsi="Times New Roman" w:cs="Times New Roman"/>
          <w:sz w:val="18"/>
          <w:szCs w:val="18"/>
        </w:rPr>
        <w:t xml:space="preserve"> Nonthaburi: Ministry of Public Health; 2023. Available from: </w:t>
      </w:r>
      <w:hyperlink r:id="rId15" w:tgtFrame="_new" w:history="1">
        <w:r w:rsidRPr="00F31C13">
          <w:rPr>
            <w:rStyle w:val="Hyperlink"/>
            <w:rFonts w:ascii="Times New Roman" w:hAnsi="Times New Roman" w:cs="Times New Roman"/>
            <w:sz w:val="18"/>
            <w:szCs w:val="18"/>
          </w:rPr>
          <w:t>https://ddc.moph.go.th/uploads/publish/1549120240328063459.pdf</w:t>
        </w:r>
      </w:hyperlink>
      <w:r w:rsidRPr="00F31C13">
        <w:rPr>
          <w:rFonts w:ascii="Times New Roman" w:hAnsi="Times New Roman" w:cs="Times New Roman"/>
          <w:sz w:val="18"/>
          <w:szCs w:val="18"/>
        </w:rPr>
        <w:t xml:space="preserve"> </w:t>
      </w:r>
    </w:p>
  </w:footnote>
  <w:footnote w:id="26">
    <w:p w14:paraId="31CD173E" w14:textId="0E46D0E0" w:rsidR="005B5781" w:rsidRDefault="005B5781">
      <w:pPr>
        <w:pStyle w:val="FootnoteText"/>
      </w:pPr>
      <w:r w:rsidRPr="00F31C13">
        <w:rPr>
          <w:rStyle w:val="FootnoteReference"/>
          <w:rFonts w:ascii="Times New Roman" w:hAnsi="Times New Roman" w:cs="Times New Roman"/>
          <w:sz w:val="18"/>
          <w:szCs w:val="18"/>
        </w:rPr>
        <w:footnoteRef/>
      </w:r>
      <w:r w:rsidRPr="00F31C13">
        <w:rPr>
          <w:rFonts w:ascii="Times New Roman" w:hAnsi="Times New Roman" w:cs="Times New Roman"/>
          <w:sz w:val="18"/>
          <w:szCs w:val="18"/>
        </w:rPr>
        <w:t xml:space="preserve"> </w:t>
      </w:r>
      <w:proofErr w:type="spellStart"/>
      <w:r w:rsidR="00506B78" w:rsidRPr="00F31C13">
        <w:rPr>
          <w:rFonts w:ascii="Times New Roman" w:hAnsi="Times New Roman" w:cs="Times New Roman"/>
          <w:sz w:val="18"/>
          <w:szCs w:val="18"/>
        </w:rPr>
        <w:t>Hfocus</w:t>
      </w:r>
      <w:proofErr w:type="spellEnd"/>
      <w:r w:rsidR="00506B78" w:rsidRPr="00F31C13">
        <w:rPr>
          <w:rFonts w:ascii="Times New Roman" w:hAnsi="Times New Roman" w:cs="Times New Roman"/>
          <w:sz w:val="18"/>
          <w:szCs w:val="18"/>
        </w:rPr>
        <w:t xml:space="preserve">. “Survey: 27.9% of Thai People Exhibit Discriminatory Attitudes Toward People Living with HIV; Urgent Action Needed to End Stigma.” </w:t>
      </w:r>
      <w:proofErr w:type="spellStart"/>
      <w:r w:rsidR="00506B78" w:rsidRPr="00F31C13">
        <w:rPr>
          <w:rFonts w:ascii="Times New Roman" w:hAnsi="Times New Roman" w:cs="Times New Roman"/>
          <w:i/>
          <w:iCs/>
          <w:sz w:val="18"/>
          <w:szCs w:val="18"/>
        </w:rPr>
        <w:t>Hfocus</w:t>
      </w:r>
      <w:proofErr w:type="spellEnd"/>
      <w:r w:rsidR="00506B78" w:rsidRPr="00F31C13">
        <w:rPr>
          <w:rFonts w:ascii="Times New Roman" w:hAnsi="Times New Roman" w:cs="Times New Roman"/>
          <w:sz w:val="18"/>
          <w:szCs w:val="18"/>
        </w:rPr>
        <w:t xml:space="preserve">, March 2024. Available from: </w:t>
      </w:r>
      <w:hyperlink r:id="rId16" w:tgtFrame="_new" w:history="1">
        <w:r w:rsidR="00506B78" w:rsidRPr="00F31C13">
          <w:rPr>
            <w:rStyle w:val="Hyperlink"/>
            <w:rFonts w:ascii="Times New Roman" w:hAnsi="Times New Roman" w:cs="Times New Roman"/>
            <w:sz w:val="18"/>
            <w:szCs w:val="18"/>
          </w:rPr>
          <w:t>https://www.hfocus.org/content/2024/03/2987</w:t>
        </w:r>
      </w:hyperlink>
      <w:r w:rsidR="00506B78">
        <w:t xml:space="preserve"> </w:t>
      </w:r>
    </w:p>
  </w:footnote>
  <w:footnote w:id="27">
    <w:p w14:paraId="36E19B6E" w14:textId="606D1F12" w:rsidR="00F201FE" w:rsidRPr="00F31C13" w:rsidRDefault="00F201FE">
      <w:pPr>
        <w:pStyle w:val="FootnoteText"/>
        <w:rPr>
          <w:rFonts w:ascii="Times New Roman" w:hAnsi="Times New Roman" w:cs="Times New Roman"/>
          <w:sz w:val="18"/>
          <w:szCs w:val="18"/>
          <w:cs/>
        </w:rPr>
      </w:pPr>
      <w:r w:rsidRPr="00F31C13">
        <w:rPr>
          <w:rStyle w:val="FootnoteReference"/>
          <w:rFonts w:ascii="Times New Roman" w:hAnsi="Times New Roman" w:cs="Times New Roman"/>
          <w:sz w:val="18"/>
          <w:szCs w:val="18"/>
        </w:rPr>
        <w:footnoteRef/>
      </w:r>
      <w:r w:rsidRPr="00F31C13">
        <w:rPr>
          <w:rFonts w:ascii="Times New Roman" w:hAnsi="Times New Roman" w:cs="Times New Roman"/>
          <w:sz w:val="18"/>
          <w:szCs w:val="18"/>
        </w:rPr>
        <w:t xml:space="preserve"> </w:t>
      </w:r>
      <w:r w:rsidR="003E307F" w:rsidRPr="00F31C13">
        <w:rPr>
          <w:rFonts w:ascii="Times New Roman" w:hAnsi="Times New Roman" w:cs="Times New Roman"/>
          <w:sz w:val="18"/>
          <w:szCs w:val="18"/>
        </w:rPr>
        <w:t xml:space="preserve">FAIR. </w:t>
      </w:r>
      <w:r w:rsidR="003E307F" w:rsidRPr="00F31C13">
        <w:rPr>
          <w:rFonts w:ascii="Times New Roman" w:hAnsi="Times New Roman" w:cs="Times New Roman"/>
          <w:i/>
          <w:iCs/>
          <w:sz w:val="18"/>
          <w:szCs w:val="18"/>
        </w:rPr>
        <w:t>Human Rights Violation Database.</w:t>
      </w:r>
      <w:r w:rsidR="003E307F" w:rsidRPr="00F31C13">
        <w:rPr>
          <w:rFonts w:ascii="Times New Roman" w:hAnsi="Times New Roman" w:cs="Times New Roman"/>
          <w:sz w:val="18"/>
          <w:szCs w:val="18"/>
        </w:rPr>
        <w:t xml:space="preserve"> Available from: </w:t>
      </w:r>
      <w:hyperlink r:id="rId17" w:tgtFrame="_new" w:history="1">
        <w:r w:rsidR="003E307F" w:rsidRPr="00F31C13">
          <w:rPr>
            <w:rStyle w:val="Hyperlink"/>
            <w:rFonts w:ascii="Times New Roman" w:hAnsi="Times New Roman" w:cs="Times New Roman"/>
            <w:sz w:val="18"/>
            <w:szCs w:val="18"/>
          </w:rPr>
          <w:t>https://fairthailand.org/infringement.php</w:t>
        </w:r>
      </w:hyperlink>
    </w:p>
  </w:footnote>
  <w:footnote w:id="28">
    <w:p w14:paraId="67D4B26D" w14:textId="0FDE044A" w:rsidR="00882D8D" w:rsidRPr="00F31C13" w:rsidRDefault="00882D8D">
      <w:pPr>
        <w:pStyle w:val="FootnoteText"/>
        <w:rPr>
          <w:rFonts w:ascii="Times New Roman" w:hAnsi="Times New Roman" w:cs="Times New Roman" w:hint="cs"/>
          <w:sz w:val="18"/>
          <w:szCs w:val="18"/>
          <w:cs/>
        </w:rPr>
      </w:pPr>
      <w:r w:rsidRPr="00F31C13">
        <w:rPr>
          <w:rStyle w:val="FootnoteReference"/>
          <w:rFonts w:ascii="Times New Roman" w:hAnsi="Times New Roman" w:cs="Times New Roman"/>
          <w:sz w:val="18"/>
          <w:szCs w:val="18"/>
        </w:rPr>
        <w:footnoteRef/>
      </w:r>
      <w:r w:rsidRPr="00F31C13">
        <w:rPr>
          <w:rFonts w:ascii="Times New Roman" w:hAnsi="Times New Roman" w:cs="Times New Roman"/>
          <w:sz w:val="18"/>
          <w:szCs w:val="18"/>
        </w:rPr>
        <w:t xml:space="preserve"> </w:t>
      </w:r>
      <w:r w:rsidR="008A3C5F" w:rsidRPr="00F31C13">
        <w:rPr>
          <w:rFonts w:ascii="Times New Roman" w:hAnsi="Times New Roman" w:cs="Times New Roman"/>
          <w:sz w:val="18"/>
          <w:szCs w:val="18"/>
        </w:rPr>
        <w:t xml:space="preserve">BBC Thai. “HIV/AIDS: Young People Living with HIV Share Workplace Challenges of 'People with Positive Blood'.” </w:t>
      </w:r>
      <w:r w:rsidR="008A3C5F" w:rsidRPr="00F31C13">
        <w:rPr>
          <w:rFonts w:ascii="Times New Roman" w:hAnsi="Times New Roman" w:cs="Times New Roman"/>
          <w:i/>
          <w:iCs/>
          <w:sz w:val="18"/>
          <w:szCs w:val="18"/>
        </w:rPr>
        <w:t>BBC Thai</w:t>
      </w:r>
      <w:r w:rsidR="008A3C5F" w:rsidRPr="00F31C13">
        <w:rPr>
          <w:rFonts w:ascii="Times New Roman" w:hAnsi="Times New Roman" w:cs="Times New Roman"/>
          <w:sz w:val="18"/>
          <w:szCs w:val="18"/>
        </w:rPr>
        <w:t xml:space="preserve">, December 3, 2020. Available from: </w:t>
      </w:r>
      <w:hyperlink r:id="rId18" w:tgtFrame="_new" w:history="1">
        <w:r w:rsidR="008A3C5F" w:rsidRPr="00F31C13">
          <w:rPr>
            <w:rStyle w:val="Hyperlink"/>
            <w:rFonts w:ascii="Times New Roman" w:hAnsi="Times New Roman" w:cs="Times New Roman"/>
            <w:sz w:val="18"/>
            <w:szCs w:val="18"/>
          </w:rPr>
          <w:t>https://www.bbc.com/thai/thailand-55172053</w:t>
        </w:r>
      </w:hyperlink>
    </w:p>
  </w:footnote>
  <w:footnote w:id="29">
    <w:p w14:paraId="4214FF2D" w14:textId="58CC422F" w:rsidR="00AF0C50" w:rsidRPr="00F31C13" w:rsidRDefault="00AF0C50">
      <w:pPr>
        <w:pStyle w:val="FootnoteText"/>
        <w:rPr>
          <w:rFonts w:ascii="Times New Roman" w:hAnsi="Times New Roman" w:cs="Times New Roman"/>
          <w:sz w:val="18"/>
          <w:szCs w:val="18"/>
          <w:cs/>
        </w:rPr>
      </w:pPr>
      <w:r w:rsidRPr="00F31C13">
        <w:rPr>
          <w:rStyle w:val="FootnoteReference"/>
          <w:rFonts w:ascii="Times New Roman" w:hAnsi="Times New Roman" w:cs="Times New Roman"/>
          <w:sz w:val="18"/>
          <w:szCs w:val="18"/>
        </w:rPr>
        <w:footnoteRef/>
      </w:r>
      <w:r w:rsidRPr="00F31C13">
        <w:rPr>
          <w:rFonts w:ascii="Times New Roman" w:hAnsi="Times New Roman" w:cs="Times New Roman"/>
          <w:sz w:val="18"/>
          <w:szCs w:val="18"/>
        </w:rPr>
        <w:t xml:space="preserve"> </w:t>
      </w:r>
      <w:r w:rsidRPr="00F31C13">
        <w:rPr>
          <w:rFonts w:ascii="Times New Roman" w:hAnsi="Times New Roman" w:cs="Times New Roman"/>
          <w:sz w:val="18"/>
          <w:szCs w:val="18"/>
        </w:rPr>
        <w:t xml:space="preserve">NHRC. </w:t>
      </w:r>
      <w:r w:rsidRPr="00F31C13">
        <w:rPr>
          <w:rFonts w:ascii="Times New Roman" w:hAnsi="Times New Roman" w:cs="Times New Roman"/>
          <w:i/>
          <w:iCs/>
          <w:sz w:val="18"/>
          <w:szCs w:val="18"/>
        </w:rPr>
        <w:t>Research Report on Employment Discrimination Against People Living with HIV.</w:t>
      </w:r>
      <w:r w:rsidRPr="00F31C13">
        <w:rPr>
          <w:rFonts w:ascii="Times New Roman" w:hAnsi="Times New Roman" w:cs="Times New Roman"/>
          <w:sz w:val="18"/>
          <w:szCs w:val="18"/>
        </w:rPr>
        <w:t xml:space="preserve"> Bangkok: NHRC; 2020.</w:t>
      </w:r>
      <w:r w:rsidR="007B5FA7">
        <w:rPr>
          <w:rFonts w:ascii="Times New Roman" w:hAnsi="Times New Roman" w:cs="Times New Roman"/>
          <w:sz w:val="18"/>
          <w:szCs w:val="18"/>
        </w:rPr>
        <w:t xml:space="preserve"> </w:t>
      </w:r>
      <w:r w:rsidRPr="00F31C13">
        <w:rPr>
          <w:rFonts w:ascii="Times New Roman" w:hAnsi="Times New Roman" w:cs="Times New Roman"/>
          <w:sz w:val="18"/>
          <w:szCs w:val="18"/>
        </w:rPr>
        <w:t xml:space="preserve">Available from: </w:t>
      </w:r>
      <w:hyperlink r:id="rId19" w:tgtFrame="_new" w:history="1">
        <w:r w:rsidRPr="00F31C13">
          <w:rPr>
            <w:rStyle w:val="Hyperlink"/>
            <w:rFonts w:ascii="Times New Roman" w:hAnsi="Times New Roman" w:cs="Times New Roman"/>
            <w:sz w:val="18"/>
            <w:szCs w:val="18"/>
          </w:rPr>
          <w:t>https://lms.nhrc.or.th/Document/Fulltext/F08748.pdf</w:t>
        </w:r>
      </w:hyperlink>
    </w:p>
  </w:footnote>
  <w:footnote w:id="30">
    <w:p w14:paraId="3C7F87DB" w14:textId="77777777" w:rsidR="00616A6F" w:rsidRPr="00F31C13" w:rsidRDefault="00616A6F" w:rsidP="00616A6F">
      <w:pPr>
        <w:pStyle w:val="FootnoteText"/>
        <w:rPr>
          <w:rFonts w:ascii="Times New Roman" w:hAnsi="Times New Roman" w:cs="Times New Roman"/>
          <w:sz w:val="18"/>
          <w:szCs w:val="18"/>
        </w:rPr>
      </w:pPr>
      <w:r w:rsidRPr="00F31C13">
        <w:rPr>
          <w:rStyle w:val="FootnoteReference"/>
          <w:rFonts w:ascii="Times New Roman" w:hAnsi="Times New Roman" w:cs="Times New Roman"/>
          <w:sz w:val="18"/>
          <w:szCs w:val="18"/>
        </w:rPr>
        <w:footnoteRef/>
      </w:r>
      <w:r w:rsidRPr="00F31C13">
        <w:rPr>
          <w:rFonts w:ascii="Times New Roman" w:hAnsi="Times New Roman" w:cs="Times New Roman"/>
          <w:sz w:val="18"/>
          <w:szCs w:val="18"/>
        </w:rPr>
        <w:t xml:space="preserve"> </w:t>
      </w:r>
      <w:r w:rsidRPr="00F31C13">
        <w:rPr>
          <w:rFonts w:ascii="Times New Roman" w:hAnsi="Times New Roman" w:cs="Times New Roman"/>
          <w:sz w:val="18"/>
          <w:szCs w:val="18"/>
        </w:rPr>
        <w:t xml:space="preserve">Thai AIDS Journal. “Barriers to Dental Care and Dental Caries Status in People Living with HIV.” </w:t>
      </w:r>
      <w:r w:rsidRPr="00F31C13">
        <w:rPr>
          <w:rFonts w:ascii="Times New Roman" w:hAnsi="Times New Roman" w:cs="Times New Roman"/>
          <w:i/>
          <w:iCs/>
          <w:sz w:val="18"/>
          <w:szCs w:val="18"/>
        </w:rPr>
        <w:t>Thai AIDS Journal</w:t>
      </w:r>
      <w:r w:rsidRPr="00F31C13">
        <w:rPr>
          <w:rFonts w:ascii="Times New Roman" w:hAnsi="Times New Roman" w:cs="Times New Roman"/>
          <w:sz w:val="18"/>
          <w:szCs w:val="18"/>
        </w:rPr>
        <w:t xml:space="preserve">, Vol. 36, No. 1, Jan–Apr 2024. Available from: </w:t>
      </w:r>
      <w:hyperlink r:id="rId20" w:tgtFrame="_new" w:history="1">
        <w:r w:rsidRPr="00F31C13">
          <w:rPr>
            <w:rStyle w:val="Hyperlink"/>
            <w:rFonts w:ascii="Times New Roman" w:hAnsi="Times New Roman" w:cs="Times New Roman"/>
            <w:sz w:val="18"/>
            <w:szCs w:val="18"/>
          </w:rPr>
          <w:t>https://he02.tci-thaijo.org/index.php/ThaiAIDSJournal/article/view/265969/183309</w:t>
        </w:r>
      </w:hyperlink>
    </w:p>
    <w:p w14:paraId="62F4A6C0" w14:textId="038BBCD8" w:rsidR="00616A6F" w:rsidRPr="00F31C13" w:rsidRDefault="00616A6F">
      <w:pPr>
        <w:pStyle w:val="FootnoteText"/>
        <w:rPr>
          <w:rFonts w:cstheme="minorBidi" w:hint="cs"/>
          <w:cs/>
        </w:rPr>
      </w:pPr>
    </w:p>
  </w:footnote>
  <w:footnote w:id="31">
    <w:p w14:paraId="4F1221FD" w14:textId="01678564" w:rsidR="00845A66" w:rsidRPr="00845A66" w:rsidRDefault="003E37C9" w:rsidP="00845A66">
      <w:pPr>
        <w:pStyle w:val="FootnoteText"/>
      </w:pPr>
      <w:r>
        <w:rPr>
          <w:rStyle w:val="FootnoteReference"/>
        </w:rPr>
        <w:footnoteRef/>
      </w:r>
      <w:r>
        <w:t xml:space="preserve"> </w:t>
      </w:r>
      <w:r w:rsidR="00845A66" w:rsidRPr="00F31C13">
        <w:rPr>
          <w:rFonts w:ascii="Times New Roman" w:hAnsi="Times New Roman" w:cs="Times New Roman"/>
          <w:sz w:val="18"/>
          <w:szCs w:val="18"/>
        </w:rPr>
        <w:t xml:space="preserve">NHRC. “NHRC: Private Hospitals Charging Double for Surgery on People Living with HIV Violates Human Rights.” </w:t>
      </w:r>
      <w:proofErr w:type="spellStart"/>
      <w:r w:rsidR="00845A66" w:rsidRPr="00F31C13">
        <w:rPr>
          <w:rFonts w:ascii="Times New Roman" w:hAnsi="Times New Roman" w:cs="Times New Roman"/>
          <w:i/>
          <w:iCs/>
          <w:sz w:val="18"/>
          <w:szCs w:val="18"/>
        </w:rPr>
        <w:t>Hfocus</w:t>
      </w:r>
      <w:proofErr w:type="spellEnd"/>
      <w:r w:rsidR="00845A66" w:rsidRPr="00F31C13">
        <w:rPr>
          <w:rFonts w:ascii="Times New Roman" w:hAnsi="Times New Roman" w:cs="Times New Roman"/>
          <w:sz w:val="18"/>
          <w:szCs w:val="18"/>
        </w:rPr>
        <w:t xml:space="preserve">, March 14, 2025. Available from: </w:t>
      </w:r>
      <w:hyperlink r:id="rId21" w:tgtFrame="_new" w:history="1">
        <w:r w:rsidR="00845A66" w:rsidRPr="00F31C13">
          <w:rPr>
            <w:rStyle w:val="Hyperlink"/>
            <w:rFonts w:ascii="Times New Roman" w:hAnsi="Times New Roman" w:cs="Times New Roman"/>
            <w:sz w:val="18"/>
            <w:szCs w:val="18"/>
          </w:rPr>
          <w:t>https://www.hfocus.org/content/2025/03/33421</w:t>
        </w:r>
      </w:hyperlink>
    </w:p>
    <w:p w14:paraId="15B89704" w14:textId="05AEC506" w:rsidR="003E37C9" w:rsidRDefault="003E37C9">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373A7"/>
    <w:multiLevelType w:val="multilevel"/>
    <w:tmpl w:val="44586892"/>
    <w:lvl w:ilvl="0">
      <w:start w:val="16"/>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620840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5E97"/>
    <w:rsid w:val="000021A4"/>
    <w:rsid w:val="0001005C"/>
    <w:rsid w:val="000F58CF"/>
    <w:rsid w:val="001166AB"/>
    <w:rsid w:val="00205EB6"/>
    <w:rsid w:val="00207A63"/>
    <w:rsid w:val="002D1230"/>
    <w:rsid w:val="002F3658"/>
    <w:rsid w:val="0030405D"/>
    <w:rsid w:val="00305258"/>
    <w:rsid w:val="00337E12"/>
    <w:rsid w:val="00382A7B"/>
    <w:rsid w:val="003B6369"/>
    <w:rsid w:val="003E307F"/>
    <w:rsid w:val="003E37C9"/>
    <w:rsid w:val="00416CA2"/>
    <w:rsid w:val="004420DB"/>
    <w:rsid w:val="00443053"/>
    <w:rsid w:val="00490170"/>
    <w:rsid w:val="004F7BBA"/>
    <w:rsid w:val="00506B78"/>
    <w:rsid w:val="00550FC9"/>
    <w:rsid w:val="00591BB2"/>
    <w:rsid w:val="005A3616"/>
    <w:rsid w:val="005B5781"/>
    <w:rsid w:val="00616A6F"/>
    <w:rsid w:val="00660001"/>
    <w:rsid w:val="00672EF5"/>
    <w:rsid w:val="00691DB6"/>
    <w:rsid w:val="006A2665"/>
    <w:rsid w:val="00721468"/>
    <w:rsid w:val="007306E2"/>
    <w:rsid w:val="00732272"/>
    <w:rsid w:val="0076772A"/>
    <w:rsid w:val="007B5FA7"/>
    <w:rsid w:val="007F2094"/>
    <w:rsid w:val="00845A66"/>
    <w:rsid w:val="008674C2"/>
    <w:rsid w:val="00874F84"/>
    <w:rsid w:val="00882D8D"/>
    <w:rsid w:val="008A3C5F"/>
    <w:rsid w:val="008A5E97"/>
    <w:rsid w:val="008F69C4"/>
    <w:rsid w:val="00931802"/>
    <w:rsid w:val="00957DB3"/>
    <w:rsid w:val="009676FE"/>
    <w:rsid w:val="009721B0"/>
    <w:rsid w:val="00983198"/>
    <w:rsid w:val="00A24E84"/>
    <w:rsid w:val="00A336FE"/>
    <w:rsid w:val="00A52B13"/>
    <w:rsid w:val="00A62C37"/>
    <w:rsid w:val="00A861A1"/>
    <w:rsid w:val="00AE1D2A"/>
    <w:rsid w:val="00AF0C50"/>
    <w:rsid w:val="00B05E6D"/>
    <w:rsid w:val="00B43C88"/>
    <w:rsid w:val="00B64B26"/>
    <w:rsid w:val="00B75E79"/>
    <w:rsid w:val="00B936FB"/>
    <w:rsid w:val="00C46F90"/>
    <w:rsid w:val="00C6403A"/>
    <w:rsid w:val="00CD64F4"/>
    <w:rsid w:val="00D17706"/>
    <w:rsid w:val="00D7037A"/>
    <w:rsid w:val="00D76FF1"/>
    <w:rsid w:val="00D83727"/>
    <w:rsid w:val="00DA47F9"/>
    <w:rsid w:val="00DE1AA5"/>
    <w:rsid w:val="00E126FD"/>
    <w:rsid w:val="00E82C17"/>
    <w:rsid w:val="00EA1EE0"/>
    <w:rsid w:val="00ED5DBA"/>
    <w:rsid w:val="00F0147B"/>
    <w:rsid w:val="00F201FE"/>
    <w:rsid w:val="00F31C13"/>
    <w:rsid w:val="00F81E21"/>
    <w:rsid w:val="00FF1D4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DEBFC"/>
  <w15:docId w15:val="{09BA0CB4-96B3-44D2-8FFF-E7664AD56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3FE"/>
  </w:style>
  <w:style w:type="paragraph" w:styleId="Heading1">
    <w:name w:val="heading 1"/>
    <w:basedOn w:val="Normal"/>
    <w:next w:val="Normal"/>
    <w:link w:val="Heading1Char"/>
    <w:uiPriority w:val="9"/>
    <w:qFormat/>
    <w:rsid w:val="00B6243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6243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6243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6243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6243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624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24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24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24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624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6243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6243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6243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6243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6243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624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24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24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2435"/>
    <w:rPr>
      <w:rFonts w:eastAsiaTheme="majorEastAsia" w:cstheme="majorBidi"/>
      <w:color w:val="272727" w:themeColor="text1" w:themeTint="D8"/>
    </w:rPr>
  </w:style>
  <w:style w:type="character" w:customStyle="1" w:styleId="TitleChar">
    <w:name w:val="Title Char"/>
    <w:basedOn w:val="DefaultParagraphFont"/>
    <w:link w:val="Title"/>
    <w:uiPriority w:val="10"/>
    <w:rsid w:val="00B624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B624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2435"/>
    <w:pPr>
      <w:spacing w:before="160"/>
      <w:jc w:val="center"/>
    </w:pPr>
    <w:rPr>
      <w:i/>
      <w:iCs/>
      <w:color w:val="404040" w:themeColor="text1" w:themeTint="BF"/>
    </w:rPr>
  </w:style>
  <w:style w:type="character" w:customStyle="1" w:styleId="QuoteChar">
    <w:name w:val="Quote Char"/>
    <w:basedOn w:val="DefaultParagraphFont"/>
    <w:link w:val="Quote"/>
    <w:uiPriority w:val="29"/>
    <w:rsid w:val="00B62435"/>
    <w:rPr>
      <w:i/>
      <w:iCs/>
      <w:color w:val="404040" w:themeColor="text1" w:themeTint="BF"/>
    </w:rPr>
  </w:style>
  <w:style w:type="paragraph" w:styleId="ListParagraph">
    <w:name w:val="List Paragraph"/>
    <w:basedOn w:val="Normal"/>
    <w:uiPriority w:val="34"/>
    <w:qFormat/>
    <w:rsid w:val="00B62435"/>
    <w:pPr>
      <w:ind w:left="720"/>
      <w:contextualSpacing/>
    </w:pPr>
  </w:style>
  <w:style w:type="character" w:styleId="IntenseEmphasis">
    <w:name w:val="Intense Emphasis"/>
    <w:basedOn w:val="DefaultParagraphFont"/>
    <w:uiPriority w:val="21"/>
    <w:qFormat/>
    <w:rsid w:val="00B62435"/>
    <w:rPr>
      <w:i/>
      <w:iCs/>
      <w:color w:val="2F5496" w:themeColor="accent1" w:themeShade="BF"/>
    </w:rPr>
  </w:style>
  <w:style w:type="paragraph" w:styleId="IntenseQuote">
    <w:name w:val="Intense Quote"/>
    <w:basedOn w:val="Normal"/>
    <w:next w:val="Normal"/>
    <w:link w:val="IntenseQuoteChar"/>
    <w:uiPriority w:val="30"/>
    <w:qFormat/>
    <w:rsid w:val="00B624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62435"/>
    <w:rPr>
      <w:i/>
      <w:iCs/>
      <w:color w:val="2F5496" w:themeColor="accent1" w:themeShade="BF"/>
    </w:rPr>
  </w:style>
  <w:style w:type="character" w:styleId="IntenseReference">
    <w:name w:val="Intense Reference"/>
    <w:basedOn w:val="DefaultParagraphFont"/>
    <w:uiPriority w:val="32"/>
    <w:qFormat/>
    <w:rsid w:val="00B62435"/>
    <w:rPr>
      <w:b/>
      <w:bCs/>
      <w:smallCaps/>
      <w:color w:val="2F5496" w:themeColor="accent1" w:themeShade="BF"/>
      <w:spacing w:val="5"/>
    </w:rPr>
  </w:style>
  <w:style w:type="paragraph" w:styleId="FootnoteText">
    <w:name w:val="footnote text"/>
    <w:basedOn w:val="Normal"/>
    <w:link w:val="FootnoteTextChar"/>
    <w:uiPriority w:val="99"/>
    <w:semiHidden/>
    <w:unhideWhenUsed/>
    <w:rsid w:val="00E119D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119DF"/>
    <w:rPr>
      <w:sz w:val="20"/>
      <w:szCs w:val="20"/>
    </w:rPr>
  </w:style>
  <w:style w:type="character" w:styleId="FootnoteReference">
    <w:name w:val="footnote reference"/>
    <w:basedOn w:val="DefaultParagraphFont"/>
    <w:uiPriority w:val="99"/>
    <w:semiHidden/>
    <w:unhideWhenUsed/>
    <w:rsid w:val="00E119DF"/>
    <w:rPr>
      <w:vertAlign w:val="superscript"/>
    </w:rPr>
  </w:style>
  <w:style w:type="character" w:styleId="Hyperlink">
    <w:name w:val="Hyperlink"/>
    <w:basedOn w:val="DefaultParagraphFont"/>
    <w:uiPriority w:val="99"/>
    <w:unhideWhenUsed/>
    <w:rsid w:val="00E119DF"/>
    <w:rPr>
      <w:color w:val="0563C1" w:themeColor="hyperlink"/>
      <w:u w:val="single"/>
    </w:rPr>
  </w:style>
  <w:style w:type="character" w:styleId="UnresolvedMention">
    <w:name w:val="Unresolved Mention"/>
    <w:basedOn w:val="DefaultParagraphFont"/>
    <w:uiPriority w:val="99"/>
    <w:semiHidden/>
    <w:unhideWhenUsed/>
    <w:rsid w:val="00E119DF"/>
    <w:rPr>
      <w:color w:val="605E5C"/>
      <w:shd w:val="clear" w:color="auto" w:fill="E1DFDD"/>
    </w:rPr>
  </w:style>
  <w:style w:type="paragraph" w:styleId="CommentText">
    <w:name w:val="annotation text"/>
    <w:basedOn w:val="Normal"/>
    <w:link w:val="CommentTextChar"/>
    <w:uiPriority w:val="99"/>
    <w:semiHidden/>
    <w:unhideWhenUsed/>
    <w:pPr>
      <w:spacing w:line="240" w:lineRule="auto"/>
    </w:pPr>
    <w:rPr>
      <w:rFonts w:cs="Angsana New"/>
      <w:sz w:val="20"/>
      <w:szCs w:val="25"/>
    </w:rPr>
  </w:style>
  <w:style w:type="character" w:customStyle="1" w:styleId="CommentTextChar">
    <w:name w:val="Comment Text Char"/>
    <w:basedOn w:val="DefaultParagraphFont"/>
    <w:link w:val="CommentText"/>
    <w:uiPriority w:val="99"/>
    <w:semiHidden/>
    <w:rPr>
      <w:rFonts w:cs="Angsana New"/>
      <w:sz w:val="20"/>
      <w:szCs w:val="25"/>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4420DB"/>
    <w:pPr>
      <w:spacing w:after="0" w:line="240" w:lineRule="auto"/>
    </w:pPr>
    <w:rPr>
      <w:rFonts w:cs="Angsana New"/>
      <w:szCs w:val="28"/>
    </w:rPr>
  </w:style>
  <w:style w:type="character" w:styleId="FollowedHyperlink">
    <w:name w:val="FollowedHyperlink"/>
    <w:basedOn w:val="DefaultParagraphFont"/>
    <w:uiPriority w:val="99"/>
    <w:semiHidden/>
    <w:unhideWhenUsed/>
    <w:rsid w:val="00490170"/>
    <w:rPr>
      <w:color w:val="954F72" w:themeColor="followedHyperlink"/>
      <w:u w:val="single"/>
    </w:rPr>
  </w:style>
  <w:style w:type="paragraph" w:styleId="NormalWeb">
    <w:name w:val="Normal (Web)"/>
    <w:basedOn w:val="Normal"/>
    <w:uiPriority w:val="99"/>
    <w:semiHidden/>
    <w:unhideWhenUsed/>
    <w:rsid w:val="00EA1EE0"/>
    <w:rPr>
      <w:rFonts w:ascii="Times New Roman" w:hAnsi="Times New Roman" w:cs="Angsana New"/>
      <w:sz w:val="24"/>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6504">
      <w:bodyDiv w:val="1"/>
      <w:marLeft w:val="0"/>
      <w:marRight w:val="0"/>
      <w:marTop w:val="0"/>
      <w:marBottom w:val="0"/>
      <w:divBdr>
        <w:top w:val="none" w:sz="0" w:space="0" w:color="auto"/>
        <w:left w:val="none" w:sz="0" w:space="0" w:color="auto"/>
        <w:bottom w:val="none" w:sz="0" w:space="0" w:color="auto"/>
        <w:right w:val="none" w:sz="0" w:space="0" w:color="auto"/>
      </w:divBdr>
    </w:div>
    <w:div w:id="300115491">
      <w:bodyDiv w:val="1"/>
      <w:marLeft w:val="0"/>
      <w:marRight w:val="0"/>
      <w:marTop w:val="0"/>
      <w:marBottom w:val="0"/>
      <w:divBdr>
        <w:top w:val="none" w:sz="0" w:space="0" w:color="auto"/>
        <w:left w:val="none" w:sz="0" w:space="0" w:color="auto"/>
        <w:bottom w:val="none" w:sz="0" w:space="0" w:color="auto"/>
        <w:right w:val="none" w:sz="0" w:space="0" w:color="auto"/>
      </w:divBdr>
    </w:div>
    <w:div w:id="320547268">
      <w:bodyDiv w:val="1"/>
      <w:marLeft w:val="0"/>
      <w:marRight w:val="0"/>
      <w:marTop w:val="0"/>
      <w:marBottom w:val="0"/>
      <w:divBdr>
        <w:top w:val="none" w:sz="0" w:space="0" w:color="auto"/>
        <w:left w:val="none" w:sz="0" w:space="0" w:color="auto"/>
        <w:bottom w:val="none" w:sz="0" w:space="0" w:color="auto"/>
        <w:right w:val="none" w:sz="0" w:space="0" w:color="auto"/>
      </w:divBdr>
    </w:div>
    <w:div w:id="390428058">
      <w:bodyDiv w:val="1"/>
      <w:marLeft w:val="0"/>
      <w:marRight w:val="0"/>
      <w:marTop w:val="0"/>
      <w:marBottom w:val="0"/>
      <w:divBdr>
        <w:top w:val="none" w:sz="0" w:space="0" w:color="auto"/>
        <w:left w:val="none" w:sz="0" w:space="0" w:color="auto"/>
        <w:bottom w:val="none" w:sz="0" w:space="0" w:color="auto"/>
        <w:right w:val="none" w:sz="0" w:space="0" w:color="auto"/>
      </w:divBdr>
    </w:div>
    <w:div w:id="446702814">
      <w:bodyDiv w:val="1"/>
      <w:marLeft w:val="0"/>
      <w:marRight w:val="0"/>
      <w:marTop w:val="0"/>
      <w:marBottom w:val="0"/>
      <w:divBdr>
        <w:top w:val="none" w:sz="0" w:space="0" w:color="auto"/>
        <w:left w:val="none" w:sz="0" w:space="0" w:color="auto"/>
        <w:bottom w:val="none" w:sz="0" w:space="0" w:color="auto"/>
        <w:right w:val="none" w:sz="0" w:space="0" w:color="auto"/>
      </w:divBdr>
    </w:div>
    <w:div w:id="596141087">
      <w:bodyDiv w:val="1"/>
      <w:marLeft w:val="0"/>
      <w:marRight w:val="0"/>
      <w:marTop w:val="0"/>
      <w:marBottom w:val="0"/>
      <w:divBdr>
        <w:top w:val="none" w:sz="0" w:space="0" w:color="auto"/>
        <w:left w:val="none" w:sz="0" w:space="0" w:color="auto"/>
        <w:bottom w:val="none" w:sz="0" w:space="0" w:color="auto"/>
        <w:right w:val="none" w:sz="0" w:space="0" w:color="auto"/>
      </w:divBdr>
      <w:divsChild>
        <w:div w:id="1043559817">
          <w:marLeft w:val="0"/>
          <w:marRight w:val="0"/>
          <w:marTop w:val="0"/>
          <w:marBottom w:val="0"/>
          <w:divBdr>
            <w:top w:val="none" w:sz="0" w:space="0" w:color="auto"/>
            <w:left w:val="none" w:sz="0" w:space="0" w:color="auto"/>
            <w:bottom w:val="none" w:sz="0" w:space="0" w:color="auto"/>
            <w:right w:val="none" w:sz="0" w:space="0" w:color="auto"/>
          </w:divBdr>
          <w:divsChild>
            <w:div w:id="15275715">
              <w:marLeft w:val="0"/>
              <w:marRight w:val="0"/>
              <w:marTop w:val="0"/>
              <w:marBottom w:val="0"/>
              <w:divBdr>
                <w:top w:val="none" w:sz="0" w:space="0" w:color="auto"/>
                <w:left w:val="none" w:sz="0" w:space="0" w:color="auto"/>
                <w:bottom w:val="none" w:sz="0" w:space="0" w:color="auto"/>
                <w:right w:val="none" w:sz="0" w:space="0" w:color="auto"/>
              </w:divBdr>
              <w:divsChild>
                <w:div w:id="2128546253">
                  <w:marLeft w:val="0"/>
                  <w:marRight w:val="0"/>
                  <w:marTop w:val="0"/>
                  <w:marBottom w:val="0"/>
                  <w:divBdr>
                    <w:top w:val="none" w:sz="0" w:space="0" w:color="auto"/>
                    <w:left w:val="none" w:sz="0" w:space="0" w:color="auto"/>
                    <w:bottom w:val="none" w:sz="0" w:space="0" w:color="auto"/>
                    <w:right w:val="none" w:sz="0" w:space="0" w:color="auto"/>
                  </w:divBdr>
                  <w:divsChild>
                    <w:div w:id="1803424262">
                      <w:marLeft w:val="0"/>
                      <w:marRight w:val="0"/>
                      <w:marTop w:val="0"/>
                      <w:marBottom w:val="0"/>
                      <w:divBdr>
                        <w:top w:val="none" w:sz="0" w:space="0" w:color="auto"/>
                        <w:left w:val="none" w:sz="0" w:space="0" w:color="auto"/>
                        <w:bottom w:val="none" w:sz="0" w:space="0" w:color="auto"/>
                        <w:right w:val="none" w:sz="0" w:space="0" w:color="auto"/>
                      </w:divBdr>
                      <w:divsChild>
                        <w:div w:id="1239096725">
                          <w:marLeft w:val="0"/>
                          <w:marRight w:val="0"/>
                          <w:marTop w:val="0"/>
                          <w:marBottom w:val="0"/>
                          <w:divBdr>
                            <w:top w:val="none" w:sz="0" w:space="0" w:color="auto"/>
                            <w:left w:val="none" w:sz="0" w:space="0" w:color="auto"/>
                            <w:bottom w:val="none" w:sz="0" w:space="0" w:color="auto"/>
                            <w:right w:val="none" w:sz="0" w:space="0" w:color="auto"/>
                          </w:divBdr>
                          <w:divsChild>
                            <w:div w:id="238103100">
                              <w:marLeft w:val="0"/>
                              <w:marRight w:val="0"/>
                              <w:marTop w:val="0"/>
                              <w:marBottom w:val="0"/>
                              <w:divBdr>
                                <w:top w:val="none" w:sz="0" w:space="0" w:color="auto"/>
                                <w:left w:val="none" w:sz="0" w:space="0" w:color="auto"/>
                                <w:bottom w:val="none" w:sz="0" w:space="0" w:color="auto"/>
                                <w:right w:val="none" w:sz="0" w:space="0" w:color="auto"/>
                              </w:divBdr>
                              <w:divsChild>
                                <w:div w:id="1136945420">
                                  <w:marLeft w:val="0"/>
                                  <w:marRight w:val="0"/>
                                  <w:marTop w:val="0"/>
                                  <w:marBottom w:val="0"/>
                                  <w:divBdr>
                                    <w:top w:val="none" w:sz="0" w:space="0" w:color="auto"/>
                                    <w:left w:val="none" w:sz="0" w:space="0" w:color="auto"/>
                                    <w:bottom w:val="none" w:sz="0" w:space="0" w:color="auto"/>
                                    <w:right w:val="none" w:sz="0" w:space="0" w:color="auto"/>
                                  </w:divBdr>
                                  <w:divsChild>
                                    <w:div w:id="9116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921328">
                          <w:marLeft w:val="0"/>
                          <w:marRight w:val="0"/>
                          <w:marTop w:val="0"/>
                          <w:marBottom w:val="0"/>
                          <w:divBdr>
                            <w:top w:val="none" w:sz="0" w:space="0" w:color="auto"/>
                            <w:left w:val="none" w:sz="0" w:space="0" w:color="auto"/>
                            <w:bottom w:val="none" w:sz="0" w:space="0" w:color="auto"/>
                            <w:right w:val="none" w:sz="0" w:space="0" w:color="auto"/>
                          </w:divBdr>
                          <w:divsChild>
                            <w:div w:id="1584411560">
                              <w:marLeft w:val="0"/>
                              <w:marRight w:val="0"/>
                              <w:marTop w:val="0"/>
                              <w:marBottom w:val="0"/>
                              <w:divBdr>
                                <w:top w:val="none" w:sz="0" w:space="0" w:color="auto"/>
                                <w:left w:val="none" w:sz="0" w:space="0" w:color="auto"/>
                                <w:bottom w:val="none" w:sz="0" w:space="0" w:color="auto"/>
                                <w:right w:val="none" w:sz="0" w:space="0" w:color="auto"/>
                              </w:divBdr>
                              <w:divsChild>
                                <w:div w:id="199316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3336800">
      <w:bodyDiv w:val="1"/>
      <w:marLeft w:val="0"/>
      <w:marRight w:val="0"/>
      <w:marTop w:val="0"/>
      <w:marBottom w:val="0"/>
      <w:divBdr>
        <w:top w:val="none" w:sz="0" w:space="0" w:color="auto"/>
        <w:left w:val="none" w:sz="0" w:space="0" w:color="auto"/>
        <w:bottom w:val="none" w:sz="0" w:space="0" w:color="auto"/>
        <w:right w:val="none" w:sz="0" w:space="0" w:color="auto"/>
      </w:divBdr>
    </w:div>
    <w:div w:id="846015315">
      <w:bodyDiv w:val="1"/>
      <w:marLeft w:val="0"/>
      <w:marRight w:val="0"/>
      <w:marTop w:val="0"/>
      <w:marBottom w:val="0"/>
      <w:divBdr>
        <w:top w:val="none" w:sz="0" w:space="0" w:color="auto"/>
        <w:left w:val="none" w:sz="0" w:space="0" w:color="auto"/>
        <w:bottom w:val="none" w:sz="0" w:space="0" w:color="auto"/>
        <w:right w:val="none" w:sz="0" w:space="0" w:color="auto"/>
      </w:divBdr>
    </w:div>
    <w:div w:id="976570088">
      <w:bodyDiv w:val="1"/>
      <w:marLeft w:val="0"/>
      <w:marRight w:val="0"/>
      <w:marTop w:val="0"/>
      <w:marBottom w:val="0"/>
      <w:divBdr>
        <w:top w:val="none" w:sz="0" w:space="0" w:color="auto"/>
        <w:left w:val="none" w:sz="0" w:space="0" w:color="auto"/>
        <w:bottom w:val="none" w:sz="0" w:space="0" w:color="auto"/>
        <w:right w:val="none" w:sz="0" w:space="0" w:color="auto"/>
      </w:divBdr>
    </w:div>
    <w:div w:id="1050349794">
      <w:bodyDiv w:val="1"/>
      <w:marLeft w:val="0"/>
      <w:marRight w:val="0"/>
      <w:marTop w:val="0"/>
      <w:marBottom w:val="0"/>
      <w:divBdr>
        <w:top w:val="none" w:sz="0" w:space="0" w:color="auto"/>
        <w:left w:val="none" w:sz="0" w:space="0" w:color="auto"/>
        <w:bottom w:val="none" w:sz="0" w:space="0" w:color="auto"/>
        <w:right w:val="none" w:sz="0" w:space="0" w:color="auto"/>
      </w:divBdr>
    </w:div>
    <w:div w:id="1245988229">
      <w:bodyDiv w:val="1"/>
      <w:marLeft w:val="0"/>
      <w:marRight w:val="0"/>
      <w:marTop w:val="0"/>
      <w:marBottom w:val="0"/>
      <w:divBdr>
        <w:top w:val="none" w:sz="0" w:space="0" w:color="auto"/>
        <w:left w:val="none" w:sz="0" w:space="0" w:color="auto"/>
        <w:bottom w:val="none" w:sz="0" w:space="0" w:color="auto"/>
        <w:right w:val="none" w:sz="0" w:space="0" w:color="auto"/>
      </w:divBdr>
    </w:div>
    <w:div w:id="1267345571">
      <w:bodyDiv w:val="1"/>
      <w:marLeft w:val="0"/>
      <w:marRight w:val="0"/>
      <w:marTop w:val="0"/>
      <w:marBottom w:val="0"/>
      <w:divBdr>
        <w:top w:val="none" w:sz="0" w:space="0" w:color="auto"/>
        <w:left w:val="none" w:sz="0" w:space="0" w:color="auto"/>
        <w:bottom w:val="none" w:sz="0" w:space="0" w:color="auto"/>
        <w:right w:val="none" w:sz="0" w:space="0" w:color="auto"/>
      </w:divBdr>
    </w:div>
    <w:div w:id="1341665238">
      <w:bodyDiv w:val="1"/>
      <w:marLeft w:val="0"/>
      <w:marRight w:val="0"/>
      <w:marTop w:val="0"/>
      <w:marBottom w:val="0"/>
      <w:divBdr>
        <w:top w:val="none" w:sz="0" w:space="0" w:color="auto"/>
        <w:left w:val="none" w:sz="0" w:space="0" w:color="auto"/>
        <w:bottom w:val="none" w:sz="0" w:space="0" w:color="auto"/>
        <w:right w:val="none" w:sz="0" w:space="0" w:color="auto"/>
      </w:divBdr>
    </w:div>
    <w:div w:id="1430538339">
      <w:bodyDiv w:val="1"/>
      <w:marLeft w:val="0"/>
      <w:marRight w:val="0"/>
      <w:marTop w:val="0"/>
      <w:marBottom w:val="0"/>
      <w:divBdr>
        <w:top w:val="none" w:sz="0" w:space="0" w:color="auto"/>
        <w:left w:val="none" w:sz="0" w:space="0" w:color="auto"/>
        <w:bottom w:val="none" w:sz="0" w:space="0" w:color="auto"/>
        <w:right w:val="none" w:sz="0" w:space="0" w:color="auto"/>
      </w:divBdr>
    </w:div>
    <w:div w:id="1454716611">
      <w:bodyDiv w:val="1"/>
      <w:marLeft w:val="0"/>
      <w:marRight w:val="0"/>
      <w:marTop w:val="0"/>
      <w:marBottom w:val="0"/>
      <w:divBdr>
        <w:top w:val="none" w:sz="0" w:space="0" w:color="auto"/>
        <w:left w:val="none" w:sz="0" w:space="0" w:color="auto"/>
        <w:bottom w:val="none" w:sz="0" w:space="0" w:color="auto"/>
        <w:right w:val="none" w:sz="0" w:space="0" w:color="auto"/>
      </w:divBdr>
    </w:div>
    <w:div w:id="1537699870">
      <w:bodyDiv w:val="1"/>
      <w:marLeft w:val="0"/>
      <w:marRight w:val="0"/>
      <w:marTop w:val="0"/>
      <w:marBottom w:val="0"/>
      <w:divBdr>
        <w:top w:val="none" w:sz="0" w:space="0" w:color="auto"/>
        <w:left w:val="none" w:sz="0" w:space="0" w:color="auto"/>
        <w:bottom w:val="none" w:sz="0" w:space="0" w:color="auto"/>
        <w:right w:val="none" w:sz="0" w:space="0" w:color="auto"/>
      </w:divBdr>
      <w:divsChild>
        <w:div w:id="1709063381">
          <w:marLeft w:val="0"/>
          <w:marRight w:val="0"/>
          <w:marTop w:val="0"/>
          <w:marBottom w:val="0"/>
          <w:divBdr>
            <w:top w:val="none" w:sz="0" w:space="0" w:color="auto"/>
            <w:left w:val="none" w:sz="0" w:space="0" w:color="auto"/>
            <w:bottom w:val="none" w:sz="0" w:space="0" w:color="auto"/>
            <w:right w:val="none" w:sz="0" w:space="0" w:color="auto"/>
          </w:divBdr>
          <w:divsChild>
            <w:div w:id="1218736238">
              <w:marLeft w:val="0"/>
              <w:marRight w:val="0"/>
              <w:marTop w:val="0"/>
              <w:marBottom w:val="0"/>
              <w:divBdr>
                <w:top w:val="none" w:sz="0" w:space="0" w:color="auto"/>
                <w:left w:val="none" w:sz="0" w:space="0" w:color="auto"/>
                <w:bottom w:val="none" w:sz="0" w:space="0" w:color="auto"/>
                <w:right w:val="none" w:sz="0" w:space="0" w:color="auto"/>
              </w:divBdr>
              <w:divsChild>
                <w:div w:id="22169887">
                  <w:marLeft w:val="0"/>
                  <w:marRight w:val="0"/>
                  <w:marTop w:val="0"/>
                  <w:marBottom w:val="0"/>
                  <w:divBdr>
                    <w:top w:val="none" w:sz="0" w:space="0" w:color="auto"/>
                    <w:left w:val="none" w:sz="0" w:space="0" w:color="auto"/>
                    <w:bottom w:val="none" w:sz="0" w:space="0" w:color="auto"/>
                    <w:right w:val="none" w:sz="0" w:space="0" w:color="auto"/>
                  </w:divBdr>
                  <w:divsChild>
                    <w:div w:id="1629159948">
                      <w:marLeft w:val="0"/>
                      <w:marRight w:val="0"/>
                      <w:marTop w:val="0"/>
                      <w:marBottom w:val="0"/>
                      <w:divBdr>
                        <w:top w:val="none" w:sz="0" w:space="0" w:color="auto"/>
                        <w:left w:val="none" w:sz="0" w:space="0" w:color="auto"/>
                        <w:bottom w:val="none" w:sz="0" w:space="0" w:color="auto"/>
                        <w:right w:val="none" w:sz="0" w:space="0" w:color="auto"/>
                      </w:divBdr>
                      <w:divsChild>
                        <w:div w:id="1098524894">
                          <w:marLeft w:val="0"/>
                          <w:marRight w:val="0"/>
                          <w:marTop w:val="0"/>
                          <w:marBottom w:val="0"/>
                          <w:divBdr>
                            <w:top w:val="none" w:sz="0" w:space="0" w:color="auto"/>
                            <w:left w:val="none" w:sz="0" w:space="0" w:color="auto"/>
                            <w:bottom w:val="none" w:sz="0" w:space="0" w:color="auto"/>
                            <w:right w:val="none" w:sz="0" w:space="0" w:color="auto"/>
                          </w:divBdr>
                          <w:divsChild>
                            <w:div w:id="834222426">
                              <w:marLeft w:val="0"/>
                              <w:marRight w:val="0"/>
                              <w:marTop w:val="0"/>
                              <w:marBottom w:val="0"/>
                              <w:divBdr>
                                <w:top w:val="none" w:sz="0" w:space="0" w:color="auto"/>
                                <w:left w:val="none" w:sz="0" w:space="0" w:color="auto"/>
                                <w:bottom w:val="none" w:sz="0" w:space="0" w:color="auto"/>
                                <w:right w:val="none" w:sz="0" w:space="0" w:color="auto"/>
                              </w:divBdr>
                              <w:divsChild>
                                <w:div w:id="1466582255">
                                  <w:marLeft w:val="0"/>
                                  <w:marRight w:val="0"/>
                                  <w:marTop w:val="0"/>
                                  <w:marBottom w:val="0"/>
                                  <w:divBdr>
                                    <w:top w:val="none" w:sz="0" w:space="0" w:color="auto"/>
                                    <w:left w:val="none" w:sz="0" w:space="0" w:color="auto"/>
                                    <w:bottom w:val="none" w:sz="0" w:space="0" w:color="auto"/>
                                    <w:right w:val="none" w:sz="0" w:space="0" w:color="auto"/>
                                  </w:divBdr>
                                  <w:divsChild>
                                    <w:div w:id="10650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152376">
                          <w:marLeft w:val="0"/>
                          <w:marRight w:val="0"/>
                          <w:marTop w:val="0"/>
                          <w:marBottom w:val="0"/>
                          <w:divBdr>
                            <w:top w:val="none" w:sz="0" w:space="0" w:color="auto"/>
                            <w:left w:val="none" w:sz="0" w:space="0" w:color="auto"/>
                            <w:bottom w:val="none" w:sz="0" w:space="0" w:color="auto"/>
                            <w:right w:val="none" w:sz="0" w:space="0" w:color="auto"/>
                          </w:divBdr>
                          <w:divsChild>
                            <w:div w:id="1413896936">
                              <w:marLeft w:val="0"/>
                              <w:marRight w:val="0"/>
                              <w:marTop w:val="0"/>
                              <w:marBottom w:val="0"/>
                              <w:divBdr>
                                <w:top w:val="none" w:sz="0" w:space="0" w:color="auto"/>
                                <w:left w:val="none" w:sz="0" w:space="0" w:color="auto"/>
                                <w:bottom w:val="none" w:sz="0" w:space="0" w:color="auto"/>
                                <w:right w:val="none" w:sz="0" w:space="0" w:color="auto"/>
                              </w:divBdr>
                              <w:divsChild>
                                <w:div w:id="1924680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565143">
      <w:bodyDiv w:val="1"/>
      <w:marLeft w:val="0"/>
      <w:marRight w:val="0"/>
      <w:marTop w:val="0"/>
      <w:marBottom w:val="0"/>
      <w:divBdr>
        <w:top w:val="none" w:sz="0" w:space="0" w:color="auto"/>
        <w:left w:val="none" w:sz="0" w:space="0" w:color="auto"/>
        <w:bottom w:val="none" w:sz="0" w:space="0" w:color="auto"/>
        <w:right w:val="none" w:sz="0" w:space="0" w:color="auto"/>
      </w:divBdr>
      <w:divsChild>
        <w:div w:id="955602842">
          <w:marLeft w:val="0"/>
          <w:marRight w:val="0"/>
          <w:marTop w:val="0"/>
          <w:marBottom w:val="0"/>
          <w:divBdr>
            <w:top w:val="none" w:sz="0" w:space="0" w:color="auto"/>
            <w:left w:val="none" w:sz="0" w:space="0" w:color="auto"/>
            <w:bottom w:val="none" w:sz="0" w:space="0" w:color="auto"/>
            <w:right w:val="none" w:sz="0" w:space="0" w:color="auto"/>
          </w:divBdr>
          <w:divsChild>
            <w:div w:id="222527485">
              <w:marLeft w:val="0"/>
              <w:marRight w:val="0"/>
              <w:marTop w:val="0"/>
              <w:marBottom w:val="0"/>
              <w:divBdr>
                <w:top w:val="none" w:sz="0" w:space="0" w:color="auto"/>
                <w:left w:val="none" w:sz="0" w:space="0" w:color="auto"/>
                <w:bottom w:val="none" w:sz="0" w:space="0" w:color="auto"/>
                <w:right w:val="none" w:sz="0" w:space="0" w:color="auto"/>
              </w:divBdr>
              <w:divsChild>
                <w:div w:id="1951815032">
                  <w:marLeft w:val="0"/>
                  <w:marRight w:val="0"/>
                  <w:marTop w:val="0"/>
                  <w:marBottom w:val="0"/>
                  <w:divBdr>
                    <w:top w:val="none" w:sz="0" w:space="0" w:color="auto"/>
                    <w:left w:val="none" w:sz="0" w:space="0" w:color="auto"/>
                    <w:bottom w:val="none" w:sz="0" w:space="0" w:color="auto"/>
                    <w:right w:val="none" w:sz="0" w:space="0" w:color="auto"/>
                  </w:divBdr>
                  <w:divsChild>
                    <w:div w:id="317617950">
                      <w:marLeft w:val="0"/>
                      <w:marRight w:val="0"/>
                      <w:marTop w:val="0"/>
                      <w:marBottom w:val="0"/>
                      <w:divBdr>
                        <w:top w:val="none" w:sz="0" w:space="0" w:color="auto"/>
                        <w:left w:val="none" w:sz="0" w:space="0" w:color="auto"/>
                        <w:bottom w:val="none" w:sz="0" w:space="0" w:color="auto"/>
                        <w:right w:val="none" w:sz="0" w:space="0" w:color="auto"/>
                      </w:divBdr>
                      <w:divsChild>
                        <w:div w:id="734931049">
                          <w:marLeft w:val="0"/>
                          <w:marRight w:val="0"/>
                          <w:marTop w:val="0"/>
                          <w:marBottom w:val="0"/>
                          <w:divBdr>
                            <w:top w:val="none" w:sz="0" w:space="0" w:color="auto"/>
                            <w:left w:val="none" w:sz="0" w:space="0" w:color="auto"/>
                            <w:bottom w:val="none" w:sz="0" w:space="0" w:color="auto"/>
                            <w:right w:val="none" w:sz="0" w:space="0" w:color="auto"/>
                          </w:divBdr>
                          <w:divsChild>
                            <w:div w:id="1182470963">
                              <w:marLeft w:val="0"/>
                              <w:marRight w:val="0"/>
                              <w:marTop w:val="0"/>
                              <w:marBottom w:val="0"/>
                              <w:divBdr>
                                <w:top w:val="none" w:sz="0" w:space="0" w:color="auto"/>
                                <w:left w:val="none" w:sz="0" w:space="0" w:color="auto"/>
                                <w:bottom w:val="none" w:sz="0" w:space="0" w:color="auto"/>
                                <w:right w:val="none" w:sz="0" w:space="0" w:color="auto"/>
                              </w:divBdr>
                              <w:divsChild>
                                <w:div w:id="958998262">
                                  <w:marLeft w:val="0"/>
                                  <w:marRight w:val="0"/>
                                  <w:marTop w:val="0"/>
                                  <w:marBottom w:val="0"/>
                                  <w:divBdr>
                                    <w:top w:val="none" w:sz="0" w:space="0" w:color="auto"/>
                                    <w:left w:val="none" w:sz="0" w:space="0" w:color="auto"/>
                                    <w:bottom w:val="none" w:sz="0" w:space="0" w:color="auto"/>
                                    <w:right w:val="none" w:sz="0" w:space="0" w:color="auto"/>
                                  </w:divBdr>
                                  <w:divsChild>
                                    <w:div w:id="12327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428203">
                          <w:marLeft w:val="0"/>
                          <w:marRight w:val="0"/>
                          <w:marTop w:val="0"/>
                          <w:marBottom w:val="0"/>
                          <w:divBdr>
                            <w:top w:val="none" w:sz="0" w:space="0" w:color="auto"/>
                            <w:left w:val="none" w:sz="0" w:space="0" w:color="auto"/>
                            <w:bottom w:val="none" w:sz="0" w:space="0" w:color="auto"/>
                            <w:right w:val="none" w:sz="0" w:space="0" w:color="auto"/>
                          </w:divBdr>
                          <w:divsChild>
                            <w:div w:id="864707506">
                              <w:marLeft w:val="0"/>
                              <w:marRight w:val="0"/>
                              <w:marTop w:val="0"/>
                              <w:marBottom w:val="0"/>
                              <w:divBdr>
                                <w:top w:val="none" w:sz="0" w:space="0" w:color="auto"/>
                                <w:left w:val="none" w:sz="0" w:space="0" w:color="auto"/>
                                <w:bottom w:val="none" w:sz="0" w:space="0" w:color="auto"/>
                                <w:right w:val="none" w:sz="0" w:space="0" w:color="auto"/>
                              </w:divBdr>
                              <w:divsChild>
                                <w:div w:id="137681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0067764">
      <w:bodyDiv w:val="1"/>
      <w:marLeft w:val="0"/>
      <w:marRight w:val="0"/>
      <w:marTop w:val="0"/>
      <w:marBottom w:val="0"/>
      <w:divBdr>
        <w:top w:val="none" w:sz="0" w:space="0" w:color="auto"/>
        <w:left w:val="none" w:sz="0" w:space="0" w:color="auto"/>
        <w:bottom w:val="none" w:sz="0" w:space="0" w:color="auto"/>
        <w:right w:val="none" w:sz="0" w:space="0" w:color="auto"/>
      </w:divBdr>
    </w:div>
    <w:div w:id="1746031089">
      <w:bodyDiv w:val="1"/>
      <w:marLeft w:val="0"/>
      <w:marRight w:val="0"/>
      <w:marTop w:val="0"/>
      <w:marBottom w:val="0"/>
      <w:divBdr>
        <w:top w:val="none" w:sz="0" w:space="0" w:color="auto"/>
        <w:left w:val="none" w:sz="0" w:space="0" w:color="auto"/>
        <w:bottom w:val="none" w:sz="0" w:space="0" w:color="auto"/>
        <w:right w:val="none" w:sz="0" w:space="0" w:color="auto"/>
      </w:divBdr>
    </w:div>
    <w:div w:id="1769042988">
      <w:bodyDiv w:val="1"/>
      <w:marLeft w:val="0"/>
      <w:marRight w:val="0"/>
      <w:marTop w:val="0"/>
      <w:marBottom w:val="0"/>
      <w:divBdr>
        <w:top w:val="none" w:sz="0" w:space="0" w:color="auto"/>
        <w:left w:val="none" w:sz="0" w:space="0" w:color="auto"/>
        <w:bottom w:val="none" w:sz="0" w:space="0" w:color="auto"/>
        <w:right w:val="none" w:sz="0" w:space="0" w:color="auto"/>
      </w:divBdr>
      <w:divsChild>
        <w:div w:id="115412655">
          <w:marLeft w:val="0"/>
          <w:marRight w:val="0"/>
          <w:marTop w:val="0"/>
          <w:marBottom w:val="0"/>
          <w:divBdr>
            <w:top w:val="none" w:sz="0" w:space="0" w:color="auto"/>
            <w:left w:val="none" w:sz="0" w:space="0" w:color="auto"/>
            <w:bottom w:val="none" w:sz="0" w:space="0" w:color="auto"/>
            <w:right w:val="none" w:sz="0" w:space="0" w:color="auto"/>
          </w:divBdr>
          <w:divsChild>
            <w:div w:id="1244875721">
              <w:marLeft w:val="0"/>
              <w:marRight w:val="0"/>
              <w:marTop w:val="0"/>
              <w:marBottom w:val="0"/>
              <w:divBdr>
                <w:top w:val="none" w:sz="0" w:space="0" w:color="auto"/>
                <w:left w:val="none" w:sz="0" w:space="0" w:color="auto"/>
                <w:bottom w:val="none" w:sz="0" w:space="0" w:color="auto"/>
                <w:right w:val="none" w:sz="0" w:space="0" w:color="auto"/>
              </w:divBdr>
              <w:divsChild>
                <w:div w:id="1563373510">
                  <w:marLeft w:val="0"/>
                  <w:marRight w:val="0"/>
                  <w:marTop w:val="0"/>
                  <w:marBottom w:val="0"/>
                  <w:divBdr>
                    <w:top w:val="none" w:sz="0" w:space="0" w:color="auto"/>
                    <w:left w:val="none" w:sz="0" w:space="0" w:color="auto"/>
                    <w:bottom w:val="none" w:sz="0" w:space="0" w:color="auto"/>
                    <w:right w:val="none" w:sz="0" w:space="0" w:color="auto"/>
                  </w:divBdr>
                  <w:divsChild>
                    <w:div w:id="2096004320">
                      <w:marLeft w:val="0"/>
                      <w:marRight w:val="0"/>
                      <w:marTop w:val="0"/>
                      <w:marBottom w:val="0"/>
                      <w:divBdr>
                        <w:top w:val="none" w:sz="0" w:space="0" w:color="auto"/>
                        <w:left w:val="none" w:sz="0" w:space="0" w:color="auto"/>
                        <w:bottom w:val="none" w:sz="0" w:space="0" w:color="auto"/>
                        <w:right w:val="none" w:sz="0" w:space="0" w:color="auto"/>
                      </w:divBdr>
                      <w:divsChild>
                        <w:div w:id="1020203121">
                          <w:marLeft w:val="0"/>
                          <w:marRight w:val="0"/>
                          <w:marTop w:val="0"/>
                          <w:marBottom w:val="0"/>
                          <w:divBdr>
                            <w:top w:val="none" w:sz="0" w:space="0" w:color="auto"/>
                            <w:left w:val="none" w:sz="0" w:space="0" w:color="auto"/>
                            <w:bottom w:val="none" w:sz="0" w:space="0" w:color="auto"/>
                            <w:right w:val="none" w:sz="0" w:space="0" w:color="auto"/>
                          </w:divBdr>
                          <w:divsChild>
                            <w:div w:id="1705860341">
                              <w:marLeft w:val="0"/>
                              <w:marRight w:val="0"/>
                              <w:marTop w:val="0"/>
                              <w:marBottom w:val="0"/>
                              <w:divBdr>
                                <w:top w:val="none" w:sz="0" w:space="0" w:color="auto"/>
                                <w:left w:val="none" w:sz="0" w:space="0" w:color="auto"/>
                                <w:bottom w:val="none" w:sz="0" w:space="0" w:color="auto"/>
                                <w:right w:val="none" w:sz="0" w:space="0" w:color="auto"/>
                              </w:divBdr>
                              <w:divsChild>
                                <w:div w:id="574632466">
                                  <w:marLeft w:val="0"/>
                                  <w:marRight w:val="0"/>
                                  <w:marTop w:val="0"/>
                                  <w:marBottom w:val="0"/>
                                  <w:divBdr>
                                    <w:top w:val="none" w:sz="0" w:space="0" w:color="auto"/>
                                    <w:left w:val="none" w:sz="0" w:space="0" w:color="auto"/>
                                    <w:bottom w:val="none" w:sz="0" w:space="0" w:color="auto"/>
                                    <w:right w:val="none" w:sz="0" w:space="0" w:color="auto"/>
                                  </w:divBdr>
                                  <w:divsChild>
                                    <w:div w:id="182045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752637">
                          <w:marLeft w:val="0"/>
                          <w:marRight w:val="0"/>
                          <w:marTop w:val="0"/>
                          <w:marBottom w:val="0"/>
                          <w:divBdr>
                            <w:top w:val="none" w:sz="0" w:space="0" w:color="auto"/>
                            <w:left w:val="none" w:sz="0" w:space="0" w:color="auto"/>
                            <w:bottom w:val="none" w:sz="0" w:space="0" w:color="auto"/>
                            <w:right w:val="none" w:sz="0" w:space="0" w:color="auto"/>
                          </w:divBdr>
                          <w:divsChild>
                            <w:div w:id="56325720">
                              <w:marLeft w:val="0"/>
                              <w:marRight w:val="0"/>
                              <w:marTop w:val="0"/>
                              <w:marBottom w:val="0"/>
                              <w:divBdr>
                                <w:top w:val="none" w:sz="0" w:space="0" w:color="auto"/>
                                <w:left w:val="none" w:sz="0" w:space="0" w:color="auto"/>
                                <w:bottom w:val="none" w:sz="0" w:space="0" w:color="auto"/>
                                <w:right w:val="none" w:sz="0" w:space="0" w:color="auto"/>
                              </w:divBdr>
                              <w:divsChild>
                                <w:div w:id="148080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4119854">
      <w:bodyDiv w:val="1"/>
      <w:marLeft w:val="0"/>
      <w:marRight w:val="0"/>
      <w:marTop w:val="0"/>
      <w:marBottom w:val="0"/>
      <w:divBdr>
        <w:top w:val="none" w:sz="0" w:space="0" w:color="auto"/>
        <w:left w:val="none" w:sz="0" w:space="0" w:color="auto"/>
        <w:bottom w:val="none" w:sz="0" w:space="0" w:color="auto"/>
        <w:right w:val="none" w:sz="0" w:space="0" w:color="auto"/>
      </w:divBdr>
    </w:div>
    <w:div w:id="1940403814">
      <w:bodyDiv w:val="1"/>
      <w:marLeft w:val="0"/>
      <w:marRight w:val="0"/>
      <w:marTop w:val="0"/>
      <w:marBottom w:val="0"/>
      <w:divBdr>
        <w:top w:val="none" w:sz="0" w:space="0" w:color="auto"/>
        <w:left w:val="none" w:sz="0" w:space="0" w:color="auto"/>
        <w:bottom w:val="none" w:sz="0" w:space="0" w:color="auto"/>
        <w:right w:val="none" w:sz="0" w:space="0" w:color="auto"/>
      </w:divBdr>
    </w:div>
    <w:div w:id="2000764156">
      <w:bodyDiv w:val="1"/>
      <w:marLeft w:val="0"/>
      <w:marRight w:val="0"/>
      <w:marTop w:val="0"/>
      <w:marBottom w:val="0"/>
      <w:divBdr>
        <w:top w:val="none" w:sz="0" w:space="0" w:color="auto"/>
        <w:left w:val="none" w:sz="0" w:space="0" w:color="auto"/>
        <w:bottom w:val="none" w:sz="0" w:space="0" w:color="auto"/>
        <w:right w:val="none" w:sz="0" w:space="0" w:color="auto"/>
      </w:divBdr>
    </w:div>
    <w:div w:id="2018269876">
      <w:bodyDiv w:val="1"/>
      <w:marLeft w:val="0"/>
      <w:marRight w:val="0"/>
      <w:marTop w:val="0"/>
      <w:marBottom w:val="0"/>
      <w:divBdr>
        <w:top w:val="none" w:sz="0" w:space="0" w:color="auto"/>
        <w:left w:val="none" w:sz="0" w:space="0" w:color="auto"/>
        <w:bottom w:val="none" w:sz="0" w:space="0" w:color="auto"/>
        <w:right w:val="none" w:sz="0" w:space="0" w:color="auto"/>
      </w:divBdr>
    </w:div>
    <w:div w:id="2138523503">
      <w:bodyDiv w:val="1"/>
      <w:marLeft w:val="0"/>
      <w:marRight w:val="0"/>
      <w:marTop w:val="0"/>
      <w:marBottom w:val="0"/>
      <w:divBdr>
        <w:top w:val="none" w:sz="0" w:space="0" w:color="auto"/>
        <w:left w:val="none" w:sz="0" w:space="0" w:color="auto"/>
        <w:bottom w:val="none" w:sz="0" w:space="0" w:color="auto"/>
        <w:right w:val="none" w:sz="0" w:space="0" w:color="auto"/>
      </w:divBdr>
    </w:div>
    <w:div w:id="21399502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8" Type="http://schemas.openxmlformats.org/officeDocument/2006/relationships/hyperlink" Target="https://www.tijbangkokrules.org/uploads/publications/pUxN8DfSaW59EEDhG09d9SHsR9TBdtqgHFqrymBC.pdf" TargetMode="External"/><Relationship Id="rId13" Type="http://schemas.openxmlformats.org/officeDocument/2006/relationships/hyperlink" Target="https://gdcatalog.go.th/dataset/gdpublish-dataset_11_02/resource/662ff0a2-f440-498d-b9c5-04ba43ac9701" TargetMode="External"/><Relationship Id="rId18" Type="http://schemas.openxmlformats.org/officeDocument/2006/relationships/hyperlink" Target="https://www.bbc.com/thai/thailand-55172053" TargetMode="External"/><Relationship Id="rId3" Type="http://schemas.openxmlformats.org/officeDocument/2006/relationships/hyperlink" Target="https://static.nhrc.or.th/file/content/document/24971/22-09-65-Press-release-34-2565-1713512880.pdf" TargetMode="External"/><Relationship Id="rId21" Type="http://schemas.openxmlformats.org/officeDocument/2006/relationships/hyperlink" Target="https://www.hfocus.org/content/2025/03/33421" TargetMode="External"/><Relationship Id="rId7" Type="http://schemas.openxmlformats.org/officeDocument/2006/relationships/hyperlink" Target="https://ncmc.moph.go.th/home/upload/web_download/xiqssflhrtw00w44wc.pdf" TargetMode="External"/><Relationship Id="rId12" Type="http://schemas.openxmlformats.org/officeDocument/2006/relationships/hyperlink" Target="https://www.matichon.co.th/region/news_2951045" TargetMode="External"/><Relationship Id="rId17" Type="http://schemas.openxmlformats.org/officeDocument/2006/relationships/hyperlink" Target="https://fairthailand.org/infringement.php" TargetMode="External"/><Relationship Id="rId2" Type="http://schemas.openxmlformats.org/officeDocument/2006/relationships/hyperlink" Target="https://www.sanook.com/news/8876946/" TargetMode="External"/><Relationship Id="rId16" Type="http://schemas.openxmlformats.org/officeDocument/2006/relationships/hyperlink" Target="https://www.hfocus.org/content/2024/03/29879" TargetMode="External"/><Relationship Id="rId20" Type="http://schemas.openxmlformats.org/officeDocument/2006/relationships/hyperlink" Target="https://he02.tci-thaijo.org/index.php/ThaiAIDSJournal/article/view/265969/183309" TargetMode="External"/><Relationship Id="rId1" Type="http://schemas.openxmlformats.org/officeDocument/2006/relationships/hyperlink" Target="https://udn1.go.th/archives/11362" TargetMode="External"/><Relationship Id="rId6" Type="http://schemas.openxmlformats.org/officeDocument/2006/relationships/hyperlink" Target="https://www.thaipost.net/general-news/607912/" TargetMode="External"/><Relationship Id="rId11" Type="http://schemas.openxmlformats.org/officeDocument/2006/relationships/hyperlink" Target="https://www.phufaresthome.com/blog/thailand-drugs-stats/" TargetMode="External"/><Relationship Id="rId5" Type="http://schemas.openxmlformats.org/officeDocument/2006/relationships/hyperlink" Target="https://narcotic.fda.moph.go.th/law-type/NC_184" TargetMode="External"/><Relationship Id="rId15" Type="http://schemas.openxmlformats.org/officeDocument/2006/relationships/hyperlink" Target="https://ddc.moph.go.th/uploads/publish/1549120240328063459.pdf" TargetMode="External"/><Relationship Id="rId10" Type="http://schemas.openxmlformats.org/officeDocument/2006/relationships/hyperlink" Target="http://www.correct.go.th/rt103pdf/report_result.php?date=2025-05-01&amp;report=drug" TargetMode="External"/><Relationship Id="rId19" Type="http://schemas.openxmlformats.org/officeDocument/2006/relationships/hyperlink" Target="https://lms.nhrc.or.th/Document/Fulltext/F08748.pdf" TargetMode="External"/><Relationship Id="rId4" Type="http://schemas.openxmlformats.org/officeDocument/2006/relationships/hyperlink" Target="https://www.krabiimmigration.go.th/news/doc_download/a_150324_101620.pdf" TargetMode="External"/><Relationship Id="rId9" Type="http://schemas.openxmlformats.org/officeDocument/2006/relationships/hyperlink" Target="https://www.isranews.org/article/isranews-scoop/105306-isranews-druglaw.html" TargetMode="External"/><Relationship Id="rId14" Type="http://schemas.openxmlformats.org/officeDocument/2006/relationships/hyperlink" Target="https://www.thaipbs.or.th/news/content/3493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0rDRHHf2l2QytMoXY/eeXOZ94w==">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</go:docsCustomData>
</go:gDocsCustomXmlDataStorage>
</file>

<file path=customXml/itemProps1.xml><?xml version="1.0" encoding="utf-8"?>
<ds:datastoreItem xmlns:ds="http://schemas.openxmlformats.org/officeDocument/2006/customXml" ds:itemID="{CA524492-9843-492F-B054-4E5C9AFC5E1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14</Pages>
  <Words>6149</Words>
  <Characters>35050</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Attila Lux</dc:creator>
  <cp:lastModifiedBy>Attila Lux</cp:lastModifiedBy>
  <cp:revision>7</cp:revision>
  <dcterms:created xsi:type="dcterms:W3CDTF">2025-05-18T15:56:00Z</dcterms:created>
  <dcterms:modified xsi:type="dcterms:W3CDTF">2025-05-18T16:12:00Z</dcterms:modified>
</cp:coreProperties>
</file>