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223F2" w14:textId="7CE18211" w:rsidR="00A1683D" w:rsidRDefault="008D569A" w:rsidP="004E620E">
      <w:pPr>
        <w:jc w:val="center"/>
        <w:rPr>
          <w:rFonts w:ascii="Times New Roman" w:hAnsi="Times New Roman" w:cs="Times New Roman"/>
          <w:b/>
          <w:sz w:val="36"/>
          <w:szCs w:val="36"/>
          <w:lang w:val="en-US"/>
        </w:rPr>
      </w:pPr>
      <w:r w:rsidRPr="008D569A">
        <w:rPr>
          <w:rFonts w:ascii="Times New Roman" w:hAnsi="Times New Roman" w:cs="Times New Roman"/>
          <w:b/>
          <w:noProof/>
          <w:sz w:val="36"/>
          <w:szCs w:val="36"/>
          <w:lang w:val="en-US"/>
        </w:rPr>
        <w:drawing>
          <wp:inline distT="0" distB="0" distL="0" distR="0" wp14:anchorId="7247BECF" wp14:editId="0482642B">
            <wp:extent cx="1720427" cy="1720427"/>
            <wp:effectExtent l="0" t="0" r="0" b="0"/>
            <wp:docPr id="7946121" name="Picture 11" descr="A white f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6121" name="Picture 11" descr="A white fist with black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46307" cy="1746307"/>
                    </a:xfrm>
                    <a:prstGeom prst="rect">
                      <a:avLst/>
                    </a:prstGeom>
                  </pic:spPr>
                </pic:pic>
              </a:graphicData>
            </a:graphic>
          </wp:inline>
        </w:drawing>
      </w:r>
    </w:p>
    <w:p w14:paraId="16C87FF7" w14:textId="77777777" w:rsidR="008D569A" w:rsidRPr="008D569A" w:rsidRDefault="008D569A" w:rsidP="00A1683D">
      <w:pPr>
        <w:jc w:val="center"/>
        <w:rPr>
          <w:rFonts w:ascii="Times New Roman" w:hAnsi="Times New Roman" w:cs="Times New Roman"/>
          <w:b/>
          <w:sz w:val="36"/>
          <w:szCs w:val="36"/>
          <w:lang w:val="en-US"/>
        </w:rPr>
      </w:pPr>
    </w:p>
    <w:p w14:paraId="7ABFAF70" w14:textId="696E92E9" w:rsidR="00A1683D" w:rsidRPr="008D569A" w:rsidRDefault="008D569A" w:rsidP="008D569A">
      <w:pPr>
        <w:spacing w:line="480" w:lineRule="auto"/>
        <w:jc w:val="center"/>
        <w:rPr>
          <w:rFonts w:ascii="Times New Roman" w:hAnsi="Times New Roman" w:cs="Times New Roman"/>
          <w:b/>
          <w:sz w:val="24"/>
          <w:szCs w:val="24"/>
          <w:lang w:val="en-US"/>
        </w:rPr>
      </w:pPr>
      <w:r w:rsidRPr="008D569A">
        <w:rPr>
          <w:rFonts w:ascii="Times New Roman" w:hAnsi="Times New Roman" w:cs="Times New Roman"/>
          <w:b/>
          <w:sz w:val="24"/>
          <w:szCs w:val="24"/>
          <w:lang w:val="en-US"/>
        </w:rPr>
        <w:t xml:space="preserve">Feminist Legal Support </w:t>
      </w:r>
      <w:r>
        <w:rPr>
          <w:rFonts w:ascii="Times New Roman" w:hAnsi="Times New Roman" w:cs="Times New Roman"/>
          <w:b/>
          <w:sz w:val="24"/>
          <w:szCs w:val="24"/>
          <w:lang w:val="en-US"/>
        </w:rPr>
        <w:t>S</w:t>
      </w:r>
      <w:r w:rsidRPr="008D569A">
        <w:rPr>
          <w:rFonts w:ascii="Times New Roman" w:hAnsi="Times New Roman" w:cs="Times New Roman"/>
          <w:b/>
          <w:sz w:val="24"/>
          <w:szCs w:val="24"/>
          <w:lang w:val="en-US"/>
        </w:rPr>
        <w:t>ubmission on Thailand</w:t>
      </w:r>
    </w:p>
    <w:p w14:paraId="26BA62EF" w14:textId="77777777" w:rsidR="00A1683D" w:rsidRPr="008D569A" w:rsidRDefault="00A1683D" w:rsidP="008D569A">
      <w:pPr>
        <w:spacing w:line="480" w:lineRule="auto"/>
        <w:ind w:firstLine="360"/>
        <w:jc w:val="center"/>
        <w:rPr>
          <w:rFonts w:ascii="Times New Roman" w:hAnsi="Times New Roman" w:cs="Times New Roman"/>
          <w:b/>
          <w:sz w:val="24"/>
          <w:szCs w:val="24"/>
          <w:lang w:val="en-US"/>
        </w:rPr>
      </w:pPr>
      <w:r w:rsidRPr="008D569A">
        <w:rPr>
          <w:rFonts w:ascii="Times New Roman" w:hAnsi="Times New Roman" w:cs="Times New Roman"/>
          <w:b/>
          <w:sz w:val="24"/>
          <w:szCs w:val="24"/>
          <w:lang w:val="en-US"/>
        </w:rPr>
        <w:t xml:space="preserve">to the Committee on the Elimination of Discrimination against Women (CEDAW) </w:t>
      </w:r>
    </w:p>
    <w:p w14:paraId="14F533A3" w14:textId="471BCEC2" w:rsidR="00A1683D" w:rsidRPr="008D569A" w:rsidRDefault="00A1683D" w:rsidP="008D569A">
      <w:pPr>
        <w:spacing w:line="480" w:lineRule="auto"/>
        <w:jc w:val="center"/>
        <w:rPr>
          <w:rFonts w:ascii="Times New Roman" w:eastAsia="Arial Unicode MS" w:hAnsi="Times New Roman" w:cs="Times New Roman"/>
          <w:b/>
          <w:bCs/>
          <w:color w:val="000000"/>
          <w:sz w:val="24"/>
          <w:szCs w:val="24"/>
          <w:u w:color="000000"/>
          <w:bdr w:val="nil"/>
          <w:lang w:val="en-US" w:bidi="ar-SA"/>
        </w:rPr>
      </w:pPr>
      <w:r w:rsidRPr="008D569A">
        <w:rPr>
          <w:rFonts w:ascii="Times New Roman" w:eastAsia="Arial Unicode MS" w:hAnsi="Times New Roman" w:cs="Times New Roman"/>
          <w:b/>
          <w:bCs/>
          <w:color w:val="000000"/>
          <w:sz w:val="24"/>
          <w:szCs w:val="24"/>
          <w:u w:color="000000"/>
          <w:bdr w:val="nil"/>
          <w:lang w:val="en-US" w:bidi="ar-SA"/>
        </w:rPr>
        <w:t>91</w:t>
      </w:r>
      <w:r w:rsidRPr="008D569A">
        <w:rPr>
          <w:rFonts w:ascii="Times New Roman" w:eastAsia="Arial Unicode MS" w:hAnsi="Times New Roman" w:cs="Times New Roman"/>
          <w:b/>
          <w:bCs/>
          <w:color w:val="000000"/>
          <w:sz w:val="24"/>
          <w:szCs w:val="24"/>
          <w:u w:color="000000"/>
          <w:bdr w:val="nil"/>
          <w:vertAlign w:val="superscript"/>
          <w:lang w:val="en-US" w:bidi="ar-SA"/>
        </w:rPr>
        <w:t>st</w:t>
      </w:r>
      <w:r w:rsidRPr="008D569A">
        <w:rPr>
          <w:rFonts w:ascii="Times New Roman" w:eastAsia="Arial Unicode MS" w:hAnsi="Times New Roman" w:cs="Times New Roman"/>
          <w:b/>
          <w:bCs/>
          <w:color w:val="000000"/>
          <w:sz w:val="24"/>
          <w:szCs w:val="24"/>
          <w:u w:color="000000"/>
          <w:bdr w:val="nil"/>
          <w:lang w:val="en-US" w:bidi="ar-SA"/>
        </w:rPr>
        <w:t xml:space="preserve"> Session </w:t>
      </w:r>
    </w:p>
    <w:p w14:paraId="00000006" w14:textId="71F4C4F9" w:rsidR="00DF3619" w:rsidRPr="008D569A" w:rsidRDefault="00000000" w:rsidP="00D66FEF">
      <w:pPr>
        <w:jc w:val="thaiDistribute"/>
        <w:rPr>
          <w:rFonts w:ascii="Times New Roman" w:hAnsi="Times New Roman" w:cs="Times New Roman"/>
          <w:b/>
          <w:sz w:val="24"/>
          <w:szCs w:val="24"/>
          <w:lang w:val="en-US"/>
        </w:rPr>
      </w:pPr>
      <w:r w:rsidRPr="008D569A">
        <w:rPr>
          <w:rFonts w:ascii="Times New Roman" w:hAnsi="Times New Roman" w:cs="Times New Roman"/>
          <w:b/>
          <w:sz w:val="24"/>
          <w:szCs w:val="24"/>
          <w:lang w:val="en-US"/>
        </w:rPr>
        <w:t xml:space="preserve">About Feminist Legal Support </w:t>
      </w:r>
    </w:p>
    <w:p w14:paraId="00000007"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b/>
          <w:sz w:val="24"/>
          <w:szCs w:val="24"/>
          <w:lang w:val="en-US"/>
        </w:rPr>
        <w:t>Feminist Legal Support (FLS)</w:t>
      </w:r>
      <w:r w:rsidRPr="008D569A">
        <w:rPr>
          <w:rFonts w:ascii="Times New Roman" w:hAnsi="Times New Roman" w:cs="Times New Roman"/>
          <w:sz w:val="24"/>
          <w:szCs w:val="24"/>
          <w:lang w:val="en-US"/>
        </w:rPr>
        <w:t xml:space="preserve"> is an intersectional feminist organisation based in Bangkok, Thailand, founded in 2022 by a feminist lawyer and GBV survivor. Established to address systemic barriers to justice, FLS supports women, girls, and LGBTIQ+ survivors, particularly those from marginalised communities such as low-income groups, sex workers, ethnic minorities, undocumented individuals, persons with disabilities, and pro-democracy activists.</w:t>
      </w:r>
    </w:p>
    <w:p w14:paraId="00000008" w14:textId="270A37EE"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FLS provides </w:t>
      </w:r>
      <w:r w:rsidRPr="008D569A">
        <w:rPr>
          <w:rFonts w:ascii="Times New Roman" w:hAnsi="Times New Roman" w:cs="Times New Roman"/>
          <w:bCs/>
          <w:sz w:val="24"/>
          <w:szCs w:val="24"/>
          <w:lang w:val="en-US"/>
        </w:rPr>
        <w:t>pro bono legal assistance</w:t>
      </w:r>
      <w:r w:rsidRPr="008D569A">
        <w:rPr>
          <w:rFonts w:ascii="Times New Roman" w:hAnsi="Times New Roman" w:cs="Times New Roman"/>
          <w:sz w:val="24"/>
          <w:szCs w:val="24"/>
          <w:lang w:val="en-US"/>
        </w:rPr>
        <w:t xml:space="preserve">, guiding survivors through all stages of the justice process, from filing police reports to court proceedings and compensation, while </w:t>
      </w:r>
      <w:proofErr w:type="spellStart"/>
      <w:r w:rsidRPr="008D569A">
        <w:rPr>
          <w:rFonts w:ascii="Times New Roman" w:hAnsi="Times New Roman" w:cs="Times New Roman"/>
          <w:sz w:val="24"/>
          <w:szCs w:val="24"/>
          <w:lang w:val="en-US"/>
        </w:rPr>
        <w:t>prioritising</w:t>
      </w:r>
      <w:proofErr w:type="spellEnd"/>
      <w:r w:rsidRPr="008D569A">
        <w:rPr>
          <w:rFonts w:ascii="Times New Roman" w:hAnsi="Times New Roman" w:cs="Times New Roman"/>
          <w:sz w:val="24"/>
          <w:szCs w:val="24"/>
          <w:lang w:val="en-US"/>
        </w:rPr>
        <w:t xml:space="preserve"> a survivor-</w:t>
      </w:r>
      <w:proofErr w:type="spellStart"/>
      <w:r w:rsidRPr="008D569A">
        <w:rPr>
          <w:rFonts w:ascii="Times New Roman" w:hAnsi="Times New Roman" w:cs="Times New Roman"/>
          <w:sz w:val="24"/>
          <w:szCs w:val="24"/>
          <w:lang w:val="en-US"/>
        </w:rPr>
        <w:t>centred</w:t>
      </w:r>
      <w:proofErr w:type="spellEnd"/>
      <w:r w:rsidRPr="008D569A">
        <w:rPr>
          <w:rFonts w:ascii="Times New Roman" w:hAnsi="Times New Roman" w:cs="Times New Roman"/>
          <w:sz w:val="24"/>
          <w:szCs w:val="24"/>
          <w:lang w:val="en-US"/>
        </w:rPr>
        <w:t>, rights-based approach grounded in feminist values.</w:t>
      </w:r>
    </w:p>
    <w:p w14:paraId="00000009" w14:textId="15033283"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Beyond legal aid, FLS engages in </w:t>
      </w:r>
      <w:r w:rsidRPr="008D569A">
        <w:rPr>
          <w:rFonts w:ascii="Times New Roman" w:hAnsi="Times New Roman" w:cs="Times New Roman"/>
          <w:bCs/>
          <w:sz w:val="24"/>
          <w:szCs w:val="24"/>
          <w:lang w:val="en-US"/>
        </w:rPr>
        <w:t>legal and policy advocacy</w:t>
      </w:r>
      <w:r w:rsidRPr="008D569A">
        <w:rPr>
          <w:rFonts w:ascii="Times New Roman" w:hAnsi="Times New Roman" w:cs="Times New Roman"/>
          <w:sz w:val="24"/>
          <w:szCs w:val="24"/>
          <w:lang w:val="en-US"/>
        </w:rPr>
        <w:t xml:space="preserve"> to reform Thailand’s justice system to be more inclusive and </w:t>
      </w:r>
      <w:r w:rsidR="006E5F2D" w:rsidRPr="008D569A">
        <w:rPr>
          <w:rFonts w:ascii="Times New Roman" w:hAnsi="Times New Roman" w:cs="Times New Roman"/>
          <w:sz w:val="24"/>
          <w:szCs w:val="24"/>
          <w:lang w:val="en-US"/>
        </w:rPr>
        <w:t>gender responsive</w:t>
      </w:r>
      <w:r w:rsidRPr="008D569A">
        <w:rPr>
          <w:rFonts w:ascii="Times New Roman" w:hAnsi="Times New Roman" w:cs="Times New Roman"/>
          <w:sz w:val="24"/>
          <w:szCs w:val="24"/>
          <w:lang w:val="en-US"/>
        </w:rPr>
        <w:t xml:space="preserve">. This includes monitoring GBV-related laws, challenging discriminatory practices, and promoting reforms </w:t>
      </w:r>
      <w:r w:rsidR="006E5F2D">
        <w:rPr>
          <w:rFonts w:ascii="Times New Roman" w:hAnsi="Times New Roman" w:cs="Times New Roman"/>
          <w:sz w:val="24"/>
          <w:szCs w:val="24"/>
          <w:lang w:val="en-US"/>
        </w:rPr>
        <w:t>such as</w:t>
      </w:r>
      <w:r w:rsidRPr="008D569A">
        <w:rPr>
          <w:rFonts w:ascii="Times New Roman" w:hAnsi="Times New Roman" w:cs="Times New Roman"/>
          <w:sz w:val="24"/>
          <w:szCs w:val="24"/>
          <w:lang w:val="en-US"/>
        </w:rPr>
        <w:t xml:space="preserve"> the People’s Draft of the Domestic Violence Protection Act.</w:t>
      </w:r>
    </w:p>
    <w:p w14:paraId="0000000A" w14:textId="4E105D5B" w:rsidR="00DF3619"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FLS also works in partnership with civil society networks, including the </w:t>
      </w:r>
      <w:r w:rsidRPr="008D569A">
        <w:rPr>
          <w:rFonts w:ascii="Times New Roman" w:hAnsi="Times New Roman" w:cs="Times New Roman"/>
          <w:bCs/>
          <w:sz w:val="24"/>
          <w:szCs w:val="24"/>
          <w:lang w:val="en-US"/>
        </w:rPr>
        <w:t>Coalition Against Gender-Based Violence (CaGBV)</w:t>
      </w:r>
      <w:r w:rsidRPr="008D569A">
        <w:rPr>
          <w:rFonts w:ascii="Times New Roman" w:hAnsi="Times New Roman" w:cs="Times New Roman"/>
          <w:sz w:val="24"/>
          <w:szCs w:val="24"/>
          <w:lang w:val="en-US"/>
        </w:rPr>
        <w:t>, to push for systemic change. Through legal support, advocacy, and public engagement, FLS seeks not only to support survivors but to transform the structures that enable gender-based violence and impunity in Thailand.</w:t>
      </w:r>
    </w:p>
    <w:p w14:paraId="356024C8" w14:textId="77777777" w:rsidR="004E620E" w:rsidRDefault="004E620E" w:rsidP="00D66FEF">
      <w:pPr>
        <w:spacing w:before="240" w:after="240"/>
        <w:jc w:val="thaiDistribute"/>
        <w:rPr>
          <w:rFonts w:ascii="Times New Roman" w:hAnsi="Times New Roman" w:cs="Times New Roman"/>
          <w:sz w:val="24"/>
          <w:szCs w:val="24"/>
          <w:lang w:val="en-US"/>
        </w:rPr>
      </w:pPr>
    </w:p>
    <w:p w14:paraId="1191A2D7" w14:textId="77777777" w:rsidR="004E620E" w:rsidRDefault="004E620E" w:rsidP="00D66FEF">
      <w:pPr>
        <w:spacing w:before="240" w:after="240"/>
        <w:jc w:val="thaiDistribute"/>
        <w:rPr>
          <w:rFonts w:ascii="Times New Roman" w:hAnsi="Times New Roman" w:cs="Times New Roman"/>
          <w:sz w:val="24"/>
          <w:szCs w:val="24"/>
          <w:lang w:val="en-US"/>
        </w:rPr>
      </w:pPr>
    </w:p>
    <w:p w14:paraId="55CF79B4" w14:textId="77777777" w:rsidR="004E620E" w:rsidRDefault="004E620E" w:rsidP="00D66FEF">
      <w:pPr>
        <w:spacing w:before="240" w:after="240"/>
        <w:jc w:val="thaiDistribute"/>
        <w:rPr>
          <w:rFonts w:ascii="Times New Roman" w:hAnsi="Times New Roman" w:cs="Times New Roman"/>
          <w:sz w:val="24"/>
          <w:szCs w:val="24"/>
          <w:lang w:val="en-US"/>
        </w:rPr>
      </w:pPr>
    </w:p>
    <w:p w14:paraId="4DF319E5" w14:textId="77777777" w:rsidR="004E620E" w:rsidRDefault="004E620E" w:rsidP="00D66FEF">
      <w:pPr>
        <w:jc w:val="thaiDistribute"/>
        <w:rPr>
          <w:rFonts w:ascii="Times New Roman" w:hAnsi="Times New Roman" w:cs="Times New Roman"/>
          <w:sz w:val="24"/>
          <w:szCs w:val="24"/>
          <w:lang w:val="en-US"/>
        </w:rPr>
      </w:pPr>
    </w:p>
    <w:p w14:paraId="50E05953" w14:textId="77777777" w:rsidR="004E620E" w:rsidRDefault="004E620E" w:rsidP="00D66FEF">
      <w:pPr>
        <w:jc w:val="thaiDistribute"/>
        <w:rPr>
          <w:rFonts w:ascii="Times New Roman" w:hAnsi="Times New Roman" w:cs="Times New Roman"/>
          <w:sz w:val="24"/>
          <w:szCs w:val="24"/>
          <w:lang w:val="en-US"/>
        </w:rPr>
      </w:pPr>
    </w:p>
    <w:p w14:paraId="0000000B" w14:textId="0235468E" w:rsidR="00DF3619" w:rsidRPr="008D569A" w:rsidRDefault="00000000" w:rsidP="00D66FEF">
      <w:pPr>
        <w:jc w:val="thaiDistribute"/>
        <w:rPr>
          <w:rFonts w:ascii="Times New Roman" w:hAnsi="Times New Roman" w:cs="Times New Roman"/>
          <w:b/>
          <w:sz w:val="24"/>
          <w:szCs w:val="24"/>
          <w:u w:val="single"/>
          <w:lang w:val="en-US"/>
        </w:rPr>
      </w:pPr>
      <w:r w:rsidRPr="008D569A">
        <w:rPr>
          <w:rFonts w:ascii="Times New Roman" w:hAnsi="Times New Roman" w:cs="Times New Roman"/>
          <w:b/>
          <w:sz w:val="24"/>
          <w:szCs w:val="24"/>
          <w:u w:val="single"/>
          <w:lang w:val="en-US"/>
        </w:rPr>
        <w:lastRenderedPageBreak/>
        <w:t xml:space="preserve">Access to Justice for Survivors of Gender-Based Violence Against Women </w:t>
      </w:r>
    </w:p>
    <w:p w14:paraId="0000000C"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Gender-based violence (GBV) against women remains a pervasive issue in Thailand, rooted in structural inequality and discrimination. Despite existing legal protections, survivors face significant barriers when seeking justice. Social stigma, victim-blaming, inadequate institutional support, complex legal procedures, and gender-insensitive officials all hinder access to fair and timely remedies.</w:t>
      </w:r>
    </w:p>
    <w:p w14:paraId="0000000D"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Survivors often encounter a justice system that is difficult to navigate and, at times, indifferent or hostile. The lack of legal aid, minimal representation of women within the system, and poor communication contribute to retraumatization and discourage legal action. These obstacles are even greater for women with intersecting vulnerabilities, such as those with disabilities or from marginalised communities, leading to further psychological harm and mistrust in public institutions.</w:t>
      </w:r>
    </w:p>
    <w:p w14:paraId="249118A2" w14:textId="77777777" w:rsidR="00D66FEF" w:rsidRPr="008D569A" w:rsidRDefault="00000000" w:rsidP="008D569A">
      <w:pPr>
        <w:spacing w:before="240" w:after="240"/>
        <w:jc w:val="thaiDistribute"/>
        <w:rPr>
          <w:rFonts w:ascii="Times New Roman" w:hAnsi="Times New Roman" w:cs="Times New Roman"/>
          <w:b/>
          <w:sz w:val="24"/>
          <w:szCs w:val="24"/>
          <w:lang w:val="en-US"/>
        </w:rPr>
      </w:pPr>
      <w:r w:rsidRPr="008D569A">
        <w:rPr>
          <w:rFonts w:ascii="Times New Roman" w:hAnsi="Times New Roman" w:cs="Times New Roman"/>
          <w:b/>
          <w:sz w:val="24"/>
          <w:szCs w:val="24"/>
          <w:lang w:val="en-US"/>
        </w:rPr>
        <w:t>This report identifies key challenges in accessing justice for survivors of GBV against women in Thailand and offers practical recommendations to improve the system and uphold survivors’ rights.</w:t>
      </w:r>
    </w:p>
    <w:p w14:paraId="00000011" w14:textId="6D6AC163" w:rsidR="00DF3619" w:rsidRPr="008D569A" w:rsidRDefault="00000000" w:rsidP="00D66FEF">
      <w:pPr>
        <w:spacing w:before="240" w:after="240"/>
        <w:jc w:val="thaiDistribute"/>
        <w:rPr>
          <w:rFonts w:ascii="Times New Roman" w:hAnsi="Times New Roman" w:cs="Times New Roman"/>
          <w:b/>
          <w:sz w:val="24"/>
          <w:szCs w:val="24"/>
          <w:lang w:val="en-US"/>
        </w:rPr>
      </w:pPr>
      <w:r w:rsidRPr="008D569A">
        <w:rPr>
          <w:rFonts w:ascii="Times New Roman" w:hAnsi="Times New Roman" w:cs="Times New Roman"/>
          <w:b/>
          <w:sz w:val="24"/>
          <w:szCs w:val="24"/>
          <w:lang w:val="en-US"/>
        </w:rPr>
        <w:t>Key issues:</w:t>
      </w:r>
    </w:p>
    <w:p w14:paraId="00000012" w14:textId="77777777" w:rsidR="00DF3619" w:rsidRPr="008D569A" w:rsidRDefault="00000000" w:rsidP="00D66FEF">
      <w:pPr>
        <w:jc w:val="thaiDistribute"/>
        <w:rPr>
          <w:rFonts w:ascii="Times New Roman" w:hAnsi="Times New Roman" w:cs="Times New Roman"/>
          <w:b/>
          <w:sz w:val="24"/>
          <w:szCs w:val="24"/>
          <w:lang w:val="en-US"/>
        </w:rPr>
      </w:pPr>
      <w:r w:rsidRPr="008D569A">
        <w:rPr>
          <w:rFonts w:ascii="Times New Roman" w:hAnsi="Times New Roman" w:cs="Times New Roman"/>
          <w:b/>
          <w:sz w:val="24"/>
          <w:szCs w:val="24"/>
          <w:lang w:val="en-US"/>
        </w:rPr>
        <w:t>Lack of female police officers</w:t>
      </w:r>
    </w:p>
    <w:p w14:paraId="00000013" w14:textId="77777777" w:rsidR="00DF3619" w:rsidRPr="008D569A" w:rsidRDefault="00DF3619" w:rsidP="00D66FEF">
      <w:pPr>
        <w:jc w:val="thaiDistribute"/>
        <w:rPr>
          <w:rFonts w:ascii="Times New Roman" w:hAnsi="Times New Roman" w:cs="Times New Roman"/>
          <w:b/>
          <w:sz w:val="24"/>
          <w:szCs w:val="24"/>
          <w:lang w:val="en-US"/>
        </w:rPr>
      </w:pPr>
    </w:p>
    <w:p w14:paraId="00000014" w14:textId="77777777" w:rsidR="00DF3619" w:rsidRPr="008D569A" w:rsidRDefault="00000000" w:rsidP="00D66FEF">
      <w:pPr>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According to the Eighth periodic report submitted by Thailand under article 18 of the Convention, due in 2023, there were 4,741 female police officers and only 2,637 female inquiry officers throughout the country.</w:t>
      </w:r>
      <w:r w:rsidRPr="008D569A">
        <w:rPr>
          <w:rFonts w:ascii="Times New Roman" w:hAnsi="Times New Roman" w:cs="Times New Roman"/>
          <w:sz w:val="24"/>
          <w:szCs w:val="24"/>
          <w:vertAlign w:val="superscript"/>
        </w:rPr>
        <w:footnoteReference w:id="1"/>
      </w:r>
      <w:r w:rsidRPr="008D569A">
        <w:rPr>
          <w:rFonts w:ascii="Times New Roman" w:hAnsi="Times New Roman" w:cs="Times New Roman"/>
          <w:sz w:val="24"/>
          <w:szCs w:val="24"/>
          <w:lang w:val="en-US"/>
        </w:rPr>
        <w:t xml:space="preserve">  In cases involving sexual offences, protocol requires that female victims be questioned by a female police officer.</w:t>
      </w:r>
      <w:r w:rsidRPr="008D569A">
        <w:rPr>
          <w:rFonts w:ascii="Times New Roman" w:hAnsi="Times New Roman" w:cs="Times New Roman"/>
          <w:sz w:val="24"/>
          <w:szCs w:val="24"/>
          <w:vertAlign w:val="superscript"/>
        </w:rPr>
        <w:footnoteReference w:id="2"/>
      </w:r>
      <w:r w:rsidRPr="008D569A">
        <w:rPr>
          <w:rFonts w:ascii="Times New Roman" w:hAnsi="Times New Roman" w:cs="Times New Roman"/>
          <w:sz w:val="24"/>
          <w:szCs w:val="24"/>
          <w:lang w:val="en-US"/>
        </w:rPr>
        <w:t xml:space="preserve"> However, the limited number of female officers within the Royal Thai Police results in many police stations lacking personnel to fulfill this requirement, thereby compromising the quality and sensitivity of victim support during the investigative process. </w:t>
      </w:r>
    </w:p>
    <w:p w14:paraId="00000015" w14:textId="77777777" w:rsidR="00DF3619" w:rsidRPr="008D569A" w:rsidRDefault="00DF3619" w:rsidP="00D66FEF">
      <w:pPr>
        <w:jc w:val="thaiDistribute"/>
        <w:rPr>
          <w:rFonts w:ascii="Times New Roman" w:hAnsi="Times New Roman" w:cs="Times New Roman"/>
          <w:sz w:val="24"/>
          <w:szCs w:val="24"/>
          <w:lang w:val="en-US"/>
        </w:rPr>
      </w:pPr>
    </w:p>
    <w:p w14:paraId="00000016" w14:textId="77777777" w:rsidR="00DF3619" w:rsidRPr="008D569A" w:rsidRDefault="00000000" w:rsidP="00D66FEF">
      <w:pPr>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Many police stations, particularly in rural or underserved areas, do not have any female officers on staff. This shortage poses serious consequences for the quality of care and responsiveness extended to survivors of sexual violence. When female victims are forced to recount traumatic experiences to male officers, often in settings that lack privacy or sensitivity, the risk of secondary victimisation increases, and survivors may choose not to pursue legal action at all.</w:t>
      </w:r>
    </w:p>
    <w:p w14:paraId="00000017" w14:textId="77777777" w:rsidR="00DF3619" w:rsidRPr="008D569A" w:rsidRDefault="00DF3619" w:rsidP="00D66FEF">
      <w:pPr>
        <w:jc w:val="thaiDistribute"/>
        <w:rPr>
          <w:rFonts w:ascii="Times New Roman" w:hAnsi="Times New Roman" w:cs="Times New Roman"/>
          <w:sz w:val="24"/>
          <w:szCs w:val="24"/>
          <w:lang w:val="en-US"/>
        </w:rPr>
      </w:pPr>
    </w:p>
    <w:p w14:paraId="00000018" w14:textId="77777777" w:rsidR="00DF3619" w:rsidRPr="008D569A" w:rsidRDefault="00000000" w:rsidP="00D66FEF">
      <w:pPr>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A major contributing factor to this shortage is the Royal Thai Police’s policy decision to suspend the recruitment and entrance examination for female police officers and civilian women applying to become cadets at the Royal Police Cadet Academy.</w:t>
      </w:r>
      <w:r w:rsidRPr="008D569A">
        <w:rPr>
          <w:rFonts w:ascii="Times New Roman" w:hAnsi="Times New Roman" w:cs="Times New Roman"/>
          <w:sz w:val="24"/>
          <w:szCs w:val="24"/>
          <w:vertAlign w:val="superscript"/>
        </w:rPr>
        <w:footnoteReference w:id="3"/>
      </w:r>
      <w:r w:rsidRPr="008D569A">
        <w:rPr>
          <w:rFonts w:ascii="Times New Roman" w:hAnsi="Times New Roman" w:cs="Times New Roman"/>
          <w:sz w:val="24"/>
          <w:szCs w:val="24"/>
          <w:lang w:val="en-US"/>
        </w:rPr>
        <w:t xml:space="preserve"> This suspension has </w:t>
      </w:r>
      <w:r w:rsidRPr="008D569A">
        <w:rPr>
          <w:rFonts w:ascii="Times New Roman" w:hAnsi="Times New Roman" w:cs="Times New Roman"/>
          <w:sz w:val="24"/>
          <w:szCs w:val="24"/>
          <w:lang w:val="en-US"/>
        </w:rPr>
        <w:lastRenderedPageBreak/>
        <w:t>been in effect since 2019 and remains in place at the time of this report. The decision effectively halted a critical pipeline for increasing gender diversity within the police force and has further entrenched the underrepresentation of women in law enforcement roles.</w:t>
      </w:r>
    </w:p>
    <w:p w14:paraId="00000019" w14:textId="77777777" w:rsidR="00DF3619" w:rsidRPr="008D569A" w:rsidRDefault="00DF3619" w:rsidP="00D66FEF">
      <w:pPr>
        <w:jc w:val="thaiDistribute"/>
        <w:rPr>
          <w:rFonts w:ascii="Times New Roman" w:hAnsi="Times New Roman" w:cs="Times New Roman"/>
          <w:sz w:val="24"/>
          <w:szCs w:val="24"/>
          <w:lang w:val="en-US"/>
        </w:rPr>
      </w:pPr>
    </w:p>
    <w:p w14:paraId="0000001A" w14:textId="77777777" w:rsidR="00DF3619" w:rsidRPr="008D569A" w:rsidRDefault="00000000" w:rsidP="00D66FEF">
      <w:pPr>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The impact of this policy is far-reaching. Without adequate numbers of trained female officers, police institutions are structurally unprepared to meet the needs of women survivors of sexual and gender-based violence (GBV). This gap not only undermines survivors’ rights to fair and sensitive treatment but also signals a lack of institutional commitment to gender equality within law enforcement agencies. In turn, it discourages reporting, weakens case outcomes, and erodes public confidence in the criminal justice system.</w:t>
      </w:r>
    </w:p>
    <w:p w14:paraId="0000001B" w14:textId="77777777" w:rsidR="00DF3619" w:rsidRPr="008D569A" w:rsidRDefault="00DF3619" w:rsidP="00D66FEF">
      <w:pPr>
        <w:jc w:val="thaiDistribute"/>
        <w:rPr>
          <w:rFonts w:ascii="Times New Roman" w:hAnsi="Times New Roman" w:cs="Times New Roman"/>
          <w:sz w:val="24"/>
          <w:szCs w:val="24"/>
          <w:lang w:val="en-US"/>
        </w:rPr>
      </w:pPr>
    </w:p>
    <w:p w14:paraId="0000001C" w14:textId="77777777" w:rsidR="00DF3619" w:rsidRPr="008D569A" w:rsidRDefault="00000000" w:rsidP="00D66FEF">
      <w:pPr>
        <w:jc w:val="thaiDistribute"/>
        <w:rPr>
          <w:rFonts w:ascii="Times New Roman" w:hAnsi="Times New Roman" w:cs="Times New Roman"/>
          <w:sz w:val="24"/>
          <w:szCs w:val="24"/>
        </w:rPr>
      </w:pPr>
      <w:r w:rsidRPr="008D569A">
        <w:rPr>
          <w:rFonts w:ascii="Times New Roman" w:hAnsi="Times New Roman" w:cs="Times New Roman"/>
          <w:sz w:val="24"/>
          <w:szCs w:val="24"/>
        </w:rPr>
        <w:t>Recommendation:</w:t>
      </w:r>
    </w:p>
    <w:p w14:paraId="0000001D" w14:textId="77777777" w:rsidR="00DF3619" w:rsidRPr="008D569A" w:rsidRDefault="00000000" w:rsidP="00D66FEF">
      <w:pPr>
        <w:numPr>
          <w:ilvl w:val="0"/>
          <w:numId w:val="4"/>
        </w:numPr>
        <w:spacing w:before="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The Royal Thai Police should urgently reinstate the recruitment and entrance examination process for female police officers and civilian women seeking admission to the Royal Police Cadet Academy. </w:t>
      </w:r>
    </w:p>
    <w:p w14:paraId="0000001E" w14:textId="77777777" w:rsidR="00DF3619" w:rsidRPr="008D569A" w:rsidRDefault="00000000" w:rsidP="00D66FEF">
      <w:pPr>
        <w:numPr>
          <w:ilvl w:val="0"/>
          <w:numId w:val="4"/>
        </w:numPr>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The Royal Thai police should undertake a comprehensive review and reform of existing police training curricula to incorporate gender-based violence and its legal, psychological, and socio-cultural dimensions. </w:t>
      </w:r>
    </w:p>
    <w:p w14:paraId="0000001F" w14:textId="64DA593A" w:rsidR="00DF3619" w:rsidRPr="008D569A" w:rsidRDefault="00000000" w:rsidP="00D66FEF">
      <w:pPr>
        <w:numPr>
          <w:ilvl w:val="0"/>
          <w:numId w:val="4"/>
        </w:numPr>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Officers should be equipped with the knowledge and skills to conduct trauma-informed interviews and apply survivor-</w:t>
      </w:r>
      <w:proofErr w:type="spellStart"/>
      <w:r w:rsidRPr="008D569A">
        <w:rPr>
          <w:rFonts w:ascii="Times New Roman" w:hAnsi="Times New Roman" w:cs="Times New Roman"/>
          <w:sz w:val="24"/>
          <w:szCs w:val="24"/>
          <w:lang w:val="en-US"/>
        </w:rPr>
        <w:t>centred</w:t>
      </w:r>
      <w:proofErr w:type="spellEnd"/>
      <w:r w:rsidRPr="008D569A">
        <w:rPr>
          <w:rFonts w:ascii="Times New Roman" w:hAnsi="Times New Roman" w:cs="Times New Roman"/>
          <w:sz w:val="24"/>
          <w:szCs w:val="24"/>
          <w:lang w:val="en-US"/>
        </w:rPr>
        <w:t xml:space="preserve"> approaches throughout the investigative and judicial process.</w:t>
      </w:r>
    </w:p>
    <w:p w14:paraId="00000020" w14:textId="77777777" w:rsidR="00DF3619" w:rsidRPr="008D569A" w:rsidRDefault="00000000" w:rsidP="00D66FEF">
      <w:pPr>
        <w:numPr>
          <w:ilvl w:val="0"/>
          <w:numId w:val="4"/>
        </w:numPr>
        <w:spacing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Ongoing in-service training and evaluation mechanisms should be established to ensure that officers maintain high standards of gender sensitivity and accountability in practice.</w:t>
      </w:r>
    </w:p>
    <w:p w14:paraId="00000021" w14:textId="77777777" w:rsidR="00DF3619" w:rsidRPr="008D569A" w:rsidRDefault="00000000" w:rsidP="00D66FEF">
      <w:pPr>
        <w:jc w:val="thaiDistribute"/>
        <w:rPr>
          <w:rFonts w:ascii="Times New Roman" w:hAnsi="Times New Roman" w:cs="Times New Roman"/>
          <w:b/>
          <w:sz w:val="24"/>
          <w:szCs w:val="24"/>
          <w:lang w:val="en-US"/>
        </w:rPr>
      </w:pPr>
      <w:r w:rsidRPr="008D569A">
        <w:rPr>
          <w:rFonts w:ascii="Times New Roman" w:hAnsi="Times New Roman" w:cs="Times New Roman"/>
          <w:b/>
          <w:sz w:val="24"/>
          <w:szCs w:val="24"/>
          <w:lang w:val="en-US"/>
        </w:rPr>
        <w:t>Barriers to accessing the justice system for female survivors with disabilities</w:t>
      </w:r>
    </w:p>
    <w:p w14:paraId="00000022"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Women with disabilities who experience gender-based violence (GBV) face multiple and intersecting forms of discrimination that severely limit their access to justice and support services. These challenges stem not only from gender inequality but also from ableism embedded in societal attitudes, legal processes, and infrastructure.</w:t>
      </w:r>
    </w:p>
    <w:p w14:paraId="00000023"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Criminal justice proceedings in Thailand rely heavily on documentation, creating barriers for persons with disabilities. Despite this, the state has not established formal policies or allocated trained personnel to support disabled survivors through the justice process, making it largely inaccessible.</w:t>
      </w:r>
    </w:p>
    <w:p w14:paraId="00000024"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Accessing state compensation, such as through the </w:t>
      </w:r>
      <w:r w:rsidRPr="008D569A">
        <w:rPr>
          <w:rFonts w:ascii="Times New Roman" w:hAnsi="Times New Roman" w:cs="Times New Roman"/>
          <w:i/>
          <w:sz w:val="24"/>
          <w:szCs w:val="24"/>
          <w:lang w:val="en-US"/>
        </w:rPr>
        <w:t>Damages for the Injured Person and Compensation and Expense for the Accused in Criminal Cases Act B.E. 2544 (2001)</w:t>
      </w:r>
      <w:r w:rsidRPr="008D569A">
        <w:rPr>
          <w:rFonts w:ascii="Times New Roman" w:hAnsi="Times New Roman" w:cs="Times New Roman"/>
          <w:sz w:val="24"/>
          <w:szCs w:val="24"/>
          <w:lang w:val="en-US"/>
        </w:rPr>
        <w:t>, is also fraught with obstacles. Survivors face limited access to information in accessible formats, complex bureaucratic requirements, and a lack of assistance in completing applications. The absence of follow-up systems further excludes many from receiving the support they are entitled to.</w:t>
      </w:r>
    </w:p>
    <w:p w14:paraId="00000025" w14:textId="37C692CB"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lastRenderedPageBreak/>
        <w:t>These compounded barriers hinder access to the Justice Fund and reinforce patterns of exclusion. Comprehensive reforms</w:t>
      </w:r>
      <w:r w:rsidR="006E5F2D">
        <w:rPr>
          <w:rFonts w:ascii="Times New Roman" w:hAnsi="Times New Roman" w:cs="Times New Roman"/>
          <w:sz w:val="24"/>
          <w:szCs w:val="24"/>
          <w:lang w:val="en-US"/>
        </w:rPr>
        <w:t xml:space="preserve">, </w:t>
      </w:r>
      <w:r w:rsidRPr="008D569A">
        <w:rPr>
          <w:rFonts w:ascii="Times New Roman" w:hAnsi="Times New Roman" w:cs="Times New Roman"/>
          <w:sz w:val="24"/>
          <w:szCs w:val="24"/>
          <w:lang w:val="en-US"/>
        </w:rPr>
        <w:t>including disability-inclusive policies, accessible information, simplified procedures, and dedicated support staff</w:t>
      </w:r>
      <w:r w:rsidR="006E5F2D">
        <w:rPr>
          <w:rFonts w:ascii="Times New Roman" w:hAnsi="Times New Roman" w:cs="Times New Roman"/>
          <w:sz w:val="24"/>
          <w:szCs w:val="24"/>
          <w:lang w:val="en-US"/>
        </w:rPr>
        <w:t xml:space="preserve">, </w:t>
      </w:r>
      <w:r w:rsidRPr="008D569A">
        <w:rPr>
          <w:rFonts w:ascii="Times New Roman" w:hAnsi="Times New Roman" w:cs="Times New Roman"/>
          <w:sz w:val="24"/>
          <w:szCs w:val="24"/>
          <w:lang w:val="en-US"/>
        </w:rPr>
        <w:t>are urgently needed to ensure survivors with disabilities can equitably access justice and recovery services.</w:t>
      </w:r>
    </w:p>
    <w:p w14:paraId="2D1B10C7" w14:textId="36B59B64" w:rsidR="00D66FEF"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Feminist Legal Support (FLS) has directly encountered these barriers through its legal representation of a blind woman who survived gender-based violence. In this case, the lack of accessible documentation, particularly the absence of materials in Braille, significantly complicated the survivor’s ability to understand legal procedures, review case files, and participate meaningfully in her case. Despite these challenges, and with FLS’s dedicated support, the survivor bravely navigated the justice system and ultimately won the case at the First Instance Court. However, the process remained retraumatising and disempowering due to systemic inaccessibility. This experience </w:t>
      </w:r>
      <w:r w:rsidR="006E5F2D">
        <w:rPr>
          <w:rFonts w:ascii="Times New Roman" w:hAnsi="Times New Roman" w:cs="Times New Roman"/>
          <w:sz w:val="24"/>
          <w:szCs w:val="24"/>
          <w:lang w:val="en-US"/>
        </w:rPr>
        <w:t>highlights</w:t>
      </w:r>
      <w:r w:rsidRPr="008D569A">
        <w:rPr>
          <w:rFonts w:ascii="Times New Roman" w:hAnsi="Times New Roman" w:cs="Times New Roman"/>
          <w:sz w:val="24"/>
          <w:szCs w:val="24"/>
          <w:lang w:val="en-US"/>
        </w:rPr>
        <w:t xml:space="preserve"> the urgent need for disability-inclusive reforms in the justice system, including accessible legal materials, trained personnel, and survivor-</w:t>
      </w:r>
      <w:proofErr w:type="spellStart"/>
      <w:r w:rsidRPr="008D569A">
        <w:rPr>
          <w:rFonts w:ascii="Times New Roman" w:hAnsi="Times New Roman" w:cs="Times New Roman"/>
          <w:sz w:val="24"/>
          <w:szCs w:val="24"/>
          <w:lang w:val="en-US"/>
        </w:rPr>
        <w:t>centred</w:t>
      </w:r>
      <w:proofErr w:type="spellEnd"/>
      <w:r w:rsidRPr="008D569A">
        <w:rPr>
          <w:rFonts w:ascii="Times New Roman" w:hAnsi="Times New Roman" w:cs="Times New Roman"/>
          <w:sz w:val="24"/>
          <w:szCs w:val="24"/>
          <w:lang w:val="en-US"/>
        </w:rPr>
        <w:t xml:space="preserve"> accommodations to ensure equitable access to justice for all.</w:t>
      </w:r>
    </w:p>
    <w:p w14:paraId="00000027" w14:textId="55C9785B"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rPr>
        <w:t xml:space="preserve">Recommendation: </w:t>
      </w:r>
    </w:p>
    <w:p w14:paraId="00000028" w14:textId="77777777" w:rsidR="00DF3619" w:rsidRPr="008D569A" w:rsidRDefault="00000000" w:rsidP="00D66FEF">
      <w:pPr>
        <w:numPr>
          <w:ilvl w:val="0"/>
          <w:numId w:val="1"/>
        </w:numPr>
        <w:spacing w:before="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The state must prioritise the development of inclusive and accessible services to accommodate various forms of disability. For example, sign language interpreters, the availability of Braille documents and large-print materials, and the integration of assistive communication technologies.</w:t>
      </w:r>
    </w:p>
    <w:p w14:paraId="00000029" w14:textId="77777777" w:rsidR="00DF3619" w:rsidRPr="008D569A" w:rsidRDefault="00000000" w:rsidP="00D66FEF">
      <w:pPr>
        <w:numPr>
          <w:ilvl w:val="0"/>
          <w:numId w:val="1"/>
        </w:numPr>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The state should allocate dedicated personnel whose primary responsibility is to support persons with disabilities throughout the justice system.</w:t>
      </w:r>
    </w:p>
    <w:p w14:paraId="0000002A" w14:textId="77777777" w:rsidR="00DF3619" w:rsidRPr="008D569A" w:rsidRDefault="00000000" w:rsidP="00D66FEF">
      <w:pPr>
        <w:numPr>
          <w:ilvl w:val="0"/>
          <w:numId w:val="1"/>
        </w:numPr>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Officials must undergo training on the rights of persons with disabilities and on working approaches that respect the dignity of individuals with disabilities.</w:t>
      </w:r>
    </w:p>
    <w:p w14:paraId="0000002B" w14:textId="77777777" w:rsidR="00DF3619" w:rsidRPr="008D569A" w:rsidRDefault="00000000" w:rsidP="00D66FEF">
      <w:pPr>
        <w:numPr>
          <w:ilvl w:val="0"/>
          <w:numId w:val="1"/>
        </w:numPr>
        <w:spacing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Specific assistance measures must be established to address the structural exclusion of disabled survivors from state support mechanisms. This includes revising and streamlining the procedures for accessing the Justice Fund and compensation under the relevant legal frameworks.</w:t>
      </w:r>
    </w:p>
    <w:p w14:paraId="0000002C" w14:textId="77777777" w:rsidR="00DF3619" w:rsidRPr="008D569A" w:rsidRDefault="00000000" w:rsidP="00D66FEF">
      <w:pPr>
        <w:spacing w:before="240" w:after="240"/>
        <w:jc w:val="thaiDistribute"/>
        <w:rPr>
          <w:rFonts w:ascii="Times New Roman" w:hAnsi="Times New Roman" w:cs="Times New Roman"/>
          <w:b/>
          <w:sz w:val="24"/>
          <w:szCs w:val="24"/>
          <w:lang w:val="en-US"/>
        </w:rPr>
      </w:pPr>
      <w:r w:rsidRPr="008D569A">
        <w:rPr>
          <w:rFonts w:ascii="Times New Roman" w:hAnsi="Times New Roman" w:cs="Times New Roman"/>
          <w:b/>
          <w:sz w:val="24"/>
          <w:szCs w:val="24"/>
          <w:lang w:val="en-US"/>
        </w:rPr>
        <w:t>The absence of a mandated gender quota within the judiciary and prosecutorial system</w:t>
      </w:r>
    </w:p>
    <w:p w14:paraId="0000002D"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In gender-based violence (GBV) cases in Thailand, there is currently no legal or institutional mandate requiring the inclusion of female judges or prosecutors in judicial or prosecutorial panels. This absence of gender representation standards within the justice system raises critical concerns about the judiciary’s and prosecution service’s ability to address the complex, gendered dimensions of GBV with the necessary degree of sensitivity, understanding, and impartiality. Given that the overwhelming majority of GBV survivors are women, whose experiences are shaped by deeply embedded social, cultural, and legal inequalities, the composition of judicial and prosecutorial bodies plays a decisive role in shaping not only case outcomes but also survivor experiences within the justice process.</w:t>
      </w:r>
    </w:p>
    <w:p w14:paraId="0000002E" w14:textId="279DF8DD"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The lack of female representation in these decision-making roles is particularly troubling in a legal environment that fails to account for how gender dynamics, trauma, and stigma affect </w:t>
      </w:r>
      <w:r w:rsidRPr="008D569A">
        <w:rPr>
          <w:rFonts w:ascii="Times New Roman" w:hAnsi="Times New Roman" w:cs="Times New Roman"/>
          <w:sz w:val="24"/>
          <w:szCs w:val="24"/>
          <w:lang w:val="en-US"/>
        </w:rPr>
        <w:lastRenderedPageBreak/>
        <w:t>both the reporting and adjudication of GBV cases. Survivors often confront institutional bias, victim-blaming attitudes, and procedural practices that overlook or minimise the severity and impact of the violence they have endured. The presence of female legal professionals has been shown in numerous contexts to contribute to more empathetic, balanced, and survivor-</w:t>
      </w:r>
      <w:proofErr w:type="spellStart"/>
      <w:r w:rsidRPr="008D569A">
        <w:rPr>
          <w:rFonts w:ascii="Times New Roman" w:hAnsi="Times New Roman" w:cs="Times New Roman"/>
          <w:sz w:val="24"/>
          <w:szCs w:val="24"/>
          <w:lang w:val="en-US"/>
        </w:rPr>
        <w:t>centred</w:t>
      </w:r>
      <w:proofErr w:type="spellEnd"/>
      <w:r w:rsidRPr="008D569A">
        <w:rPr>
          <w:rFonts w:ascii="Times New Roman" w:hAnsi="Times New Roman" w:cs="Times New Roman"/>
          <w:sz w:val="24"/>
          <w:szCs w:val="24"/>
          <w:lang w:val="en-US"/>
        </w:rPr>
        <w:t xml:space="preserve"> proceedings. Female judges and prosecutors are more likely to recognise and respond to the nuances of GBV, challenge prevailing gender stereotypes, and promote a courtroom environment that upholds the dignity and credibility of survivors.</w:t>
      </w:r>
    </w:p>
    <w:p w14:paraId="0000002F"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Despite this, Thailand’s current legal framework does not support gender diversity in adjudicative roles. Under the </w:t>
      </w:r>
      <w:r w:rsidRPr="008D569A">
        <w:rPr>
          <w:rFonts w:ascii="Times New Roman" w:hAnsi="Times New Roman" w:cs="Times New Roman"/>
          <w:i/>
          <w:sz w:val="24"/>
          <w:szCs w:val="24"/>
          <w:lang w:val="en-US"/>
        </w:rPr>
        <w:t>Law for the Organisation of the Court of Justice Act B.E. 2562 (2019)</w:t>
      </w:r>
      <w:r w:rsidRPr="008D569A">
        <w:rPr>
          <w:rFonts w:ascii="Times New Roman" w:hAnsi="Times New Roman" w:cs="Times New Roman"/>
          <w:sz w:val="24"/>
          <w:szCs w:val="24"/>
          <w:lang w:val="en-US"/>
        </w:rPr>
        <w:t>, there is no provision mandating the inclusion or quota of female judges. Consequently, judges are predominantly filled by men, reflecting entrenched gender disparities within the Thai judiciary. The underrepresentation of women at this critical level of decision-making limits the diversity of perspectives and weakens the justice system’s responsiveness to GBV cases.</w:t>
      </w:r>
    </w:p>
    <w:p w14:paraId="00000030" w14:textId="657728BD"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The absence of similar provisions in the prosecutorial system</w:t>
      </w:r>
      <w:r w:rsidR="006E5F2D">
        <w:rPr>
          <w:rFonts w:ascii="Times New Roman" w:hAnsi="Times New Roman" w:cs="Times New Roman"/>
          <w:sz w:val="24"/>
          <w:szCs w:val="24"/>
          <w:lang w:val="en-US"/>
        </w:rPr>
        <w:t xml:space="preserve"> further compounds this concern</w:t>
      </w:r>
      <w:r w:rsidRPr="008D569A">
        <w:rPr>
          <w:rFonts w:ascii="Times New Roman" w:hAnsi="Times New Roman" w:cs="Times New Roman"/>
          <w:sz w:val="24"/>
          <w:szCs w:val="24"/>
          <w:lang w:val="en-US"/>
        </w:rPr>
        <w:t xml:space="preserve">. According to the </w:t>
      </w:r>
      <w:r w:rsidRPr="008D569A">
        <w:rPr>
          <w:rFonts w:ascii="Times New Roman" w:hAnsi="Times New Roman" w:cs="Times New Roman"/>
          <w:i/>
          <w:color w:val="202122"/>
          <w:sz w:val="24"/>
          <w:szCs w:val="24"/>
          <w:highlight w:val="white"/>
          <w:lang w:val="en-US"/>
        </w:rPr>
        <w:t>Public Prosecution Institution and Public Prosecutors</w:t>
      </w:r>
      <w:r w:rsidRPr="008D569A">
        <w:rPr>
          <w:rFonts w:ascii="Times New Roman" w:hAnsi="Times New Roman" w:cs="Times New Roman"/>
          <w:i/>
          <w:sz w:val="24"/>
          <w:szCs w:val="24"/>
          <w:lang w:val="en-US"/>
        </w:rPr>
        <w:t xml:space="preserve"> B.E. 2553 (2010)</w:t>
      </w:r>
      <w:r w:rsidRPr="008D569A">
        <w:rPr>
          <w:rFonts w:ascii="Times New Roman" w:hAnsi="Times New Roman" w:cs="Times New Roman"/>
          <w:sz w:val="24"/>
          <w:szCs w:val="24"/>
          <w:lang w:val="en-US"/>
        </w:rPr>
        <w:t xml:space="preserve">, there is no requirement to assign female prosecutors to GBV cases. As a result, female survivors may be required to engage with male prosecutors who have not received adequate training in gender-sensitive or trauma-informed approaches. This can lead to inappropriate questioning, misinterpretation of survivor </w:t>
      </w:r>
      <w:proofErr w:type="spellStart"/>
      <w:r w:rsidRPr="008D569A">
        <w:rPr>
          <w:rFonts w:ascii="Times New Roman" w:hAnsi="Times New Roman" w:cs="Times New Roman"/>
          <w:sz w:val="24"/>
          <w:szCs w:val="24"/>
          <w:lang w:val="en-US"/>
        </w:rPr>
        <w:t>behavio</w:t>
      </w:r>
      <w:r w:rsidR="006E5F2D">
        <w:rPr>
          <w:rFonts w:ascii="Times New Roman" w:hAnsi="Times New Roman" w:cs="Times New Roman"/>
          <w:sz w:val="24"/>
          <w:szCs w:val="24"/>
          <w:lang w:val="en-US"/>
        </w:rPr>
        <w:t>u</w:t>
      </w:r>
      <w:r w:rsidRPr="008D569A">
        <w:rPr>
          <w:rFonts w:ascii="Times New Roman" w:hAnsi="Times New Roman" w:cs="Times New Roman"/>
          <w:sz w:val="24"/>
          <w:szCs w:val="24"/>
          <w:lang w:val="en-US"/>
        </w:rPr>
        <w:t>r</w:t>
      </w:r>
      <w:proofErr w:type="spellEnd"/>
      <w:r w:rsidRPr="008D569A">
        <w:rPr>
          <w:rFonts w:ascii="Times New Roman" w:hAnsi="Times New Roman" w:cs="Times New Roman"/>
          <w:sz w:val="24"/>
          <w:szCs w:val="24"/>
          <w:lang w:val="en-US"/>
        </w:rPr>
        <w:t>, and reluctance to pursue cases that do not align with narrow evidentiary standards or social expectations. Without institutional frameworks that promote gender balance and encourage survivor-</w:t>
      </w:r>
      <w:proofErr w:type="spellStart"/>
      <w:r w:rsidRPr="008D569A">
        <w:rPr>
          <w:rFonts w:ascii="Times New Roman" w:hAnsi="Times New Roman" w:cs="Times New Roman"/>
          <w:sz w:val="24"/>
          <w:szCs w:val="24"/>
          <w:lang w:val="en-US"/>
        </w:rPr>
        <w:t>centred</w:t>
      </w:r>
      <w:proofErr w:type="spellEnd"/>
      <w:r w:rsidRPr="008D569A">
        <w:rPr>
          <w:rFonts w:ascii="Times New Roman" w:hAnsi="Times New Roman" w:cs="Times New Roman"/>
          <w:sz w:val="24"/>
          <w:szCs w:val="24"/>
          <w:lang w:val="en-US"/>
        </w:rPr>
        <w:t xml:space="preserve"> practices, the prosecutorial process risks reinforcing the very inequalities it should aim to challenge.</w:t>
      </w:r>
    </w:p>
    <w:p w14:paraId="00000031"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The combined effect of these structural gaps is a justice system that often fails to deliver fair, comprehensive, and survivor-sensitive outcomes in GBV cases. The gender insensitivity of some judges and prosecutors, coupled with a lack of institutional accountability mechanisms, contributes to case dismissals, lenient sentencing, and retraumatisation of survivors. These shortcomings erode public trust in the legal system and discourage many women from coming forward to report violence, perpetuating cycles of silence and impunity.</w:t>
      </w:r>
    </w:p>
    <w:p w14:paraId="00000032" w14:textId="77777777" w:rsidR="00DF3619" w:rsidRPr="008D569A" w:rsidRDefault="00000000" w:rsidP="00D66FEF">
      <w:pPr>
        <w:spacing w:before="240" w:after="240"/>
        <w:jc w:val="thaiDistribute"/>
        <w:rPr>
          <w:rFonts w:ascii="Times New Roman" w:hAnsi="Times New Roman" w:cs="Times New Roman"/>
          <w:sz w:val="24"/>
          <w:szCs w:val="24"/>
        </w:rPr>
      </w:pPr>
      <w:r w:rsidRPr="008D569A">
        <w:rPr>
          <w:rFonts w:ascii="Times New Roman" w:hAnsi="Times New Roman" w:cs="Times New Roman"/>
          <w:sz w:val="24"/>
          <w:szCs w:val="24"/>
        </w:rPr>
        <w:t xml:space="preserve">Recommendation: </w:t>
      </w:r>
    </w:p>
    <w:p w14:paraId="00000033" w14:textId="77777777" w:rsidR="00DF3619" w:rsidRPr="008D569A" w:rsidRDefault="00000000" w:rsidP="00D66FEF">
      <w:pPr>
        <w:numPr>
          <w:ilvl w:val="0"/>
          <w:numId w:val="2"/>
        </w:numPr>
        <w:spacing w:before="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Gender quotas must be formally established for judicial panels adjudicating cases of sexual violence and gender-based violence (GBV). In cases where a single judge presides, the judge should be a woman. In panels comprising two judges, at least one must be a woman. For panels of three or more judges, no less than two-thirds should be female. </w:t>
      </w:r>
    </w:p>
    <w:p w14:paraId="00000034" w14:textId="77777777" w:rsidR="00DF3619" w:rsidRPr="008D569A" w:rsidRDefault="00000000" w:rsidP="00D66FEF">
      <w:pPr>
        <w:numPr>
          <w:ilvl w:val="0"/>
          <w:numId w:val="2"/>
        </w:numPr>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GBV cases should be assigned, wherever possible, to female prosecutors. </w:t>
      </w:r>
    </w:p>
    <w:p w14:paraId="00000036" w14:textId="5B5B4525" w:rsidR="00DF3619" w:rsidRPr="008D569A" w:rsidRDefault="00000000" w:rsidP="00D66FEF">
      <w:pPr>
        <w:numPr>
          <w:ilvl w:val="0"/>
          <w:numId w:val="2"/>
        </w:numPr>
        <w:spacing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Judges and prosecutors involved in </w:t>
      </w:r>
      <w:proofErr w:type="gramStart"/>
      <w:r w:rsidR="006E5F2D" w:rsidRPr="008D569A">
        <w:rPr>
          <w:rFonts w:ascii="Times New Roman" w:hAnsi="Times New Roman" w:cs="Times New Roman"/>
          <w:sz w:val="24"/>
          <w:szCs w:val="24"/>
          <w:lang w:val="en-US"/>
        </w:rPr>
        <w:t>GBV</w:t>
      </w:r>
      <w:proofErr w:type="gramEnd"/>
      <w:r w:rsidRPr="008D569A">
        <w:rPr>
          <w:rFonts w:ascii="Times New Roman" w:hAnsi="Times New Roman" w:cs="Times New Roman"/>
          <w:sz w:val="24"/>
          <w:szCs w:val="24"/>
          <w:lang w:val="en-US"/>
        </w:rPr>
        <w:t xml:space="preserve"> and sexual violence cases should undergo mandatory training </w:t>
      </w:r>
      <w:r w:rsidR="006E5F2D">
        <w:rPr>
          <w:rFonts w:ascii="Times New Roman" w:hAnsi="Times New Roman" w:cs="Times New Roman"/>
          <w:sz w:val="24"/>
          <w:szCs w:val="24"/>
          <w:lang w:val="en-US"/>
        </w:rPr>
        <w:t>i</w:t>
      </w:r>
      <w:r w:rsidRPr="008D569A">
        <w:rPr>
          <w:rFonts w:ascii="Times New Roman" w:hAnsi="Times New Roman" w:cs="Times New Roman"/>
          <w:sz w:val="24"/>
          <w:szCs w:val="24"/>
          <w:lang w:val="en-US"/>
        </w:rPr>
        <w:t xml:space="preserve">n gender-sensitive legal practices. This training should be </w:t>
      </w:r>
      <w:r w:rsidR="006E5F2D">
        <w:rPr>
          <w:rFonts w:ascii="Times New Roman" w:hAnsi="Times New Roman" w:cs="Times New Roman"/>
          <w:sz w:val="24"/>
          <w:szCs w:val="24"/>
          <w:lang w:val="en-US"/>
        </w:rPr>
        <w:t>bas</w:t>
      </w:r>
      <w:r w:rsidRPr="008D569A">
        <w:rPr>
          <w:rFonts w:ascii="Times New Roman" w:hAnsi="Times New Roman" w:cs="Times New Roman"/>
          <w:sz w:val="24"/>
          <w:szCs w:val="24"/>
          <w:lang w:val="en-US"/>
        </w:rPr>
        <w:t xml:space="preserve">ed </w:t>
      </w:r>
      <w:r w:rsidR="006E5F2D">
        <w:rPr>
          <w:rFonts w:ascii="Times New Roman" w:hAnsi="Times New Roman" w:cs="Times New Roman"/>
          <w:sz w:val="24"/>
          <w:szCs w:val="24"/>
          <w:lang w:val="en-US"/>
        </w:rPr>
        <w:t>o</w:t>
      </w:r>
      <w:r w:rsidRPr="008D569A">
        <w:rPr>
          <w:rFonts w:ascii="Times New Roman" w:hAnsi="Times New Roman" w:cs="Times New Roman"/>
          <w:sz w:val="24"/>
          <w:szCs w:val="24"/>
          <w:lang w:val="en-US"/>
        </w:rPr>
        <w:t>n a Survivor-</w:t>
      </w:r>
      <w:proofErr w:type="spellStart"/>
      <w:r w:rsidRPr="008D569A">
        <w:rPr>
          <w:rFonts w:ascii="Times New Roman" w:hAnsi="Times New Roman" w:cs="Times New Roman"/>
          <w:sz w:val="24"/>
          <w:szCs w:val="24"/>
          <w:lang w:val="en-US"/>
        </w:rPr>
        <w:t>Centred</w:t>
      </w:r>
      <w:proofErr w:type="spellEnd"/>
      <w:r w:rsidRPr="008D569A">
        <w:rPr>
          <w:rFonts w:ascii="Times New Roman" w:hAnsi="Times New Roman" w:cs="Times New Roman"/>
          <w:sz w:val="24"/>
          <w:szCs w:val="24"/>
          <w:lang w:val="en-US"/>
        </w:rPr>
        <w:t xml:space="preserve"> Approach.</w:t>
      </w:r>
    </w:p>
    <w:p w14:paraId="00000037" w14:textId="77777777" w:rsidR="00DF3619" w:rsidRPr="008D569A" w:rsidRDefault="00000000" w:rsidP="00D66FEF">
      <w:pPr>
        <w:spacing w:before="240" w:after="240"/>
        <w:jc w:val="thaiDistribute"/>
        <w:rPr>
          <w:rFonts w:ascii="Times New Roman" w:hAnsi="Times New Roman" w:cs="Times New Roman"/>
          <w:b/>
          <w:sz w:val="24"/>
          <w:szCs w:val="24"/>
          <w:lang w:val="en-US"/>
        </w:rPr>
      </w:pPr>
      <w:r w:rsidRPr="008D569A">
        <w:rPr>
          <w:rFonts w:ascii="Times New Roman" w:hAnsi="Times New Roman" w:cs="Times New Roman"/>
          <w:b/>
          <w:sz w:val="24"/>
          <w:szCs w:val="24"/>
          <w:lang w:val="en-US"/>
        </w:rPr>
        <w:lastRenderedPageBreak/>
        <w:t>The right to receive information and communication related to GBV cases</w:t>
      </w:r>
    </w:p>
    <w:p w14:paraId="00000038"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A key barrier to justice for survivors of gender-based violence (GBV) in Thailand is the lack of timely and transparent communication regarding the status of their cases. Survivors frequently report that law enforcement officials do not inform them of how their cases are progressing, resulting in significant uncertainty and distress. This lack of information can lead to feelings of exclusion and powerlessness, further compounding the trauma already experienced.</w:t>
      </w:r>
    </w:p>
    <w:p w14:paraId="00000039" w14:textId="77777777" w:rsidR="00DF3619" w:rsidRPr="008D569A" w:rsidRDefault="00000000" w:rsidP="00D66FEF">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Once a case is transferred to the Office of the Prosecutor, survivors often remain uninformed about the next steps in the legal process. There is a notable absence of coordinated communication between relevant authorities and survivors, which undermines their ability to participate meaningfully in the proceedings. In many instances, prosecutors do not engage survivors in preparing the case before trial, leaving them unprepared and unsupported during critical stages of the justice process.</w:t>
      </w:r>
    </w:p>
    <w:p w14:paraId="0000003A" w14:textId="59076139" w:rsidR="00DF3619" w:rsidRPr="008D569A" w:rsidRDefault="00000000" w:rsidP="00B70DA7">
      <w:pPr>
        <w:spacing w:before="240"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This lack of coordination, communication, and survivor involvement not only weakens the integrity of the legal process but also erodes trust in the justice system. To ensure survivor-</w:t>
      </w:r>
      <w:proofErr w:type="spellStart"/>
      <w:r w:rsidRPr="008D569A">
        <w:rPr>
          <w:rFonts w:ascii="Times New Roman" w:hAnsi="Times New Roman" w:cs="Times New Roman"/>
          <w:sz w:val="24"/>
          <w:szCs w:val="24"/>
          <w:lang w:val="en-US"/>
        </w:rPr>
        <w:t>centred</w:t>
      </w:r>
      <w:proofErr w:type="spellEnd"/>
      <w:r w:rsidR="00B70DA7">
        <w:rPr>
          <w:rFonts w:ascii="Times New Roman" w:hAnsi="Times New Roman" w:cs="Times New Roman"/>
          <w:sz w:val="24"/>
          <w:szCs w:val="24"/>
          <w:lang w:val="en-US"/>
        </w:rPr>
        <w:t xml:space="preserve"> </w:t>
      </w:r>
      <w:r w:rsidRPr="008D569A">
        <w:rPr>
          <w:rFonts w:ascii="Times New Roman" w:hAnsi="Times New Roman" w:cs="Times New Roman"/>
          <w:sz w:val="24"/>
          <w:szCs w:val="24"/>
          <w:lang w:val="en-US"/>
        </w:rPr>
        <w:t>justice, law enforcement and prosecutorial bodies</w:t>
      </w:r>
      <w:r w:rsidR="006E5F2D">
        <w:rPr>
          <w:rFonts w:ascii="Times New Roman" w:hAnsi="Times New Roman" w:cs="Times New Roman"/>
          <w:sz w:val="24"/>
          <w:szCs w:val="24"/>
          <w:lang w:val="en-US"/>
        </w:rPr>
        <w:t xml:space="preserve"> must</w:t>
      </w:r>
      <w:r w:rsidRPr="008D569A">
        <w:rPr>
          <w:rFonts w:ascii="Times New Roman" w:hAnsi="Times New Roman" w:cs="Times New Roman"/>
          <w:sz w:val="24"/>
          <w:szCs w:val="24"/>
          <w:lang w:val="en-US"/>
        </w:rPr>
        <w:t xml:space="preserve"> establish systematic mechanisms for providing regular case updates, involve survivors in pre-trial preparations, and uphold their right to be informed and engaged throughout the judicial process.</w:t>
      </w:r>
    </w:p>
    <w:p w14:paraId="0000003B" w14:textId="77777777" w:rsidR="00DF3619" w:rsidRPr="008D569A" w:rsidRDefault="00000000" w:rsidP="00D66FEF">
      <w:pPr>
        <w:spacing w:before="240" w:after="240"/>
        <w:jc w:val="thaiDistribute"/>
        <w:rPr>
          <w:rFonts w:ascii="Times New Roman" w:hAnsi="Times New Roman" w:cs="Times New Roman"/>
          <w:sz w:val="24"/>
          <w:szCs w:val="24"/>
        </w:rPr>
      </w:pPr>
      <w:r w:rsidRPr="008D569A">
        <w:rPr>
          <w:rFonts w:ascii="Times New Roman" w:hAnsi="Times New Roman" w:cs="Times New Roman"/>
          <w:sz w:val="24"/>
          <w:szCs w:val="24"/>
        </w:rPr>
        <w:t>Recommendation:</w:t>
      </w:r>
    </w:p>
    <w:p w14:paraId="0000003C" w14:textId="77777777" w:rsidR="00DF3619" w:rsidRPr="008D569A" w:rsidRDefault="00000000" w:rsidP="00D66FEF">
      <w:pPr>
        <w:numPr>
          <w:ilvl w:val="0"/>
          <w:numId w:val="3"/>
        </w:numPr>
        <w:spacing w:before="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Police officers should be mandated to provide regular updates on the status of investigations and any significant developments in the case. </w:t>
      </w:r>
    </w:p>
    <w:p w14:paraId="0000003D" w14:textId="74BCA30C" w:rsidR="00DF3619" w:rsidRPr="008D569A" w:rsidRDefault="00000000" w:rsidP="00D66FEF">
      <w:pPr>
        <w:numPr>
          <w:ilvl w:val="0"/>
          <w:numId w:val="3"/>
        </w:numPr>
        <w:spacing w:after="240"/>
        <w:jc w:val="thaiDistribute"/>
        <w:rPr>
          <w:rFonts w:ascii="Times New Roman" w:hAnsi="Times New Roman" w:cs="Times New Roman"/>
          <w:sz w:val="24"/>
          <w:szCs w:val="24"/>
          <w:lang w:val="en-US"/>
        </w:rPr>
      </w:pPr>
      <w:r w:rsidRPr="008D569A">
        <w:rPr>
          <w:rFonts w:ascii="Times New Roman" w:hAnsi="Times New Roman" w:cs="Times New Roman"/>
          <w:sz w:val="24"/>
          <w:szCs w:val="24"/>
          <w:lang w:val="en-US"/>
        </w:rPr>
        <w:t xml:space="preserve">Prosecutors must proactively coordinate with survivors </w:t>
      </w:r>
      <w:r w:rsidR="006E5F2D">
        <w:rPr>
          <w:rFonts w:ascii="Times New Roman" w:hAnsi="Times New Roman" w:cs="Times New Roman"/>
          <w:sz w:val="24"/>
          <w:szCs w:val="24"/>
          <w:lang w:val="en-US"/>
        </w:rPr>
        <w:t>before</w:t>
      </w:r>
      <w:r w:rsidRPr="008D569A">
        <w:rPr>
          <w:rFonts w:ascii="Times New Roman" w:hAnsi="Times New Roman" w:cs="Times New Roman"/>
          <w:sz w:val="24"/>
          <w:szCs w:val="24"/>
          <w:lang w:val="en-US"/>
        </w:rPr>
        <w:t xml:space="preserve"> trial proceedings, ensuring that survivors are not left unprepared or unsupported when giving testimony or participating in court proceedings.</w:t>
      </w:r>
    </w:p>
    <w:p w14:paraId="0000003E" w14:textId="77777777" w:rsidR="00DF3619" w:rsidRPr="008D569A" w:rsidRDefault="00DF3619" w:rsidP="00D66FEF">
      <w:pPr>
        <w:spacing w:before="240" w:after="240"/>
        <w:jc w:val="thaiDistribute"/>
        <w:rPr>
          <w:rFonts w:ascii="Times New Roman" w:hAnsi="Times New Roman" w:cs="Times New Roman"/>
          <w:sz w:val="24"/>
          <w:szCs w:val="24"/>
          <w:lang w:val="en-US"/>
        </w:rPr>
      </w:pPr>
    </w:p>
    <w:p w14:paraId="0000003F" w14:textId="77777777" w:rsidR="00DF3619" w:rsidRPr="008D569A" w:rsidRDefault="00DF3619" w:rsidP="00D66FEF">
      <w:pPr>
        <w:spacing w:before="240" w:after="240"/>
        <w:jc w:val="thaiDistribute"/>
        <w:rPr>
          <w:rFonts w:ascii="Times New Roman" w:hAnsi="Times New Roman" w:cs="Times New Roman"/>
          <w:sz w:val="24"/>
          <w:szCs w:val="24"/>
          <w:lang w:val="en-US"/>
        </w:rPr>
      </w:pPr>
    </w:p>
    <w:p w14:paraId="00000040" w14:textId="77777777" w:rsidR="00DF3619" w:rsidRPr="008D569A" w:rsidRDefault="00DF3619" w:rsidP="00D66FEF">
      <w:pPr>
        <w:spacing w:before="240" w:after="240"/>
        <w:jc w:val="thaiDistribute"/>
        <w:rPr>
          <w:rFonts w:ascii="Times New Roman" w:hAnsi="Times New Roman" w:cs="Times New Roman"/>
          <w:sz w:val="24"/>
          <w:szCs w:val="24"/>
          <w:lang w:val="en-US"/>
        </w:rPr>
      </w:pPr>
    </w:p>
    <w:p w14:paraId="00000041" w14:textId="77777777" w:rsidR="00DF3619" w:rsidRPr="008D569A" w:rsidRDefault="00DF3619" w:rsidP="00D66FEF">
      <w:pPr>
        <w:spacing w:before="240" w:after="240"/>
        <w:jc w:val="thaiDistribute"/>
        <w:rPr>
          <w:rFonts w:ascii="Times New Roman" w:hAnsi="Times New Roman" w:cs="Times New Roman"/>
          <w:sz w:val="24"/>
          <w:szCs w:val="24"/>
          <w:lang w:val="en-US"/>
        </w:rPr>
      </w:pPr>
    </w:p>
    <w:p w14:paraId="00000042" w14:textId="77777777" w:rsidR="00DF3619" w:rsidRPr="008D569A" w:rsidRDefault="00DF3619" w:rsidP="00D66FEF">
      <w:pPr>
        <w:jc w:val="thaiDistribute"/>
        <w:rPr>
          <w:rFonts w:ascii="Times New Roman" w:hAnsi="Times New Roman" w:cs="Times New Roman"/>
          <w:sz w:val="24"/>
          <w:szCs w:val="24"/>
          <w:lang w:val="en-US"/>
        </w:rPr>
      </w:pPr>
    </w:p>
    <w:sectPr w:rsidR="00DF3619" w:rsidRPr="008D569A">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BDA21" w14:textId="77777777" w:rsidR="001D74BA" w:rsidRDefault="001D74BA">
      <w:pPr>
        <w:spacing w:line="240" w:lineRule="auto"/>
      </w:pPr>
      <w:r>
        <w:separator/>
      </w:r>
    </w:p>
  </w:endnote>
  <w:endnote w:type="continuationSeparator" w:id="0">
    <w:p w14:paraId="15381F3F" w14:textId="77777777" w:rsidR="001D74BA" w:rsidRDefault="001D74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B9C32" w14:textId="77777777" w:rsidR="001D74BA" w:rsidRDefault="001D74BA">
      <w:pPr>
        <w:spacing w:line="240" w:lineRule="auto"/>
      </w:pPr>
      <w:r>
        <w:separator/>
      </w:r>
    </w:p>
  </w:footnote>
  <w:footnote w:type="continuationSeparator" w:id="0">
    <w:p w14:paraId="1549419F" w14:textId="77777777" w:rsidR="001D74BA" w:rsidRDefault="001D74BA">
      <w:pPr>
        <w:spacing w:line="240" w:lineRule="auto"/>
      </w:pPr>
      <w:r>
        <w:continuationSeparator/>
      </w:r>
    </w:p>
  </w:footnote>
  <w:footnote w:id="1">
    <w:p w14:paraId="00000046" w14:textId="04613347" w:rsidR="00DF3619" w:rsidRPr="00D66FEF" w:rsidRDefault="00000000">
      <w:pPr>
        <w:spacing w:line="240" w:lineRule="auto"/>
        <w:rPr>
          <w:rFonts w:ascii="Times New Roman" w:hAnsi="Times New Roman" w:cs="Times New Roman"/>
          <w:sz w:val="20"/>
          <w:szCs w:val="20"/>
          <w:lang w:val="en-US"/>
        </w:rPr>
      </w:pPr>
      <w:r w:rsidRPr="00D66FEF">
        <w:rPr>
          <w:rFonts w:ascii="Times New Roman" w:hAnsi="Times New Roman" w:cs="Times New Roman"/>
          <w:vertAlign w:val="superscript"/>
        </w:rPr>
        <w:footnoteRef/>
      </w:r>
      <w:r w:rsidRPr="00D66FEF">
        <w:rPr>
          <w:rFonts w:ascii="Times New Roman" w:hAnsi="Times New Roman" w:cs="Times New Roman"/>
          <w:sz w:val="20"/>
          <w:szCs w:val="20"/>
          <w:lang w:val="en-US"/>
        </w:rPr>
        <w:t xml:space="preserve"> the Eighth periodic report submitted by Thailand under article 18 of the Convention, due in 2023</w:t>
      </w:r>
      <w:r w:rsidR="00D66FEF">
        <w:rPr>
          <w:rFonts w:ascii="Times New Roman" w:hAnsi="Times New Roman" w:cs="Times New Roman"/>
          <w:sz w:val="20"/>
          <w:szCs w:val="20"/>
          <w:lang w:val="en-US"/>
        </w:rPr>
        <w:t>.</w:t>
      </w:r>
    </w:p>
  </w:footnote>
  <w:footnote w:id="2">
    <w:p w14:paraId="00000043" w14:textId="1FF8ECCF" w:rsidR="00DF3619" w:rsidRPr="00D66FEF" w:rsidRDefault="00000000">
      <w:pPr>
        <w:spacing w:line="240" w:lineRule="auto"/>
        <w:rPr>
          <w:rFonts w:ascii="Times New Roman" w:hAnsi="Times New Roman" w:cs="Times New Roman"/>
          <w:sz w:val="20"/>
          <w:szCs w:val="20"/>
          <w:lang w:val="en-US"/>
        </w:rPr>
      </w:pPr>
      <w:r w:rsidRPr="00D66FEF">
        <w:rPr>
          <w:rFonts w:ascii="Times New Roman" w:hAnsi="Times New Roman" w:cs="Times New Roman"/>
          <w:vertAlign w:val="superscript"/>
        </w:rPr>
        <w:footnoteRef/>
      </w:r>
      <w:r w:rsidRPr="00D66FEF">
        <w:rPr>
          <w:rFonts w:ascii="Times New Roman" w:hAnsi="Times New Roman" w:cs="Times New Roman"/>
          <w:sz w:val="20"/>
          <w:szCs w:val="20"/>
          <w:lang w:val="en-US"/>
        </w:rPr>
        <w:t xml:space="preserve"> Article 133 of the Thai Criminal Code</w:t>
      </w:r>
      <w:r w:rsidR="00D66FEF">
        <w:rPr>
          <w:rFonts w:ascii="Times New Roman" w:hAnsi="Times New Roman" w:cs="Times New Roman"/>
          <w:sz w:val="20"/>
          <w:szCs w:val="20"/>
          <w:lang w:val="en-US"/>
        </w:rPr>
        <w:t>.</w:t>
      </w:r>
    </w:p>
  </w:footnote>
  <w:footnote w:id="3">
    <w:p w14:paraId="00000044" w14:textId="77777777" w:rsidR="00DF3619" w:rsidRPr="00D66FEF" w:rsidRDefault="00000000">
      <w:pPr>
        <w:spacing w:line="240" w:lineRule="auto"/>
        <w:jc w:val="both"/>
        <w:rPr>
          <w:rFonts w:ascii="Times New Roman" w:hAnsi="Times New Roman" w:cs="Times New Roman"/>
          <w:sz w:val="20"/>
          <w:szCs w:val="20"/>
          <w:lang w:val="en-US"/>
        </w:rPr>
      </w:pPr>
      <w:r w:rsidRPr="00D66FEF">
        <w:rPr>
          <w:rFonts w:ascii="Times New Roman" w:hAnsi="Times New Roman" w:cs="Times New Roman"/>
          <w:vertAlign w:val="superscript"/>
        </w:rPr>
        <w:footnoteRef/>
      </w:r>
      <w:r w:rsidRPr="00D66FEF">
        <w:rPr>
          <w:rFonts w:ascii="Times New Roman" w:hAnsi="Times New Roman" w:cs="Times New Roman"/>
          <w:sz w:val="20"/>
          <w:szCs w:val="20"/>
          <w:lang w:val="en-US"/>
        </w:rPr>
        <w:t xml:space="preserve"> August 28, 2018 – Announcement from the Royal Police Cadet Academy regarding the cancellation of allocated positions for the recruitment and entrance examination of female police officers and civilian women for admission to the Royal Police Cadet Academy for the 2019 academic year.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E5E59" w14:textId="4EFA9535" w:rsidR="00B93A28" w:rsidRDefault="00B93A28" w:rsidP="00B93A28">
    <w:pPr>
      <w:pStyle w:val="Header"/>
      <w:jc w:val="center"/>
    </w:pPr>
  </w:p>
  <w:p w14:paraId="02250C20" w14:textId="77777777" w:rsidR="00B93A28" w:rsidRDefault="00B93A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61FB"/>
    <w:multiLevelType w:val="multilevel"/>
    <w:tmpl w:val="6A4E9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7A953AC"/>
    <w:multiLevelType w:val="multilevel"/>
    <w:tmpl w:val="69BE2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DC11C6"/>
    <w:multiLevelType w:val="multilevel"/>
    <w:tmpl w:val="0B8E9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AB61F2C"/>
    <w:multiLevelType w:val="multilevel"/>
    <w:tmpl w:val="26DAE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67999616">
    <w:abstractNumId w:val="2"/>
  </w:num>
  <w:num w:numId="2" w16cid:durableId="185336669">
    <w:abstractNumId w:val="1"/>
  </w:num>
  <w:num w:numId="3" w16cid:durableId="922445985">
    <w:abstractNumId w:val="0"/>
  </w:num>
  <w:num w:numId="4" w16cid:durableId="156657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619"/>
    <w:rsid w:val="001D74BA"/>
    <w:rsid w:val="001E51DB"/>
    <w:rsid w:val="00452AD8"/>
    <w:rsid w:val="00485995"/>
    <w:rsid w:val="004E620E"/>
    <w:rsid w:val="006E5F2D"/>
    <w:rsid w:val="006E764F"/>
    <w:rsid w:val="008377E7"/>
    <w:rsid w:val="008D569A"/>
    <w:rsid w:val="00A1683D"/>
    <w:rsid w:val="00A979E2"/>
    <w:rsid w:val="00B70DA7"/>
    <w:rsid w:val="00B93A28"/>
    <w:rsid w:val="00BC4735"/>
    <w:rsid w:val="00C224DA"/>
    <w:rsid w:val="00D66FEF"/>
    <w:rsid w:val="00DF3619"/>
    <w:rsid w:val="00FE35BA"/>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052A1"/>
  <w15:docId w15:val="{5620738A-B8D4-9E4A-9423-B84DACE7D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h"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52AD8"/>
    <w:pPr>
      <w:tabs>
        <w:tab w:val="center" w:pos="4680"/>
        <w:tab w:val="right" w:pos="9360"/>
      </w:tabs>
      <w:spacing w:line="240" w:lineRule="auto"/>
    </w:pPr>
    <w:rPr>
      <w:rFonts w:cs="Cordia New"/>
      <w:szCs w:val="28"/>
    </w:rPr>
  </w:style>
  <w:style w:type="character" w:customStyle="1" w:styleId="HeaderChar">
    <w:name w:val="Header Char"/>
    <w:basedOn w:val="DefaultParagraphFont"/>
    <w:link w:val="Header"/>
    <w:uiPriority w:val="99"/>
    <w:rsid w:val="00452AD8"/>
    <w:rPr>
      <w:rFonts w:cs="Cordia New"/>
      <w:szCs w:val="28"/>
    </w:rPr>
  </w:style>
  <w:style w:type="paragraph" w:styleId="Footer">
    <w:name w:val="footer"/>
    <w:basedOn w:val="Normal"/>
    <w:link w:val="FooterChar"/>
    <w:uiPriority w:val="99"/>
    <w:unhideWhenUsed/>
    <w:rsid w:val="00452AD8"/>
    <w:pPr>
      <w:tabs>
        <w:tab w:val="center" w:pos="4680"/>
        <w:tab w:val="right" w:pos="9360"/>
      </w:tabs>
      <w:spacing w:line="240" w:lineRule="auto"/>
    </w:pPr>
    <w:rPr>
      <w:rFonts w:cs="Cordia New"/>
      <w:szCs w:val="28"/>
    </w:rPr>
  </w:style>
  <w:style w:type="character" w:customStyle="1" w:styleId="FooterChar">
    <w:name w:val="Footer Char"/>
    <w:basedOn w:val="DefaultParagraphFont"/>
    <w:link w:val="Footer"/>
    <w:uiPriority w:val="99"/>
    <w:rsid w:val="00452AD8"/>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Thararat Panya</cp:lastModifiedBy>
  <cp:revision>5</cp:revision>
  <cp:lastPrinted>2025-05-18T15:30:00Z</cp:lastPrinted>
  <dcterms:created xsi:type="dcterms:W3CDTF">2025-05-18T15:30:00Z</dcterms:created>
  <dcterms:modified xsi:type="dcterms:W3CDTF">2025-05-18T16:22:00Z</dcterms:modified>
</cp:coreProperties>
</file>