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324" w:rsidRDefault="00D22324" w:rsidP="00D22324">
      <w:pPr>
        <w:tabs>
          <w:tab w:val="left" w:pos="720"/>
        </w:tabs>
        <w:suppressAutoHyphens/>
        <w:spacing w:line="276" w:lineRule="auto"/>
        <w:jc w:val="center"/>
        <w:rPr>
          <w:rFonts w:eastAsia="Droid Sans Fallback"/>
          <w:b/>
          <w:bCs/>
          <w:color w:val="00000A"/>
          <w:kern w:val="1"/>
          <w:lang w:val="es-AR"/>
        </w:rPr>
      </w:pPr>
      <w:bookmarkStart w:id="0" w:name="_GoBack"/>
      <w:bookmarkEnd w:id="0"/>
    </w:p>
    <w:p w:rsidR="00D22324" w:rsidRDefault="00D22324" w:rsidP="00D22324">
      <w:pPr>
        <w:tabs>
          <w:tab w:val="left" w:pos="720"/>
        </w:tabs>
        <w:suppressAutoHyphens/>
        <w:spacing w:line="276" w:lineRule="auto"/>
        <w:jc w:val="center"/>
        <w:rPr>
          <w:rFonts w:eastAsia="Droid Sans Fallback"/>
          <w:b/>
          <w:bCs/>
          <w:color w:val="00000A"/>
          <w:kern w:val="1"/>
          <w:lang w:val="es-AR"/>
        </w:rPr>
      </w:pPr>
    </w:p>
    <w:p w:rsidR="00B27609" w:rsidRDefault="00B27609" w:rsidP="00D22324">
      <w:pPr>
        <w:tabs>
          <w:tab w:val="left" w:pos="720"/>
        </w:tabs>
        <w:suppressAutoHyphens/>
        <w:spacing w:line="276" w:lineRule="auto"/>
        <w:jc w:val="center"/>
        <w:rPr>
          <w:rFonts w:eastAsia="Droid Sans Fallback"/>
          <w:b/>
          <w:bCs/>
          <w:color w:val="00000A"/>
          <w:kern w:val="1"/>
          <w:sz w:val="24"/>
          <w:szCs w:val="24"/>
          <w:lang w:val="es-AR"/>
        </w:rPr>
      </w:pPr>
    </w:p>
    <w:p w:rsidR="00D22324" w:rsidRPr="00B27609" w:rsidRDefault="00D22324" w:rsidP="00D22324">
      <w:pPr>
        <w:tabs>
          <w:tab w:val="left" w:pos="720"/>
        </w:tabs>
        <w:suppressAutoHyphens/>
        <w:spacing w:line="276" w:lineRule="auto"/>
        <w:jc w:val="center"/>
        <w:rPr>
          <w:rFonts w:eastAsia="Droid Sans Fallback"/>
          <w:b/>
          <w:bCs/>
          <w:color w:val="00000A"/>
          <w:kern w:val="1"/>
          <w:sz w:val="24"/>
          <w:szCs w:val="24"/>
          <w:lang w:val="es-AR"/>
        </w:rPr>
      </w:pPr>
      <w:r w:rsidRPr="00B27609">
        <w:rPr>
          <w:rFonts w:eastAsia="Droid Sans Fallback"/>
          <w:b/>
          <w:bCs/>
          <w:color w:val="00000A"/>
          <w:kern w:val="1"/>
          <w:sz w:val="24"/>
          <w:szCs w:val="24"/>
          <w:lang w:val="es-AR"/>
        </w:rPr>
        <w:t>EVALUACIÓN SOBRE EL CUMPLIMIENTO DE LA CONVENCIÓN CONTRA LA TORTURA  Y OTROS TRATOS O PENAS CRUELES, INHUMANOS O DEGRADANTES EN ARGENTINA EN EL MARCO DE LA CONSIDERACIÓN DEL REPORTE DEL ESTADO PRESENTADO ANTE EL COMITÉ CONTRA LA TORTURA</w:t>
      </w:r>
    </w:p>
    <w:p w:rsidR="00D22324" w:rsidRPr="00B27609" w:rsidRDefault="00D22324" w:rsidP="00D22324">
      <w:pPr>
        <w:tabs>
          <w:tab w:val="left" w:pos="720"/>
        </w:tabs>
        <w:suppressAutoHyphens/>
        <w:spacing w:line="276" w:lineRule="auto"/>
        <w:jc w:val="center"/>
        <w:rPr>
          <w:rFonts w:eastAsia="Droid Sans Fallback"/>
          <w:color w:val="00000A"/>
          <w:kern w:val="1"/>
          <w:sz w:val="24"/>
          <w:szCs w:val="24"/>
          <w:lang w:val="es-ES"/>
        </w:rPr>
      </w:pPr>
      <w:r w:rsidRPr="00B27609">
        <w:rPr>
          <w:rFonts w:eastAsia="Droid Sans Fallback"/>
          <w:b/>
          <w:bCs/>
          <w:color w:val="00000A"/>
          <w:kern w:val="1"/>
          <w:sz w:val="24"/>
          <w:szCs w:val="24"/>
          <w:lang w:val="es-AR"/>
        </w:rPr>
        <w:t>60vo PERÍODO DE SESIONES</w:t>
      </w:r>
    </w:p>
    <w:p w:rsidR="00D22324" w:rsidRPr="00D22324" w:rsidRDefault="00D22324" w:rsidP="00D22324">
      <w:pPr>
        <w:tabs>
          <w:tab w:val="left" w:pos="720"/>
        </w:tabs>
        <w:suppressAutoHyphens/>
        <w:spacing w:line="276" w:lineRule="auto"/>
        <w:jc w:val="center"/>
        <w:rPr>
          <w:rFonts w:eastAsia="Droid Sans Fallback"/>
          <w:color w:val="00000A"/>
          <w:kern w:val="1"/>
          <w:lang w:val="es-ES"/>
        </w:rPr>
      </w:pPr>
    </w:p>
    <w:p w:rsidR="00D22324" w:rsidRPr="00D22324" w:rsidRDefault="00D22324" w:rsidP="00D22324">
      <w:pPr>
        <w:tabs>
          <w:tab w:val="left" w:pos="720"/>
        </w:tabs>
        <w:suppressAutoHyphens/>
        <w:spacing w:line="276" w:lineRule="auto"/>
        <w:jc w:val="center"/>
        <w:rPr>
          <w:rFonts w:eastAsia="Droid Sans Fallback"/>
          <w:b/>
          <w:bCs/>
          <w:color w:val="00000A"/>
          <w:kern w:val="1"/>
          <w:lang w:val="es-AR"/>
        </w:rPr>
      </w:pPr>
    </w:p>
    <w:p w:rsidR="00B27609" w:rsidRDefault="00B27609" w:rsidP="00D22324">
      <w:pPr>
        <w:tabs>
          <w:tab w:val="left" w:pos="720"/>
        </w:tabs>
        <w:suppressAutoHyphens/>
        <w:spacing w:line="276" w:lineRule="auto"/>
        <w:jc w:val="center"/>
        <w:rPr>
          <w:rFonts w:eastAsia="Droid Sans Fallback"/>
          <w:b/>
          <w:bCs/>
          <w:color w:val="00000A"/>
          <w:kern w:val="1"/>
          <w:sz w:val="28"/>
          <w:szCs w:val="28"/>
          <w:lang w:val="es-AR"/>
        </w:rPr>
      </w:pPr>
    </w:p>
    <w:p w:rsidR="00D22324" w:rsidRPr="00B27609" w:rsidRDefault="00D22324" w:rsidP="00D22324">
      <w:pPr>
        <w:tabs>
          <w:tab w:val="left" w:pos="720"/>
        </w:tabs>
        <w:suppressAutoHyphens/>
        <w:spacing w:line="276" w:lineRule="auto"/>
        <w:jc w:val="center"/>
        <w:rPr>
          <w:rFonts w:eastAsia="Droid Sans Fallback"/>
          <w:b/>
          <w:bCs/>
          <w:color w:val="00000A"/>
          <w:kern w:val="1"/>
          <w:sz w:val="28"/>
          <w:szCs w:val="28"/>
          <w:lang w:val="es-AR"/>
        </w:rPr>
      </w:pPr>
      <w:r w:rsidRPr="00B27609">
        <w:rPr>
          <w:rFonts w:eastAsia="Droid Sans Fallback"/>
          <w:b/>
          <w:bCs/>
          <w:color w:val="00000A"/>
          <w:kern w:val="1"/>
          <w:sz w:val="28"/>
          <w:szCs w:val="28"/>
          <w:lang w:val="es-AR"/>
        </w:rPr>
        <w:t>Informe alternativo</w:t>
      </w:r>
    </w:p>
    <w:p w:rsidR="00D22324" w:rsidRPr="00B27609" w:rsidRDefault="00D22324" w:rsidP="00D22324">
      <w:pPr>
        <w:tabs>
          <w:tab w:val="left" w:pos="720"/>
        </w:tabs>
        <w:suppressAutoHyphens/>
        <w:spacing w:line="276" w:lineRule="auto"/>
        <w:jc w:val="center"/>
        <w:rPr>
          <w:rFonts w:eastAsia="Droid Sans Fallback"/>
          <w:b/>
          <w:bCs/>
          <w:color w:val="00000A"/>
          <w:kern w:val="1"/>
          <w:sz w:val="28"/>
          <w:szCs w:val="28"/>
          <w:lang w:val="es-AR"/>
        </w:rPr>
      </w:pPr>
      <w:r w:rsidRPr="00B27609">
        <w:rPr>
          <w:rFonts w:eastAsia="Droid Sans Fallback"/>
          <w:b/>
          <w:bCs/>
          <w:color w:val="00000A"/>
          <w:kern w:val="1"/>
          <w:sz w:val="28"/>
          <w:szCs w:val="28"/>
          <w:lang w:val="es-AR"/>
        </w:rPr>
        <w:t>Cátedra de Criminología y Control Social</w:t>
      </w:r>
    </w:p>
    <w:p w:rsidR="00D22324" w:rsidRPr="00B27609" w:rsidRDefault="00D22324" w:rsidP="00D22324">
      <w:pPr>
        <w:tabs>
          <w:tab w:val="left" w:pos="720"/>
        </w:tabs>
        <w:suppressAutoHyphens/>
        <w:spacing w:line="276" w:lineRule="auto"/>
        <w:jc w:val="center"/>
        <w:rPr>
          <w:rFonts w:eastAsia="Droid Sans Fallback"/>
          <w:b/>
          <w:bCs/>
          <w:color w:val="00000A"/>
          <w:kern w:val="1"/>
          <w:sz w:val="28"/>
          <w:szCs w:val="28"/>
          <w:lang w:val="es-AR"/>
        </w:rPr>
      </w:pPr>
      <w:r w:rsidRPr="00B27609">
        <w:rPr>
          <w:rFonts w:eastAsia="Droid Sans Fallback"/>
          <w:b/>
          <w:bCs/>
          <w:color w:val="00000A"/>
          <w:kern w:val="1"/>
          <w:sz w:val="28"/>
          <w:szCs w:val="28"/>
          <w:lang w:val="es-AR"/>
        </w:rPr>
        <w:t>Facultad de Derecho</w:t>
      </w:r>
    </w:p>
    <w:p w:rsidR="00D22324" w:rsidRPr="00B27609" w:rsidRDefault="00D22324" w:rsidP="00D22324">
      <w:pPr>
        <w:tabs>
          <w:tab w:val="left" w:pos="720"/>
        </w:tabs>
        <w:suppressAutoHyphens/>
        <w:spacing w:line="276" w:lineRule="auto"/>
        <w:jc w:val="center"/>
        <w:rPr>
          <w:rFonts w:eastAsia="Droid Sans Fallback"/>
          <w:b/>
          <w:bCs/>
          <w:color w:val="00000A"/>
          <w:kern w:val="1"/>
          <w:sz w:val="28"/>
          <w:szCs w:val="28"/>
          <w:lang w:val="es-AR"/>
        </w:rPr>
      </w:pPr>
      <w:r w:rsidRPr="00B27609">
        <w:rPr>
          <w:rFonts w:eastAsia="Droid Sans Fallback"/>
          <w:b/>
          <w:bCs/>
          <w:color w:val="00000A"/>
          <w:kern w:val="1"/>
          <w:sz w:val="28"/>
          <w:szCs w:val="28"/>
          <w:lang w:val="es-AR"/>
        </w:rPr>
        <w:t>Universidad Nacional de Rosario</w:t>
      </w:r>
    </w:p>
    <w:p w:rsidR="00D22324" w:rsidRPr="00B27609" w:rsidRDefault="00D22324" w:rsidP="00D22324">
      <w:pPr>
        <w:tabs>
          <w:tab w:val="left" w:pos="720"/>
        </w:tabs>
        <w:suppressAutoHyphens/>
        <w:spacing w:line="276" w:lineRule="auto"/>
        <w:jc w:val="center"/>
        <w:rPr>
          <w:rFonts w:eastAsia="Droid Sans Fallback"/>
          <w:color w:val="00000A"/>
          <w:kern w:val="1"/>
          <w:sz w:val="24"/>
          <w:szCs w:val="24"/>
          <w:lang w:val="es-AR"/>
        </w:rPr>
      </w:pPr>
    </w:p>
    <w:p w:rsidR="00B27609" w:rsidRDefault="00B27609" w:rsidP="00D22324">
      <w:pPr>
        <w:tabs>
          <w:tab w:val="left" w:pos="720"/>
        </w:tabs>
        <w:suppressAutoHyphens/>
        <w:spacing w:line="276" w:lineRule="auto"/>
        <w:jc w:val="both"/>
        <w:rPr>
          <w:rFonts w:eastAsia="Droid Sans Fallback"/>
          <w:color w:val="00000A"/>
          <w:kern w:val="1"/>
          <w:sz w:val="24"/>
          <w:szCs w:val="24"/>
          <w:lang w:val="es-AR"/>
        </w:rPr>
      </w:pPr>
    </w:p>
    <w:p w:rsidR="00B27609" w:rsidRDefault="00B27609"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Estimadas/os expertas/os del Comité Contra la Tortura de la ONU: </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widowControl/>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Nos dirigimos Uds. en representación de la Cátedra de Criminología y Control Social de la Facultad de Derecho de la Universidad Nacional de Rosario (en adelante, Cátedra de Criminología)</w:t>
      </w:r>
      <w:r w:rsidR="00B27609">
        <w:rPr>
          <w:rFonts w:eastAsia="Droid Sans Fallback"/>
          <w:color w:val="00000A"/>
          <w:kern w:val="1"/>
          <w:sz w:val="24"/>
          <w:szCs w:val="24"/>
          <w:lang w:val="es-AR"/>
        </w:rPr>
        <w:t xml:space="preserve"> </w:t>
      </w:r>
      <w:r w:rsidRPr="00B27609">
        <w:rPr>
          <w:rFonts w:eastAsia="Droid Sans Fallback"/>
          <w:color w:val="00000A"/>
          <w:kern w:val="1"/>
          <w:sz w:val="24"/>
          <w:szCs w:val="24"/>
          <w:lang w:val="es-AR"/>
        </w:rPr>
        <w:t xml:space="preserve">y en cumplimiento de sus funciones de investigación y extensión. La Cátedra de </w:t>
      </w:r>
      <w:r w:rsidR="00B27609" w:rsidRPr="00B27609">
        <w:rPr>
          <w:rFonts w:eastAsia="Droid Sans Fallback"/>
          <w:color w:val="00000A"/>
          <w:kern w:val="1"/>
          <w:sz w:val="24"/>
          <w:szCs w:val="24"/>
          <w:lang w:val="es-AR"/>
        </w:rPr>
        <w:t>Criminología</w:t>
      </w:r>
      <w:r w:rsidRPr="00B27609">
        <w:rPr>
          <w:rFonts w:eastAsia="Droid Sans Fallback"/>
          <w:color w:val="00000A"/>
          <w:kern w:val="1"/>
          <w:sz w:val="24"/>
          <w:szCs w:val="24"/>
          <w:lang w:val="es-AR"/>
        </w:rPr>
        <w:t xml:space="preserve"> cuenta con más de 15 años de experiencia de investigación en temas de violencia institucional, violencia altamente letal entre y contra jóvenes, políticas de seguridad comunitarias y multiagenciales. Y ha colaborado con el Centro de Estudios Legales y Sociales (en adelante, CELS) en diversos proyectos en los últimos diez años, fundamentalmente sobre violencia policial y reforma de las fuerzas de seguridad.</w:t>
      </w:r>
    </w:p>
    <w:p w:rsidR="00D22324" w:rsidRPr="00B27609" w:rsidRDefault="00D22324" w:rsidP="00D22324">
      <w:pPr>
        <w:widowControl/>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 </w:t>
      </w:r>
    </w:p>
    <w:p w:rsidR="00D22324" w:rsidRPr="00B27609" w:rsidRDefault="00D22324" w:rsidP="00D22324">
      <w:pPr>
        <w:widowControl/>
        <w:tabs>
          <w:tab w:val="left" w:pos="720"/>
        </w:tabs>
        <w:suppressAutoHyphens/>
        <w:spacing w:line="276" w:lineRule="auto"/>
        <w:jc w:val="both"/>
        <w:rPr>
          <w:rFonts w:eastAsia="Droid Sans Fallback"/>
          <w:b/>
          <w:bCs/>
          <w:color w:val="00000A"/>
          <w:kern w:val="1"/>
          <w:sz w:val="24"/>
          <w:szCs w:val="24"/>
          <w:lang w:val="es-AR"/>
        </w:rPr>
      </w:pPr>
      <w:r w:rsidRPr="00B27609">
        <w:rPr>
          <w:rFonts w:eastAsia="Droid Sans Fallback"/>
          <w:color w:val="00000A"/>
          <w:kern w:val="1"/>
          <w:sz w:val="24"/>
          <w:szCs w:val="24"/>
          <w:lang w:val="es-AR"/>
        </w:rPr>
        <w:t>En cumplimiento de estas funciones y dada su larga trayectoria de más de dos décadas de investigación, docencia y extensión, sobre violencia institucional, reforma policial, políticas democráticas de seguridad y prevención de la tortura, entre otros, nos presentamos para aportar información sobre el cumplimiento de la Convención contra la Tortura  y Otros Tratos o Penas Crueles, Inhumanos o Degradantes en la provincia de Santa Fe en el marco de la consideración por parte del Comité contra la Tortura del reporte del Estado argentino en su 60 período de sesiones</w:t>
      </w:r>
      <w:r w:rsidRPr="00B27609">
        <w:rPr>
          <w:rFonts w:eastAsia="Droid Sans Fallback"/>
          <w:b/>
          <w:bCs/>
          <w:color w:val="00000A"/>
          <w:kern w:val="1"/>
          <w:sz w:val="24"/>
          <w:szCs w:val="24"/>
          <w:lang w:val="es-AR"/>
        </w:rPr>
        <w:t xml:space="preserve">. </w:t>
      </w:r>
    </w:p>
    <w:p w:rsidR="00D22324" w:rsidRPr="00B27609" w:rsidRDefault="00D22324" w:rsidP="00D22324">
      <w:pPr>
        <w:widowControl/>
        <w:tabs>
          <w:tab w:val="left" w:pos="720"/>
        </w:tabs>
        <w:suppressAutoHyphens/>
        <w:spacing w:line="276" w:lineRule="auto"/>
        <w:jc w:val="both"/>
        <w:rPr>
          <w:rFonts w:eastAsia="Droid Sans Fallback"/>
          <w:color w:val="00000A"/>
          <w:kern w:val="1"/>
          <w:sz w:val="24"/>
          <w:szCs w:val="24"/>
          <w:lang w:val="es-AR"/>
        </w:rPr>
      </w:pPr>
    </w:p>
    <w:p w:rsidR="00C05052"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El objetivo de esta presentación es poner a su disposición el informe alternativo </w:t>
      </w:r>
      <w:r w:rsidRPr="00B27609">
        <w:rPr>
          <w:rFonts w:eastAsia="Droid Sans Fallback"/>
          <w:color w:val="00000A"/>
          <w:kern w:val="1"/>
          <w:sz w:val="24"/>
          <w:szCs w:val="24"/>
          <w:lang w:val="es-AR"/>
        </w:rPr>
        <w:lastRenderedPageBreak/>
        <w:t>elaborado</w:t>
      </w:r>
      <w:r w:rsidRPr="00B27609">
        <w:rPr>
          <w:rFonts w:ascii="Cambria" w:eastAsia="Droid Sans Fallback" w:hAnsi="Cambria" w:cs="font285"/>
          <w:color w:val="00000A"/>
          <w:kern w:val="1"/>
          <w:sz w:val="24"/>
          <w:szCs w:val="24"/>
          <w:lang w:val="es-ES"/>
        </w:rPr>
        <w:t xml:space="preserve"> </w:t>
      </w:r>
      <w:r w:rsidRPr="00B27609">
        <w:rPr>
          <w:rFonts w:eastAsia="Droid Sans Fallback"/>
          <w:color w:val="00000A"/>
          <w:kern w:val="1"/>
          <w:sz w:val="24"/>
          <w:szCs w:val="24"/>
          <w:lang w:val="es-AR"/>
        </w:rPr>
        <w:t xml:space="preserve">por la Cátedra de Criminología, en el cual se da cuenta de los avances, retrocesos, falencias y omisiones del Estado argentino en relación a la Provincia de Santa Fe en cuanto a su obligación de respetar, garantizar y hacer efectivos los derechos contenidos en la Convención (artículo 2). Este informe alternativo tiene como finalidad complementar y particularizar informaciones referidas a la provincia de Santa Fe a la vez que ampliar y actualizar información con aspectos puntuales de las informaciones que oportunamente ese Comité recibió, vinculadas con el Estado Argentino y en particular con la provincia de Santa Fe para que pueda realizar un análisis más completo sobre los factores que inciden en el goce de los derechos contenidos en la Convención en especial en una de las </w:t>
      </w:r>
      <w:r w:rsidR="00C05052">
        <w:rPr>
          <w:rFonts w:eastAsia="Droid Sans Fallback"/>
          <w:color w:val="00000A"/>
          <w:kern w:val="1"/>
          <w:sz w:val="24"/>
          <w:szCs w:val="24"/>
          <w:lang w:val="es-AR"/>
        </w:rPr>
        <w:t>Provincia del Estado Argentino.</w:t>
      </w:r>
    </w:p>
    <w:p w:rsidR="00C05052" w:rsidRDefault="00C05052"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shd w:val="clear" w:color="auto" w:fill="FFFF00"/>
          <w:lang w:val="es-AR"/>
        </w:rPr>
      </w:pPr>
      <w:r w:rsidRPr="00B27609">
        <w:rPr>
          <w:rFonts w:eastAsia="Droid Sans Fallback"/>
          <w:color w:val="00000A"/>
          <w:kern w:val="1"/>
          <w:sz w:val="24"/>
          <w:szCs w:val="24"/>
          <w:lang w:val="es-AR"/>
        </w:rPr>
        <w:t>En este informe hacemos particular referencia a la situación de adolescentes. Asimismo, se presenta información sobre el grado de implementación del Protocolo Facultativo de la Convención Contra la Tortura, tanto de la situación de implementación en la Provincia de Santa Fe, como en Argentina (ya que Argentina optó por implementar un Sistema Nacional para la Prevención de la Tortura que requiere de implementación homogénea a nivel federal y de cada provincia).</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Por otro lado, se aporta información relevante sobre algunas de las cuestiones consideradas prioritarias por el Comité en su documento de fecha 2 de agosto de 2010 (CAT/C/ARG/5-6) que se relaciona en forma directa con la situación del cumplimiento de la Convención en la provincia de Santa Fe</w:t>
      </w:r>
      <w:r w:rsidR="00B27609" w:rsidRPr="00B27609">
        <w:rPr>
          <w:rFonts w:eastAsia="Droid Sans Fallback"/>
          <w:color w:val="00000A"/>
          <w:kern w:val="1"/>
          <w:sz w:val="24"/>
          <w:szCs w:val="24"/>
          <w:lang w:val="es-AR"/>
        </w:rPr>
        <w:t>-</w:t>
      </w:r>
    </w:p>
    <w:p w:rsidR="00B27609" w:rsidRPr="00B27609" w:rsidRDefault="00B27609"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Somos con</w:t>
      </w:r>
      <w:r w:rsidR="00C05052">
        <w:rPr>
          <w:rFonts w:eastAsia="Droid Sans Fallback"/>
          <w:color w:val="00000A"/>
          <w:kern w:val="1"/>
          <w:sz w:val="24"/>
          <w:szCs w:val="24"/>
          <w:lang w:val="es-AR"/>
        </w:rPr>
        <w:t>s</w:t>
      </w:r>
      <w:r w:rsidRPr="00B27609">
        <w:rPr>
          <w:rFonts w:eastAsia="Droid Sans Fallback"/>
          <w:color w:val="00000A"/>
          <w:kern w:val="1"/>
          <w:sz w:val="24"/>
          <w:szCs w:val="24"/>
          <w:lang w:val="es-AR"/>
        </w:rPr>
        <w:t xml:space="preserve">cientes de que la información incluida en el presente informe no agota la totalidad de las cuestiones de derechos humanos relevantes en la provincia de Santa Fe. Desde la Cátedra de Criminología esperamos que la información aportada en esta oportunidad resulte útil para evaluar la vigencia de los derechos consagrados en la Convención en Argentina y quedamos a vuestra disposición para ampliar o aclarar lo que estimen necesario. </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Atentamente, </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p>
    <w:p w:rsidR="00B27609" w:rsidRDefault="00B27609" w:rsidP="00D22324">
      <w:pPr>
        <w:tabs>
          <w:tab w:val="left" w:pos="720"/>
        </w:tabs>
        <w:suppressAutoHyphens/>
        <w:spacing w:line="276" w:lineRule="auto"/>
        <w:jc w:val="both"/>
        <w:rPr>
          <w:rFonts w:eastAsia="Droid Sans Fallback"/>
          <w:b/>
          <w:color w:val="00000A"/>
          <w:kern w:val="1"/>
          <w:lang w:val="es-AR"/>
        </w:rPr>
      </w:pPr>
    </w:p>
    <w:p w:rsidR="00B27609" w:rsidRDefault="00B27609" w:rsidP="00D22324">
      <w:pPr>
        <w:tabs>
          <w:tab w:val="left" w:pos="720"/>
        </w:tabs>
        <w:suppressAutoHyphens/>
        <w:spacing w:line="276" w:lineRule="auto"/>
        <w:jc w:val="both"/>
        <w:rPr>
          <w:rFonts w:eastAsia="Droid Sans Fallback"/>
          <w:b/>
          <w:color w:val="00000A"/>
          <w:kern w:val="1"/>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lang w:val="es-AR"/>
        </w:rPr>
      </w:pPr>
      <w:r w:rsidRPr="00B27609">
        <w:rPr>
          <w:rFonts w:eastAsia="Droid Sans Fallback"/>
          <w:b/>
          <w:color w:val="00000A"/>
          <w:kern w:val="1"/>
          <w:lang w:val="es-AR"/>
        </w:rPr>
        <w:t>Mag. Enrique Font</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Profesor Titular Interino de Criminología y Control Social</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Facultad de Derecho - Universidad Nacional de Rosario</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lang w:val="es-AR"/>
        </w:rPr>
      </w:pPr>
      <w:r w:rsidRPr="00B27609">
        <w:rPr>
          <w:rFonts w:eastAsia="Droid Sans Fallback"/>
          <w:b/>
          <w:color w:val="00000A"/>
          <w:kern w:val="1"/>
          <w:lang w:val="es-AR"/>
        </w:rPr>
        <w:t>Mag. Gabriel Ganón</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Profesor Adjunto de Criminología y Control Social</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Facultad de Derecho - Universidad Nacional de Rosario</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lang w:val="es-AR"/>
        </w:rPr>
      </w:pPr>
      <w:r w:rsidRPr="00B27609">
        <w:rPr>
          <w:rFonts w:eastAsia="Droid Sans Fallback"/>
          <w:b/>
          <w:color w:val="00000A"/>
          <w:kern w:val="1"/>
          <w:lang w:val="es-AR"/>
        </w:rPr>
        <w:t>Mag. Francisco Broglia</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Profesor Adjunto de Criminología y Control Social</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Facultad de Derecho - Universidad Nacional de Rosario</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lang w:val="es-AR"/>
        </w:rPr>
      </w:pPr>
      <w:r w:rsidRPr="00B27609">
        <w:rPr>
          <w:rFonts w:eastAsia="Droid Sans Fallback"/>
          <w:b/>
          <w:color w:val="00000A"/>
          <w:kern w:val="1"/>
          <w:lang w:val="es-AR"/>
        </w:rPr>
        <w:t>Mag. Eugenia Cozzi</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Jefa de Trabajos Prácticos de Criminología y Control Social</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Facultad de Derecho - Universidad Nacional de Rosario</w:t>
      </w:r>
      <w:r w:rsidRPr="00D22324">
        <w:rPr>
          <w:rFonts w:eastAsia="Droid Sans Fallback"/>
          <w:color w:val="00000A"/>
          <w:kern w:val="1"/>
          <w:lang w:val="es-AR"/>
        </w:rPr>
        <w:cr/>
      </w:r>
    </w:p>
    <w:p w:rsidR="00D22324" w:rsidRPr="00B27609" w:rsidRDefault="00D22324" w:rsidP="00D22324">
      <w:pPr>
        <w:tabs>
          <w:tab w:val="left" w:pos="720"/>
        </w:tabs>
        <w:suppressAutoHyphens/>
        <w:spacing w:line="276" w:lineRule="auto"/>
        <w:jc w:val="both"/>
        <w:rPr>
          <w:rFonts w:eastAsia="Droid Sans Fallback"/>
          <w:b/>
          <w:color w:val="00000A"/>
          <w:kern w:val="1"/>
          <w:lang w:val="es-AR"/>
        </w:rPr>
      </w:pPr>
      <w:r w:rsidRPr="00B27609">
        <w:rPr>
          <w:rFonts w:eastAsia="Droid Sans Fallback"/>
          <w:b/>
          <w:color w:val="00000A"/>
          <w:kern w:val="1"/>
          <w:lang w:val="es-AR"/>
        </w:rPr>
        <w:t xml:space="preserve">Abogada María Eugenia Mistura </w:t>
      </w:r>
    </w:p>
    <w:p w:rsidR="00D22324" w:rsidRPr="00D22324" w:rsidRDefault="00D22324" w:rsidP="00D22324">
      <w:pPr>
        <w:tabs>
          <w:tab w:val="left" w:pos="720"/>
        </w:tabs>
        <w:suppressAutoHyphens/>
        <w:spacing w:line="276" w:lineRule="auto"/>
        <w:jc w:val="both"/>
        <w:rPr>
          <w:rFonts w:eastAsia="Droid Sans Fallback"/>
          <w:color w:val="00000A"/>
          <w:kern w:val="1"/>
          <w:lang w:val="es-AR"/>
        </w:rPr>
      </w:pPr>
      <w:r w:rsidRPr="00D22324">
        <w:rPr>
          <w:rFonts w:eastAsia="Droid Sans Fallback"/>
          <w:color w:val="00000A"/>
          <w:kern w:val="1"/>
          <w:lang w:val="es-AR"/>
        </w:rPr>
        <w:t xml:space="preserve">Integrante de la Cátedra de Criminología y Control Social </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D22324">
        <w:rPr>
          <w:rFonts w:eastAsia="Droid Sans Fallback"/>
          <w:color w:val="00000A"/>
          <w:kern w:val="1"/>
          <w:lang w:val="es-AR"/>
        </w:rPr>
        <w:t>Facultad de Derecho - Universidad Nacional de Rosario</w:t>
      </w:r>
      <w:r w:rsidRPr="00D22324">
        <w:rPr>
          <w:rFonts w:eastAsia="Droid Sans Fallback"/>
          <w:color w:val="00000A"/>
          <w:kern w:val="1"/>
          <w:lang w:val="es-AR"/>
        </w:rPr>
        <w:cr/>
      </w:r>
      <w:r w:rsidRPr="00D22324">
        <w:rPr>
          <w:rFonts w:eastAsia="Droid Sans Fallback"/>
          <w:color w:val="00000A"/>
          <w:kern w:val="1"/>
          <w:lang w:val="es-AR"/>
        </w:rPr>
        <w:br w:type="page"/>
      </w:r>
      <w:r w:rsidRPr="00B27609">
        <w:rPr>
          <w:rFonts w:eastAsia="Droid Sans Fallback"/>
          <w:b/>
          <w:bCs/>
          <w:color w:val="00000A"/>
          <w:kern w:val="1"/>
          <w:sz w:val="24"/>
          <w:szCs w:val="24"/>
          <w:lang w:val="es-AR"/>
        </w:rPr>
        <w:lastRenderedPageBreak/>
        <w:t xml:space="preserve">I. PALABRAS PRELIMINARES </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p>
    <w:p w:rsidR="00D22324"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Como los/as expertos/as del Comité compartirán, la eficacia del mecanismo de evaluación periódica sobre el grado de cumplimiento de las obligaciones que emanan de la Convención depende, en gran medida, de la información con la que cuente el Comité a la hora de evaluar la situación en el país sujeto a examen. Al efecto, una de las fuentes principales de las que dispone el organismo es el informe que el propio Estado presenta en el marco del mecanismo de evaluación. De esta manera, es fundamental que el Estado aporte datos suficientes que permitan dar cuenta de la situación actual de cada uno de los derechos consagrados en este instrumento internacional. Sin embargo, los informes periódicos quinto y sexto que el Estado argentino presentó el 27 de noviembre de 2015 </w:t>
      </w:r>
      <w:r w:rsidR="00BD1B06" w:rsidRPr="00BD1B06">
        <w:rPr>
          <w:rFonts w:eastAsia="Droid Sans Fallback"/>
          <w:color w:val="00000A"/>
          <w:kern w:val="1"/>
          <w:sz w:val="24"/>
          <w:szCs w:val="24"/>
          <w:lang w:val="es-AR"/>
        </w:rPr>
        <w:t xml:space="preserve">carece de información precisa y detallada respecto de cada una de las provincias que lo integran. Por ese motivo, carece de solidez cuantitativa y cualitativa. Con este informe sobre la provincia de Santa Fe pretendemos contribuir a saldar parcialmente esa brecha.  </w:t>
      </w:r>
    </w:p>
    <w:p w:rsidR="00BD1B06" w:rsidRPr="00B27609" w:rsidRDefault="00BD1B06"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r w:rsidRPr="00B27609">
        <w:rPr>
          <w:rFonts w:eastAsia="Droid Sans Fallback"/>
          <w:color w:val="00000A"/>
          <w:kern w:val="1"/>
          <w:sz w:val="24"/>
          <w:szCs w:val="24"/>
          <w:lang w:val="es-AR"/>
        </w:rPr>
        <w:t xml:space="preserve">En este sentido, el informe del Estado contiene datos generales e imprecisos. En lo que a la provincia de Santa Fe se refiere presenta omisiones sustanciales que impiden diagnosticar la situación de los derechos humanos en la misma. Al respecto entonces, el Estado argentino informó incorrectamente en relación a la provincia de Santa Fe respecto de las solicitudes </w:t>
      </w:r>
      <w:r w:rsidR="00BD1B06" w:rsidRPr="00B27609">
        <w:rPr>
          <w:rFonts w:eastAsia="Droid Sans Fallback"/>
          <w:color w:val="00000A"/>
          <w:kern w:val="1"/>
          <w:sz w:val="24"/>
          <w:szCs w:val="24"/>
          <w:lang w:val="es-AR"/>
        </w:rPr>
        <w:t>específicas</w:t>
      </w:r>
      <w:r w:rsidRPr="00B27609">
        <w:rPr>
          <w:rFonts w:eastAsia="Droid Sans Fallback"/>
          <w:color w:val="00000A"/>
          <w:kern w:val="1"/>
          <w:sz w:val="24"/>
          <w:szCs w:val="24"/>
          <w:lang w:val="es-AR"/>
        </w:rPr>
        <w:t xml:space="preserve"> efectuadas por ese Comité. A su vez, la información aportada sobre las medidas adoptadas con miras a lograr la satisfacción de los derechos humanos en Argentina, nada </w:t>
      </w:r>
      <w:r w:rsidR="00BD1B06" w:rsidRPr="00B27609">
        <w:rPr>
          <w:rFonts w:eastAsia="Droid Sans Fallback"/>
          <w:color w:val="00000A"/>
          <w:kern w:val="1"/>
          <w:sz w:val="24"/>
          <w:szCs w:val="24"/>
          <w:lang w:val="es-AR"/>
        </w:rPr>
        <w:t>específica</w:t>
      </w:r>
      <w:r w:rsidRPr="00B27609">
        <w:rPr>
          <w:rFonts w:eastAsia="Droid Sans Fallback"/>
          <w:color w:val="00000A"/>
          <w:kern w:val="1"/>
          <w:sz w:val="24"/>
          <w:szCs w:val="24"/>
          <w:lang w:val="es-AR"/>
        </w:rPr>
        <w:t xml:space="preserve"> sobre la situación concreta en cada una de las provincias que lo integran y contiene como referíamos imprecisiones concretas sobre la vigencia de la Convención en el territorio provincial. En este sentido, pocas son las particularidades que relata sobre Santa Fe y sobre los aspectos puntuales que refieren a la provincia. La información es imprecisa e incompleta. No se presentan datos desagregados sobre la situación en cada una las provincias en los temas tratados. De esta manera, no queda claro cuál es el verdadero impacto de las medidas que se mencionan, ni cuál es su real ámbito de aplicación. En consecuencia, el informe </w:t>
      </w:r>
      <w:r w:rsidRPr="00B27609">
        <w:rPr>
          <w:rFonts w:eastAsia="Droid Sans Fallback"/>
          <w:b/>
          <w:bCs/>
          <w:color w:val="00000A"/>
          <w:kern w:val="1"/>
          <w:sz w:val="24"/>
          <w:szCs w:val="24"/>
          <w:lang w:val="es-AR"/>
        </w:rPr>
        <w:t>no aborda las particularidades de la Argentina como Estado federal y los desafíos que por ende enfrenta para el cumplimiento homogéneo de sus obligaciones internacionales en materia de derechos humanos</w:t>
      </w:r>
      <w:r w:rsidRPr="00B27609">
        <w:rPr>
          <w:rFonts w:eastAsia="Droid Sans Fallback"/>
          <w:color w:val="00000A"/>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color w:val="00000A"/>
          <w:kern w:val="1"/>
          <w:sz w:val="24"/>
          <w:szCs w:val="24"/>
          <w:lang w:val="es-AR"/>
        </w:rPr>
      </w:pPr>
    </w:p>
    <w:p w:rsidR="00D22324" w:rsidRPr="00B27609" w:rsidRDefault="00B27609" w:rsidP="00D22324">
      <w:pPr>
        <w:pageBreakBefore/>
        <w:tabs>
          <w:tab w:val="left" w:pos="720"/>
        </w:tabs>
        <w:suppressAutoHyphens/>
        <w:spacing w:line="276" w:lineRule="auto"/>
        <w:jc w:val="both"/>
        <w:rPr>
          <w:rFonts w:eastAsia="Droid Sans Fallback"/>
          <w:color w:val="00000A"/>
          <w:kern w:val="1"/>
          <w:sz w:val="24"/>
          <w:szCs w:val="24"/>
          <w:shd w:val="clear" w:color="auto" w:fill="FF0000"/>
          <w:lang w:val="es-AR"/>
        </w:rPr>
      </w:pPr>
      <w:r>
        <w:rPr>
          <w:rFonts w:eastAsia="Droid Sans Fallback"/>
          <w:b/>
          <w:bCs/>
          <w:color w:val="00000A"/>
          <w:kern w:val="1"/>
          <w:sz w:val="24"/>
          <w:szCs w:val="24"/>
          <w:lang w:val="es-AR"/>
        </w:rPr>
        <w:lastRenderedPageBreak/>
        <w:t xml:space="preserve">II. </w:t>
      </w:r>
      <w:r w:rsidR="00D22324" w:rsidRPr="00B27609">
        <w:rPr>
          <w:rFonts w:eastAsia="Droid Sans Fallback"/>
          <w:b/>
          <w:bCs/>
          <w:color w:val="00000A"/>
          <w:kern w:val="1"/>
          <w:sz w:val="24"/>
          <w:szCs w:val="24"/>
          <w:lang w:val="es-AR"/>
        </w:rPr>
        <w:t>INFORMACIÓN</w:t>
      </w:r>
      <w:r>
        <w:rPr>
          <w:rFonts w:eastAsia="Droid Sans Fallback"/>
          <w:b/>
          <w:bCs/>
          <w:color w:val="00000A"/>
          <w:kern w:val="1"/>
          <w:sz w:val="24"/>
          <w:szCs w:val="24"/>
          <w:lang w:val="es-AR"/>
        </w:rPr>
        <w:t xml:space="preserve"> ESPECÍFICA SOBRE LA APLICACIÓN</w:t>
      </w:r>
      <w:r w:rsidR="00D22324" w:rsidRPr="00B27609">
        <w:rPr>
          <w:rFonts w:eastAsia="Droid Sans Fallback"/>
          <w:b/>
          <w:bCs/>
          <w:color w:val="00000A"/>
          <w:kern w:val="1"/>
          <w:sz w:val="24"/>
          <w:szCs w:val="24"/>
          <w:lang w:val="es-AR"/>
        </w:rPr>
        <w:t xml:space="preserve"> DE LA CONVENCIÓN INCLUIDA LA RELACIONADA CON LAS RECOMENDACIONES ANTERIORES DEL COMITÉ</w:t>
      </w:r>
      <w:r>
        <w:rPr>
          <w:rFonts w:eastAsia="Droid Sans Fallback"/>
          <w:b/>
          <w:bCs/>
          <w:color w:val="00000A"/>
          <w:kern w:val="1"/>
          <w:sz w:val="24"/>
          <w:szCs w:val="24"/>
          <w:lang w:val="es-AR"/>
        </w:rPr>
        <w:t xml:space="preserve"> ORGANIZADA POR ARTICULOS</w:t>
      </w:r>
      <w:r w:rsidR="00D22324" w:rsidRPr="00B27609">
        <w:rPr>
          <w:rFonts w:eastAsia="Droid Sans Fallback"/>
          <w:b/>
          <w:bCs/>
          <w:color w:val="00000A"/>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shd w:val="clear" w:color="auto" w:fill="FF0000"/>
          <w:lang w:val="es-AR"/>
        </w:rPr>
      </w:pPr>
    </w:p>
    <w:p w:rsidR="00D22324" w:rsidRPr="00B27609" w:rsidRDefault="00D22324" w:rsidP="00D22324">
      <w:pPr>
        <w:tabs>
          <w:tab w:val="left" w:pos="720"/>
        </w:tabs>
        <w:suppressAutoHyphens/>
        <w:spacing w:line="276" w:lineRule="auto"/>
        <w:jc w:val="both"/>
        <w:rPr>
          <w:rFonts w:eastAsia="Droid Sans Fallback"/>
          <w:b/>
          <w:bCs/>
          <w:color w:val="00000A"/>
          <w:kern w:val="1"/>
          <w:sz w:val="24"/>
          <w:szCs w:val="24"/>
          <w:lang w:val="es-AR"/>
        </w:rPr>
      </w:pPr>
    </w:p>
    <w:p w:rsidR="00D22324" w:rsidRPr="00B27609" w:rsidRDefault="00D22324" w:rsidP="00D22324">
      <w:pPr>
        <w:tabs>
          <w:tab w:val="left" w:pos="720"/>
          <w:tab w:val="left" w:pos="6414"/>
        </w:tabs>
        <w:suppressAutoHyphens/>
        <w:spacing w:line="276" w:lineRule="auto"/>
        <w:jc w:val="center"/>
        <w:rPr>
          <w:rFonts w:eastAsia="Droid Sans Fallback"/>
          <w:b/>
          <w:bCs/>
          <w:color w:val="00000A"/>
          <w:kern w:val="1"/>
          <w:sz w:val="24"/>
          <w:szCs w:val="24"/>
          <w:lang w:val="es-AR"/>
        </w:rPr>
      </w:pPr>
      <w:r w:rsidRPr="00B27609">
        <w:rPr>
          <w:rFonts w:eastAsia="Droid Sans Fallback"/>
          <w:b/>
          <w:bCs/>
          <w:color w:val="00000A"/>
          <w:kern w:val="1"/>
          <w:sz w:val="24"/>
          <w:szCs w:val="24"/>
          <w:lang w:val="es-AR"/>
        </w:rPr>
        <w:t>ARTICULO 2</w:t>
      </w:r>
    </w:p>
    <w:p w:rsidR="00D22324" w:rsidRPr="00B27609" w:rsidRDefault="00D22324" w:rsidP="00D22324">
      <w:pPr>
        <w:tabs>
          <w:tab w:val="left" w:pos="720"/>
        </w:tabs>
        <w:suppressAutoHyphens/>
        <w:spacing w:line="276" w:lineRule="auto"/>
        <w:jc w:val="both"/>
        <w:rPr>
          <w:rFonts w:eastAsia="Droid Sans Fallback"/>
          <w:b/>
          <w:bCs/>
          <w:color w:val="0000FF"/>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 xml:space="preserve">cuestiones consideradas prioritarias por el Comité en su documento de fecha 2 de agosto de 2010 (CAT/C/ARG/5-6) en su párrafo tres en relación a este artículo </w:t>
      </w:r>
      <w:r w:rsidRPr="00B27609">
        <w:rPr>
          <w:rFonts w:eastAsia="Droid Sans Fallback"/>
          <w:b/>
          <w:bCs/>
          <w:kern w:val="1"/>
          <w:sz w:val="24"/>
          <w:szCs w:val="24"/>
          <w:lang w:val="es-AR"/>
        </w:rPr>
        <w:t>correspon</w:t>
      </w:r>
      <w:r w:rsidR="009E0ED0">
        <w:rPr>
          <w:rFonts w:eastAsia="Droid Sans Fallback"/>
          <w:b/>
          <w:bCs/>
          <w:kern w:val="1"/>
          <w:sz w:val="24"/>
          <w:szCs w:val="24"/>
          <w:lang w:val="es-AR"/>
        </w:rPr>
        <w:t>de informar al CAT lo siguiente:</w:t>
      </w:r>
      <w:r w:rsidRPr="00B27609">
        <w:rPr>
          <w:rFonts w:eastAsia="Droid Sans Fallback"/>
          <w:b/>
          <w:bCs/>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En la </w:t>
      </w:r>
      <w:r>
        <w:rPr>
          <w:rFonts w:eastAsia="Droid Sans Fallback"/>
          <w:color w:val="000000"/>
          <w:kern w:val="1"/>
          <w:sz w:val="24"/>
          <w:szCs w:val="24"/>
          <w:lang w:val="es-AR"/>
        </w:rPr>
        <w:t>p</w:t>
      </w:r>
      <w:r w:rsidRPr="00E43CC8">
        <w:rPr>
          <w:rFonts w:eastAsia="Droid Sans Fallback"/>
          <w:color w:val="000000"/>
          <w:kern w:val="1"/>
          <w:sz w:val="24"/>
          <w:szCs w:val="24"/>
          <w:lang w:val="es-AR"/>
        </w:rPr>
        <w:t xml:space="preserve">rovincia de Santa Fe aunque se ha mejorado en la prestación del servicio de asistencia jurídica gratuita con la creación del </w:t>
      </w:r>
      <w:hyperlink r:id="rId8" w:history="1">
        <w:r w:rsidRPr="00B27609">
          <w:rPr>
            <w:rFonts w:eastAsia="Droid Sans Fallback"/>
            <w:color w:val="000080"/>
            <w:kern w:val="1"/>
            <w:sz w:val="24"/>
            <w:szCs w:val="24"/>
            <w:u w:val="single"/>
            <w:lang w:val="es-AR"/>
          </w:rPr>
          <w:t>Ministerio Público de la Defensa de Santa Fe</w:t>
        </w:r>
      </w:hyperlink>
      <w:r w:rsidRPr="00E43CC8">
        <w:rPr>
          <w:rFonts w:eastAsia="Droid Sans Fallback"/>
          <w:color w:val="000000"/>
          <w:kern w:val="1"/>
          <w:sz w:val="24"/>
          <w:szCs w:val="24"/>
          <w:lang w:val="es-AR"/>
        </w:rPr>
        <w:t xml:space="preserve"> (</w:t>
      </w:r>
      <w:r>
        <w:rPr>
          <w:rFonts w:eastAsia="Droid Sans Fallback"/>
          <w:color w:val="000000"/>
          <w:kern w:val="1"/>
          <w:sz w:val="24"/>
          <w:szCs w:val="24"/>
          <w:lang w:val="es-AR"/>
        </w:rPr>
        <w:t xml:space="preserve">en adelante, </w:t>
      </w:r>
      <w:r w:rsidRPr="00E43CC8">
        <w:rPr>
          <w:rFonts w:eastAsia="Droid Sans Fallback"/>
          <w:color w:val="000000"/>
          <w:kern w:val="1"/>
          <w:sz w:val="24"/>
          <w:szCs w:val="24"/>
          <w:lang w:val="es-AR"/>
        </w:rPr>
        <w:t>MPD) el acceso a la asistencia jurídica gratuita no es total ni completo</w:t>
      </w:r>
      <w:r>
        <w:rPr>
          <w:rFonts w:eastAsia="Droid Sans Fallback"/>
          <w:color w:val="000000"/>
          <w:kern w:val="1"/>
          <w:sz w:val="24"/>
          <w:szCs w:val="24"/>
          <w:lang w:val="es-AR"/>
        </w:rPr>
        <w:t xml:space="preserve">. </w:t>
      </w:r>
      <w:r w:rsidRPr="00E43CC8">
        <w:rPr>
          <w:rFonts w:eastAsia="Droid Sans Fallback"/>
          <w:color w:val="000000"/>
          <w:kern w:val="1"/>
          <w:sz w:val="24"/>
          <w:szCs w:val="24"/>
          <w:lang w:val="es-AR"/>
        </w:rPr>
        <w:t>El acceso a un abogado solo se garantiza en tiempo y forma para aquellas personas que sean privadas de libertad por un tiempo superior a 24 horas y sean llevadas ante un juez para el control de detención. Todas las demás personas privadas de libertad, sea por “averiguación de antecedentes”, por delitos flagrantes por los cuales no corresponde la detención de niños, niñas y adolescentes menores de e</w:t>
      </w:r>
      <w:r>
        <w:rPr>
          <w:rFonts w:eastAsia="Droid Sans Fallback"/>
          <w:color w:val="000000"/>
          <w:kern w:val="1"/>
          <w:sz w:val="24"/>
          <w:szCs w:val="24"/>
          <w:lang w:val="es-AR"/>
        </w:rPr>
        <w:t xml:space="preserve">dad (punibles y/o no punibles), </w:t>
      </w:r>
      <w:r w:rsidRPr="00E43CC8">
        <w:rPr>
          <w:rFonts w:eastAsia="Droid Sans Fallback"/>
          <w:color w:val="000000"/>
          <w:kern w:val="1"/>
          <w:sz w:val="24"/>
          <w:szCs w:val="24"/>
          <w:lang w:val="es-AR"/>
        </w:rPr>
        <w:t>pueden permanecer privadas</w:t>
      </w:r>
      <w:r>
        <w:rPr>
          <w:rFonts w:eastAsia="Droid Sans Fallback"/>
          <w:color w:val="000000"/>
          <w:kern w:val="1"/>
          <w:sz w:val="24"/>
          <w:szCs w:val="24"/>
          <w:lang w:val="es-AR"/>
        </w:rPr>
        <w:t xml:space="preserve"> de libertad por menos de </w:t>
      </w:r>
      <w:r w:rsidRPr="00E43CC8">
        <w:rPr>
          <w:rFonts w:eastAsia="Droid Sans Fallback"/>
          <w:color w:val="000000"/>
          <w:kern w:val="1"/>
          <w:sz w:val="24"/>
          <w:szCs w:val="24"/>
          <w:lang w:val="es-AR"/>
        </w:rPr>
        <w:t>24 hs no tienen garantizado el contacto con un abogado, ni acceso a una llamada telefónica, ni a un médico de su elección.</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Estas detenciones sin control judicial y sin acceso a un abogado son posibles ya que no existe obligación legal de notificar al Defensor Público de turno de todas las privaciones de libertad ocurridas. En este sentido, el defensor público de turno es notificado solamente de las detenciones que tendrán audiencia de control de la detención. Idéntica suerte corre la posibilidad de las personas privadas de libertad en estas condiciones de acceder a un medico de su elección o de ponerse en contacto telefónico con un familiar para informar sobre su detención. El MPD para subsanar este tipo de situaciones ha presentado varias acciones de habeas corpus las cuales han corrido distintos resultados judiciales. En ocasiones se ha tramitado la acción con resultado favorable pero en otras el Juez del Habeas Corpus considero que la cuestión devenía abstracta porque la persona había recuperado su libertad. </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En Santa Fe no existen formalidades rigurosas para los registros de ingreso de detenidos y se han identificado numerosos casos de que las mismas han sido fraguadas. Las guardias policiales toman nota de las detenciones en un sin formalidad alguna y no es siempre asentada en el Libro de Guardia de manera inmediata. Esta informalidad permite agregar, quitar, adulterar, modificar horas, etc en los registros. Este tipo de hechos fueron constatados en varias oportunidades por </w:t>
      </w:r>
      <w:r w:rsidRPr="00E43CC8">
        <w:rPr>
          <w:rFonts w:eastAsia="Droid Sans Fallback"/>
          <w:color w:val="000000"/>
          <w:kern w:val="1"/>
          <w:sz w:val="24"/>
          <w:szCs w:val="24"/>
          <w:lang w:val="es-AR"/>
        </w:rPr>
        <w:lastRenderedPageBreak/>
        <w:t xml:space="preserve">el MPD en por lo menos tres casos. </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Uno de esos casos es el de Sergio Loza que fue ingresado en horario nocturno sin motivaciones como detenido en la Comisaría 14 de Venado Tuerto. </w:t>
      </w:r>
      <w:r w:rsidRPr="00E43CC8">
        <w:rPr>
          <w:rFonts w:eastAsia="Droid Sans Fallback"/>
          <w:b/>
          <w:color w:val="000000"/>
          <w:kern w:val="1"/>
          <w:sz w:val="24"/>
          <w:szCs w:val="24"/>
          <w:lang w:val="es-AR"/>
        </w:rPr>
        <w:t xml:space="preserve">Sergio Loza </w:t>
      </w:r>
      <w:r w:rsidRPr="00E43CC8">
        <w:rPr>
          <w:rFonts w:eastAsia="Droid Sans Fallback"/>
          <w:color w:val="000000"/>
          <w:kern w:val="1"/>
          <w:sz w:val="24"/>
          <w:szCs w:val="24"/>
          <w:lang w:val="es-AR"/>
        </w:rPr>
        <w:t xml:space="preserve">sin haber sido entrevistado por ningún abogado ni haber podido hablar con sus familiares permaneció detenido 24 hs. Tiempo antes de que se cumpliesen las 24 hs apareció muerto en su celda, con elementos que permitían suponer que se trató de un suicidio por ahorcamiento simulado. Su cuerpo de acuerdo al informe que realizara el médico del MPD habría sido colgado sin vida y registraba rastros de haber sido torturado previamente. </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El segundo caso que grafica esta práctica es el de </w:t>
      </w:r>
      <w:r w:rsidRPr="00E43CC8">
        <w:rPr>
          <w:rFonts w:eastAsia="Droid Sans Fallback"/>
          <w:b/>
          <w:color w:val="000000"/>
          <w:kern w:val="1"/>
          <w:sz w:val="24"/>
          <w:szCs w:val="24"/>
          <w:lang w:val="es-AR"/>
        </w:rPr>
        <w:t>Roberto Martelon</w:t>
      </w:r>
      <w:r w:rsidRPr="00E43CC8">
        <w:rPr>
          <w:rFonts w:eastAsia="Droid Sans Fallback"/>
          <w:color w:val="000000"/>
          <w:kern w:val="1"/>
          <w:sz w:val="24"/>
          <w:szCs w:val="24"/>
          <w:lang w:val="es-AR"/>
        </w:rPr>
        <w:t xml:space="preserve"> en la Comisaría 13 de la Ciudad de Rosario. Martelón ingresó detenido en horario nocturno por supuestamente haber orinado en la vía pública. Durante su detención no pudo acceder a un abogado ni realizar ninguna llamada telefónica. En la mañana siguiente, cuando cambiaba el turno de guardia, lo encontraron en grave estado, con un fuerte golpe en la cabeza. Falleció días después en el hospital al que fuera derivado. </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El tercer caso es el vinculado con la desaparición forzada luego de haber sido privado de libertad de </w:t>
      </w:r>
      <w:r w:rsidRPr="00E43CC8">
        <w:rPr>
          <w:rFonts w:eastAsia="Droid Sans Fallback"/>
          <w:b/>
          <w:color w:val="000000"/>
          <w:kern w:val="1"/>
          <w:sz w:val="24"/>
          <w:szCs w:val="24"/>
          <w:lang w:val="es-AR"/>
        </w:rPr>
        <w:t>Franco Casco</w:t>
      </w:r>
      <w:r w:rsidRPr="00E43CC8">
        <w:rPr>
          <w:rFonts w:eastAsia="Droid Sans Fallback"/>
          <w:color w:val="000000"/>
          <w:kern w:val="1"/>
          <w:sz w:val="24"/>
          <w:szCs w:val="24"/>
          <w:lang w:val="es-AR"/>
        </w:rPr>
        <w:t>. Este caso se describe en el apartado correspondiente a desaparición forzada del presente informe.</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color w:val="000000"/>
          <w:kern w:val="1"/>
          <w:sz w:val="24"/>
          <w:szCs w:val="24"/>
          <w:lang w:val="es-AR"/>
        </w:rPr>
      </w:pPr>
      <w:r w:rsidRPr="00E43CC8">
        <w:rPr>
          <w:rFonts w:eastAsia="Droid Sans Fallback"/>
          <w:color w:val="000000"/>
          <w:kern w:val="1"/>
          <w:sz w:val="24"/>
          <w:szCs w:val="24"/>
          <w:lang w:val="es-AR"/>
        </w:rPr>
        <w:t xml:space="preserve">Estas situaciones que describimos pueden agravarse de aprobarse una nueva reforma legislativa al Código Procesal Penal que obtuvo sanción en la Cámara de Diputados el jueves pasado. Con esta reforma, el plazo de detención sin control judicial podrá extenderse de 48 hs a 96 hs, para aquellos casos en los que, tal como indicamos más arriba, existe obligación de notificar al defensor público de turno. </w:t>
      </w:r>
    </w:p>
    <w:p w:rsidR="00E43CC8" w:rsidRPr="00E43CC8" w:rsidRDefault="00E43CC8" w:rsidP="00E43CC8">
      <w:pPr>
        <w:tabs>
          <w:tab w:val="left" w:pos="720"/>
        </w:tabs>
        <w:suppressAutoHyphens/>
        <w:spacing w:line="276" w:lineRule="auto"/>
        <w:jc w:val="both"/>
        <w:rPr>
          <w:rFonts w:eastAsia="Droid Sans Fallback"/>
          <w:color w:val="000000"/>
          <w:kern w:val="1"/>
          <w:sz w:val="24"/>
          <w:szCs w:val="24"/>
          <w:lang w:val="es-AR"/>
        </w:rPr>
      </w:pPr>
    </w:p>
    <w:p w:rsidR="00E43CC8" w:rsidRDefault="00E43CC8" w:rsidP="00D22324">
      <w:pPr>
        <w:tabs>
          <w:tab w:val="left" w:pos="720"/>
        </w:tabs>
        <w:suppressAutoHyphens/>
        <w:spacing w:line="276" w:lineRule="auto"/>
        <w:jc w:val="both"/>
        <w:rPr>
          <w:rFonts w:eastAsia="Droid Sans Fallback"/>
          <w:color w:val="000000"/>
          <w:kern w:val="1"/>
          <w:sz w:val="24"/>
          <w:szCs w:val="24"/>
          <w:lang w:val="es-AR"/>
        </w:rPr>
      </w:pPr>
    </w:p>
    <w:p w:rsidR="00E43CC8" w:rsidRDefault="00E43CC8" w:rsidP="00E43CC8">
      <w:pPr>
        <w:tabs>
          <w:tab w:val="left" w:pos="720"/>
        </w:tabs>
        <w:suppressAutoHyphens/>
        <w:spacing w:line="276" w:lineRule="auto"/>
        <w:jc w:val="both"/>
        <w:rPr>
          <w:rFonts w:eastAsia="Droid Sans Fallback"/>
          <w:b/>
          <w:bCs/>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 xml:space="preserve">cuestiones consideradas prioritarias por el Comité en su documento de fecha 2 de agosto de 2010 (CAT/C/ARG/5-6) </w:t>
      </w:r>
      <w:r>
        <w:rPr>
          <w:rFonts w:eastAsia="Droid Sans Fallback"/>
          <w:b/>
          <w:color w:val="00000A"/>
          <w:kern w:val="1"/>
          <w:sz w:val="24"/>
          <w:szCs w:val="24"/>
          <w:lang w:val="es-AR"/>
        </w:rPr>
        <w:t xml:space="preserve">en su párrafo cinco </w:t>
      </w:r>
      <w:r w:rsidRPr="00B27609">
        <w:rPr>
          <w:rFonts w:eastAsia="Droid Sans Fallback"/>
          <w:b/>
          <w:color w:val="00000A"/>
          <w:kern w:val="1"/>
          <w:sz w:val="24"/>
          <w:szCs w:val="24"/>
          <w:lang w:val="es-AR"/>
        </w:rPr>
        <w:t xml:space="preserve"> en relación a este artículo </w:t>
      </w:r>
      <w:r w:rsidRPr="00B27609">
        <w:rPr>
          <w:rFonts w:eastAsia="Droid Sans Fallback"/>
          <w:b/>
          <w:bCs/>
          <w:kern w:val="1"/>
          <w:sz w:val="24"/>
          <w:szCs w:val="24"/>
          <w:lang w:val="es-AR"/>
        </w:rPr>
        <w:t>correspon</w:t>
      </w:r>
      <w:r>
        <w:rPr>
          <w:rFonts w:eastAsia="Droid Sans Fallback"/>
          <w:b/>
          <w:bCs/>
          <w:kern w:val="1"/>
          <w:sz w:val="24"/>
          <w:szCs w:val="24"/>
          <w:lang w:val="es-AR"/>
        </w:rPr>
        <w:t>de informar al CAT lo siguiente:</w:t>
      </w:r>
      <w:r w:rsidRPr="00B27609">
        <w:rPr>
          <w:rFonts w:eastAsia="Droid Sans Fallback"/>
          <w:b/>
          <w:bCs/>
          <w:kern w:val="1"/>
          <w:sz w:val="24"/>
          <w:szCs w:val="24"/>
          <w:lang w:val="es-AR"/>
        </w:rPr>
        <w:t xml:space="preserve"> </w:t>
      </w:r>
    </w:p>
    <w:p w:rsidR="00E43CC8" w:rsidRPr="00B27609" w:rsidRDefault="00E43CC8" w:rsidP="00E43CC8">
      <w:pPr>
        <w:tabs>
          <w:tab w:val="left" w:pos="720"/>
        </w:tabs>
        <w:suppressAutoHyphens/>
        <w:spacing w:line="276" w:lineRule="auto"/>
        <w:jc w:val="both"/>
        <w:rPr>
          <w:rFonts w:eastAsia="Droid Sans Fallback"/>
          <w:b/>
          <w:color w:val="00000A"/>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En la provincia de Santa Fe, las víctimas de graves violaciones a los derechos humanos</w:t>
      </w:r>
      <w:r w:rsidRPr="00B27609">
        <w:rPr>
          <w:rFonts w:eastAsia="Droid Sans Fallback"/>
          <w:color w:val="000000"/>
          <w:kern w:val="1"/>
          <w:sz w:val="24"/>
          <w:szCs w:val="24"/>
          <w:vertAlign w:val="superscript"/>
          <w:lang w:val="es-AR"/>
        </w:rPr>
        <w:footnoteReference w:id="1"/>
      </w:r>
      <w:r w:rsidRPr="00B27609">
        <w:rPr>
          <w:rFonts w:eastAsia="Droid Sans Fallback"/>
          <w:color w:val="000000"/>
          <w:kern w:val="1"/>
          <w:sz w:val="24"/>
          <w:szCs w:val="24"/>
          <w:lang w:val="es-AR"/>
        </w:rPr>
        <w:t xml:space="preserve"> o sus familiares se encuentran significativamente limitadas para acceder a recursos sencillos y efectivos que les garanticen el acceso a la justicia y la verdad. Salvo excepciones puntuales, la administración de justicia de Santa Fe, incluida su Corte Suprema provincial, impide a</w:t>
      </w:r>
      <w:r w:rsidR="00E43CC8">
        <w:rPr>
          <w:rFonts w:eastAsia="Droid Sans Fallback"/>
          <w:color w:val="000000"/>
          <w:kern w:val="1"/>
          <w:sz w:val="24"/>
          <w:szCs w:val="24"/>
          <w:lang w:val="es-AR"/>
        </w:rPr>
        <w:t xml:space="preserve">l MPD </w:t>
      </w:r>
      <w:r w:rsidRPr="00B27609">
        <w:rPr>
          <w:rFonts w:eastAsia="Droid Sans Fallback"/>
          <w:color w:val="000000"/>
          <w:kern w:val="1"/>
          <w:sz w:val="24"/>
          <w:szCs w:val="24"/>
          <w:lang w:val="es-AR"/>
        </w:rPr>
        <w:t xml:space="preserve">representar a las víctimas de violencia </w:t>
      </w:r>
      <w:r w:rsidRPr="00B27609">
        <w:rPr>
          <w:rFonts w:eastAsia="Droid Sans Fallback"/>
          <w:color w:val="000000"/>
          <w:kern w:val="1"/>
          <w:sz w:val="24"/>
          <w:szCs w:val="24"/>
          <w:lang w:val="es-AR"/>
        </w:rPr>
        <w:lastRenderedPageBreak/>
        <w:t>institucional, a pesar de que el MPD intenta por todos los caminos legales posibles cumplir con garantizar el acceso a la justicia de las víctimas o sus familiares.</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C05052"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Estas decisiones sistemáticas violentan el principio a la igualdad, además de restringir el acceso a la justicia mediante un recurso accesible, efectivo y </w:t>
      </w:r>
      <w:r w:rsidR="009E0ED0" w:rsidRPr="00B27609">
        <w:rPr>
          <w:rFonts w:eastAsia="Droid Sans Fallback"/>
          <w:color w:val="000000"/>
          <w:kern w:val="1"/>
          <w:sz w:val="24"/>
          <w:szCs w:val="24"/>
          <w:lang w:val="es-AR"/>
        </w:rPr>
        <w:t>jurídicamente</w:t>
      </w:r>
      <w:r w:rsidRPr="00B27609">
        <w:rPr>
          <w:rFonts w:eastAsia="Droid Sans Fallback"/>
          <w:color w:val="000000"/>
          <w:kern w:val="1"/>
          <w:sz w:val="24"/>
          <w:szCs w:val="24"/>
          <w:lang w:val="es-AR"/>
        </w:rPr>
        <w:t xml:space="preserve"> ejecutable. Ello a diferencia de lo que ocurre con la Defensa Pública a nivel federal o en otras provincias como Chubut o Buenos Aires, en las cuales la Defensa Pública asume esta representación. En Santa Fe, la administración de justicia, alega que esta facultad le corresponde al Centro de Asistencia Judicial que es una agencia del Poder Ejecutivo, poder del cual depende la policía provincial y el servicio penitenciario. El procedimiento de acceso al patrocinio bajo esta institución es para las víctimas complejo y arbitrario y, en los hechos la institución escasas veces toma la representac</w:t>
      </w:r>
      <w:r w:rsidR="00C05052">
        <w:rPr>
          <w:rFonts w:eastAsia="Droid Sans Fallback"/>
          <w:color w:val="000000"/>
          <w:kern w:val="1"/>
          <w:sz w:val="24"/>
          <w:szCs w:val="24"/>
          <w:lang w:val="es-AR"/>
        </w:rPr>
        <w:t>ión de víctimas y/o familiares.</w:t>
      </w:r>
    </w:p>
    <w:p w:rsidR="00C05052" w:rsidRDefault="00C05052"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bCs/>
          <w:color w:val="000000"/>
          <w:kern w:val="1"/>
          <w:sz w:val="24"/>
          <w:szCs w:val="24"/>
          <w:lang w:val="es-AR"/>
        </w:rPr>
      </w:pPr>
      <w:r w:rsidRPr="00B27609">
        <w:rPr>
          <w:rFonts w:eastAsia="Droid Sans Fallback"/>
          <w:color w:val="000000"/>
          <w:kern w:val="1"/>
          <w:sz w:val="24"/>
          <w:szCs w:val="24"/>
          <w:lang w:val="es-ES"/>
        </w:rPr>
        <w:t xml:space="preserve">Por otro lado y no siendo un dato menor a resaltar, los casos de violencia institucional, la mayoría de las veces, tienen como víctimas a personas en situaciones de extrema pobreza y grupos vulnerables minoritarios, como son las comunidades étnicas, LGBTI o personas con algún padecimiento mental. </w:t>
      </w:r>
      <w:r w:rsidRPr="00B27609">
        <w:rPr>
          <w:rFonts w:eastAsia="Droid Sans Fallback"/>
          <w:color w:val="000000"/>
          <w:kern w:val="1"/>
          <w:sz w:val="24"/>
          <w:szCs w:val="24"/>
          <w:lang w:val="es-AR"/>
        </w:rPr>
        <w:t xml:space="preserve">Como consecuencia de esta situación el MPD ha llevado casos, como el “Comisaria de Florencia” al Sistema Interamericano de Derechos Humanos y el del Sr. Roberto Yrusta ante el </w:t>
      </w:r>
      <w:r w:rsidR="00C05052" w:rsidRPr="00B27609">
        <w:rPr>
          <w:rFonts w:eastAsia="Droid Sans Fallback"/>
          <w:color w:val="000000"/>
          <w:kern w:val="1"/>
          <w:sz w:val="24"/>
          <w:szCs w:val="24"/>
          <w:lang w:val="es-AR"/>
        </w:rPr>
        <w:t>Comité</w:t>
      </w:r>
      <w:r w:rsidRPr="00B27609">
        <w:rPr>
          <w:rFonts w:eastAsia="Droid Sans Fallback"/>
          <w:color w:val="000000"/>
          <w:kern w:val="1"/>
          <w:sz w:val="24"/>
          <w:szCs w:val="24"/>
          <w:lang w:val="es-AR"/>
        </w:rPr>
        <w:t xml:space="preserve"> Contra las Desapariciones Forzadas de Naciones Unidas.</w:t>
      </w:r>
    </w:p>
    <w:p w:rsidR="00D22324" w:rsidRPr="00B27609" w:rsidRDefault="00D22324" w:rsidP="00D22324">
      <w:pPr>
        <w:tabs>
          <w:tab w:val="left" w:pos="720"/>
        </w:tabs>
        <w:suppressAutoHyphens/>
        <w:spacing w:line="276" w:lineRule="auto"/>
        <w:jc w:val="both"/>
        <w:rPr>
          <w:rFonts w:eastAsia="Droid Sans Fallback"/>
          <w:b/>
          <w:bCs/>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Asimismo, relevamientos de la Cátedra de Criminología evidencian que la intervención del </w:t>
      </w:r>
      <w:hyperlink r:id="rId9" w:history="1">
        <w:r w:rsidRPr="00B27609">
          <w:rPr>
            <w:rFonts w:eastAsia="Droid Sans Fallback"/>
            <w:color w:val="000080"/>
            <w:kern w:val="1"/>
            <w:sz w:val="24"/>
            <w:szCs w:val="24"/>
            <w:u w:val="single"/>
            <w:lang w:val="es-ES"/>
          </w:rPr>
          <w:t>Ministerio Público de la Acusación</w:t>
        </w:r>
      </w:hyperlink>
      <w:r w:rsidRPr="00B27609">
        <w:rPr>
          <w:rFonts w:eastAsia="Droid Sans Fallback"/>
          <w:color w:val="000000"/>
          <w:kern w:val="1"/>
          <w:sz w:val="24"/>
          <w:szCs w:val="24"/>
          <w:lang w:val="es-AR"/>
        </w:rPr>
        <w:t xml:space="preserve"> (en adelante, MPA), obligatoria por ley, usualmente presenta injustificadas dilaciones en los casos de detenciones en comisaría. Según comentaron agentes policiales que cumplen funciones en comisarías, existe un acuerdo informal con algunos operadores de turno de la institución de "no molestarlos entre las 00 hs y las 7 hs”. Y dichas dilaciones implican que esas privaciones de libertad no le sean notificadas al MPD. Esta preocupante situación se agrava teniendo en cuenta que también se relevaron demoras, en algunos casos de más de dos horas, en la realización de la revisión médica de personas privadas de libertad en comisarías. Y que también son frecuentes los casos de personas que habiendo sufrido agresiones físicas evidentes durante su detención por parte de la policía, no aparecen las lesiones constatadas en las revisiones médicas, revisiones que sistematicamente no cumplen con estandares internacionales como por ejemplo el Protocolo de Estambul. </w:t>
      </w:r>
    </w:p>
    <w:p w:rsidR="00D22324" w:rsidRPr="00B27609" w:rsidRDefault="00D22324" w:rsidP="00D22324">
      <w:pPr>
        <w:tabs>
          <w:tab w:val="left" w:pos="720"/>
        </w:tabs>
        <w:suppressAutoHyphens/>
        <w:spacing w:line="276" w:lineRule="auto"/>
        <w:jc w:val="both"/>
        <w:rPr>
          <w:rFonts w:eastAsia="Droid Sans Fallback"/>
          <w:b/>
          <w:bCs/>
          <w:color w:val="0000FF"/>
          <w:kern w:val="1"/>
          <w:sz w:val="24"/>
          <w:szCs w:val="24"/>
          <w:lang w:val="es-AR"/>
        </w:rPr>
      </w:pPr>
    </w:p>
    <w:p w:rsidR="00D22324" w:rsidRPr="00B27609" w:rsidRDefault="00D22324" w:rsidP="00D22324">
      <w:pPr>
        <w:tabs>
          <w:tab w:val="left" w:pos="720"/>
        </w:tabs>
        <w:suppressAutoHyphens/>
        <w:spacing w:line="276" w:lineRule="auto"/>
        <w:jc w:val="both"/>
        <w:rPr>
          <w:rFonts w:eastAsia="Times New Roman"/>
          <w:color w:val="000000"/>
          <w:kern w:val="1"/>
          <w:sz w:val="24"/>
          <w:szCs w:val="24"/>
          <w:lang w:val="es-AR"/>
        </w:rPr>
      </w:pPr>
      <w:r w:rsidRPr="00B27609">
        <w:rPr>
          <w:rFonts w:eastAsia="Droid Sans Fallback"/>
          <w:color w:val="000000"/>
          <w:kern w:val="1"/>
          <w:sz w:val="24"/>
          <w:szCs w:val="24"/>
          <w:lang w:val="es-AR"/>
        </w:rPr>
        <w:t xml:space="preserve">En cuanto a las personas privadas de libertad menores de 18 años, los establecimientos en los cuales se aplica la privación de libertad dependen de  la </w:t>
      </w:r>
      <w:hyperlink r:id="rId10" w:history="1">
        <w:r w:rsidRPr="00B27609">
          <w:rPr>
            <w:rFonts w:eastAsia="Droid Sans Fallback"/>
            <w:color w:val="000080"/>
            <w:kern w:val="1"/>
            <w:sz w:val="24"/>
            <w:szCs w:val="24"/>
            <w:u w:val="single"/>
            <w:lang w:val="es-ES"/>
          </w:rPr>
          <w:t>Dirección de Justicia Penal Juvenil del Ministerio de Justicia y Derechos Humanos de la provincia</w:t>
        </w:r>
      </w:hyperlink>
      <w:r w:rsidRPr="00B27609">
        <w:rPr>
          <w:rFonts w:eastAsia="Droid Sans Fallback"/>
          <w:color w:val="000000"/>
          <w:kern w:val="1"/>
          <w:sz w:val="24"/>
          <w:szCs w:val="24"/>
          <w:lang w:val="es-AR"/>
        </w:rPr>
        <w:t xml:space="preserve"> (en adelante, DJPJ). Una de las líneas de acción del MPD es </w:t>
      </w:r>
      <w:r w:rsidRPr="00B27609">
        <w:rPr>
          <w:rFonts w:eastAsia="Droid Sans Fallback"/>
          <w:color w:val="000000"/>
          <w:kern w:val="1"/>
          <w:sz w:val="24"/>
          <w:szCs w:val="24"/>
          <w:lang w:val="es-AR"/>
        </w:rPr>
        <w:lastRenderedPageBreak/>
        <w:t>monitorear dichos lugares. Esto en tanto constituye un imperativo legal para el MPD y una valiosa herramienta para prevenir la tortura y los malos tratos de personas encerradas.</w:t>
      </w:r>
      <w:r w:rsidRPr="00B27609">
        <w:rPr>
          <w:rFonts w:eastAsia="Droid Sans Fallback"/>
          <w:color w:val="000000"/>
          <w:kern w:val="1"/>
          <w:sz w:val="24"/>
          <w:szCs w:val="24"/>
          <w:vertAlign w:val="superscript"/>
          <w:lang w:val="es-AR"/>
        </w:rPr>
        <w:footnoteReference w:id="2"/>
      </w:r>
      <w:r w:rsidRPr="00B27609">
        <w:rPr>
          <w:rFonts w:eastAsia="Droid Sans Fallback"/>
          <w:color w:val="000000"/>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Times New Roman"/>
          <w:color w:val="000000"/>
          <w:kern w:val="1"/>
          <w:sz w:val="24"/>
          <w:szCs w:val="24"/>
          <w:lang w:val="es-AR"/>
        </w:rPr>
      </w:pPr>
    </w:p>
    <w:p w:rsidR="00D22324" w:rsidRPr="00B27609" w:rsidRDefault="00D22324" w:rsidP="00D22324">
      <w:pPr>
        <w:widowControl/>
        <w:suppressAutoHyphens/>
        <w:spacing w:line="276" w:lineRule="auto"/>
        <w:jc w:val="both"/>
        <w:rPr>
          <w:rFonts w:eastAsia="Times New Roman"/>
          <w:kern w:val="1"/>
          <w:sz w:val="24"/>
          <w:szCs w:val="24"/>
          <w:lang w:val="es-ES" w:eastAsia="zh-CN"/>
        </w:rPr>
      </w:pPr>
      <w:r w:rsidRPr="00B27609">
        <w:rPr>
          <w:rFonts w:eastAsia="Times New Roman"/>
          <w:kern w:val="1"/>
          <w:sz w:val="24"/>
          <w:szCs w:val="24"/>
          <w:lang w:val="es-ES" w:eastAsia="zh-CN"/>
        </w:rPr>
        <w:t xml:space="preserve">Como resultado de dichas inspecciones, el MPD constató </w:t>
      </w:r>
      <w:r w:rsidRPr="00B27609">
        <w:rPr>
          <w:rFonts w:eastAsia="Times New Roman"/>
          <w:b/>
          <w:kern w:val="1"/>
          <w:sz w:val="24"/>
          <w:szCs w:val="24"/>
          <w:lang w:val="es-ES" w:eastAsia="zh-CN"/>
        </w:rPr>
        <w:t xml:space="preserve">serias irregularidades respecto al cumplimiento de los </w:t>
      </w:r>
      <w:r w:rsidRPr="00B27609">
        <w:rPr>
          <w:rFonts w:eastAsia="Times New Roman"/>
          <w:b/>
          <w:color w:val="000000"/>
          <w:kern w:val="1"/>
          <w:sz w:val="24"/>
          <w:szCs w:val="24"/>
          <w:lang w:val="es-ES" w:eastAsia="zh-CN"/>
        </w:rPr>
        <w:t xml:space="preserve">estándares mínimos en materia de condiciones de detención de menores de edad. </w:t>
      </w:r>
      <w:r w:rsidRPr="00B27609">
        <w:rPr>
          <w:rFonts w:eastAsia="Times New Roman"/>
          <w:kern w:val="1"/>
          <w:sz w:val="24"/>
          <w:szCs w:val="24"/>
          <w:lang w:val="es-ES" w:eastAsia="zh-CN"/>
        </w:rPr>
        <w:t xml:space="preserve">Por un lado lo relativo a condiciones estructurales de detención: a) superpoblación y hacinamiento, b) celdas inadecuadas, c) ausencia de higiene personal y mala alimentación, d) condiciones edilicias inadecuadas (pequeñas dimensiones, poca luminosidad, falta de luz eléctrica y deficiente instalación, falta de agua potable, acumulamiento de residuos, mal olor, falta de ventilación, etc.), f) carencias en materia sanitaria (plagas, insectos, ratas, falta de asistencia médica), g) falta de acceso a la educación (escasas a nulas posibilidades de acceso a educación primaria, secundaria, becas, talleres), h) ausencia de oportunidades de recreación (ausencia de espacios comunes y al aire libre y de actividades de capacitación, esparcimiento y físicas). Por otro lado, se identificaron </w:t>
      </w:r>
      <w:r w:rsidRPr="00B27609">
        <w:rPr>
          <w:rFonts w:eastAsia="Times New Roman"/>
          <w:b/>
          <w:kern w:val="1"/>
          <w:sz w:val="24"/>
          <w:szCs w:val="24"/>
          <w:lang w:val="es-ES" w:eastAsia="zh-CN"/>
        </w:rPr>
        <w:t>situaciones de torturas, tratos o penas crueles, inhumanas o degradantes</w:t>
      </w:r>
      <w:r w:rsidRPr="00B27609">
        <w:rPr>
          <w:rFonts w:eastAsia="Times New Roman"/>
          <w:kern w:val="1"/>
          <w:sz w:val="24"/>
          <w:szCs w:val="24"/>
          <w:lang w:val="es-ES" w:eastAsia="zh-CN"/>
        </w:rPr>
        <w:t xml:space="preserve"> sufridas por los jóvenes y </w:t>
      </w:r>
      <w:r w:rsidRPr="00B27609">
        <w:rPr>
          <w:rFonts w:eastAsia="Times New Roman"/>
          <w:b/>
          <w:kern w:val="1"/>
          <w:sz w:val="24"/>
          <w:szCs w:val="24"/>
          <w:lang w:val="es-ES" w:eastAsia="zh-CN"/>
        </w:rPr>
        <w:t>condiciones sistémicas que las hacen posibles</w:t>
      </w:r>
      <w:r w:rsidRPr="00B27609">
        <w:rPr>
          <w:rFonts w:eastAsia="Times New Roman"/>
          <w:kern w:val="1"/>
          <w:sz w:val="24"/>
          <w:szCs w:val="24"/>
          <w:lang w:val="es-ES" w:eastAsia="zh-CN"/>
        </w:rPr>
        <w:t>. Todo ello, además de que las condiciones antes mencionadas de insuficiencia de luz natural y artificial, de áreas inadecuadamente calefaccionadas, la falta por tiempo prolongado de ejercicio u otras actividades al aire libre, las limitaciones para la higiene personal, la falta de higiene constituyen en su conjunto un trato cruel, inhumano y degradante, que se prolonga durante toda la permanencia en la institución.</w:t>
      </w:r>
    </w:p>
    <w:p w:rsidR="00D22324" w:rsidRPr="00B27609" w:rsidRDefault="00D22324" w:rsidP="00D22324">
      <w:pPr>
        <w:widowControl/>
        <w:suppressAutoHyphens/>
        <w:spacing w:line="276" w:lineRule="auto"/>
        <w:jc w:val="both"/>
        <w:rPr>
          <w:rFonts w:eastAsia="Times New Roman"/>
          <w:kern w:val="1"/>
          <w:sz w:val="24"/>
          <w:szCs w:val="24"/>
          <w:lang w:val="es-ES" w:eastAsia="zh-CN"/>
        </w:rPr>
      </w:pPr>
    </w:p>
    <w:p w:rsidR="00D22324" w:rsidRPr="00B27609" w:rsidRDefault="00D22324" w:rsidP="00D22324">
      <w:pPr>
        <w:widowControl/>
        <w:tabs>
          <w:tab w:val="left" w:pos="720"/>
        </w:tabs>
        <w:suppressAutoHyphens/>
        <w:spacing w:line="276" w:lineRule="auto"/>
        <w:jc w:val="both"/>
        <w:rPr>
          <w:rFonts w:eastAsia="Droid Sans Fallback"/>
          <w:color w:val="00000A"/>
          <w:kern w:val="1"/>
          <w:sz w:val="24"/>
          <w:szCs w:val="24"/>
          <w:lang w:val="es-ES"/>
        </w:rPr>
      </w:pPr>
      <w:r w:rsidRPr="00B27609">
        <w:rPr>
          <w:rFonts w:eastAsia="Times New Roman"/>
          <w:color w:val="00000A"/>
          <w:kern w:val="1"/>
          <w:sz w:val="24"/>
          <w:szCs w:val="24"/>
          <w:lang w:val="es-AR"/>
        </w:rPr>
        <w:t xml:space="preserve">En este sentido, se constató la </w:t>
      </w:r>
      <w:r w:rsidRPr="00B27609">
        <w:rPr>
          <w:rFonts w:eastAsia="Times New Roman"/>
          <w:b/>
          <w:color w:val="00000A"/>
          <w:kern w:val="1"/>
          <w:sz w:val="24"/>
          <w:szCs w:val="24"/>
          <w:lang w:val="es-AR"/>
        </w:rPr>
        <w:t>total inexistencia de mecanismos adecuados para la efectiva detección y sanción de la tortura y los malos tratos</w:t>
      </w:r>
      <w:r w:rsidRPr="00B27609">
        <w:rPr>
          <w:rFonts w:eastAsia="Times New Roman"/>
          <w:color w:val="00000A"/>
          <w:kern w:val="1"/>
          <w:sz w:val="24"/>
          <w:szCs w:val="24"/>
          <w:lang w:val="es-AR"/>
        </w:rPr>
        <w:t xml:space="preserve"> sufridos por los jóvenes, tanto respecto de las que suceden en las instituciones dependientes de la DJPJ como de las que ocurren previamente al ingreso o re-ingreso a las instituciones. Desde el momento en que no existen mecanismos adecuados de detección, surge también la </w:t>
      </w:r>
      <w:r w:rsidRPr="00B27609">
        <w:rPr>
          <w:rFonts w:eastAsia="Times New Roman"/>
          <w:b/>
          <w:color w:val="00000A"/>
          <w:kern w:val="1"/>
          <w:sz w:val="24"/>
          <w:szCs w:val="24"/>
          <w:lang w:val="es-AR"/>
        </w:rPr>
        <w:t>inexistencia de registros</w:t>
      </w:r>
      <w:r w:rsidRPr="00B27609">
        <w:rPr>
          <w:rFonts w:eastAsia="Times New Roman"/>
          <w:color w:val="00000A"/>
          <w:kern w:val="1"/>
          <w:sz w:val="24"/>
          <w:szCs w:val="24"/>
          <w:lang w:val="es-AR"/>
        </w:rPr>
        <w:t xml:space="preserve"> adecuados,</w:t>
      </w:r>
      <w:r w:rsidRPr="00B27609">
        <w:rPr>
          <w:rFonts w:eastAsia="Times New Roman"/>
          <w:b/>
          <w:color w:val="00000A"/>
          <w:kern w:val="1"/>
          <w:sz w:val="24"/>
          <w:szCs w:val="24"/>
          <w:lang w:val="es-AR"/>
        </w:rPr>
        <w:t xml:space="preserve"> inexistencia de mecanismos para la protección efectiva de las víctimas</w:t>
      </w:r>
      <w:r w:rsidRPr="00B27609">
        <w:rPr>
          <w:rFonts w:eastAsia="Times New Roman"/>
          <w:color w:val="00000A"/>
          <w:kern w:val="1"/>
          <w:sz w:val="24"/>
          <w:szCs w:val="24"/>
          <w:lang w:val="es-AR"/>
        </w:rPr>
        <w:t xml:space="preserve"> y para evitar su repetición. Más aún, </w:t>
      </w:r>
      <w:r w:rsidRPr="00B27609">
        <w:rPr>
          <w:rFonts w:eastAsia="Times New Roman"/>
          <w:b/>
          <w:color w:val="00000A"/>
          <w:kern w:val="1"/>
          <w:sz w:val="24"/>
          <w:szCs w:val="24"/>
          <w:lang w:val="es-AR"/>
        </w:rPr>
        <w:t>no existen mecanismos de rehabilitación ni de reparación</w:t>
      </w:r>
      <w:r w:rsidRPr="00B27609">
        <w:rPr>
          <w:rFonts w:eastAsia="Times New Roman"/>
          <w:color w:val="00000A"/>
          <w:kern w:val="1"/>
          <w:sz w:val="24"/>
          <w:szCs w:val="24"/>
          <w:lang w:val="es-AR"/>
        </w:rPr>
        <w:t xml:space="preserve"> para las víctimas. </w:t>
      </w: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r w:rsidRPr="00B27609">
        <w:rPr>
          <w:rFonts w:eastAsia="Droid Sans Fallback"/>
          <w:color w:val="00000A"/>
          <w:kern w:val="1"/>
          <w:sz w:val="24"/>
          <w:szCs w:val="24"/>
          <w:lang w:val="es-ES"/>
        </w:rPr>
        <w:lastRenderedPageBreak/>
        <w:tab/>
      </w: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r w:rsidRPr="00B27609">
        <w:rPr>
          <w:rFonts w:eastAsia="Droid Sans Fallback"/>
          <w:color w:val="00000A"/>
          <w:kern w:val="1"/>
          <w:sz w:val="24"/>
          <w:szCs w:val="24"/>
          <w:lang w:val="es-ES"/>
        </w:rPr>
        <w:t xml:space="preserve">El </w:t>
      </w:r>
      <w:r w:rsidRPr="00B27609">
        <w:rPr>
          <w:rFonts w:eastAsia="Droid Sans Fallback"/>
          <w:color w:val="000000"/>
          <w:kern w:val="1"/>
          <w:sz w:val="24"/>
          <w:szCs w:val="24"/>
          <w:shd w:val="clear" w:color="auto" w:fill="FFFFFF"/>
          <w:lang w:val="es-ES"/>
        </w:rPr>
        <w:t>MPD</w:t>
      </w:r>
      <w:r w:rsidRPr="00B27609">
        <w:rPr>
          <w:rFonts w:eastAsia="Droid Sans Fallback"/>
          <w:color w:val="00000A"/>
          <w:kern w:val="1"/>
          <w:sz w:val="24"/>
          <w:szCs w:val="24"/>
          <w:lang w:val="es-ES"/>
        </w:rPr>
        <w:t xml:space="preserve"> recibió numerosas alegaciones de jóvenes entrevistados/as que manifestaron de manera coincidente haber sido víctimas de torturas y malos tratos en distintas circunstancias. Se recibieron alegaciones reiteradas y coincidentes de que en ocasión del ingreso de  jóvenes a los pabellones, como así también durante los días posteriores al ingreso, se dan situaciones de maltrato verbal y físico por parte del personal de custodia. Asimismo, son coincidentes las alegaciones de que en oportunidad de efectuarse las requisas por parte del personal de guardia, frecuentemente se generan situaciones de malos tratos, tortura, robos de objetos y de daños intencionales contra sus pertenencias. También que además de los daños el personal de guardia durante las requisas mojan la ropa de los jóvenes y sus colchones con agua en mal estado. </w:t>
      </w: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r w:rsidRPr="00B27609">
        <w:rPr>
          <w:rFonts w:eastAsia="Droid Sans Fallback"/>
          <w:color w:val="00000A"/>
          <w:kern w:val="1"/>
          <w:sz w:val="24"/>
          <w:szCs w:val="24"/>
          <w:lang w:val="es-ES"/>
        </w:rPr>
        <w:tab/>
        <w:t>También se recibieron alegaciones de que en las intervenciones del personal de guardia ante situaciones de conflicto entre los jóvenes privados de la libertad se denuncian malos tratos generalizados y sanciones informales con todos los jóvenes del sector como una forma de sanción informal colectiva.</w:t>
      </w: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r w:rsidRPr="00B27609">
        <w:rPr>
          <w:rFonts w:eastAsia="Droid Sans Fallback"/>
          <w:color w:val="00000A"/>
          <w:kern w:val="1"/>
          <w:sz w:val="24"/>
          <w:szCs w:val="24"/>
          <w:lang w:val="es-ES"/>
        </w:rPr>
        <w:tab/>
        <w:t>En las distintas situaciones descriptas en los párrafos precedentes las torturas y los malos tratos descriptos consistieron en golpes con las manos abiertas en distintas partes del cuerpo, golpes de puño, rodillazos y puntapiés. Y en ocasiones golpes con objetos contundentes. También resulta muy mencionado por parte de los jóvenes el de ser "doblados", es decir reducidos violentamente por parte de varios guardias a la vez, incluyendo torsiones de extremidades superiores e inferiores, asfixia, que les pisan las espaldas o les ponen las rodillas en sus nucas. Una vez en el piso e inmovilizados suelen recibir golpes como patadas en el abdomen o la cabeza. En los casos de las requisas se suman la destrucción o sustracción de objetos personales, maltrato verbal y amenazas de traslados.</w:t>
      </w:r>
    </w:p>
    <w:p w:rsidR="00D22324" w:rsidRPr="00B27609" w:rsidRDefault="00D22324" w:rsidP="00D22324">
      <w:pPr>
        <w:widowControl/>
        <w:tabs>
          <w:tab w:val="left" w:pos="720"/>
        </w:tabs>
        <w:suppressAutoHyphens/>
        <w:spacing w:line="276" w:lineRule="auto"/>
        <w:ind w:hanging="15"/>
        <w:jc w:val="both"/>
        <w:rPr>
          <w:rFonts w:eastAsia="Droid Sans Fallback"/>
          <w:color w:val="00000A"/>
          <w:kern w:val="1"/>
          <w:sz w:val="24"/>
          <w:szCs w:val="24"/>
          <w:lang w:val="es-ES"/>
        </w:rPr>
      </w:pPr>
    </w:p>
    <w:p w:rsidR="00D22324" w:rsidRPr="00B27609" w:rsidRDefault="00D22324" w:rsidP="00D22324">
      <w:pPr>
        <w:widowControl/>
        <w:tabs>
          <w:tab w:val="left" w:pos="720"/>
        </w:tabs>
        <w:suppressAutoHyphens/>
        <w:spacing w:line="276" w:lineRule="auto"/>
        <w:ind w:hanging="15"/>
        <w:jc w:val="both"/>
        <w:rPr>
          <w:rFonts w:eastAsia="Times New Roman"/>
          <w:color w:val="00000A"/>
          <w:kern w:val="1"/>
          <w:sz w:val="24"/>
          <w:szCs w:val="24"/>
          <w:lang w:val="es-AR"/>
        </w:rPr>
      </w:pPr>
      <w:r w:rsidRPr="00B27609">
        <w:rPr>
          <w:rFonts w:eastAsia="Droid Sans Fallback"/>
          <w:color w:val="00000A"/>
          <w:kern w:val="1"/>
          <w:sz w:val="24"/>
          <w:szCs w:val="24"/>
          <w:lang w:val="es-ES"/>
        </w:rPr>
        <w:tab/>
        <w:t>Asimismo, se recibieron alegaciones de que personal de guardia los amenazan durante o luego de situaciones de torturas y malos tratos diciéndoles que cuando los trasladen a una unidad penitenciaria para adultos van a experimentar “que es que los traten mal de verdad”. Las amenazas de traslado también se refieren a traslados dentro de la misma institución o a otra, en referencia a sectores en condiciones más desfavorables o en los que podían darse conflictos con otros privados de libertad). En el caso de los mayores de 18 años o que estaban próximos a cumplirlos, la amenaza de traslado se refiere además a la posibilidad de que sean trasladados a unidades de adultos del Servicio Penitenciario.</w:t>
      </w:r>
    </w:p>
    <w:p w:rsidR="00D22324" w:rsidRPr="00B27609" w:rsidRDefault="00D22324" w:rsidP="00D22324">
      <w:pPr>
        <w:widowControl/>
        <w:tabs>
          <w:tab w:val="left" w:pos="720"/>
        </w:tabs>
        <w:suppressAutoHyphens/>
        <w:spacing w:line="276" w:lineRule="auto"/>
        <w:ind w:hanging="15"/>
        <w:jc w:val="both"/>
        <w:rPr>
          <w:rFonts w:eastAsia="Times New Roman"/>
          <w:color w:val="00000A"/>
          <w:kern w:val="1"/>
          <w:sz w:val="24"/>
          <w:szCs w:val="24"/>
          <w:lang w:val="es-AR"/>
        </w:rPr>
      </w:pPr>
    </w:p>
    <w:p w:rsidR="00D22324" w:rsidRPr="00B27609" w:rsidRDefault="00D22324" w:rsidP="00D22324">
      <w:pPr>
        <w:widowControl/>
        <w:tabs>
          <w:tab w:val="left" w:pos="720"/>
        </w:tabs>
        <w:suppressAutoHyphens/>
        <w:spacing w:line="276" w:lineRule="auto"/>
        <w:ind w:hanging="15"/>
        <w:jc w:val="both"/>
        <w:rPr>
          <w:rFonts w:eastAsia="Times New Roman"/>
          <w:color w:val="00000A"/>
          <w:kern w:val="1"/>
          <w:sz w:val="24"/>
          <w:szCs w:val="24"/>
          <w:lang w:val="es-ES"/>
        </w:rPr>
      </w:pPr>
      <w:r w:rsidRPr="00B27609">
        <w:rPr>
          <w:rFonts w:eastAsia="Times New Roman"/>
          <w:color w:val="00000A"/>
          <w:kern w:val="1"/>
          <w:sz w:val="24"/>
          <w:szCs w:val="24"/>
          <w:lang w:val="es-AR"/>
        </w:rPr>
        <w:t xml:space="preserve">Surge de manera coincidente que las situaciones de torturas y malos tratos son muy variables según la guardia que se encuentre de turno. Y dentro de cada guardia las </w:t>
      </w:r>
      <w:r w:rsidRPr="00B27609">
        <w:rPr>
          <w:rFonts w:eastAsia="Times New Roman"/>
          <w:color w:val="00000A"/>
          <w:kern w:val="1"/>
          <w:sz w:val="24"/>
          <w:szCs w:val="24"/>
          <w:lang w:val="es-AR"/>
        </w:rPr>
        <w:lastRenderedPageBreak/>
        <w:t>situaciones, frecuencia y tipo de malos tratos varían de un personal a otro. Al punto que los jóvenes así como pueden identificar a funcionarios particularmente violentos, también destacan en contraste de los que reciben un trato correcto y respetuoso. Como se indicó, la ocasión identificada como de mayor frecuencia de torturas y malos tratos es la de las requisas, que en ocasiones incluyen destrucción y/o robo de sus pertenencias. También, la insistencia sobre solicitude</w:t>
      </w:r>
      <w:r w:rsidR="009E0ED0">
        <w:rPr>
          <w:rFonts w:eastAsia="Times New Roman"/>
          <w:color w:val="00000A"/>
          <w:kern w:val="1"/>
          <w:sz w:val="24"/>
          <w:szCs w:val="24"/>
          <w:lang w:val="es-AR"/>
        </w:rPr>
        <w:t xml:space="preserve">s que los jóvenes realizan al personal de </w:t>
      </w:r>
      <w:r w:rsidRPr="00B27609">
        <w:rPr>
          <w:rFonts w:eastAsia="Times New Roman"/>
          <w:color w:val="00000A"/>
          <w:kern w:val="1"/>
          <w:sz w:val="24"/>
          <w:szCs w:val="24"/>
          <w:lang w:val="es-AR"/>
        </w:rPr>
        <w:t xml:space="preserve">guardia basadas en sus derechos, como por ejemplo de atención médica o terminar con el “engomamiento”, son situaciones en las que se dan situaciones de mal trato.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Los relatos refieren en gran medida a que las torturas y los malos tratos ocurrieron durante el arresto – particularmente en casos de flagrancia o cuando los jóvenes ya eran conocidos por la policía por anteriores conflictos con la ley penal –; pero también en los allanamientos (con o sin orden judicial); en los traslados hacia y desde las comisarías o divisiones especiales de la policía y en las primeras horas de privación de libertad en dependencias policiales.</w:t>
      </w:r>
    </w:p>
    <w:p w:rsidR="00D22324" w:rsidRPr="00B27609" w:rsidRDefault="00D22324" w:rsidP="00D22324">
      <w:pPr>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tabs>
          <w:tab w:val="left" w:pos="720"/>
        </w:tabs>
        <w:suppressAutoHyphens/>
        <w:spacing w:line="276" w:lineRule="auto"/>
        <w:jc w:val="both"/>
        <w:rPr>
          <w:rFonts w:eastAsia="Droid Sans Fallback"/>
          <w:bCs/>
          <w:kern w:val="1"/>
          <w:sz w:val="24"/>
          <w:szCs w:val="24"/>
          <w:lang w:val="es-AR"/>
        </w:rPr>
      </w:pPr>
      <w:r w:rsidRPr="00B27609">
        <w:rPr>
          <w:rFonts w:eastAsia="Times New Roman"/>
          <w:color w:val="00000A"/>
          <w:kern w:val="1"/>
          <w:sz w:val="24"/>
          <w:szCs w:val="24"/>
          <w:lang w:val="es-ES"/>
        </w:rPr>
        <w:t xml:space="preserve">Las numerosas alegaciones recibidas evidencian de manera consistente que la tortura y los malos tratos por parte de la policía en el momento de la detención y en las primeras horas de privación de libertad en las dependencias policiales es una práctica extendida y sistemática. </w:t>
      </w:r>
      <w:r w:rsidRPr="00B27609">
        <w:rPr>
          <w:rFonts w:eastAsia="Times New Roman"/>
          <w:kern w:val="1"/>
          <w:sz w:val="24"/>
          <w:szCs w:val="24"/>
          <w:lang w:val="es-ES"/>
        </w:rPr>
        <w:t xml:space="preserve">Es para destacar que en Santa Fe, no existe como centro único de admisión y derivación de </w:t>
      </w:r>
      <w:r w:rsidRPr="00B27609">
        <w:rPr>
          <w:rFonts w:eastAsia="Droid Sans Fallback"/>
          <w:bCs/>
          <w:kern w:val="1"/>
          <w:sz w:val="24"/>
          <w:szCs w:val="24"/>
          <w:lang w:val="es-AR"/>
        </w:rPr>
        <w:t>jóvenes menores de edad infractores</w:t>
      </w:r>
      <w:r w:rsidRPr="00B27609">
        <w:rPr>
          <w:rFonts w:eastAsia="Times New Roman"/>
          <w:bCs/>
          <w:kern w:val="1"/>
          <w:sz w:val="24"/>
          <w:szCs w:val="24"/>
          <w:lang w:val="es-AR"/>
        </w:rPr>
        <w:t xml:space="preserve"> </w:t>
      </w:r>
      <w:r w:rsidRPr="00B27609">
        <w:rPr>
          <w:rFonts w:eastAsia="Droid Sans Fallback"/>
          <w:bCs/>
          <w:kern w:val="1"/>
          <w:sz w:val="24"/>
          <w:szCs w:val="24"/>
          <w:lang w:val="es-AR"/>
        </w:rPr>
        <w:t xml:space="preserve">o presuntos infractores a la ley penal desde el momento de la detención policial. Si no que para ello son utilizadas las comisarías. </w:t>
      </w:r>
    </w:p>
    <w:p w:rsidR="00D22324" w:rsidRPr="00B27609" w:rsidRDefault="00D22324" w:rsidP="00D22324">
      <w:pPr>
        <w:tabs>
          <w:tab w:val="left" w:pos="720"/>
        </w:tabs>
        <w:suppressAutoHyphens/>
        <w:spacing w:line="276" w:lineRule="auto"/>
        <w:jc w:val="both"/>
        <w:rPr>
          <w:rFonts w:eastAsia="Droid Sans Fallback"/>
          <w:bCs/>
          <w:color w:val="5C8526"/>
          <w:kern w:val="1"/>
          <w:sz w:val="24"/>
          <w:szCs w:val="24"/>
          <w:lang w:val="es-AR"/>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Algunos de los jóvenes entrevistados relataron haber sufrido torturas y malos tratos policiales reiterados, en decenas de ocasiones, comenzando este tipo de victimización desde la niñez. La experiencia vivencial de victimización no solo surge de relatos de su propia victimización sino del conocimiento de victimización a hermanos mayores o menores, otros miembros de sus familias, amigos y conocidos.</w:t>
      </w:r>
    </w:p>
    <w:p w:rsidR="009E0ED0" w:rsidRDefault="009E0ED0" w:rsidP="00D22324">
      <w:pPr>
        <w:widowControl/>
        <w:tabs>
          <w:tab w:val="left" w:pos="720"/>
        </w:tabs>
        <w:suppressAutoHyphens/>
        <w:spacing w:line="276" w:lineRule="auto"/>
        <w:jc w:val="both"/>
        <w:rPr>
          <w:rFonts w:eastAsia="Times New Roman"/>
          <w:color w:val="00000A"/>
          <w:kern w:val="1"/>
          <w:sz w:val="24"/>
          <w:szCs w:val="24"/>
          <w:lang w:val="es-ES"/>
        </w:rPr>
      </w:pPr>
    </w:p>
    <w:p w:rsidR="009E0ED0"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En los casos más frecuentes, los malos tratos descritos al MPD consistieron en golpes con la mano abierta, de puño, de bastón, de culatas de armas de fuego y rodillazos o puntapiés, en algunos casos por parte de varios agentes, e incluso luego que los jóvenes habían sido reducidos y estaban esposados. En otros casos, los métodos descritos consistieron en uso prolongado de esposas en diversas posiciones, torsiones de extremidades superiores, uso de gas irritante, privación de agua y comida, exposición a temperaturas particularmente frías por varias horas. </w:t>
      </w:r>
    </w:p>
    <w:p w:rsidR="009E0ED0" w:rsidRDefault="009E0ED0"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Estas situaciones también fueron relatadas como frecuentes en los vehículos policiales y al ingresar a las dependencias policiales.</w:t>
      </w:r>
      <w:r w:rsidR="009E0ED0">
        <w:rPr>
          <w:rFonts w:eastAsia="Times New Roman"/>
          <w:color w:val="00000A"/>
          <w:kern w:val="1"/>
          <w:sz w:val="24"/>
          <w:szCs w:val="24"/>
          <w:lang w:val="es-ES"/>
        </w:rPr>
        <w:t xml:space="preserve"> </w:t>
      </w:r>
      <w:r w:rsidRPr="00B27609">
        <w:rPr>
          <w:rFonts w:eastAsia="Times New Roman"/>
          <w:color w:val="00000A"/>
          <w:kern w:val="1"/>
          <w:sz w:val="24"/>
          <w:szCs w:val="24"/>
          <w:lang w:val="es-ES"/>
        </w:rPr>
        <w:t xml:space="preserve">Varios jóvenes dieron cuenta </w:t>
      </w:r>
      <w:r w:rsidRPr="00B27609">
        <w:rPr>
          <w:rFonts w:eastAsia="Times New Roman"/>
          <w:color w:val="00000A"/>
          <w:kern w:val="1"/>
          <w:sz w:val="24"/>
          <w:szCs w:val="24"/>
          <w:lang w:val="es-ES"/>
        </w:rPr>
        <w:lastRenderedPageBreak/>
        <w:t xml:space="preserve">de torturas y malos tratos en comisarías los que ocurrían en cuartos u oficinas fuera de la vista al público. Fueron coincidentes alegaciones de que en dependencias policiales se los esposaba con las manos detrás de la espalda, o se los “colgaba” con las esposas de rejas o otros puntos de fijación, algunas veces durante largas horas. También relataron situaciones frecuentes en comisarías donde eran sistemáticamente inmovilizados con esposas que se ajustaban alrededor de las muñecas más allá de lo necesario, provocando daños y dolores.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9E0ED0"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Fueron numerosas y coincidentes las alegaciones de los jóvenes que relatan los primeros momentos en el ingreso a las dependencias como los de mayor victimización. Indicaron haber sido conducidos esposados a cuartos dentro de las dependencias  fuera de la vista del público y de otros privados de libertad y haber sido torturados y mal tratados por personal policial de la dependencia y/o responsables del arresto. Son coincidentes las alegaciones de que el personal policial se forma en ronda y los golpean, amenazan, dan órdenes intencionalmente contradictorias para luego golpearlos, los orinan y los denigran verbalmente. </w:t>
      </w:r>
    </w:p>
    <w:p w:rsidR="009E0ED0" w:rsidRDefault="009E0ED0"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También se recibieron alegaciones de jóvenes que además de los golpes relataron haber sido desnudados y amenazados de ser violados o de haber concretamente sufrido abusos sexuales, haber sido filmados desnudos con celulares, o sufrir la introducción o la amenaza de introducción de objetos en el ano.</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En algunos de estos relatos, sobre todo por parte de jóvenes con un historial de detenciones frecuentes, se recibieron alegaciones de la participación de los propios Comisarios responsables de las dependencias en que estuvieron detenidos. En estos relatos los comisarios o directamente participaron en las torturas y los malos tratos o las observaron. Algunos de los jóvenes entrevistados conocen hasta el nombre de los policías perpetradores de estos hechos o podrían identificarlos.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Si bien fueron menos numerosas que las alegaciones de golpes, se recibieron testimonios de jóvenes que fueron torturados con picanas, asfixiados mediante bolsas plásticas o víctimas de simulacros de ejecuciones sumarias. Estos hechos ocurrieron en los vehículos policiales, en dependencias policiales y aún en lugares públicos en horario nocturno. En algunos casos los jóvenes fueron heridos de manera intencional con armas de fuego. O golpeados con tanta violencia que las heridas eran visibles. Varios exhibieron las marcas de las lesiones resultantes de estas situaciones.</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Las alegaciones recibidas además de numerosas y coincidentes entre sí son, además, plenamente corroboradas por la información relevada por el </w:t>
      </w:r>
      <w:hyperlink r:id="rId11" w:history="1">
        <w:r w:rsidRPr="00B27609">
          <w:rPr>
            <w:rFonts w:eastAsia="Times New Roman"/>
            <w:color w:val="000080"/>
            <w:kern w:val="1"/>
            <w:sz w:val="24"/>
            <w:szCs w:val="24"/>
            <w:u w:val="single"/>
            <w:lang w:val="es-ES"/>
          </w:rPr>
          <w:t xml:space="preserve">Registro Provincial de Casos de Tortura, Tratos Crueles, Inhumanos o Degradantes, Malas </w:t>
        </w:r>
        <w:r w:rsidRPr="00B27609">
          <w:rPr>
            <w:rFonts w:eastAsia="Times New Roman"/>
            <w:color w:val="000080"/>
            <w:kern w:val="1"/>
            <w:sz w:val="24"/>
            <w:szCs w:val="24"/>
            <w:u w:val="single"/>
            <w:lang w:val="es-ES"/>
          </w:rPr>
          <w:lastRenderedPageBreak/>
          <w:t>Prácticas Policiales y demás Afectaciones a los Derechos Humanos del MPD</w:t>
        </w:r>
      </w:hyperlink>
      <w:r w:rsidRPr="00B27609">
        <w:rPr>
          <w:rFonts w:eastAsia="Times New Roman"/>
          <w:color w:val="00000A"/>
          <w:kern w:val="1"/>
          <w:sz w:val="24"/>
          <w:szCs w:val="24"/>
          <w:lang w:val="es-ES"/>
        </w:rPr>
        <w:t>.</w:t>
      </w:r>
      <w:r w:rsidRPr="00B27609">
        <w:rPr>
          <w:rFonts w:eastAsia="Times New Roman"/>
          <w:color w:val="00000A"/>
          <w:kern w:val="1"/>
          <w:sz w:val="24"/>
          <w:szCs w:val="24"/>
          <w:vertAlign w:val="superscript"/>
          <w:lang w:val="es-ES"/>
        </w:rPr>
        <w:footnoteReference w:id="3"/>
      </w:r>
      <w:r w:rsidRPr="00B27609">
        <w:rPr>
          <w:rFonts w:eastAsia="Times New Roman"/>
          <w:color w:val="00000A"/>
          <w:kern w:val="1"/>
          <w:sz w:val="24"/>
          <w:szCs w:val="24"/>
          <w:lang w:val="es-ES"/>
        </w:rPr>
        <w:t xml:space="preserve"> Dicho Registro constata que el 98% de las víctimas son varones, jóvenes, con bajo nivel de educación formal, residentes de los barrios más precarios de las ciudades, caracterizados por la pobreza y la exclusión social.</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Al mismo tiempo se obtiene como uno de los principales hallazgos del Registro, en relación a los autores de estas prácticas violatorias de los derechos humanos, a la policía provincial y, en algunos casos a fuerzas de seguridad nacionales. La institución policial en sus diferentes divisiones internas resulta ser la institución que mayor cantidad de menciones y denuncias concentra. Las víctimas reconocen que los lugares donde recibieron mayor cantidad de agresiones son la vía pública, seguido por la comisaria. El momento de detención es reconocido como el más violento. Las agresiones más frecuentes son de tipo físicas concentrándose la mayor cantidad de casos en golpes y golpizas. Estas agresiones se diversifican luego del ingreso a la comisaria o a los pabellones según el caso.</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También los hallazgos son coincidentes con los realizados por la Cátedra de Criminología sobre hostigamiento policial y de fuerzas de seguridad federales en su interacción con jóvenes de sectores populares en la ciudad de Rosario, como resultado de sus investigaciones desarrolladas durante más de dos décadas.</w:t>
      </w:r>
      <w:r w:rsidRPr="00B27609">
        <w:rPr>
          <w:rFonts w:eastAsia="Times New Roman"/>
          <w:color w:val="00000A"/>
          <w:kern w:val="1"/>
          <w:sz w:val="24"/>
          <w:szCs w:val="24"/>
          <w:vertAlign w:val="superscript"/>
          <w:lang w:val="es-ES"/>
        </w:rPr>
        <w:footnoteReference w:id="4"/>
      </w:r>
      <w:r w:rsidRPr="00B27609">
        <w:rPr>
          <w:rFonts w:eastAsia="Times New Roman"/>
          <w:color w:val="00000A"/>
          <w:kern w:val="1"/>
          <w:sz w:val="24"/>
          <w:szCs w:val="24"/>
          <w:lang w:val="es-ES"/>
        </w:rPr>
        <w:t xml:space="preserve"> De las investigaciones desarrolladas surgió respecto a las principales víctimas de hostigamiento policial y de fuerzas de seguridad y malos tratos, una altísima concentración de victimización en jóvenes –mayores y menores de edad- varones de sectores populares.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Continuando con los hallazgos obtenidos en las visitas de supervisión por el MPD, son numerosas y coincidentes las alegaciones de los jóvenes de ser frecuentemente amenazados por los policías con el fin de amedrentarlos para que no realicen denuncias durante y luego de la tortura y los malos tratos. Las amenazas van desde las ejecuciones sumarias, a la falsa imputación de delitos, a fraguar las causas con pruebas falsas y están dirigidas contra los propios jóvenes víctimas de tortura y </w:t>
      </w:r>
      <w:r w:rsidRPr="00B27609">
        <w:rPr>
          <w:rFonts w:eastAsia="Times New Roman"/>
          <w:color w:val="00000A"/>
          <w:kern w:val="1"/>
          <w:sz w:val="24"/>
          <w:szCs w:val="24"/>
          <w:lang w:val="es-ES"/>
        </w:rPr>
        <w:lastRenderedPageBreak/>
        <w:t xml:space="preserve">malos tratos o contra su familias, especialmente contra hermanos varones mayores de edad con participación en actividades delictivas conocidas por la policía.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 xml:space="preserve">El MPD también recibió alegaciones de que en ocasiones los malos tratos cesaban, incluida la detención que ni siquiera se formalizaba, si los jóvenes o algún familiar tenían dinero o se comprometían a conseguirlo. En tres casos se recibieron alegaciones de jóvenes que eran obligados a robar para el propio personal policial y se los amenazaba o directamente eran maltratados. </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De las preguntas realizadas en las entrevistas y el relato de los propios jóvenes víctimas de tortura y malos tratos surge la total ausencia de mecanismos adecuados de detección y documentación de la tortura. En primer lugar, porque de darse exámenes médicos, en la mayoría de los casos ante médicos policiales, los exámenes no son confidenciales. Ya sea ante médicos policiales, médicos en instituciones públicas o incluso médicos forenses los exámenes son realizados en presencia de personal policial, en muchos casos el propio personal perpetrador de la tortura y los malos tratos.</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Respecto de los exámenes médicos las alegaciones, recibidas fueron coincidentes en que no se les pregunta de manera adecuada sobre si fueron víctimas de tortura y malos tratos y que en todos los casos se realizaron con personal policial presente, esto es que no fueron ni individuales ni confidenciales. Se recibieron también alegaciones de jóvenes que en muchos casos ni siquiera fueron examinados. También indicaron que a pesar de que en algunos casos las lesiones eran claramente visibles no hubo preguntas por parte del personal médico de la causa de esas lesiones y que en la mayoría de los casos ni siquiera se dejaba constancia de las mismas. En el único caso que un joven refirió haber sido preguntado por las causas de las lesiones, particularmente serias, el mismo indicó que se había caído de un techo, ya que al estar presente uno de los policías que lo había torturado temió sufrir represalias.</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Son numerosas y coincidentes las alegaciones que indican que una situación similar – ausencia de indagación adecuada por parte de Asesores de Menores (con la excepción de un Asesor que varios jóvenes mencionaron como que los “trata distinto”) sobre si fueron víctimas de torturas y malos tratos y presencia de personal policial en las entrevistas y audiencias – se da en ámbito judicial. El MPD recibió alegaciones de que en las pocas ocasiones en que algún joven intentó denunciar los hechos sufridos las denuncias no son siquiera tomadas en cuenta o, de serlo, luego nunca fueron entrevistados por Fiscales o jueces penales.</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lastRenderedPageBreak/>
        <w:t>También indicaron que salvo que las lesiones sean muy evidentes tampoco al ingreso a las instituciones de la DJPJ se realizan entrevistas adecuadas para la detección de casos de torturas y malos tratos. Algunos de los jóvenes entrevistados incluso contrastaron las entrevistas individuales, voluntarias y confidenciales que realizó el MPD con lo que experimentan ante los exámenes médicos, en ámbitos judiciales y en las instituciones de la DJPJ.</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Las alegaciones son también coincidentes en el sentido de que tampoco existen mecanismos adecuados para detectar y denunciar torturas y malos tratos en las instituciones de privación de libertad dependientes de la DJPJ.</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r w:rsidRPr="00B27609">
        <w:rPr>
          <w:rFonts w:eastAsia="Times New Roman"/>
          <w:color w:val="00000A"/>
          <w:kern w:val="1"/>
          <w:sz w:val="24"/>
          <w:szCs w:val="24"/>
          <w:lang w:val="es-ES"/>
        </w:rPr>
        <w:t>De las entrevistas realizadas surge que existe un fundado y extendido temor a sufrir represalias en caso de denunciar tortura y malos tratos, ya sean policiales, penitenciarios y por personal dependiente de Justicia Penal Juvenil. Así como también surge una fundada y extendida experiencia vivencial y percepción en el sentido de que denunciar no tiene sentido. En palabras de los propios jóvenes entrevistados la respuesta es “para que voy a denunciar si total no pasa nada”.</w:t>
      </w:r>
    </w:p>
    <w:p w:rsidR="00D22324" w:rsidRPr="00B27609" w:rsidRDefault="00D22324" w:rsidP="00D22324">
      <w:pPr>
        <w:widowControl/>
        <w:tabs>
          <w:tab w:val="left" w:pos="720"/>
        </w:tabs>
        <w:suppressAutoHyphens/>
        <w:spacing w:line="276" w:lineRule="auto"/>
        <w:jc w:val="both"/>
        <w:rPr>
          <w:rFonts w:eastAsia="Times New Roman"/>
          <w:color w:val="00000A"/>
          <w:kern w:val="1"/>
          <w:sz w:val="24"/>
          <w:szCs w:val="24"/>
          <w:lang w:val="es-ES"/>
        </w:rPr>
      </w:pPr>
    </w:p>
    <w:p w:rsidR="00D22324" w:rsidRPr="00B27609" w:rsidRDefault="00D22324" w:rsidP="00D22324">
      <w:pPr>
        <w:tabs>
          <w:tab w:val="left" w:pos="720"/>
        </w:tabs>
        <w:suppressAutoHyphens/>
        <w:spacing w:line="276" w:lineRule="auto"/>
        <w:jc w:val="both"/>
        <w:rPr>
          <w:rFonts w:eastAsia="Times New Roman"/>
          <w:color w:val="000000"/>
          <w:kern w:val="1"/>
          <w:sz w:val="24"/>
          <w:szCs w:val="24"/>
          <w:lang w:val="es-AR"/>
        </w:rPr>
      </w:pPr>
      <w:r w:rsidRPr="00B27609">
        <w:rPr>
          <w:rFonts w:eastAsia="Times New Roman"/>
          <w:color w:val="000000"/>
          <w:kern w:val="1"/>
          <w:sz w:val="24"/>
          <w:szCs w:val="24"/>
          <w:lang w:val="es-AR"/>
        </w:rPr>
        <w:t xml:space="preserve">Así, además de las condiciones inhumanas de detención, las situaciones de violencia en las comisarías y centros de privación de libertad de la provincia de Santa Fe ponen en riesgo constantemente la seguridad física y </w:t>
      </w:r>
      <w:r w:rsidR="009E0ED0" w:rsidRPr="00B27609">
        <w:rPr>
          <w:rFonts w:eastAsia="Times New Roman"/>
          <w:color w:val="000000"/>
          <w:kern w:val="1"/>
          <w:sz w:val="24"/>
          <w:szCs w:val="24"/>
          <w:lang w:val="es-AR"/>
        </w:rPr>
        <w:t>psicológica</w:t>
      </w:r>
      <w:r w:rsidRPr="00B27609">
        <w:rPr>
          <w:rFonts w:eastAsia="Times New Roman"/>
          <w:color w:val="000000"/>
          <w:kern w:val="1"/>
          <w:sz w:val="24"/>
          <w:szCs w:val="24"/>
          <w:lang w:val="es-AR"/>
        </w:rPr>
        <w:t xml:space="preserve"> de las personas privadas de libertad menores de edad. </w:t>
      </w:r>
    </w:p>
    <w:p w:rsidR="00D22324" w:rsidRPr="00B27609" w:rsidRDefault="00D22324" w:rsidP="00D22324">
      <w:pPr>
        <w:tabs>
          <w:tab w:val="left" w:pos="720"/>
        </w:tabs>
        <w:suppressAutoHyphens/>
        <w:spacing w:line="276" w:lineRule="auto"/>
        <w:jc w:val="both"/>
        <w:rPr>
          <w:rFonts w:eastAsia="Times New Roman"/>
          <w:color w:val="000000"/>
          <w:kern w:val="1"/>
          <w:sz w:val="24"/>
          <w:szCs w:val="24"/>
          <w:lang w:val="es-AR"/>
        </w:rPr>
      </w:pPr>
    </w:p>
    <w:p w:rsidR="009E0ED0" w:rsidRDefault="00D22324" w:rsidP="00D22324">
      <w:pPr>
        <w:tabs>
          <w:tab w:val="left" w:pos="720"/>
        </w:tabs>
        <w:suppressAutoHyphens/>
        <w:spacing w:line="276" w:lineRule="auto"/>
        <w:jc w:val="both"/>
        <w:rPr>
          <w:rFonts w:eastAsia="Times New Roman"/>
          <w:color w:val="000000"/>
          <w:kern w:val="1"/>
          <w:sz w:val="24"/>
          <w:szCs w:val="24"/>
          <w:lang w:val="es-AR"/>
        </w:rPr>
      </w:pPr>
      <w:r w:rsidRPr="00B27609">
        <w:rPr>
          <w:rFonts w:eastAsia="Times New Roman"/>
          <w:color w:val="000000"/>
          <w:kern w:val="1"/>
          <w:sz w:val="24"/>
          <w:szCs w:val="24"/>
          <w:lang w:val="es-AR"/>
        </w:rPr>
        <w:t xml:space="preserve">A partir de los hallazgos mencionados, el MPD amplió las denuncias sobre agravamiento </w:t>
      </w:r>
      <w:r w:rsidR="009E0ED0" w:rsidRPr="00B27609">
        <w:rPr>
          <w:rFonts w:eastAsia="Times New Roman"/>
          <w:color w:val="000000"/>
          <w:kern w:val="1"/>
          <w:sz w:val="24"/>
          <w:szCs w:val="24"/>
          <w:lang w:val="es-AR"/>
        </w:rPr>
        <w:t>ilegítimo</w:t>
      </w:r>
      <w:r w:rsidRPr="00B27609">
        <w:rPr>
          <w:rFonts w:eastAsia="Times New Roman"/>
          <w:color w:val="000000"/>
          <w:kern w:val="1"/>
          <w:sz w:val="24"/>
          <w:szCs w:val="24"/>
          <w:lang w:val="es-AR"/>
        </w:rPr>
        <w:t xml:space="preserve"> de condiciones de privación de libertad de las personas menores de edad. A mediados del añ</w:t>
      </w:r>
      <w:r w:rsidR="009E0ED0">
        <w:rPr>
          <w:rFonts w:eastAsia="Times New Roman"/>
          <w:color w:val="000000"/>
          <w:kern w:val="1"/>
          <w:sz w:val="24"/>
          <w:szCs w:val="24"/>
          <w:lang w:val="es-AR"/>
        </w:rPr>
        <w:t xml:space="preserve">o 2016, el MPD interpuso </w:t>
      </w:r>
      <w:r w:rsidRPr="00B27609">
        <w:rPr>
          <w:rFonts w:eastAsia="Times New Roman"/>
          <w:color w:val="000000"/>
          <w:kern w:val="1"/>
          <w:sz w:val="24"/>
          <w:szCs w:val="24"/>
          <w:lang w:val="es-AR"/>
        </w:rPr>
        <w:t xml:space="preserve">acción de Hábeas Corpus Colectivo y Correctivo a favor de todos los jóvenes privados de libertad en el Instituto de Rehabilitación Adolescente de Rosario (en adelante, IRAR), </w:t>
      </w:r>
      <w:r w:rsidRPr="00B27609">
        <w:rPr>
          <w:rFonts w:eastAsia="Times New Roman"/>
          <w:bCs/>
          <w:color w:val="000000"/>
          <w:kern w:val="1"/>
          <w:sz w:val="24"/>
          <w:szCs w:val="24"/>
          <w:lang w:val="es-ES"/>
        </w:rPr>
        <w:t>en el pabellón juvenil del Instituto de Detención N° 2 “Las Flores” de Santa Fe y en la Dirección de Asuntos Juveniles de</w:t>
      </w:r>
      <w:r w:rsidRPr="00B27609">
        <w:rPr>
          <w:rFonts w:eastAsia="Times New Roman"/>
          <w:color w:val="000000"/>
          <w:kern w:val="1"/>
          <w:sz w:val="24"/>
          <w:szCs w:val="24"/>
          <w:lang w:val="es-ES"/>
        </w:rPr>
        <w:t xml:space="preserve"> Santa Fe. También el MPD interpuso una acción de Habeas Corpus a favor de las jóvenes privadas de libertad </w:t>
      </w:r>
      <w:r w:rsidRPr="00B27609">
        <w:rPr>
          <w:rFonts w:eastAsia="Times New Roman"/>
          <w:color w:val="000000"/>
          <w:kern w:val="1"/>
          <w:sz w:val="24"/>
          <w:szCs w:val="24"/>
          <w:lang w:val="es-AR"/>
        </w:rPr>
        <w:t xml:space="preserve">en la </w:t>
      </w:r>
      <w:r w:rsidRPr="00B27609">
        <w:rPr>
          <w:rFonts w:eastAsia="Times New Roman"/>
          <w:color w:val="000000"/>
          <w:kern w:val="1"/>
          <w:sz w:val="24"/>
          <w:szCs w:val="24"/>
          <w:lang w:val="es-ES"/>
        </w:rPr>
        <w:t xml:space="preserve">Unidad de Detención de mujeres de la DJPJ </w:t>
      </w:r>
      <w:r w:rsidR="009E0ED0">
        <w:rPr>
          <w:rFonts w:eastAsia="Times New Roman"/>
          <w:color w:val="000000"/>
          <w:kern w:val="1"/>
          <w:sz w:val="24"/>
          <w:szCs w:val="24"/>
          <w:lang w:val="es-AR"/>
        </w:rPr>
        <w:t>de Rosario.</w:t>
      </w:r>
    </w:p>
    <w:p w:rsidR="009E0ED0" w:rsidRDefault="009E0ED0" w:rsidP="00D22324">
      <w:pPr>
        <w:tabs>
          <w:tab w:val="left" w:pos="720"/>
        </w:tabs>
        <w:suppressAutoHyphens/>
        <w:spacing w:line="276" w:lineRule="auto"/>
        <w:jc w:val="both"/>
        <w:rPr>
          <w:rFonts w:eastAsia="Times New Roman"/>
          <w:color w:val="000000"/>
          <w:kern w:val="1"/>
          <w:sz w:val="24"/>
          <w:szCs w:val="24"/>
          <w:lang w:val="es-AR"/>
        </w:rPr>
      </w:pPr>
    </w:p>
    <w:p w:rsidR="00D22324" w:rsidRDefault="00D22324" w:rsidP="00D22324">
      <w:pPr>
        <w:tabs>
          <w:tab w:val="left" w:pos="720"/>
        </w:tabs>
        <w:suppressAutoHyphens/>
        <w:spacing w:line="276" w:lineRule="auto"/>
        <w:jc w:val="both"/>
        <w:rPr>
          <w:rFonts w:eastAsia="Times New Roman"/>
          <w:color w:val="000000"/>
          <w:kern w:val="1"/>
          <w:sz w:val="24"/>
          <w:szCs w:val="24"/>
          <w:lang w:val="es-AR"/>
        </w:rPr>
      </w:pPr>
      <w:r w:rsidRPr="00B27609">
        <w:rPr>
          <w:rFonts w:eastAsia="Times New Roman"/>
          <w:color w:val="000000"/>
          <w:kern w:val="1"/>
          <w:sz w:val="24"/>
          <w:szCs w:val="24"/>
          <w:lang w:val="es-AR"/>
        </w:rPr>
        <w:t xml:space="preserve">A pesar del tiempo transcurrido y de las numerosas audiencias judiciales mantenidas, la DJPJ aún no ha adecuado integralmente sus procedimientos a estándares internacionales en materia de privación de libertad de personas menores de edad. Y desde el 7 de marzo un joven que estaba privado de la libertad en el IRAR está peleando por su vida luego de un incendio en su celda, cuyas causas aún no están esclarecidas y por lo que consta el procedimiento llevado adelante por las autoridades de la DJPJ responsables de la institución mencionada fue de manifiesta </w:t>
      </w:r>
      <w:r w:rsidRPr="00B27609">
        <w:rPr>
          <w:rFonts w:eastAsia="Times New Roman"/>
          <w:color w:val="000000"/>
          <w:kern w:val="1"/>
          <w:sz w:val="24"/>
          <w:szCs w:val="24"/>
          <w:lang w:val="es-AR"/>
        </w:rPr>
        <w:lastRenderedPageBreak/>
        <w:t>irregularidad.</w:t>
      </w:r>
      <w:r w:rsidRPr="00B27609">
        <w:rPr>
          <w:rFonts w:eastAsia="Times New Roman"/>
          <w:color w:val="000000"/>
          <w:kern w:val="1"/>
          <w:sz w:val="24"/>
          <w:szCs w:val="24"/>
          <w:vertAlign w:val="superscript"/>
          <w:lang w:val="es-AR"/>
        </w:rPr>
        <w:footnoteReference w:id="5"/>
      </w:r>
      <w:r w:rsidRPr="00B27609">
        <w:rPr>
          <w:rFonts w:eastAsia="Times New Roman"/>
          <w:color w:val="000000"/>
          <w:kern w:val="1"/>
          <w:sz w:val="24"/>
          <w:szCs w:val="24"/>
          <w:lang w:val="es-AR"/>
        </w:rPr>
        <w:t xml:space="preserve"> </w:t>
      </w:r>
    </w:p>
    <w:p w:rsidR="00CE0B10" w:rsidRPr="00B27609" w:rsidRDefault="00CE0B10" w:rsidP="00D22324">
      <w:pPr>
        <w:tabs>
          <w:tab w:val="left" w:pos="720"/>
        </w:tabs>
        <w:suppressAutoHyphens/>
        <w:spacing w:line="276" w:lineRule="auto"/>
        <w:jc w:val="both"/>
        <w:rPr>
          <w:rFonts w:eastAsia="Times New Roman"/>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bCs/>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 xml:space="preserve">cuestiones consideradas prioritarias por el Comité en su documento de fecha 2 de agosto de 2010 (CAT/C/ARG/5-6) en su párrafo nueve en relación a este artículo </w:t>
      </w:r>
      <w:r w:rsidRPr="00B27609">
        <w:rPr>
          <w:rFonts w:eastAsia="Droid Sans Fallback"/>
          <w:b/>
          <w:bCs/>
          <w:kern w:val="1"/>
          <w:sz w:val="24"/>
          <w:szCs w:val="24"/>
          <w:lang w:val="es-AR"/>
        </w:rPr>
        <w:t>sobre la cuestión de las desapariciones forzadas, corresponde informar al CAT que en la provincia de Santa Fe se han identi</w:t>
      </w:r>
      <w:r w:rsidR="00E43CC8">
        <w:rPr>
          <w:rFonts w:eastAsia="Droid Sans Fallback"/>
          <w:b/>
          <w:bCs/>
          <w:kern w:val="1"/>
          <w:sz w:val="24"/>
          <w:szCs w:val="24"/>
          <w:lang w:val="es-AR"/>
        </w:rPr>
        <w:t>fi</w:t>
      </w:r>
      <w:r w:rsidRPr="00B27609">
        <w:rPr>
          <w:rFonts w:eastAsia="Droid Sans Fallback"/>
          <w:b/>
          <w:bCs/>
          <w:kern w:val="1"/>
          <w:sz w:val="24"/>
          <w:szCs w:val="24"/>
          <w:lang w:val="es-AR"/>
        </w:rPr>
        <w:t xml:space="preserve">cado </w:t>
      </w:r>
      <w:r w:rsidR="00E43CC8">
        <w:rPr>
          <w:rFonts w:eastAsia="Droid Sans Fallback"/>
          <w:b/>
          <w:bCs/>
          <w:kern w:val="1"/>
          <w:sz w:val="24"/>
          <w:szCs w:val="24"/>
          <w:lang w:val="es-AR"/>
        </w:rPr>
        <w:t>los siguientes casos</w:t>
      </w:r>
      <w:r w:rsidRPr="00B27609">
        <w:rPr>
          <w:rFonts w:eastAsia="Droid Sans Fallback"/>
          <w:b/>
          <w:bCs/>
          <w:kern w:val="1"/>
          <w:sz w:val="24"/>
          <w:szCs w:val="24"/>
          <w:lang w:val="es-AR"/>
        </w:rPr>
        <w:t>, tal como se detalla a continuación.</w:t>
      </w:r>
    </w:p>
    <w:p w:rsidR="00D22324" w:rsidRPr="00B27609" w:rsidRDefault="00D22324" w:rsidP="00D22324">
      <w:pPr>
        <w:tabs>
          <w:tab w:val="left" w:pos="720"/>
        </w:tabs>
        <w:suppressAutoHyphens/>
        <w:spacing w:line="276" w:lineRule="auto"/>
        <w:jc w:val="both"/>
        <w:rPr>
          <w:rFonts w:eastAsia="Droid Sans Fallback"/>
          <w:b/>
          <w:bCs/>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bCs/>
          <w:color w:val="000000"/>
          <w:kern w:val="1"/>
          <w:sz w:val="24"/>
          <w:szCs w:val="24"/>
          <w:lang w:val="es-AR"/>
        </w:rPr>
      </w:pPr>
      <w:r w:rsidRPr="00B27609">
        <w:rPr>
          <w:rFonts w:eastAsia="Droid Sans Fallback"/>
          <w:b/>
          <w:bCs/>
          <w:color w:val="000000"/>
          <w:kern w:val="1"/>
          <w:sz w:val="24"/>
          <w:szCs w:val="24"/>
          <w:lang w:val="es-AR"/>
        </w:rPr>
        <w:t>Gerardo “Pichón” Escobar fue desaparecido por personal policial y hallado muerto en las aguas del Río Paraná (2015)</w:t>
      </w:r>
    </w:p>
    <w:p w:rsidR="00D22324" w:rsidRPr="00B27609" w:rsidRDefault="00D22324" w:rsidP="00D22324">
      <w:pPr>
        <w:tabs>
          <w:tab w:val="left" w:pos="720"/>
        </w:tabs>
        <w:suppressAutoHyphens/>
        <w:spacing w:line="276" w:lineRule="auto"/>
        <w:jc w:val="both"/>
        <w:rPr>
          <w:rFonts w:eastAsia="Droid Sans Fallback"/>
          <w:bCs/>
          <w:color w:val="000000"/>
          <w:kern w:val="1"/>
          <w:sz w:val="24"/>
          <w:szCs w:val="24"/>
          <w:lang w:val="es-AR"/>
        </w:rPr>
      </w:pPr>
      <w:r w:rsidRPr="00B27609">
        <w:rPr>
          <w:rFonts w:eastAsia="Droid Sans Fallback"/>
          <w:bCs/>
          <w:color w:val="000000"/>
          <w:kern w:val="1"/>
          <w:sz w:val="24"/>
          <w:szCs w:val="24"/>
          <w:lang w:val="es-AR"/>
        </w:rPr>
        <w:t>El viernes 14 de agosto de 2015, a las 05:45am Gerardo “Pichón” Escobar se retiró del bolich</w:t>
      </w:r>
      <w:r w:rsidR="009E0ED0">
        <w:rPr>
          <w:rFonts w:eastAsia="Droid Sans Fallback"/>
          <w:bCs/>
          <w:color w:val="000000"/>
          <w:kern w:val="1"/>
          <w:sz w:val="24"/>
          <w:szCs w:val="24"/>
          <w:lang w:val="es-AR"/>
        </w:rPr>
        <w:t xml:space="preserve">e “La Tienda”, ubicado en el </w:t>
      </w:r>
      <w:r w:rsidRPr="00B27609">
        <w:rPr>
          <w:rFonts w:eastAsia="Droid Sans Fallback"/>
          <w:bCs/>
          <w:color w:val="000000"/>
          <w:kern w:val="1"/>
          <w:sz w:val="24"/>
          <w:szCs w:val="24"/>
          <w:lang w:val="es-AR"/>
        </w:rPr>
        <w:t xml:space="preserve">centro de la ciudad de Rosario. Según consta en el registro fílmico del local nocturno, el joven fue perseguido por personal seguridad y de la policía de la Provincia de Santa Fe que prestaban funciones adicionales de seguridad en el boliche. Esos registros </w:t>
      </w:r>
      <w:r w:rsidR="009E0ED0" w:rsidRPr="00B27609">
        <w:rPr>
          <w:rFonts w:eastAsia="Droid Sans Fallback"/>
          <w:bCs/>
          <w:color w:val="000000"/>
          <w:kern w:val="1"/>
          <w:sz w:val="24"/>
          <w:szCs w:val="24"/>
          <w:lang w:val="es-AR"/>
        </w:rPr>
        <w:t>fílmicos</w:t>
      </w:r>
      <w:r w:rsidRPr="00B27609">
        <w:rPr>
          <w:rFonts w:eastAsia="Droid Sans Fallback"/>
          <w:bCs/>
          <w:color w:val="000000"/>
          <w:kern w:val="1"/>
          <w:sz w:val="24"/>
          <w:szCs w:val="24"/>
          <w:lang w:val="es-AR"/>
        </w:rPr>
        <w:t xml:space="preserve"> son las últimas imagenes de Gerardo con vida. Una semana después su cuerpo apareció flotando en el Río Paraná. Se intento judicial y </w:t>
      </w:r>
      <w:r w:rsidR="009E0ED0" w:rsidRPr="00B27609">
        <w:rPr>
          <w:rFonts w:eastAsia="Droid Sans Fallback"/>
          <w:bCs/>
          <w:color w:val="000000"/>
          <w:kern w:val="1"/>
          <w:sz w:val="24"/>
          <w:szCs w:val="24"/>
          <w:lang w:val="es-AR"/>
        </w:rPr>
        <w:t>políticamente</w:t>
      </w:r>
      <w:r w:rsidRPr="00B27609">
        <w:rPr>
          <w:rFonts w:eastAsia="Droid Sans Fallback"/>
          <w:bCs/>
          <w:color w:val="000000"/>
          <w:kern w:val="1"/>
          <w:sz w:val="24"/>
          <w:szCs w:val="24"/>
          <w:lang w:val="es-AR"/>
        </w:rPr>
        <w:t xml:space="preserve"> que en la opinión pública trascendiera que Gerardo se había suicidado. A la fecha por el hecho, cinco personas, entre ellas dos policías están imputadas por desaparición forzada y encubrimiento agravado. La familia de Gerardo ha sido amenazada durante el transcurso de la investigación. Por tal motivo, se solicitó a la Comisión Interamericana de Derechos Humanos una medida cautelar de protección de la vida e integridad de su familia</w:t>
      </w:r>
    </w:p>
    <w:p w:rsidR="00D22324" w:rsidRPr="00B27609" w:rsidRDefault="00D22324" w:rsidP="00D22324">
      <w:pPr>
        <w:tabs>
          <w:tab w:val="left" w:pos="720"/>
        </w:tabs>
        <w:suppressAutoHyphens/>
        <w:spacing w:line="276" w:lineRule="auto"/>
        <w:jc w:val="both"/>
        <w:rPr>
          <w:rFonts w:eastAsia="Droid Sans Fallback"/>
          <w:bCs/>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b/>
          <w:bCs/>
          <w:color w:val="000000"/>
          <w:kern w:val="1"/>
          <w:sz w:val="24"/>
          <w:szCs w:val="24"/>
          <w:lang w:val="es-AR"/>
        </w:rPr>
        <w:t>Franco Casco, 20 años – Comisaría 7ma de Rosario (2014)</w:t>
      </w:r>
      <w:r w:rsidRPr="00B27609">
        <w:rPr>
          <w:rFonts w:eastAsia="Droid Sans Fallback"/>
          <w:color w:val="000000"/>
          <w:kern w:val="1"/>
          <w:sz w:val="24"/>
          <w:szCs w:val="24"/>
          <w:lang w:val="es-AR"/>
        </w:rPr>
        <w:t>: El joven Franco Casco, fue detenido el 6 de octubre de 2014 y derivado a la Comisaría 7ma, donde fue visto por última vez con vida. Fue hallado muerto el 31 del mismo mes a orillas del Río Paraná. Durante la investigación del caso, fueron enormes las irregularidades y actitudes negligentes mostradas por Fiscales intervinientes, los agentes policiales y de Prefectura Nacional y funcionarios del Poder Ejecutivo de la provincia de Santa Fe, para dar con la verdad acerca del hecho. La causa fue recaratulada como “desaparición forzada de persona” y enviada a l</w:t>
      </w:r>
      <w:r w:rsidR="009E0ED0">
        <w:rPr>
          <w:rFonts w:eastAsia="Droid Sans Fallback"/>
          <w:color w:val="000000"/>
          <w:kern w:val="1"/>
          <w:sz w:val="24"/>
          <w:szCs w:val="24"/>
          <w:lang w:val="es-AR"/>
        </w:rPr>
        <w:t>a órbita de la Justicia Federal, solo luego del activismo de los familiares de la víctima, del MPD y de organizaciones sociales, políticas y de derechos humanos.</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rPr>
          <w:rFonts w:eastAsia="Droid Sans Fallback"/>
          <w:color w:val="000000"/>
          <w:kern w:val="1"/>
          <w:sz w:val="24"/>
          <w:szCs w:val="24"/>
          <w:lang w:val="es-AR"/>
        </w:rPr>
      </w:pPr>
      <w:r w:rsidRPr="00B27609">
        <w:rPr>
          <w:rFonts w:eastAsia="Droid Sans Fallback"/>
          <w:b/>
          <w:color w:val="000000"/>
          <w:kern w:val="1"/>
          <w:sz w:val="24"/>
          <w:szCs w:val="24"/>
          <w:lang w:val="es-AR"/>
        </w:rPr>
        <w:t>Natalia Acosta – Desaparecida en Santa Fe (2009)</w:t>
      </w:r>
      <w:r w:rsidRPr="00B27609">
        <w:rPr>
          <w:rFonts w:eastAsia="Droid Sans Fallback"/>
          <w:color w:val="000000"/>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Desde el año 2009 </w:t>
      </w:r>
      <w:r w:rsidRPr="00B27609">
        <w:rPr>
          <w:rFonts w:eastAsia="Droid Sans Fallback"/>
          <w:bCs/>
          <w:color w:val="000000"/>
          <w:kern w:val="1"/>
          <w:sz w:val="24"/>
          <w:szCs w:val="24"/>
          <w:lang w:val="es-AR"/>
        </w:rPr>
        <w:t>Ariel Acosta</w:t>
      </w:r>
      <w:r w:rsidRPr="00B27609">
        <w:rPr>
          <w:rFonts w:eastAsia="Droid Sans Fallback"/>
          <w:color w:val="000000"/>
          <w:kern w:val="1"/>
          <w:sz w:val="24"/>
          <w:szCs w:val="24"/>
          <w:lang w:val="es-AR"/>
        </w:rPr>
        <w:t> y</w:t>
      </w:r>
      <w:r w:rsidRPr="00B27609">
        <w:rPr>
          <w:rFonts w:eastAsia="Droid Sans Fallback"/>
          <w:bCs/>
          <w:color w:val="000000"/>
          <w:kern w:val="1"/>
          <w:sz w:val="24"/>
          <w:szCs w:val="24"/>
          <w:lang w:val="es-AR"/>
        </w:rPr>
        <w:t> María Cristina Balán</w:t>
      </w:r>
      <w:r w:rsidRPr="00B27609">
        <w:rPr>
          <w:rFonts w:eastAsia="Droid Sans Fallback"/>
          <w:color w:val="000000"/>
          <w:kern w:val="1"/>
          <w:sz w:val="24"/>
          <w:szCs w:val="24"/>
          <w:lang w:val="es-AR"/>
        </w:rPr>
        <w:t> buscan desesperadamente a su hija </w:t>
      </w:r>
      <w:r w:rsidRPr="00B27609">
        <w:rPr>
          <w:rFonts w:eastAsia="Droid Sans Fallback"/>
          <w:bCs/>
          <w:color w:val="000000"/>
          <w:kern w:val="1"/>
          <w:sz w:val="24"/>
          <w:szCs w:val="24"/>
          <w:lang w:val="es-AR"/>
        </w:rPr>
        <w:t>Natalia</w:t>
      </w:r>
      <w:r w:rsidRPr="00B27609">
        <w:rPr>
          <w:rFonts w:eastAsia="Droid Sans Fallback"/>
          <w:color w:val="000000"/>
          <w:kern w:val="1"/>
          <w:sz w:val="24"/>
          <w:szCs w:val="24"/>
          <w:lang w:val="es-AR"/>
        </w:rPr>
        <w:t xml:space="preserve">, quien desapareció en el año 2009 luego de ser vista por última vez en el bar </w:t>
      </w:r>
      <w:r w:rsidR="009E0ED0">
        <w:rPr>
          <w:rFonts w:eastAsia="Droid Sans Fallback"/>
          <w:color w:val="000000"/>
          <w:kern w:val="1"/>
          <w:sz w:val="24"/>
          <w:szCs w:val="24"/>
          <w:lang w:val="es-AR"/>
        </w:rPr>
        <w:t>“</w:t>
      </w:r>
      <w:r w:rsidRPr="00B27609">
        <w:rPr>
          <w:rFonts w:eastAsia="Droid Sans Fallback"/>
          <w:color w:val="000000"/>
          <w:kern w:val="1"/>
          <w:sz w:val="24"/>
          <w:szCs w:val="24"/>
          <w:lang w:val="es-AR"/>
        </w:rPr>
        <w:t>Místico</w:t>
      </w:r>
      <w:r w:rsidR="009E0ED0">
        <w:rPr>
          <w:rFonts w:eastAsia="Droid Sans Fallback"/>
          <w:color w:val="000000"/>
          <w:kern w:val="1"/>
          <w:sz w:val="24"/>
          <w:szCs w:val="24"/>
          <w:lang w:val="es-AR"/>
        </w:rPr>
        <w:t>”</w:t>
      </w:r>
      <w:r w:rsidRPr="00B27609">
        <w:rPr>
          <w:rFonts w:eastAsia="Droid Sans Fallback"/>
          <w:color w:val="000000"/>
          <w:kern w:val="1"/>
          <w:sz w:val="24"/>
          <w:szCs w:val="24"/>
          <w:lang w:val="es-AR"/>
        </w:rPr>
        <w:t xml:space="preserve"> de la ciudad de Santa Fe. Jamás se supo nada más acerca de </w:t>
      </w:r>
      <w:r w:rsidRPr="00B27609">
        <w:rPr>
          <w:rFonts w:eastAsia="Droid Sans Fallback"/>
          <w:color w:val="000000"/>
          <w:kern w:val="1"/>
          <w:sz w:val="24"/>
          <w:szCs w:val="24"/>
          <w:lang w:val="es-AR"/>
        </w:rPr>
        <w:lastRenderedPageBreak/>
        <w:t>ella ni su paradero. La causa pasó por diferentes juzgados de la </w:t>
      </w:r>
      <w:r w:rsidRPr="00B27609">
        <w:rPr>
          <w:rFonts w:eastAsia="Droid Sans Fallback"/>
          <w:bCs/>
          <w:color w:val="000000"/>
          <w:kern w:val="1"/>
          <w:sz w:val="24"/>
          <w:szCs w:val="24"/>
          <w:lang w:val="es-AR"/>
        </w:rPr>
        <w:t>Justicia Federal</w:t>
      </w:r>
      <w:r w:rsidRPr="00B27609">
        <w:rPr>
          <w:rFonts w:eastAsia="Droid Sans Fallback"/>
          <w:color w:val="000000"/>
          <w:kern w:val="1"/>
          <w:sz w:val="24"/>
          <w:szCs w:val="24"/>
          <w:lang w:val="es-AR"/>
        </w:rPr>
        <w:t> y de la </w:t>
      </w:r>
      <w:r w:rsidRPr="00B27609">
        <w:rPr>
          <w:rFonts w:eastAsia="Droid Sans Fallback"/>
          <w:bCs/>
          <w:color w:val="000000"/>
          <w:kern w:val="1"/>
          <w:sz w:val="24"/>
          <w:szCs w:val="24"/>
          <w:lang w:val="es-AR"/>
        </w:rPr>
        <w:t>Provincia de Santa Fe</w:t>
      </w:r>
      <w:r w:rsidRPr="00B27609">
        <w:rPr>
          <w:rFonts w:eastAsia="Droid Sans Fallback"/>
          <w:color w:val="000000"/>
          <w:kern w:val="1"/>
          <w:sz w:val="24"/>
          <w:szCs w:val="24"/>
          <w:lang w:val="es-AR"/>
        </w:rPr>
        <w:t xml:space="preserve">. En noviembre de 2016 </w:t>
      </w:r>
      <w:r w:rsidRPr="00B27609">
        <w:rPr>
          <w:rFonts w:eastAsia="Droid Sans Fallback"/>
          <w:color w:val="000000"/>
          <w:kern w:val="1"/>
          <w:sz w:val="24"/>
          <w:szCs w:val="24"/>
          <w:lang w:val="es-ES"/>
        </w:rPr>
        <w:t>hubo avances significativos en la causa. Por un lado, luego de un dictamen favorable de la </w:t>
      </w:r>
      <w:r w:rsidRPr="00B27609">
        <w:rPr>
          <w:rFonts w:eastAsia="Droid Sans Fallback"/>
          <w:bCs/>
          <w:color w:val="000000"/>
          <w:kern w:val="1"/>
          <w:sz w:val="24"/>
          <w:szCs w:val="24"/>
          <w:lang w:val="es-ES"/>
        </w:rPr>
        <w:t>Procuradora General de la Nación</w:t>
      </w:r>
      <w:r w:rsidRPr="00B27609">
        <w:rPr>
          <w:rFonts w:eastAsia="Droid Sans Fallback"/>
          <w:color w:val="000000"/>
          <w:kern w:val="1"/>
          <w:sz w:val="24"/>
          <w:szCs w:val="24"/>
          <w:lang w:val="es-ES"/>
        </w:rPr>
        <w:t>, </w:t>
      </w:r>
      <w:r w:rsidRPr="00B27609">
        <w:rPr>
          <w:rFonts w:eastAsia="Droid Sans Fallback"/>
          <w:bCs/>
          <w:color w:val="000000"/>
          <w:kern w:val="1"/>
          <w:sz w:val="24"/>
          <w:szCs w:val="24"/>
          <w:lang w:val="es-ES"/>
        </w:rPr>
        <w:t>Dra. Alejandra Gils Carbó</w:t>
      </w:r>
      <w:r w:rsidRPr="00B27609">
        <w:rPr>
          <w:rFonts w:eastAsia="Droid Sans Fallback"/>
          <w:color w:val="000000"/>
          <w:kern w:val="1"/>
          <w:sz w:val="24"/>
          <w:szCs w:val="24"/>
          <w:lang w:val="es-ES"/>
        </w:rPr>
        <w:t> a la espera de la aprobación de los </w:t>
      </w:r>
      <w:r w:rsidRPr="00B27609">
        <w:rPr>
          <w:rFonts w:eastAsia="Droid Sans Fallback"/>
          <w:bCs/>
          <w:color w:val="000000"/>
          <w:kern w:val="1"/>
          <w:sz w:val="24"/>
          <w:szCs w:val="24"/>
          <w:lang w:val="es-ES"/>
        </w:rPr>
        <w:t>Ministros de la Corte Suprema de Justicia de la Nación</w:t>
      </w:r>
      <w:r w:rsidRPr="00B27609">
        <w:rPr>
          <w:rFonts w:eastAsia="Droid Sans Fallback"/>
          <w:color w:val="000000"/>
          <w:kern w:val="1"/>
          <w:sz w:val="24"/>
          <w:szCs w:val="24"/>
          <w:lang w:val="es-ES"/>
        </w:rPr>
        <w:t>,  para que la causa pase al fuero federal para que la desaparición de </w:t>
      </w:r>
      <w:r w:rsidRPr="00B27609">
        <w:rPr>
          <w:rFonts w:eastAsia="Droid Sans Fallback"/>
          <w:bCs/>
          <w:color w:val="000000"/>
          <w:kern w:val="1"/>
          <w:sz w:val="24"/>
          <w:szCs w:val="24"/>
          <w:lang w:val="es-ES"/>
        </w:rPr>
        <w:t>Natalia</w:t>
      </w:r>
      <w:r w:rsidRPr="00B27609">
        <w:rPr>
          <w:rFonts w:eastAsia="Droid Sans Fallback"/>
          <w:color w:val="000000"/>
          <w:kern w:val="1"/>
          <w:sz w:val="24"/>
          <w:szCs w:val="24"/>
          <w:lang w:val="es-ES"/>
        </w:rPr>
        <w:t> sea investigada bajo su competencia -trata y desaparición de personas-, dejando de lado así la intervención de la</w:t>
      </w:r>
      <w:r w:rsidRPr="00B27609">
        <w:rPr>
          <w:rFonts w:eastAsia="Droid Sans Fallback"/>
          <w:bCs/>
          <w:color w:val="000000"/>
          <w:kern w:val="1"/>
          <w:sz w:val="24"/>
          <w:szCs w:val="24"/>
          <w:lang w:val="es-ES"/>
        </w:rPr>
        <w:t> Justicia de la Provincia de Santa Fe</w:t>
      </w:r>
      <w:r w:rsidRPr="00B27609">
        <w:rPr>
          <w:rFonts w:eastAsia="Droid Sans Fallback"/>
          <w:color w:val="000000"/>
          <w:kern w:val="1"/>
          <w:sz w:val="24"/>
          <w:szCs w:val="24"/>
          <w:lang w:val="es-ES"/>
        </w:rPr>
        <w:t> quien había caratulado el caso como </w:t>
      </w:r>
      <w:r w:rsidRPr="00B27609">
        <w:rPr>
          <w:rFonts w:eastAsia="Droid Sans Fallback"/>
          <w:i/>
          <w:iCs/>
          <w:color w:val="000000"/>
          <w:kern w:val="1"/>
          <w:sz w:val="24"/>
          <w:szCs w:val="24"/>
          <w:lang w:val="es-ES"/>
        </w:rPr>
        <w:t>“averiguación de paradero”</w:t>
      </w:r>
      <w:r w:rsidRPr="00B27609">
        <w:rPr>
          <w:rFonts w:eastAsia="Droid Sans Fallback"/>
          <w:color w:val="000000"/>
          <w:kern w:val="1"/>
          <w:sz w:val="24"/>
          <w:szCs w:val="24"/>
          <w:lang w:val="es-ES"/>
        </w:rPr>
        <w:t xml:space="preserve">. Y </w:t>
      </w:r>
      <w:r w:rsidR="009E0ED0">
        <w:rPr>
          <w:rFonts w:eastAsia="Droid Sans Fallback"/>
          <w:color w:val="000000"/>
          <w:kern w:val="1"/>
          <w:sz w:val="24"/>
          <w:szCs w:val="24"/>
          <w:lang w:val="es-ES"/>
        </w:rPr>
        <w:t xml:space="preserve">también luego de que </w:t>
      </w:r>
      <w:r w:rsidRPr="00B27609">
        <w:rPr>
          <w:rFonts w:eastAsia="Droid Sans Fallback"/>
          <w:color w:val="000000"/>
          <w:kern w:val="1"/>
          <w:sz w:val="24"/>
          <w:szCs w:val="24"/>
          <w:lang w:val="es-ES"/>
        </w:rPr>
        <w:t>el </w:t>
      </w:r>
      <w:r w:rsidRPr="00B27609">
        <w:rPr>
          <w:rFonts w:eastAsia="Droid Sans Fallback"/>
          <w:bCs/>
          <w:color w:val="000000"/>
          <w:kern w:val="1"/>
          <w:sz w:val="24"/>
          <w:szCs w:val="24"/>
          <w:lang w:val="es-ES"/>
        </w:rPr>
        <w:t>Grupo de Trabajo sobre Desapariciones Forzadas o Involuntarias de las Naciones Unidas</w:t>
      </w:r>
      <w:r w:rsidRPr="00B27609">
        <w:rPr>
          <w:rFonts w:eastAsia="Droid Sans Fallback"/>
          <w:color w:val="000000"/>
          <w:kern w:val="1"/>
          <w:sz w:val="24"/>
          <w:szCs w:val="24"/>
          <w:lang w:val="es-ES"/>
        </w:rPr>
        <w:t> envi</w:t>
      </w:r>
      <w:r w:rsidR="009E0ED0">
        <w:rPr>
          <w:rFonts w:eastAsia="Droid Sans Fallback"/>
          <w:color w:val="000000"/>
          <w:kern w:val="1"/>
          <w:sz w:val="24"/>
          <w:szCs w:val="24"/>
          <w:lang w:val="es-ES"/>
        </w:rPr>
        <w:t>ara</w:t>
      </w:r>
      <w:r w:rsidRPr="00B27609">
        <w:rPr>
          <w:rFonts w:eastAsia="Droid Sans Fallback"/>
          <w:color w:val="000000"/>
          <w:kern w:val="1"/>
          <w:sz w:val="24"/>
          <w:szCs w:val="24"/>
          <w:lang w:val="es-ES"/>
        </w:rPr>
        <w:t xml:space="preserve"> un comunicado al Estado Argentino solicitando a través de </w:t>
      </w:r>
      <w:r w:rsidRPr="00B27609">
        <w:rPr>
          <w:rFonts w:eastAsia="Droid Sans Fallback"/>
          <w:bCs/>
          <w:color w:val="000000"/>
          <w:kern w:val="1"/>
          <w:sz w:val="24"/>
          <w:szCs w:val="24"/>
          <w:lang w:val="es-ES"/>
        </w:rPr>
        <w:t>Cancillería</w:t>
      </w:r>
      <w:r w:rsidRPr="00B27609">
        <w:rPr>
          <w:rFonts w:eastAsia="Droid Sans Fallback"/>
          <w:color w:val="000000"/>
          <w:kern w:val="1"/>
          <w:sz w:val="24"/>
          <w:szCs w:val="24"/>
          <w:lang w:val="es-ES"/>
        </w:rPr>
        <w:t> que extreme las medidas investigativas para poder determinar el paradero de </w:t>
      </w:r>
      <w:r w:rsidRPr="00B27609">
        <w:rPr>
          <w:rFonts w:eastAsia="Droid Sans Fallback"/>
          <w:bCs/>
          <w:color w:val="000000"/>
          <w:kern w:val="1"/>
          <w:sz w:val="24"/>
          <w:szCs w:val="24"/>
          <w:lang w:val="es-ES"/>
        </w:rPr>
        <w:t>Natalia Acosta</w:t>
      </w:r>
      <w:r w:rsidRPr="00B27609">
        <w:rPr>
          <w:rFonts w:eastAsia="Droid Sans Fallback"/>
          <w:color w:val="000000"/>
          <w:kern w:val="1"/>
          <w:sz w:val="24"/>
          <w:szCs w:val="24"/>
          <w:lang w:val="es-ES"/>
        </w:rPr>
        <w:t xml:space="preserve">. Además </w:t>
      </w:r>
      <w:r w:rsidR="009E0ED0">
        <w:rPr>
          <w:rFonts w:eastAsia="Droid Sans Fallback"/>
          <w:color w:val="000000"/>
          <w:kern w:val="1"/>
          <w:sz w:val="24"/>
          <w:szCs w:val="24"/>
          <w:lang w:val="es-ES"/>
        </w:rPr>
        <w:t xml:space="preserve">el Grupo de Trabajo </w:t>
      </w:r>
      <w:r w:rsidRPr="00B27609">
        <w:rPr>
          <w:rFonts w:eastAsia="Droid Sans Fallback"/>
          <w:color w:val="000000"/>
          <w:kern w:val="1"/>
          <w:sz w:val="24"/>
          <w:szCs w:val="24"/>
          <w:lang w:val="es-ES"/>
        </w:rPr>
        <w:t xml:space="preserve">solicitó </w:t>
      </w:r>
      <w:r w:rsidR="009E0ED0">
        <w:rPr>
          <w:rFonts w:eastAsia="Droid Sans Fallback"/>
          <w:color w:val="000000"/>
          <w:kern w:val="1"/>
          <w:sz w:val="24"/>
          <w:szCs w:val="24"/>
          <w:lang w:val="es-ES"/>
        </w:rPr>
        <w:t>al Estad</w:t>
      </w:r>
      <w:r w:rsidR="007C5FF8">
        <w:rPr>
          <w:rFonts w:eastAsia="Droid Sans Fallback"/>
          <w:color w:val="000000"/>
          <w:kern w:val="1"/>
          <w:sz w:val="24"/>
          <w:szCs w:val="24"/>
          <w:lang w:val="es-ES"/>
        </w:rPr>
        <w:t>o</w:t>
      </w:r>
      <w:r w:rsidR="009E0ED0">
        <w:rPr>
          <w:rFonts w:eastAsia="Droid Sans Fallback"/>
          <w:color w:val="000000"/>
          <w:kern w:val="1"/>
          <w:sz w:val="24"/>
          <w:szCs w:val="24"/>
          <w:lang w:val="es-ES"/>
        </w:rPr>
        <w:t xml:space="preserve"> </w:t>
      </w:r>
      <w:r w:rsidRPr="00B27609">
        <w:rPr>
          <w:rFonts w:eastAsia="Droid Sans Fallback"/>
          <w:color w:val="000000"/>
          <w:kern w:val="1"/>
          <w:sz w:val="24"/>
          <w:szCs w:val="24"/>
          <w:lang w:val="es-ES"/>
        </w:rPr>
        <w:t>que investigue y sancione a los eventuales responsables de su desaparición forzada. El caso fue tratado en el </w:t>
      </w:r>
      <w:r w:rsidRPr="00B27609">
        <w:rPr>
          <w:rFonts w:eastAsia="Droid Sans Fallback"/>
          <w:bCs/>
          <w:color w:val="000000"/>
          <w:kern w:val="1"/>
          <w:sz w:val="24"/>
          <w:szCs w:val="24"/>
          <w:lang w:val="es-ES"/>
        </w:rPr>
        <w:t>110ª Período de Sesiones</w:t>
      </w:r>
      <w:r w:rsidRPr="00B27609">
        <w:rPr>
          <w:rFonts w:eastAsia="Droid Sans Fallback"/>
          <w:color w:val="000000"/>
          <w:kern w:val="1"/>
          <w:sz w:val="24"/>
          <w:szCs w:val="24"/>
          <w:lang w:val="es-ES"/>
        </w:rPr>
        <w:t> desarrollado en </w:t>
      </w:r>
      <w:r w:rsidRPr="00B27609">
        <w:rPr>
          <w:rFonts w:eastAsia="Droid Sans Fallback"/>
          <w:bCs/>
          <w:color w:val="000000"/>
          <w:kern w:val="1"/>
          <w:sz w:val="24"/>
          <w:szCs w:val="24"/>
          <w:lang w:val="es-ES"/>
        </w:rPr>
        <w:t>Ginebra, Suiza</w:t>
      </w:r>
      <w:r w:rsidRPr="00B27609">
        <w:rPr>
          <w:rFonts w:eastAsia="Droid Sans Fallback"/>
          <w:color w:val="000000"/>
          <w:kern w:val="1"/>
          <w:sz w:val="24"/>
          <w:szCs w:val="24"/>
          <w:lang w:val="es-ES"/>
        </w:rPr>
        <w:t>, desde el 19 al 23 de septiembre de este año.</w:t>
      </w:r>
      <w:r w:rsidRPr="00B27609">
        <w:rPr>
          <w:rFonts w:eastAsia="Times New Roman"/>
          <w:color w:val="6B6E80"/>
          <w:sz w:val="24"/>
          <w:szCs w:val="24"/>
          <w:lang w:val="es-ES" w:eastAsia="es-ES"/>
        </w:rPr>
        <w:t xml:space="preserve"> </w:t>
      </w:r>
      <w:r w:rsidRPr="00B27609">
        <w:rPr>
          <w:rFonts w:eastAsia="Droid Sans Fallback"/>
          <w:color w:val="000000"/>
          <w:kern w:val="1"/>
          <w:sz w:val="24"/>
          <w:szCs w:val="24"/>
          <w:lang w:val="es-AR"/>
        </w:rPr>
        <w:t>La presentación ante el organismo internacional fue realizada por el </w:t>
      </w:r>
      <w:r w:rsidRPr="00B27609">
        <w:rPr>
          <w:rFonts w:eastAsia="Droid Sans Fallback"/>
          <w:bCs/>
          <w:color w:val="000000"/>
          <w:kern w:val="1"/>
          <w:sz w:val="24"/>
          <w:szCs w:val="24"/>
          <w:lang w:val="es-AR"/>
        </w:rPr>
        <w:t>Defensor Provincial</w:t>
      </w:r>
      <w:r w:rsidRPr="00B27609">
        <w:rPr>
          <w:rFonts w:eastAsia="Droid Sans Fallback"/>
          <w:color w:val="000000"/>
          <w:kern w:val="1"/>
          <w:sz w:val="24"/>
          <w:szCs w:val="24"/>
          <w:lang w:val="es-AR"/>
        </w:rPr>
        <w:t>, </w:t>
      </w:r>
      <w:r w:rsidRPr="00B27609">
        <w:rPr>
          <w:rFonts w:eastAsia="Droid Sans Fallback"/>
          <w:bCs/>
          <w:color w:val="000000"/>
          <w:kern w:val="1"/>
          <w:sz w:val="24"/>
          <w:szCs w:val="24"/>
          <w:lang w:val="es-AR"/>
        </w:rPr>
        <w:t>Dr. Gabriel Ganón</w:t>
      </w:r>
      <w:r w:rsidRPr="00B27609">
        <w:rPr>
          <w:rFonts w:eastAsia="Droid Sans Fallback"/>
          <w:color w:val="000000"/>
          <w:kern w:val="1"/>
          <w:sz w:val="24"/>
          <w:szCs w:val="24"/>
          <w:lang w:val="es-AR"/>
        </w:rPr>
        <w:t xml:space="preserve">, y la resolución le fue comunicada el viernes pasado. </w:t>
      </w:r>
    </w:p>
    <w:p w:rsidR="00D22324" w:rsidRDefault="00D22324" w:rsidP="00D22324">
      <w:pPr>
        <w:tabs>
          <w:tab w:val="left" w:pos="720"/>
        </w:tabs>
        <w:suppressAutoHyphens/>
        <w:spacing w:line="276" w:lineRule="auto"/>
        <w:jc w:val="both"/>
        <w:rPr>
          <w:rFonts w:eastAsia="Droid Sans Fallback"/>
          <w:color w:val="000000"/>
          <w:kern w:val="1"/>
          <w:sz w:val="24"/>
          <w:szCs w:val="24"/>
          <w:lang w:val="es-AR"/>
        </w:rPr>
      </w:pPr>
    </w:p>
    <w:p w:rsidR="00894335" w:rsidRPr="00B27609" w:rsidRDefault="00894335" w:rsidP="00D22324">
      <w:pPr>
        <w:tabs>
          <w:tab w:val="left" w:pos="720"/>
        </w:tabs>
        <w:suppressAutoHyphens/>
        <w:spacing w:line="276" w:lineRule="auto"/>
        <w:jc w:val="both"/>
        <w:rPr>
          <w:rFonts w:eastAsia="Droid Sans Fallback"/>
          <w:color w:val="000000"/>
          <w:kern w:val="1"/>
          <w:sz w:val="24"/>
          <w:szCs w:val="24"/>
          <w:lang w:val="es-AR"/>
        </w:rPr>
      </w:pPr>
    </w:p>
    <w:p w:rsidR="00E43CC8" w:rsidRPr="00B27609" w:rsidRDefault="00E43CC8" w:rsidP="00E43CC8">
      <w:pPr>
        <w:tabs>
          <w:tab w:val="left" w:pos="720"/>
        </w:tabs>
        <w:suppressAutoHyphens/>
        <w:spacing w:line="276" w:lineRule="auto"/>
        <w:jc w:val="both"/>
        <w:rPr>
          <w:rFonts w:eastAsia="Droid Sans Fallback"/>
          <w:b/>
          <w:bCs/>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 xml:space="preserve">cuestiones consideradas prioritarias por el </w:t>
      </w:r>
      <w:r w:rsidR="00C05052">
        <w:rPr>
          <w:rFonts w:eastAsia="Droid Sans Fallback"/>
          <w:b/>
          <w:color w:val="00000A"/>
          <w:kern w:val="1"/>
          <w:sz w:val="24"/>
          <w:szCs w:val="24"/>
          <w:lang w:val="es-AR"/>
        </w:rPr>
        <w:t>CAT</w:t>
      </w:r>
      <w:r w:rsidRPr="00B27609">
        <w:rPr>
          <w:rFonts w:eastAsia="Droid Sans Fallback"/>
          <w:b/>
          <w:color w:val="00000A"/>
          <w:kern w:val="1"/>
          <w:sz w:val="24"/>
          <w:szCs w:val="24"/>
          <w:lang w:val="es-AR"/>
        </w:rPr>
        <w:t xml:space="preserve"> en su documento de fecha 2 de agosto de 2010 (CAT/C/ARG/5-6) en su párrafo </w:t>
      </w:r>
      <w:r>
        <w:rPr>
          <w:rFonts w:eastAsia="Droid Sans Fallback"/>
          <w:b/>
          <w:color w:val="00000A"/>
          <w:kern w:val="1"/>
          <w:sz w:val="24"/>
          <w:szCs w:val="24"/>
          <w:lang w:val="es-AR"/>
        </w:rPr>
        <w:t>diez</w:t>
      </w:r>
      <w:r w:rsidRPr="00B27609">
        <w:rPr>
          <w:rFonts w:eastAsia="Droid Sans Fallback"/>
          <w:b/>
          <w:color w:val="00000A"/>
          <w:kern w:val="1"/>
          <w:sz w:val="24"/>
          <w:szCs w:val="24"/>
          <w:lang w:val="es-AR"/>
        </w:rPr>
        <w:t xml:space="preserve"> en relación a este artículo </w:t>
      </w:r>
      <w:r w:rsidRPr="00B27609">
        <w:rPr>
          <w:rFonts w:eastAsia="Droid Sans Fallback"/>
          <w:b/>
          <w:bCs/>
          <w:kern w:val="1"/>
          <w:sz w:val="24"/>
          <w:szCs w:val="24"/>
          <w:lang w:val="es-AR"/>
        </w:rPr>
        <w:t xml:space="preserve">sobre la cuestión de </w:t>
      </w:r>
      <w:r>
        <w:rPr>
          <w:rFonts w:eastAsia="Droid Sans Fallback"/>
          <w:b/>
          <w:bCs/>
          <w:kern w:val="1"/>
          <w:sz w:val="24"/>
          <w:szCs w:val="24"/>
          <w:lang w:val="es-AR"/>
        </w:rPr>
        <w:t xml:space="preserve">la garantía de independencia de las/as funcionarias/os de la administración de justicia, </w:t>
      </w:r>
      <w:r w:rsidRPr="00B27609">
        <w:rPr>
          <w:rFonts w:eastAsia="Droid Sans Fallback"/>
          <w:b/>
          <w:bCs/>
          <w:kern w:val="1"/>
          <w:sz w:val="24"/>
          <w:szCs w:val="24"/>
          <w:lang w:val="es-AR"/>
        </w:rPr>
        <w:t xml:space="preserve">corresponde informar al CAT </w:t>
      </w:r>
      <w:r>
        <w:rPr>
          <w:rFonts w:eastAsia="Droid Sans Fallback"/>
          <w:b/>
          <w:bCs/>
          <w:kern w:val="1"/>
          <w:sz w:val="24"/>
          <w:szCs w:val="24"/>
          <w:lang w:val="es-AR"/>
        </w:rPr>
        <w:t>lo siguiente</w:t>
      </w:r>
      <w:r w:rsidRPr="00B27609">
        <w:rPr>
          <w:rFonts w:eastAsia="Droid Sans Fallback"/>
          <w:b/>
          <w:bCs/>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b/>
          <w:bCs/>
          <w:color w:val="0000FF"/>
          <w:kern w:val="1"/>
          <w:sz w:val="24"/>
          <w:szCs w:val="24"/>
          <w:lang w:val="es-AR"/>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 xml:space="preserve">En noviembre de 2016, el </w:t>
      </w:r>
      <w:r>
        <w:rPr>
          <w:rFonts w:eastAsia="Droid Sans Fallback"/>
          <w:bCs/>
          <w:kern w:val="1"/>
          <w:sz w:val="24"/>
          <w:szCs w:val="24"/>
          <w:lang w:val="es-ES"/>
        </w:rPr>
        <w:t xml:space="preserve">hasta entonces </w:t>
      </w:r>
      <w:r w:rsidRPr="007C5FF8">
        <w:rPr>
          <w:rFonts w:eastAsia="Droid Sans Fallback"/>
          <w:bCs/>
          <w:kern w:val="1"/>
          <w:sz w:val="24"/>
          <w:szCs w:val="24"/>
          <w:lang w:val="es-ES"/>
        </w:rPr>
        <w:t>titular del MPD</w:t>
      </w:r>
      <w:r>
        <w:rPr>
          <w:rFonts w:eastAsia="Droid Sans Fallback"/>
          <w:bCs/>
          <w:kern w:val="1"/>
          <w:sz w:val="24"/>
          <w:szCs w:val="24"/>
          <w:lang w:val="es-ES"/>
        </w:rPr>
        <w:t>, Gabriel Ganón,</w:t>
      </w:r>
      <w:r w:rsidRPr="007C5FF8">
        <w:rPr>
          <w:rFonts w:eastAsia="Droid Sans Fallback"/>
          <w:bCs/>
          <w:kern w:val="1"/>
          <w:sz w:val="24"/>
          <w:szCs w:val="24"/>
          <w:lang w:val="es-ES"/>
        </w:rPr>
        <w:t xml:space="preserve"> fue suspendido por la Legislatura </w:t>
      </w:r>
      <w:r>
        <w:rPr>
          <w:rFonts w:eastAsia="Droid Sans Fallback"/>
          <w:bCs/>
          <w:kern w:val="1"/>
          <w:sz w:val="24"/>
          <w:szCs w:val="24"/>
          <w:lang w:val="es-ES"/>
        </w:rPr>
        <w:t>provincial</w:t>
      </w:r>
      <w:r w:rsidRPr="007C5FF8">
        <w:rPr>
          <w:rFonts w:eastAsia="Droid Sans Fallback"/>
          <w:bCs/>
          <w:kern w:val="1"/>
          <w:sz w:val="24"/>
          <w:szCs w:val="24"/>
          <w:lang w:val="es-ES"/>
        </w:rPr>
        <w:t xml:space="preserve">. La </w:t>
      </w:r>
      <w:r>
        <w:rPr>
          <w:rFonts w:eastAsia="Droid Sans Fallback"/>
          <w:bCs/>
          <w:kern w:val="1"/>
          <w:sz w:val="24"/>
          <w:szCs w:val="24"/>
          <w:lang w:val="es-ES"/>
        </w:rPr>
        <w:t xml:space="preserve">suspensión </w:t>
      </w:r>
      <w:r w:rsidRPr="007C5FF8">
        <w:rPr>
          <w:rFonts w:eastAsia="Droid Sans Fallback"/>
          <w:bCs/>
          <w:kern w:val="1"/>
          <w:sz w:val="24"/>
          <w:szCs w:val="24"/>
          <w:lang w:val="es-ES"/>
        </w:rPr>
        <w:t xml:space="preserve">se concretó luego de dos intentos anteriores en la </w:t>
      </w:r>
      <w:r>
        <w:rPr>
          <w:rFonts w:eastAsia="Droid Sans Fallback"/>
          <w:bCs/>
          <w:kern w:val="1"/>
          <w:sz w:val="24"/>
          <w:szCs w:val="24"/>
          <w:lang w:val="es-ES"/>
        </w:rPr>
        <w:t>Legislatura</w:t>
      </w:r>
      <w:r w:rsidRPr="007C5FF8">
        <w:rPr>
          <w:rFonts w:eastAsia="Droid Sans Fallback"/>
          <w:bCs/>
          <w:kern w:val="1"/>
          <w:sz w:val="24"/>
          <w:szCs w:val="24"/>
          <w:lang w:val="es-ES"/>
        </w:rPr>
        <w:t>, impulsado</w:t>
      </w:r>
      <w:r>
        <w:rPr>
          <w:rFonts w:eastAsia="Droid Sans Fallback"/>
          <w:bCs/>
          <w:kern w:val="1"/>
          <w:sz w:val="24"/>
          <w:szCs w:val="24"/>
          <w:lang w:val="es-ES"/>
        </w:rPr>
        <w:t>s por el P</w:t>
      </w:r>
      <w:r w:rsidRPr="007C5FF8">
        <w:rPr>
          <w:rFonts w:eastAsia="Droid Sans Fallback"/>
          <w:bCs/>
          <w:kern w:val="1"/>
          <w:sz w:val="24"/>
          <w:szCs w:val="24"/>
          <w:lang w:val="es-ES"/>
        </w:rPr>
        <w:t xml:space="preserve">oder </w:t>
      </w:r>
      <w:r>
        <w:rPr>
          <w:rFonts w:eastAsia="Droid Sans Fallback"/>
          <w:bCs/>
          <w:kern w:val="1"/>
          <w:sz w:val="24"/>
          <w:szCs w:val="24"/>
          <w:lang w:val="es-ES"/>
        </w:rPr>
        <w:t>E</w:t>
      </w:r>
      <w:r w:rsidRPr="007C5FF8">
        <w:rPr>
          <w:rFonts w:eastAsia="Droid Sans Fallback"/>
          <w:bCs/>
          <w:kern w:val="1"/>
          <w:sz w:val="24"/>
          <w:szCs w:val="24"/>
          <w:lang w:val="es-ES"/>
        </w:rPr>
        <w:t>jecutivo provincial y legisladoras</w:t>
      </w:r>
      <w:r>
        <w:rPr>
          <w:rFonts w:eastAsia="Droid Sans Fallback"/>
          <w:bCs/>
          <w:kern w:val="1"/>
          <w:sz w:val="24"/>
          <w:szCs w:val="24"/>
          <w:lang w:val="es-ES"/>
        </w:rPr>
        <w:t>/res</w:t>
      </w:r>
      <w:r w:rsidRPr="007C5FF8">
        <w:rPr>
          <w:rFonts w:eastAsia="Droid Sans Fallback"/>
          <w:bCs/>
          <w:kern w:val="1"/>
          <w:sz w:val="24"/>
          <w:szCs w:val="24"/>
          <w:lang w:val="es-ES"/>
        </w:rPr>
        <w:t xml:space="preserve"> oficialistas. Este tercer intento se inició luego de que el MPD efectuara la presentación de un informe alternativo ante el Comité de Derechos Humanos en julio de 2016. Además, la suspensión fue precedida por un procedimiento cargado de irregularidades violando totalmente los estándares del debido proceso.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La suspensión fue repudiada de manera unánime por los organismos de derechos humanos, víctimas y familiares de víctimas de violencia institucional en el entendimiento de que se trató de un manifiesto acto de represalia</w:t>
      </w:r>
      <w:r>
        <w:rPr>
          <w:rFonts w:eastAsia="Droid Sans Fallback"/>
          <w:bCs/>
          <w:kern w:val="1"/>
          <w:sz w:val="24"/>
          <w:szCs w:val="24"/>
          <w:lang w:val="es-ES"/>
        </w:rPr>
        <w:t xml:space="preserve"> por la política institucional del MPD y de disciplinamiento que vulneró gravemente </w:t>
      </w:r>
      <w:r w:rsidRPr="007C5FF8">
        <w:rPr>
          <w:rFonts w:eastAsia="Droid Sans Fallback"/>
          <w:bCs/>
          <w:kern w:val="1"/>
          <w:sz w:val="24"/>
          <w:szCs w:val="24"/>
          <w:lang w:val="es-ES"/>
        </w:rPr>
        <w:t xml:space="preserve">la autonomía que </w:t>
      </w:r>
      <w:r>
        <w:rPr>
          <w:rFonts w:eastAsia="Droid Sans Fallback"/>
          <w:bCs/>
          <w:kern w:val="1"/>
          <w:sz w:val="24"/>
          <w:szCs w:val="24"/>
          <w:lang w:val="es-ES"/>
        </w:rPr>
        <w:t xml:space="preserve">el MPD </w:t>
      </w:r>
      <w:r w:rsidR="00C05052">
        <w:rPr>
          <w:rFonts w:eastAsia="Droid Sans Fallback"/>
          <w:bCs/>
          <w:kern w:val="1"/>
          <w:sz w:val="24"/>
          <w:szCs w:val="24"/>
          <w:lang w:val="es-ES"/>
        </w:rPr>
        <w:t>debe tener</w:t>
      </w:r>
      <w:r>
        <w:rPr>
          <w:rFonts w:eastAsia="Droid Sans Fallback"/>
          <w:bCs/>
          <w:kern w:val="1"/>
          <w:sz w:val="24"/>
          <w:szCs w:val="24"/>
          <w:lang w:val="es-ES"/>
        </w:rPr>
        <w:t xml:space="preserve"> según su </w:t>
      </w:r>
      <w:r w:rsidRPr="007C5FF8">
        <w:rPr>
          <w:rFonts w:eastAsia="Droid Sans Fallback"/>
          <w:bCs/>
          <w:kern w:val="1"/>
          <w:sz w:val="24"/>
          <w:szCs w:val="24"/>
          <w:lang w:val="es-ES"/>
        </w:rPr>
        <w:t xml:space="preserve">ley orgánica de creación. Desde su puesta en funcionamiento en abril del 2011, el MPD ha sido una institución de vanguardia – quizá la única – en la provincia para la efectiva protección, promoción y vigencia de </w:t>
      </w:r>
      <w:r w:rsidRPr="007C5FF8">
        <w:rPr>
          <w:rFonts w:eastAsia="Droid Sans Fallback"/>
          <w:bCs/>
          <w:kern w:val="1"/>
          <w:sz w:val="24"/>
          <w:szCs w:val="24"/>
          <w:lang w:val="es-ES"/>
        </w:rPr>
        <w:lastRenderedPageBreak/>
        <w:t>los derechos humanos y que ha llevado adelante las denuncias internacionales por casos de tortura. De esta fo</w:t>
      </w:r>
      <w:r>
        <w:rPr>
          <w:rFonts w:eastAsia="Droid Sans Fallback"/>
          <w:bCs/>
          <w:kern w:val="1"/>
          <w:sz w:val="24"/>
          <w:szCs w:val="24"/>
          <w:lang w:val="es-ES"/>
        </w:rPr>
        <w:t xml:space="preserve">rma, quedó </w:t>
      </w:r>
      <w:r w:rsidRPr="007C5FF8">
        <w:rPr>
          <w:rFonts w:eastAsia="Droid Sans Fallback"/>
          <w:bCs/>
          <w:kern w:val="1"/>
          <w:sz w:val="24"/>
          <w:szCs w:val="24"/>
          <w:lang w:val="es-ES"/>
        </w:rPr>
        <w:t>claro que en la provincia de Santa Fe no hay lugar para instituciones públicas autónomas e independientes y, mucho menos, para aquellas que protegen los derechos humanos de los sectores más vulnerables.</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Uno de los motivos de esta represalia se e</w:t>
      </w:r>
      <w:r>
        <w:rPr>
          <w:rFonts w:eastAsia="Droid Sans Fallback"/>
          <w:bCs/>
          <w:kern w:val="1"/>
          <w:sz w:val="24"/>
          <w:szCs w:val="24"/>
          <w:lang w:val="es-ES"/>
        </w:rPr>
        <w:t>xpresó</w:t>
      </w:r>
      <w:r w:rsidRPr="007C5FF8">
        <w:rPr>
          <w:rFonts w:eastAsia="Droid Sans Fallback"/>
          <w:bCs/>
          <w:kern w:val="1"/>
          <w:sz w:val="24"/>
          <w:szCs w:val="24"/>
          <w:lang w:val="es-ES"/>
        </w:rPr>
        <w:t xml:space="preserve"> concretamente en el pedido de remoción, indicando como causal el intentar defender víctimas de tortura cuando la ley no le otorga esa función al MPD. Si bien es cierto que la ley no otorga </w:t>
      </w:r>
      <w:r>
        <w:rPr>
          <w:rFonts w:eastAsia="Droid Sans Fallback"/>
          <w:bCs/>
          <w:kern w:val="1"/>
          <w:sz w:val="24"/>
          <w:szCs w:val="24"/>
          <w:lang w:val="es-ES"/>
        </w:rPr>
        <w:t xml:space="preserve">expresamente </w:t>
      </w:r>
      <w:r w:rsidRPr="007C5FF8">
        <w:rPr>
          <w:rFonts w:eastAsia="Droid Sans Fallback"/>
          <w:bCs/>
          <w:kern w:val="1"/>
          <w:sz w:val="24"/>
          <w:szCs w:val="24"/>
          <w:lang w:val="es-ES"/>
        </w:rPr>
        <w:t xml:space="preserve">esa función </w:t>
      </w:r>
      <w:r>
        <w:rPr>
          <w:rFonts w:eastAsia="Droid Sans Fallback"/>
          <w:bCs/>
          <w:kern w:val="1"/>
          <w:sz w:val="24"/>
          <w:szCs w:val="24"/>
          <w:lang w:val="es-ES"/>
        </w:rPr>
        <w:t>la misma se encuentra comprendida en la misión del MPD relativa a promover la vigencia efectiva de los derechos humanos. Además, no es menor</w:t>
      </w:r>
      <w:r w:rsidRPr="007C5FF8">
        <w:rPr>
          <w:rFonts w:eastAsia="Droid Sans Fallback"/>
          <w:bCs/>
          <w:kern w:val="1"/>
          <w:sz w:val="24"/>
          <w:szCs w:val="24"/>
          <w:lang w:val="es-ES"/>
        </w:rPr>
        <w:t xml:space="preserve"> que alguien debe asumir la representación de las víctimas y las víctimas de tortura con quienes tienen casi siempre contacto es con los defensores públicos. Por ese motivo, </w:t>
      </w:r>
      <w:r>
        <w:rPr>
          <w:rFonts w:eastAsia="Droid Sans Fallback"/>
          <w:bCs/>
          <w:kern w:val="1"/>
          <w:sz w:val="24"/>
          <w:szCs w:val="24"/>
          <w:lang w:val="es-ES"/>
        </w:rPr>
        <w:t xml:space="preserve">como mencionamos anteriormente, </w:t>
      </w:r>
      <w:r w:rsidRPr="007C5FF8">
        <w:rPr>
          <w:rFonts w:eastAsia="Droid Sans Fallback"/>
          <w:bCs/>
          <w:kern w:val="1"/>
          <w:sz w:val="24"/>
          <w:szCs w:val="24"/>
          <w:lang w:val="es-ES"/>
        </w:rPr>
        <w:t xml:space="preserve">muchas provincias en Argentina obligan a los defensores a asumir también ese aspecto de la defensa de las víctimas.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 xml:space="preserve">Sin embargo, con una lectura sesgada se consideró que intentar defender víctimas de tortura implica un mal desempeño funcional. </w:t>
      </w:r>
      <w:r>
        <w:rPr>
          <w:rFonts w:eastAsia="Droid Sans Fallback"/>
          <w:bCs/>
          <w:kern w:val="1"/>
          <w:sz w:val="24"/>
          <w:szCs w:val="24"/>
          <w:lang w:val="es-ES"/>
        </w:rPr>
        <w:t xml:space="preserve">Por otra parte, </w:t>
      </w:r>
      <w:r w:rsidRPr="007C5FF8">
        <w:rPr>
          <w:rFonts w:eastAsia="Droid Sans Fallback"/>
          <w:bCs/>
          <w:kern w:val="1"/>
          <w:sz w:val="24"/>
          <w:szCs w:val="24"/>
          <w:lang w:val="es-ES"/>
        </w:rPr>
        <w:t>quienes llevaron adelante el proceso presentaron al defensor como “un delincuente” que abogaba por la defensa de los delincuentes al intentar asistirlos como víctimas de tortura. Así</w:t>
      </w:r>
      <w:r>
        <w:rPr>
          <w:rFonts w:eastAsia="Droid Sans Fallback"/>
          <w:bCs/>
          <w:kern w:val="1"/>
          <w:sz w:val="24"/>
          <w:szCs w:val="24"/>
          <w:lang w:val="es-ES"/>
        </w:rPr>
        <w:t xml:space="preserve">, </w:t>
      </w:r>
      <w:r w:rsidRPr="007C5FF8">
        <w:rPr>
          <w:rFonts w:eastAsia="Droid Sans Fallback"/>
          <w:bCs/>
          <w:kern w:val="1"/>
          <w:sz w:val="24"/>
          <w:szCs w:val="24"/>
          <w:lang w:val="es-ES"/>
        </w:rPr>
        <w:t xml:space="preserve">por ejemplo el encargado de la acusación el Senador Lisandro Enrico  dijo en numerosas sesiones legislativas y entrevistas periodísticas que: "el Defensor Gabriel Ganón no sólo era un mal funcionario, sino además una mala persona porque por su culpa se encuentran en libertad miles de delincuentes”.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 xml:space="preserve">El haber evaluado esta conducta como mal desempeño exhibe un marcado contrapunto con la recomendación efectuada por la última Asamblea General de los Estados Americanos, durante la cual se recomendó a los Estados a que instaran a las Defensas Públicas a asumir la representación de víctimas de tortura y crímenes cometidos por el Estado. Lo que resulta sumamente grave, ya que dicha sanción tiene un directo impacto sobre las víctimas de graves violaciones a los derechos humanos a las que asiste actualmente la Defensa Pública, como también con respecto a futuras víctimas. Esto se debe a que quien reemplace al Defensor Provincial debería desistir de todas esas presentaciones y así no aceptar el involucramiento de la Defensa en esa esencial tarea, porque de lo contrario correría el mismo riesgo de sanción que el Sr. Ganón.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 xml:space="preserve">En este cuadro de situación la Defensa Pública tampoco tendrá en el futuro la posibilidad de presentar informes alternativos </w:t>
      </w:r>
      <w:r w:rsidR="00C05052">
        <w:rPr>
          <w:rFonts w:eastAsia="Droid Sans Fallback"/>
          <w:bCs/>
          <w:kern w:val="1"/>
          <w:sz w:val="24"/>
          <w:szCs w:val="24"/>
          <w:lang w:val="es-ES"/>
        </w:rPr>
        <w:t>–</w:t>
      </w:r>
      <w:r w:rsidRPr="007C5FF8">
        <w:rPr>
          <w:rFonts w:eastAsia="Droid Sans Fallback"/>
          <w:bCs/>
          <w:kern w:val="1"/>
          <w:sz w:val="24"/>
          <w:szCs w:val="24"/>
          <w:lang w:val="es-ES"/>
        </w:rPr>
        <w:t xml:space="preserve"> como lo hizo ante el Comité de Derechos Huma</w:t>
      </w:r>
      <w:r w:rsidR="00C05052">
        <w:rPr>
          <w:rFonts w:eastAsia="Droid Sans Fallback"/>
          <w:bCs/>
          <w:kern w:val="1"/>
          <w:sz w:val="24"/>
          <w:szCs w:val="24"/>
          <w:lang w:val="es-ES"/>
        </w:rPr>
        <w:t>nos y al SPT mas recientemente –</w:t>
      </w:r>
      <w:r w:rsidRPr="007C5FF8">
        <w:rPr>
          <w:rFonts w:eastAsia="Droid Sans Fallback"/>
          <w:bCs/>
          <w:kern w:val="1"/>
          <w:sz w:val="24"/>
          <w:szCs w:val="24"/>
          <w:lang w:val="es-ES"/>
        </w:rPr>
        <w:t xml:space="preserve">, ni pedir audiencias temáticas ante la CIDH, ni presentar casos ante los sistemas internacionales de protección. </w:t>
      </w:r>
      <w:r w:rsidRPr="007C5FF8">
        <w:rPr>
          <w:rFonts w:eastAsia="Droid Sans Fallback"/>
          <w:bCs/>
          <w:kern w:val="1"/>
          <w:sz w:val="24"/>
          <w:szCs w:val="24"/>
          <w:lang w:val="es-ES"/>
        </w:rPr>
        <w:lastRenderedPageBreak/>
        <w:t xml:space="preserve">Insistimos, todas estas cuestiones no pueden ser leídas fuera del contexto de las represalias mencionadas. Represalias dirigidas al activismo que en defensa de los derechos humanos ha tenido la Defensa de Santa Fe y que claramente dejará de tener.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Otra muestra del hostigamiento a la Defensa pública es el recorte presupuestario realizado por el Gobierno Provincial al presupuesto 2017 del MPD. Un recorte presupuestario que determinará fuertes restricciones en el funcionamiento de la Defensa Pública y que derivará necesariamente en la reducción de su plantel, especialmente en las áreas vinculadas a la defensa de derechos humanos. En este sentido, destacamos que hasta la fecha la Defensa Pública para poder satisfacer las crecientes demandas de asistencia de víctimas de violencia institucional ha contratado, aproximadamente, a unos 20 profesionales que realizan esas tareas, incluido el contrato del responsable de la Secretaría de Prevención de la Violencia Institucional que vence en abril y no será renovado y de otras vinculadas con el Registro de Casos de Tortura.</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 xml:space="preserve">En este contexto se corre el riesgo de que la Defensa Pública deje de poner en agenda graves violaciones a los derechos humanos y de que cientos de víctimas queden sin representación. No podemos dejar de advertir que la sanción infamante, ilegal y desproporcionada es consecuencia directa del activismo que en Defensa de los Derechos Humanos ha tenido el Sr. Gabriel Ganón como defensor y su equipo en el MPD. Esto ha quedado en evidencia en la reiteración de pedidos de remoción vinculados con esta causal en particular y en la intromisión del ejecutivo provincial en el MPD impidiéndole desarrollar con autonomía las áreas de prevención de violencia institucional. </w:t>
      </w:r>
    </w:p>
    <w:p w:rsidR="007C5FF8" w:rsidRPr="007C5FF8" w:rsidRDefault="007C5FF8" w:rsidP="007C5FF8">
      <w:pPr>
        <w:tabs>
          <w:tab w:val="left" w:pos="720"/>
        </w:tabs>
        <w:suppressAutoHyphens/>
        <w:spacing w:line="276" w:lineRule="auto"/>
        <w:jc w:val="both"/>
        <w:rPr>
          <w:rFonts w:eastAsia="Droid Sans Fallback"/>
          <w:bCs/>
          <w:kern w:val="1"/>
          <w:sz w:val="24"/>
          <w:szCs w:val="24"/>
          <w:lang w:val="es-ES"/>
        </w:rPr>
      </w:pPr>
    </w:p>
    <w:p w:rsidR="007C5FF8" w:rsidRDefault="007C5FF8" w:rsidP="007C5FF8">
      <w:pPr>
        <w:tabs>
          <w:tab w:val="left" w:pos="720"/>
        </w:tabs>
        <w:suppressAutoHyphens/>
        <w:spacing w:line="276" w:lineRule="auto"/>
        <w:jc w:val="both"/>
        <w:rPr>
          <w:rFonts w:eastAsia="Droid Sans Fallback"/>
          <w:bCs/>
          <w:kern w:val="1"/>
          <w:sz w:val="24"/>
          <w:szCs w:val="24"/>
          <w:lang w:val="es-ES"/>
        </w:rPr>
      </w:pPr>
      <w:r w:rsidRPr="007C5FF8">
        <w:rPr>
          <w:rFonts w:eastAsia="Droid Sans Fallback"/>
          <w:bCs/>
          <w:kern w:val="1"/>
          <w:sz w:val="24"/>
          <w:szCs w:val="24"/>
          <w:lang w:val="es-ES"/>
        </w:rPr>
        <w:t>En resumen la destitución encubierta que se pretende aplicar además de haber sido ilegal y haber violentado todo el debido proceso resulta desproporcionada porque se aplica pocos meses antes de la finalización de su mandato sin que se haya relacionado su conducta con actos que signifiquen o implique el mal desempeño de su cargo sino todo lo contrario. La sanción se tomo por haber sido el Defensor un Defensor de Derechos Humanos y como represalia a sus constantes denuncias nacionales e internacionales.</w:t>
      </w:r>
    </w:p>
    <w:p w:rsidR="00F64FEB" w:rsidRPr="007C5FF8" w:rsidRDefault="00F64FEB" w:rsidP="007C5FF8">
      <w:pPr>
        <w:tabs>
          <w:tab w:val="left" w:pos="720"/>
        </w:tabs>
        <w:suppressAutoHyphens/>
        <w:spacing w:line="276" w:lineRule="auto"/>
        <w:jc w:val="both"/>
        <w:rPr>
          <w:rFonts w:eastAsia="Droid Sans Fallback"/>
          <w:bCs/>
          <w:kern w:val="1"/>
          <w:sz w:val="24"/>
          <w:szCs w:val="24"/>
          <w:lang w:val="es-ES"/>
        </w:rPr>
      </w:pPr>
    </w:p>
    <w:p w:rsidR="00D22324" w:rsidRPr="00B27609" w:rsidRDefault="007C5FF8" w:rsidP="007C5FF8">
      <w:pPr>
        <w:tabs>
          <w:tab w:val="left" w:pos="720"/>
        </w:tabs>
        <w:suppressAutoHyphens/>
        <w:spacing w:line="276" w:lineRule="auto"/>
        <w:jc w:val="both"/>
        <w:rPr>
          <w:rFonts w:eastAsia="Droid Sans Fallback"/>
          <w:b/>
          <w:bCs/>
          <w:color w:val="0000FF"/>
          <w:kern w:val="1"/>
          <w:sz w:val="24"/>
          <w:szCs w:val="24"/>
          <w:lang w:val="es-ES"/>
        </w:rPr>
      </w:pPr>
      <w:r w:rsidRPr="007C5FF8">
        <w:rPr>
          <w:rFonts w:eastAsia="Droid Sans Fallback"/>
          <w:bCs/>
          <w:kern w:val="1"/>
          <w:sz w:val="24"/>
          <w:szCs w:val="24"/>
          <w:lang w:val="es-ES"/>
        </w:rPr>
        <w:t xml:space="preserve">Esta circunstancia violenta los arts. 5, 8.1, 9, 13 y 17 de la Convención. Con un arbitraria interpretación de la esfera de competencia de un Defensor Público, en supuestos en que la ley ni obliga ni prohíbe la representación de victimas de graves violaciones a los derechos humanos, podría haber sido considerado en otra coyuntura política, como causal de "mal desempeño" por negar el derecho de acceso a la justicia a las víctimas de violaciones a derechos. La decisión de </w:t>
      </w:r>
      <w:r w:rsidRPr="007C5FF8">
        <w:rPr>
          <w:rFonts w:eastAsia="Droid Sans Fallback"/>
          <w:bCs/>
          <w:kern w:val="1"/>
          <w:sz w:val="24"/>
          <w:szCs w:val="24"/>
          <w:lang w:val="es-ES"/>
        </w:rPr>
        <w:lastRenderedPageBreak/>
        <w:t>suspensión como se ha adelantado contiene un grave impacto colectivo sobre las víctimas que actualmente el MPD representa ante los tribunales locales e internacionales. Esas víctimas corren el riesgo de que la nueva defensora provincial que sucederá a Ganón se vea en la situación de desistir la representación de las víctimas ante la amenaza de ser destituida.</w:t>
      </w:r>
    </w:p>
    <w:p w:rsidR="00D22324" w:rsidRDefault="00D22324" w:rsidP="00D22324">
      <w:pPr>
        <w:tabs>
          <w:tab w:val="left" w:pos="720"/>
        </w:tabs>
        <w:suppressAutoHyphens/>
        <w:spacing w:line="276" w:lineRule="auto"/>
        <w:jc w:val="both"/>
        <w:rPr>
          <w:rFonts w:eastAsia="Droid Sans Fallback"/>
          <w:b/>
          <w:bCs/>
          <w:color w:val="FF0000"/>
          <w:kern w:val="1"/>
          <w:sz w:val="24"/>
          <w:szCs w:val="24"/>
          <w:lang w:val="es-AR"/>
        </w:rPr>
      </w:pPr>
    </w:p>
    <w:p w:rsidR="00F64FEB" w:rsidRPr="00B27609" w:rsidRDefault="00F64FEB" w:rsidP="00D22324">
      <w:pPr>
        <w:tabs>
          <w:tab w:val="left" w:pos="720"/>
        </w:tabs>
        <w:suppressAutoHyphens/>
        <w:spacing w:line="276" w:lineRule="auto"/>
        <w:jc w:val="both"/>
        <w:rPr>
          <w:rFonts w:eastAsia="Droid Sans Fallback"/>
          <w:b/>
          <w:bCs/>
          <w:color w:val="FF0000"/>
          <w:kern w:val="1"/>
          <w:sz w:val="24"/>
          <w:szCs w:val="24"/>
          <w:lang w:val="es-AR"/>
        </w:rPr>
      </w:pPr>
    </w:p>
    <w:p w:rsidR="00D22324" w:rsidRPr="00B27609" w:rsidRDefault="00D22324" w:rsidP="00D22324">
      <w:pPr>
        <w:tabs>
          <w:tab w:val="left" w:pos="720"/>
        </w:tabs>
        <w:suppressAutoHyphens/>
        <w:spacing w:line="276" w:lineRule="auto"/>
        <w:jc w:val="center"/>
        <w:rPr>
          <w:rFonts w:eastAsia="Droid Sans Fallback"/>
          <w:b/>
          <w:bCs/>
          <w:color w:val="000000"/>
          <w:kern w:val="1"/>
          <w:sz w:val="24"/>
          <w:szCs w:val="24"/>
          <w:lang w:val="es-AR"/>
        </w:rPr>
      </w:pPr>
      <w:r w:rsidRPr="00B27609">
        <w:rPr>
          <w:rFonts w:eastAsia="Droid Sans Fallback"/>
          <w:b/>
          <w:bCs/>
          <w:color w:val="000000"/>
          <w:kern w:val="1"/>
          <w:sz w:val="24"/>
          <w:szCs w:val="24"/>
          <w:lang w:val="es-AR"/>
        </w:rPr>
        <w:t>ARTICULO 5 y 7</w:t>
      </w:r>
    </w:p>
    <w:p w:rsidR="00D22324" w:rsidRPr="00B27609" w:rsidRDefault="00D22324" w:rsidP="00D22324">
      <w:pPr>
        <w:tabs>
          <w:tab w:val="left" w:pos="720"/>
        </w:tabs>
        <w:suppressAutoHyphens/>
        <w:spacing w:line="276" w:lineRule="auto"/>
        <w:jc w:val="center"/>
        <w:rPr>
          <w:rFonts w:eastAsia="Droid Sans Fallback"/>
          <w:b/>
          <w:bCs/>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color w:val="00000A"/>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cuestiones consideradas prioritarias por el C</w:t>
      </w:r>
      <w:r w:rsidR="00C05052">
        <w:rPr>
          <w:rFonts w:eastAsia="Droid Sans Fallback"/>
          <w:b/>
          <w:color w:val="00000A"/>
          <w:kern w:val="1"/>
          <w:sz w:val="24"/>
          <w:szCs w:val="24"/>
          <w:lang w:val="es-AR"/>
        </w:rPr>
        <w:t>AT</w:t>
      </w:r>
      <w:r w:rsidRPr="00B27609">
        <w:rPr>
          <w:rFonts w:eastAsia="Droid Sans Fallback"/>
          <w:b/>
          <w:color w:val="00000A"/>
          <w:kern w:val="1"/>
          <w:sz w:val="24"/>
          <w:szCs w:val="24"/>
          <w:lang w:val="es-AR"/>
        </w:rPr>
        <w:t xml:space="preserve"> en su documento de fecha 2 de agosto de 2010 (CAT/C/ARG/5-6) en su párrafo veinte en relación a estos artículos </w:t>
      </w:r>
      <w:r w:rsidRPr="00B27609">
        <w:rPr>
          <w:rFonts w:eastAsia="Droid Sans Fallback"/>
          <w:b/>
          <w:bCs/>
          <w:kern w:val="1"/>
          <w:sz w:val="24"/>
          <w:szCs w:val="24"/>
          <w:lang w:val="es-AR"/>
        </w:rPr>
        <w:t>corresponde informar al CAT lo siguiente sobre la implementación en Argentina del Protocolo Facultativo de la Convención.</w:t>
      </w:r>
    </w:p>
    <w:p w:rsidR="00D22324" w:rsidRPr="00B27609" w:rsidRDefault="00D22324" w:rsidP="00D22324">
      <w:pPr>
        <w:tabs>
          <w:tab w:val="left" w:pos="720"/>
        </w:tabs>
        <w:suppressAutoHyphens/>
        <w:spacing w:line="276" w:lineRule="auto"/>
        <w:jc w:val="both"/>
        <w:rPr>
          <w:rFonts w:eastAsia="Droid Sans Fallback"/>
          <w:color w:val="0000FF"/>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En febrero pasado la Cátedra de Criminología remitió un informe público al Subcom</w:t>
      </w:r>
      <w:r w:rsidR="009E0ED0">
        <w:rPr>
          <w:rFonts w:eastAsia="Droid Sans Fallback"/>
          <w:color w:val="000000"/>
          <w:kern w:val="1"/>
          <w:sz w:val="24"/>
          <w:szCs w:val="24"/>
          <w:lang w:val="es-AR"/>
        </w:rPr>
        <w:t xml:space="preserve">ité para la Prevención de la </w:t>
      </w:r>
      <w:r w:rsidRPr="00B27609">
        <w:rPr>
          <w:rFonts w:eastAsia="Droid Sans Fallback"/>
          <w:color w:val="000000"/>
          <w:kern w:val="1"/>
          <w:sz w:val="24"/>
          <w:szCs w:val="24"/>
          <w:lang w:val="es-AR"/>
        </w:rPr>
        <w:t>Tortura de Naciones Unidas (en adelante, SPT) con motivo del inicio de su 31 periodo de sesiones</w:t>
      </w:r>
      <w:r w:rsidRPr="00B27609">
        <w:rPr>
          <w:rFonts w:eastAsia="Droid Sans Fallback"/>
          <w:color w:val="000000"/>
          <w:kern w:val="1"/>
          <w:sz w:val="24"/>
          <w:szCs w:val="24"/>
          <w:vertAlign w:val="superscript"/>
          <w:lang w:val="es-AR"/>
        </w:rPr>
        <w:footnoteReference w:id="6"/>
      </w:r>
      <w:r w:rsidRPr="00B27609">
        <w:rPr>
          <w:rFonts w:eastAsia="Droid Sans Fallback"/>
          <w:color w:val="000000"/>
          <w:kern w:val="1"/>
          <w:sz w:val="24"/>
          <w:szCs w:val="24"/>
          <w:lang w:val="es-AR"/>
        </w:rPr>
        <w:t>. En dicho informe, además de brindar información sobre la situación de implementación en Argentina y en la provincia de Santa Fe se solicita al SPT que considere llevar adelante medidas en consonancia con lo establecido por los artículos 11, 17 y concordantes del OPCAT.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A continuación se informa en detalle al CAT sobre la actual situación de implementación del Protocolo Facultativo de la Convención contra la Tortura en Argentina, el que marca retrocesos desde el informe del Estado al CAT.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b/>
          <w:color w:val="000000"/>
          <w:kern w:val="1"/>
          <w:sz w:val="24"/>
          <w:szCs w:val="24"/>
          <w:lang w:val="es-AR"/>
        </w:rPr>
      </w:pPr>
      <w:r w:rsidRPr="00B27609">
        <w:rPr>
          <w:rFonts w:eastAsia="Droid Sans Fallback"/>
          <w:b/>
          <w:color w:val="000000"/>
          <w:kern w:val="1"/>
          <w:sz w:val="24"/>
          <w:szCs w:val="24"/>
          <w:lang w:val="es-AR"/>
        </w:rPr>
        <w:t xml:space="preserve">1. Situación actual de implementación </w:t>
      </w:r>
      <w:r w:rsidR="009E0ED0">
        <w:rPr>
          <w:rFonts w:eastAsia="Droid Sans Fallback"/>
          <w:b/>
          <w:color w:val="000000"/>
          <w:kern w:val="1"/>
          <w:sz w:val="24"/>
          <w:szCs w:val="24"/>
          <w:lang w:val="es-AR"/>
        </w:rPr>
        <w:t xml:space="preserve">del OPCAT </w:t>
      </w:r>
      <w:r w:rsidRPr="00B27609">
        <w:rPr>
          <w:rFonts w:eastAsia="Droid Sans Fallback"/>
          <w:b/>
          <w:color w:val="000000"/>
          <w:kern w:val="1"/>
          <w:sz w:val="24"/>
          <w:szCs w:val="24"/>
          <w:lang w:val="es-AR"/>
        </w:rPr>
        <w:t>en Argentina</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el año 2012 se sancionó la Ley nacional 26827 que creó el Sistema Nacional de Prevención de la Tortura y Otros Tratos o Penas Crueles, Inhumanos o Degradantes, ley que fue promulgada en enero de 2013, y reglamentada en abril de 2014, mediante decreto 465/2014. Esta ley prevee un sistema de prevención integrado por un Comité Nacional y Mecanismos en cada una de las provincias y en la Ciudad Autónoma de Buenos Aires. Sin embargo, y a pesar del tiempo transcurrido el sistema sigue sin implementarse.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el nivel nacional, la Comisión Bicameral de Defensoría del Pueblo del Congreso de la Nación no ha cumplido con su obligación legal de seleccionar y designar a los/as integrantes del Comité Nacional del Sistema, propuestos por la Secretaría de Derechos Humanos de la Nación y por las Cámaras de Diputados y Senadores </w:t>
      </w:r>
      <w:r w:rsidRPr="00B27609">
        <w:rPr>
          <w:rFonts w:eastAsia="Droid Sans Fallback"/>
          <w:color w:val="000000"/>
          <w:kern w:val="1"/>
          <w:sz w:val="24"/>
          <w:szCs w:val="24"/>
          <w:lang w:val="es-AR"/>
        </w:rPr>
        <w:lastRenderedPageBreak/>
        <w:t xml:space="preserve">(artículo 11 incisos a y d de la Ley nacional 26827). Dicha Comisión Bicameral tampoco ha iniciado el procedimiento de selección y designación de los/as integrantes del Comité Nacional propuestos por la sociedad civil (artículo 11 inciso c de la Ley nacional 26827). La Comisión Bicameral ni siquiera ha aprobado aún los reglamentos internos para regular la selección y designación de los/as integrantes al Comité Nacional.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 nivel provincial, sólo cinco provincias crearon por ley y llegaron a poner en funcionamiento Mecanismo Provinciales para la Prevención de la Tortura: Chaco (Ley 6483), Río Negro (Ley 4621), Mendoza (Ley 8284), Salta (Ley 7733), Corrientes (Ley 6280) y Misiones (Ley IV – 65).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términos de marcos normativos provinciales solamente se ajustan integralmente al OPCAT y a las recomendaciones del SPT dirigidas al Estado argentino el Mecanismo de Chaco, luego de su reforma (Ley 7682, concretada en octubre de 2015 e impulsada por el propio Mecanismo y la Secretaría de Derechos Humanos Provincial) y el Mecanismo de Misiones, luego de la reforma posterior a la ley de creación. Los restantes marcos normativos provinciales no se ajustan plenamente al OPCAT, ni a la jurisprudencia del SPT, ni a las recomendaciones del SPT al Estado argentino.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términos operativos los Mecanismos de Salta y Río Negro han dejado de funcionar como resultado de la falta de independencia de varios de sus integrantes, por el hecho de que la integración es ad-honorem y por la falta de autonomía presupuestaria, cumplimiento del mandato, entre otros. O sea se trata de Mecanismos que sólo existen formalmente. Cabe resaltar que en el año 2015 el Mecanismo de Prevención de la Tortura de Río Negro informó al SPT la situación crítica en la que se encontraba por los múltiples incumplimientos del Estado provincial. Sin embargo, ni el SPT ni el Estado federal llevaron a cabo acciones sostenidas y efectivas que permitieran la continuidad del Mecanismo, el que lamentablemente ya no tiene ni siquiera integrantes. Los Mecanismos de Mendoza y Corrientes si bien se encuentran operativos, su funcionamiento no se ajusta integralmente al OPCAT debido a falta de independencia de varios de sus integrantes, a que la integración es part-time y ad-honorem, por falta de recursos humanos y materiales adecuados, por no contar con autonomía presupuestaria, por metodología de visitas de inspección, elaboración de informes, etc.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El Mecanismo de Mendoza ha buscado activamente el dialogo cooperativo con el Estado provincial para resolver todas estas cuestiones y, en consonancia con lo realizado por el Mecanismo de Chaco, ha incluso propuesto alternativas para reformar su propio marco legal y ajustarlo plenamente al OPCAT. Sin embargo estas </w:t>
      </w:r>
      <w:r w:rsidRPr="00B27609">
        <w:rPr>
          <w:rFonts w:eastAsia="Droid Sans Fallback"/>
          <w:color w:val="000000"/>
          <w:kern w:val="1"/>
          <w:sz w:val="24"/>
          <w:szCs w:val="24"/>
          <w:lang w:val="es-AR"/>
        </w:rPr>
        <w:lastRenderedPageBreak/>
        <w:t xml:space="preserve">iniciativas no lograron que el estado Provincial cese en los varios incumplimientos que impiden que el Mecanismo Provincial se ajuste al OPCAT. Más aún el Mecanismo de Mendoza soporta por parte del Estado provincial situaciones de hostigamiento por las acciones que impulsa, en cumplimiento de su mandanto y facultades, en defensa de los derechos humanos de las personas privadas de libertad.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Existen provincias en las que se han sancionado leyes de creación como respuestas a coyunturas políticas pero que dicho avance en términos legislativo no ha sido acompañado de avances institucionales dirigidos a poner en funcionamiento los mecanismos de prevención. Tal es el caso de Tucumán, Tierra del Fuego y más recientemente de la Ciudad Autónoma de Buenos Aires. En todos los casos, las leyes sancionadas no se ajustan al OPCAT.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La reciente y repentina sanción de una ley en la Ciudad Autónoma de Buenos Aires mediante la cual se designa como Mecanismo de Prevención a la Defensoría del Pueblo de la Ciudad, sin consulta ni participación de organizaciones de la sociedad civil, con un marco legislativo escueto y que  no se ajusta plenamente al OPCAT, sin audiencias públicas para la integración del mismo y dejando de lado un proyecto presentado en el año 2015, oportunamente consensuado entre las Secretarías de Derechos Humanos de la Nación y de la Ciudad Autonoma, entendemos que requiere que sea urgentemente observada por el SPT y por el CAT. Esto en tanto puede propiciar una tendencia ya latente en otras provincias consistente en designar como mecanismos provinciales a organismos pre-existentes, sin ajustarse plenamente al OPCAT, sin audiencias públicas, sin paricipación de la sociedad civil, etc.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las provincias de Buenos Aires, Santa Fe y San Luis existen proyectos de ley presentados desde hace algunos años en las respectivas legislaturas provinciales pero que no se ajustan plenamente al OPCAT ni han logrado ser sancionados. Asimismo, en el año 2015 se presentaron proyectos de ley en las legislaturas de las provincias de Catamarca, Neuquén, Entre Ríos y La Rioja. Estos proyectos que sí se ajustan al OPCAT, fueron el fruto de consensos federales participativos promovidos por la Secretaría de Derechos Humanos de la Nación. Sin embargo, su tratamiento no ha avanzado significativamente en dichas legislaturas y algunos proyectos podrían incluso ya haber perdido estado parlamentario por falta de tratamiento.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Tal como se mencioné previamente, la Cátedra de Criminología trabaja activamente apoyando a la provincias que solicitan asistencia técnica para la implementación del OPCAT. Asimismo, trabaja estrechamente con los Mecanismos de Prevención provinciales, brindándoles asistencia técnica para el adecuado desempeño de sus </w:t>
      </w:r>
      <w:r w:rsidRPr="00B27609">
        <w:rPr>
          <w:rFonts w:eastAsia="Droid Sans Fallback"/>
          <w:color w:val="000000"/>
          <w:kern w:val="1"/>
          <w:sz w:val="24"/>
          <w:szCs w:val="24"/>
          <w:lang w:val="es-AR"/>
        </w:rPr>
        <w:lastRenderedPageBreak/>
        <w:t xml:space="preserve">funciones, sobre todo en lo referido a la adecuada metodología para la realización de las visitas periódicas y no anunciadas a los lugares de detención. Y también participa activamente de las acciones de la sociedad civil en pos de la puesta en funcionamiento del Sistema Nacional de Prevención de la Tortura. Sin embargo, estos esfuerzos complementarios no son suficientes sin un rol proactivo, sostenido y comprometido del Estado nacional, que es quien ha asumido voluntariamente la obligación internacional y quien ineludiblemente debe liderar de manera efectiva y concretar la implementación homogénea del OPCAT en un estado federal.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color w:val="000000"/>
          <w:kern w:val="1"/>
          <w:sz w:val="24"/>
          <w:szCs w:val="24"/>
          <w:lang w:val="es-AR"/>
        </w:rPr>
      </w:pPr>
      <w:r w:rsidRPr="00B27609">
        <w:rPr>
          <w:rFonts w:eastAsia="Droid Sans Fallback"/>
          <w:b/>
          <w:color w:val="000000"/>
          <w:kern w:val="1"/>
          <w:sz w:val="24"/>
          <w:szCs w:val="24"/>
          <w:lang w:val="es-AR"/>
        </w:rPr>
        <w:t xml:space="preserve">2. La situación de implementación </w:t>
      </w:r>
      <w:r w:rsidR="009E0ED0">
        <w:rPr>
          <w:rFonts w:eastAsia="Droid Sans Fallback"/>
          <w:b/>
          <w:color w:val="000000"/>
          <w:kern w:val="1"/>
          <w:sz w:val="24"/>
          <w:szCs w:val="24"/>
          <w:lang w:val="es-AR"/>
        </w:rPr>
        <w:t xml:space="preserve">del OPCAT </w:t>
      </w:r>
      <w:r w:rsidRPr="00B27609">
        <w:rPr>
          <w:rFonts w:eastAsia="Droid Sans Fallback"/>
          <w:b/>
          <w:color w:val="000000"/>
          <w:kern w:val="1"/>
          <w:sz w:val="24"/>
          <w:szCs w:val="24"/>
          <w:lang w:val="es-AR"/>
        </w:rPr>
        <w:t xml:space="preserve">en la provincia de Santa Fe.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la provincia de Santa Fe en cinco oportunidades se presentó en la Cámara de Diputados un proyecto de ley de creación de Mecanismo Provincial. Y en tres oportunidades los proyectos fueron sancionados en la Cámara de Diputados pero perdieron estado parlamentario al no ser siquiera tratados en la Cámara de Senadores. Los proyectos que contaron con sanción en Diputados no se ajustan a los principios establecidos por el OPACT, particularmente en lo referido al principio de independencia funcional y financiera, recursos económicos y humanos adecuados, infraestructura, dedicación y remuneración de sus integrantes, facultades, etc. Organizaciones de la sociedad civil, las Universidades Nacionales de Rosario y del Litoral y el Servicio Público Provincial de la Defensa Penal solicitaron sin éxito, en diversas oportunidades, a la diputada oficialista autora de dichos proyectos, Alicia Gutierrez, su modificación para que cumpliera con el OPCAT.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el mismo sentido, en mayo de 2015, el Área de Implementación del OPCAT de la Secretaría de Derechos Humanos de la Nación presentó al entonces Gobernador de la provincia y al Presidente de la Cámara de Senadores de la Legislatura de la Provincia de Santa Fe un dictamen con recomendaciones a fin de que el proyecto de ley que entonces se encontraba pendiente de tratamiento en el Senado provincial fuera modificado para adecuarlo a lo establecido por el OPCAT. Estas recomendaciones fueron el resultado de consultas con la Secretaría de Derechos Humanos provincial, legisladores provinciales, organismos de derechos humanos de la provincia, el MPD y la Universidad Nacional de Rosario. Sin embargo, estas recomendaciones no fueron tenidas en cuenta por la Cámara de Senadores. El proyecto con media sanción en diputados no fue tratado en el Senado, por lo que el 1 de mayo de 2016 nuevamente perdió estado parlamentario.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La presidenta de la Comisión de Derechos y Garantías de la Cámara de Diputados, diputada oficialista Alicia Gutierrez, presentó nuevamente un proyecto de ley de creación del MLP. Lamentablemente en esta nueva oportunidad tampoco tuvo en cuenta las recomendaciones precitadas en las que se le solicitaba la adecuación del </w:t>
      </w:r>
      <w:r w:rsidRPr="00B27609">
        <w:rPr>
          <w:rFonts w:eastAsia="Droid Sans Fallback"/>
          <w:color w:val="000000"/>
          <w:kern w:val="1"/>
          <w:sz w:val="24"/>
          <w:szCs w:val="24"/>
          <w:lang w:val="es-AR"/>
        </w:rPr>
        <w:lastRenderedPageBreak/>
        <w:t xml:space="preserve">proyecto para que se ajustara al OPCAT.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Ante esta situación, la Cátedra de Criminología conjuntamente con el MPD presentaron también un </w:t>
      </w:r>
      <w:hyperlink r:id="rId12" w:history="1">
        <w:r w:rsidRPr="00B27609">
          <w:rPr>
            <w:rFonts w:eastAsia="Droid Sans Fallback"/>
            <w:color w:val="000080"/>
            <w:kern w:val="1"/>
            <w:sz w:val="24"/>
            <w:szCs w:val="24"/>
            <w:u w:val="single"/>
            <w:lang w:val="es-AR"/>
          </w:rPr>
          <w:t>anteproyecto de ley de creación del Mecanismo Provincial de Prevención de la Tortura</w:t>
        </w:r>
      </w:hyperlink>
      <w:r w:rsidRPr="00B27609">
        <w:rPr>
          <w:rFonts w:eastAsia="Droid Sans Fallback"/>
          <w:color w:val="000000"/>
          <w:kern w:val="1"/>
          <w:sz w:val="24"/>
          <w:szCs w:val="24"/>
          <w:lang w:val="es-AR"/>
        </w:rPr>
        <w:t>.</w:t>
      </w:r>
      <w:r w:rsidRPr="00B27609">
        <w:rPr>
          <w:rFonts w:eastAsia="Droid Sans Fallback"/>
          <w:color w:val="000000"/>
          <w:kern w:val="1"/>
          <w:sz w:val="24"/>
          <w:szCs w:val="24"/>
          <w:vertAlign w:val="superscript"/>
          <w:lang w:val="es-AR"/>
        </w:rPr>
        <w:footnoteReference w:id="7"/>
      </w:r>
      <w:r w:rsidRPr="00B27609">
        <w:rPr>
          <w:rFonts w:eastAsia="Droid Sans Fallback"/>
          <w:color w:val="000000"/>
          <w:kern w:val="1"/>
          <w:sz w:val="24"/>
          <w:szCs w:val="24"/>
          <w:lang w:val="es-AR"/>
        </w:rPr>
        <w:t xml:space="preserve"> El anteproyecto presentado, no sólo se ajusta plenamente al OPCAT e inclusive eleva estándares con respecto a la normativa nacional, sino que solicita como paso previo al tratamiento de cualquier proyecto la legislatura convoque a la amplia participación de organizaciones de la sociedad civil para discutir previamente al avance legislativo de cualquier proyecto de ley de creación de un mecanismo.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El anteproyecto contó con la adhesión del Foro Contra la Impunidad y por la Justicia (que nuclea a organismos de derechos humanos y organizaciones sociales de la provincia) y la Coordinadora de Trabajo Carcelario (organización de derechos humanos de la ciudad de Rosario).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Sin embargo, el 24 de noviembre del año pasado la Cámara de Diputados volvió a sancionar un proyecto que no se ajusta plenamente al OPCAT y sin la convocatoria previa a sociedad civil. Esto a pesar de en varias oportunidades tanto la Cátedra de Criminología como el MPD promovieron el diálogo con diputados y senadores provinciales, incluida la diputada autora de la ley, abogando para que cumplieran con el requisito convencional de convocar a organizaciones de la sociedad civil antes de avanzar con el proyecto que recibió media sanción.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Tal como se indicó más arriba el proyecto actualmente sancionado por la Cámara de Diputados no se ajusta a los principios establecidos por el OPACT, particularmente en lo referido al principio de independencia funcional y financiera, recursos económicos y humanos adecuados, infraestructura, dedicación y remuneración de sus integrantes, facultades, etc. Asimismo, no solo que se sancionó sin abrir un proceso de consulta amplio y participativo por parte de la sociedad civil sino que no fue tomada en cuenta y ni siquiera respondida la solicitud de promover este proceso de consulta.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Además de estas cuestiones preocupa particularmente el alto riesgo de que el procedimiento para la selección y designación de integrantes para el mecanismo le quite autonomía, independencia y objetividad. Esto al no garantizar el procedimiento de la ley con media sanción una integración con personas con reconocida experiencia y trayectoria pública en la promoción y defensa de los derechos de las personas privadas de libertad, detenidas o en custodia en lugares de detención, </w:t>
      </w:r>
      <w:r w:rsidRPr="00B27609">
        <w:rPr>
          <w:rFonts w:eastAsia="Droid Sans Fallback"/>
          <w:color w:val="000000"/>
          <w:kern w:val="1"/>
          <w:sz w:val="24"/>
          <w:szCs w:val="24"/>
          <w:lang w:val="es-AR"/>
        </w:rPr>
        <w:lastRenderedPageBreak/>
        <w:t xml:space="preserve">según la definición amplia del artículo 4 de la Ley nacional 26827 y su decreto reglamentario 465/14. </w:t>
      </w:r>
      <w:r w:rsidR="00C05052">
        <w:rPr>
          <w:rFonts w:eastAsia="Droid Sans Fallback"/>
          <w:color w:val="000000"/>
          <w:kern w:val="1"/>
          <w:sz w:val="24"/>
          <w:szCs w:val="24"/>
          <w:lang w:val="es-AR"/>
        </w:rPr>
        <w:t>Cabe resaltar que la composición establecida en el proyecto con media sanción integra el Mecanismo provincial con mayoría de miembros del poder ejecutivo y de la Defensoría del Pueblo provincial violando flagrantemente los Principios de Paris, el OPCAT, las recomendaciones del SPT al Estado argentino y la propia ley nacional de creación del sistema nacional de prevención de la tortura.</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C05052" w:rsidP="00D22324">
      <w:pPr>
        <w:tabs>
          <w:tab w:val="left" w:pos="720"/>
        </w:tabs>
        <w:suppressAutoHyphens/>
        <w:spacing w:line="276" w:lineRule="auto"/>
        <w:jc w:val="both"/>
        <w:rPr>
          <w:rFonts w:eastAsia="Droid Sans Fallback"/>
          <w:color w:val="000000"/>
          <w:kern w:val="1"/>
          <w:sz w:val="24"/>
          <w:szCs w:val="24"/>
          <w:lang w:val="es-AR"/>
        </w:rPr>
      </w:pPr>
      <w:r>
        <w:rPr>
          <w:rFonts w:eastAsia="Droid Sans Fallback"/>
          <w:color w:val="000000"/>
          <w:kern w:val="1"/>
          <w:sz w:val="24"/>
          <w:szCs w:val="24"/>
          <w:lang w:val="es-AR"/>
        </w:rPr>
        <w:t>En este sentido,</w:t>
      </w:r>
      <w:r w:rsidR="00D22324" w:rsidRPr="00B27609">
        <w:rPr>
          <w:rFonts w:eastAsia="Droid Sans Fallback"/>
          <w:color w:val="000000"/>
          <w:kern w:val="1"/>
          <w:sz w:val="24"/>
          <w:szCs w:val="24"/>
          <w:lang w:val="es-AR"/>
        </w:rPr>
        <w:t xml:space="preserve"> </w:t>
      </w:r>
      <w:r>
        <w:rPr>
          <w:rFonts w:eastAsia="Droid Sans Fallback"/>
          <w:color w:val="000000"/>
          <w:kern w:val="1"/>
          <w:sz w:val="24"/>
          <w:szCs w:val="24"/>
          <w:lang w:val="es-AR"/>
        </w:rPr>
        <w:t xml:space="preserve">el </w:t>
      </w:r>
      <w:r w:rsidR="00D22324" w:rsidRPr="00B27609">
        <w:rPr>
          <w:rFonts w:eastAsia="Droid Sans Fallback"/>
          <w:color w:val="000000"/>
          <w:kern w:val="1"/>
          <w:sz w:val="24"/>
          <w:szCs w:val="24"/>
          <w:lang w:val="es-AR"/>
        </w:rPr>
        <w:t>proyecto con media sanción tampoco garantiza una composición pluralista e interdisciplinaria e independiente y autónoma de los demás poderes del Estado. Mucho menos la atribución por ley de recursos humanos y presupuestarios necesarios para que puedan llevar adelante adecuadamente, con independencia y autonomía, todas las funciones que tiene a su cargo un Mecanismo. En este sentido, es necesario recordar que la ley que crea el Sistema Nacional de Prevención ortoga al Comité Nacional un piso presupuestario (el 3% del presupuesto del Congreso Nacional) que garantiza su autonomía funcional, al estar ya consagrado por ley.</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Además de los que surgen de la propia naturaleza y funciones de un Mecanismo, también en el OPCAT como en los documentos públicos del SPT, así como en la Ley nacional 26827 que crea el Sistema Nacional de Prevención, se indican los perfiles y experiencias requeridas para los/as integrantes de los Mecanismos de Prevención y esto no fue adecuadamente receptado en el proyecto con media sanción. Asimismo, el artículo 18(4) del OPCAT compromete a los Estados Parte a que establezcan sus Mecanismos de Prevención teniendo en cuenta los Principios relativos al estatuto de las Instituciones Nacionales de Promoción y Protección  de los derechos humanos, conocidos como los Principios de París. Es decir que dichos Principios son ineludibles para los Estados parte al momento de establecer la composición, nombramiento, autonomía, independencia y pluralismo de sus Mecanismos. Entendemos que el proyecto con media sanción tampoco cumple plenamente con este requisito.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Garantizar un</w:t>
      </w:r>
      <w:r w:rsidR="00C05052">
        <w:rPr>
          <w:rFonts w:eastAsia="Droid Sans Fallback"/>
          <w:color w:val="000000"/>
          <w:kern w:val="1"/>
          <w:sz w:val="24"/>
          <w:szCs w:val="24"/>
          <w:lang w:val="es-AR"/>
        </w:rPr>
        <w:t>a integración y un</w:t>
      </w:r>
      <w:r w:rsidRPr="00B27609">
        <w:rPr>
          <w:rFonts w:eastAsia="Droid Sans Fallback"/>
          <w:color w:val="000000"/>
          <w:kern w:val="1"/>
          <w:sz w:val="24"/>
          <w:szCs w:val="24"/>
          <w:lang w:val="es-AR"/>
        </w:rPr>
        <w:t xml:space="preserve"> procedimiento de elección que permita cumplir con el marco jurídico internacional y nacional es una cuestión clave en la provincia de Santa Fe. Esto en tanto existen limitaciones de hecho y derecho a la autonomía e independencia de varios organismos provinciales que deberían funcionar respetando estos principios, pero que objetivamente violan los Principios de Paris o los requisitos de independencia</w:t>
      </w:r>
      <w:r w:rsidR="00C05052">
        <w:rPr>
          <w:rFonts w:eastAsia="Droid Sans Fallback"/>
          <w:color w:val="000000"/>
          <w:kern w:val="1"/>
          <w:sz w:val="24"/>
          <w:szCs w:val="24"/>
          <w:lang w:val="es-AR"/>
        </w:rPr>
        <w:t xml:space="preserve"> y funcionan de manera condescendiente con el poder ejecutivo provincial</w:t>
      </w:r>
      <w:r w:rsidRPr="00B27609">
        <w:rPr>
          <w:rFonts w:eastAsia="Droid Sans Fallback"/>
          <w:color w:val="000000"/>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primer lugar, en la Defensoría del Pueblo de la Provincia de Santa Fe se designó recientemente como Defensor del Pueblo a una persona que hasta unos meses antes se había desempeñado durante casi cuatro años como ministro de seguridad y </w:t>
      </w:r>
      <w:r w:rsidRPr="00B27609">
        <w:rPr>
          <w:rFonts w:eastAsia="Droid Sans Fallback"/>
          <w:color w:val="000000"/>
          <w:kern w:val="1"/>
          <w:sz w:val="24"/>
          <w:szCs w:val="24"/>
          <w:lang w:val="es-AR"/>
        </w:rPr>
        <w:lastRenderedPageBreak/>
        <w:t xml:space="preserve">quien también ostenta un recorrido políticopartidario con distintos cargos de funcionario político y cargos electivos partidarios. En segundo lugar, en 2011, al crearse la Defensoría de Niños, Niñas y Adolescentes, el entonces gobernador propuso y se designó al frente de la misma a una persona que venía desempañándose en un cargo político en el Poder Ejecutivo provincial, como Fiscal de Estado Adjunta y había sido designada por el gobernador que luego la propuso como Defensora. Tercero, en 2015, se designaron en el Tribunal de Cuentas provincial a funcionarios políticos sin esperar que se cumpliera el requisito de que transcurrieran dos años luego de cesados en sus cargos políticos antes de ser designados en dicho órgano, lo que motivó una denuncia del Colegio de Abogados de Santa Fe. Por último, el MPD ha realizado numerosas denuncias, algunas incluso internacionales, debido a las injerencias por parte de otros poderes del estado provincial que menoscabaron la autonomía, autarquía e independencia de la Defensa que está legalmente consagrada, incluida la destitución encubierta del Defensor General, la que ha </w:t>
      </w:r>
      <w:r w:rsidR="00C05052">
        <w:rPr>
          <w:rFonts w:eastAsia="Droid Sans Fallback"/>
          <w:color w:val="000000"/>
          <w:kern w:val="1"/>
          <w:sz w:val="24"/>
          <w:szCs w:val="24"/>
          <w:lang w:val="es-AR"/>
        </w:rPr>
        <w:t xml:space="preserve">sido </w:t>
      </w:r>
      <w:r w:rsidRPr="00B27609">
        <w:rPr>
          <w:rFonts w:eastAsia="Droid Sans Fallback"/>
          <w:color w:val="000000"/>
          <w:kern w:val="1"/>
          <w:sz w:val="24"/>
          <w:szCs w:val="24"/>
          <w:lang w:val="es-AR"/>
        </w:rPr>
        <w:t>denunciada ante la CIDH.</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Es en virtud de esta situación fáctica, que es pública y notoria, que el anteproyecto de ley presentado por el MPD y la Cátedra de Criminología propone un procedimiento de selección y designación para la integración del Mecanismo Provincial de Prevención de la Tortura que, cumpliendo con los estándares internacionales y nacionales, garantice la autonomía, independencia, autarquía y objetividad del mismo y el efectivo cumplimiento de los Principios de Paris. También por ello, es que en dicho anteproyecto se abogó y se continúa abogando para que en el proceso de diseño, debate, sanción e implementación de la ley de creación del Mecanismo se dé amplia participación a las organizaciones de la sociedad civil</w:t>
      </w:r>
      <w:r w:rsidR="00C05052">
        <w:rPr>
          <w:rFonts w:eastAsia="Droid Sans Fallback"/>
          <w:color w:val="000000"/>
          <w:kern w:val="1"/>
          <w:sz w:val="24"/>
          <w:szCs w:val="24"/>
          <w:lang w:val="es-AR"/>
        </w:rPr>
        <w:t>, cosa que aún no ha sucedido</w:t>
      </w:r>
      <w:r w:rsidRPr="00B27609">
        <w:rPr>
          <w:rFonts w:eastAsia="Droid Sans Fallback"/>
          <w:color w:val="000000"/>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color w:val="000000"/>
          <w:kern w:val="1"/>
          <w:sz w:val="24"/>
          <w:szCs w:val="24"/>
          <w:lang w:val="es-AR"/>
        </w:rPr>
      </w:pPr>
      <w:r w:rsidRPr="00B27609">
        <w:rPr>
          <w:rFonts w:eastAsia="Droid Sans Fallback"/>
          <w:b/>
          <w:color w:val="000000"/>
          <w:kern w:val="1"/>
          <w:sz w:val="24"/>
          <w:szCs w:val="24"/>
          <w:lang w:val="es-AR"/>
        </w:rPr>
        <w:t xml:space="preserve">3. Incumplimiento de la Recomendación de la Alta Comisionada para los Derechos Humanos AA/66/860, secc 4.4.2 para la selección de </w:t>
      </w:r>
      <w:r w:rsidR="00C05052">
        <w:rPr>
          <w:rFonts w:eastAsia="Droid Sans Fallback"/>
          <w:b/>
          <w:color w:val="000000"/>
          <w:kern w:val="1"/>
          <w:sz w:val="24"/>
          <w:szCs w:val="24"/>
          <w:lang w:val="es-AR"/>
        </w:rPr>
        <w:t>expertos/as</w:t>
      </w:r>
      <w:r w:rsidRPr="00B27609">
        <w:rPr>
          <w:rFonts w:eastAsia="Droid Sans Fallback"/>
          <w:b/>
          <w:color w:val="000000"/>
          <w:kern w:val="1"/>
          <w:sz w:val="24"/>
          <w:szCs w:val="24"/>
          <w:lang w:val="es-AR"/>
        </w:rPr>
        <w:t xml:space="preserve"> </w:t>
      </w:r>
      <w:r w:rsidR="00C05052">
        <w:rPr>
          <w:rFonts w:eastAsia="Droid Sans Fallback"/>
          <w:b/>
          <w:color w:val="000000"/>
          <w:kern w:val="1"/>
          <w:sz w:val="24"/>
          <w:szCs w:val="24"/>
          <w:lang w:val="es-AR"/>
        </w:rPr>
        <w:t>independientes y de reconocida trayectoria</w:t>
      </w:r>
      <w:r w:rsidR="00CE7599">
        <w:rPr>
          <w:rFonts w:eastAsia="Droid Sans Fallback"/>
          <w:b/>
          <w:color w:val="000000"/>
          <w:kern w:val="1"/>
          <w:sz w:val="24"/>
          <w:szCs w:val="24"/>
          <w:lang w:val="es-AR"/>
        </w:rPr>
        <w:t xml:space="preserve"> </w:t>
      </w:r>
      <w:r w:rsidRPr="00B27609">
        <w:rPr>
          <w:rFonts w:eastAsia="Droid Sans Fallback"/>
          <w:b/>
          <w:color w:val="000000"/>
          <w:kern w:val="1"/>
          <w:sz w:val="24"/>
          <w:szCs w:val="24"/>
          <w:lang w:val="es-AR"/>
        </w:rPr>
        <w:t>para</w:t>
      </w:r>
      <w:r w:rsidR="00C05052">
        <w:rPr>
          <w:rFonts w:eastAsia="Droid Sans Fallback"/>
          <w:b/>
          <w:color w:val="000000"/>
          <w:kern w:val="1"/>
          <w:sz w:val="24"/>
          <w:szCs w:val="24"/>
          <w:lang w:val="es-AR"/>
        </w:rPr>
        <w:t xml:space="preserve"> nominar al </w:t>
      </w:r>
      <w:r w:rsidRPr="00B27609">
        <w:rPr>
          <w:rFonts w:eastAsia="Droid Sans Fallback"/>
          <w:b/>
          <w:color w:val="000000"/>
          <w:kern w:val="1"/>
          <w:sz w:val="24"/>
          <w:szCs w:val="24"/>
          <w:lang w:val="es-AR"/>
        </w:rPr>
        <w:t>SPT</w:t>
      </w:r>
    </w:p>
    <w:p w:rsidR="00D22324" w:rsidRPr="00B27609" w:rsidRDefault="00D22324" w:rsidP="00D22324">
      <w:pPr>
        <w:tabs>
          <w:tab w:val="left" w:pos="720"/>
        </w:tabs>
        <w:suppressAutoHyphens/>
        <w:spacing w:line="276" w:lineRule="auto"/>
        <w:jc w:val="both"/>
        <w:rPr>
          <w:rFonts w:eastAsia="Droid Sans Fallback"/>
          <w:b/>
          <w:color w:val="000000"/>
          <w:kern w:val="1"/>
          <w:sz w:val="24"/>
          <w:szCs w:val="24"/>
          <w:lang w:val="es-AR"/>
        </w:rPr>
      </w:pPr>
    </w:p>
    <w:p w:rsidR="00CE759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En fecha 22 de junio de 2016 el entonces miembro del SPT propuesto por Argentina, Enrique Font, presentó una nota, dirigida a la Canciller Susana Malcorra, solicitándole “una entrevista para abordar los temas referidos a la próxima elección de expertos independientes del Subcomité para la Prevención de la Tortura”</w:t>
      </w:r>
      <w:r w:rsidR="00CE7599">
        <w:rPr>
          <w:rFonts w:eastAsia="Droid Sans Fallback"/>
          <w:color w:val="000000"/>
          <w:kern w:val="1"/>
          <w:sz w:val="24"/>
          <w:szCs w:val="24"/>
          <w:lang w:val="es-AR"/>
        </w:rPr>
        <w:t>.</w:t>
      </w:r>
    </w:p>
    <w:p w:rsidR="00D22324" w:rsidRPr="00B27609" w:rsidRDefault="00CE7599"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En dicha nota, Font expresa fundadamente su solicitud de ser nominado nuevamente y consulta si “el Estado implementará algún tipo de procedimiento, en sintonía con la recomendación de la Alta Comisionada para los Derechos Humanos (AA/66/860, secc 4.4.2), para la selección de candidatos. En tanto que además de antecedentes, trayectoria y experiencia, cuento con avales nacionales e </w:t>
      </w:r>
      <w:r w:rsidRPr="00B27609">
        <w:rPr>
          <w:rFonts w:eastAsia="Droid Sans Fallback"/>
          <w:color w:val="000000"/>
          <w:kern w:val="1"/>
          <w:sz w:val="24"/>
          <w:szCs w:val="24"/>
          <w:lang w:val="es-AR"/>
        </w:rPr>
        <w:lastRenderedPageBreak/>
        <w:t xml:space="preserve">internacionales que, de ser requerido, tendría el honor de presentar.”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La reunión nunca se concretó y la nota no obtuvo respuesta alguna de parte de la Cancillería. Solamente luego de que Font intentara por varias vías ser recibido por algún funcionario de Cancillería, y dada a la intervención del Secretario de Derechos Humanos de la Nación, </w:t>
      </w:r>
      <w:r w:rsidR="00CE7599">
        <w:rPr>
          <w:rFonts w:eastAsia="Droid Sans Fallback"/>
          <w:color w:val="000000"/>
          <w:kern w:val="1"/>
          <w:sz w:val="24"/>
          <w:szCs w:val="24"/>
          <w:lang w:val="es-AR"/>
        </w:rPr>
        <w:t xml:space="preserve">Claudio Avruj, </w:t>
      </w:r>
      <w:r w:rsidRPr="00B27609">
        <w:rPr>
          <w:rFonts w:eastAsia="Droid Sans Fallback"/>
          <w:color w:val="000000"/>
          <w:kern w:val="1"/>
          <w:sz w:val="24"/>
          <w:szCs w:val="24"/>
          <w:lang w:val="es-AR"/>
        </w:rPr>
        <w:t>fue co</w:t>
      </w:r>
      <w:r w:rsidR="00CE7599">
        <w:rPr>
          <w:rFonts w:eastAsia="Droid Sans Fallback"/>
          <w:color w:val="000000"/>
          <w:kern w:val="1"/>
          <w:sz w:val="24"/>
          <w:szCs w:val="24"/>
          <w:lang w:val="es-AR"/>
        </w:rPr>
        <w:t xml:space="preserve">ntactado telefónicamente por </w:t>
      </w:r>
      <w:r w:rsidRPr="00B27609">
        <w:rPr>
          <w:rFonts w:eastAsia="Droid Sans Fallback"/>
          <w:color w:val="000000"/>
          <w:kern w:val="1"/>
          <w:sz w:val="24"/>
          <w:szCs w:val="24"/>
          <w:lang w:val="es-AR"/>
        </w:rPr>
        <w:t xml:space="preserve">Leandro Despouy, </w:t>
      </w:r>
      <w:r w:rsidR="00CE7599">
        <w:rPr>
          <w:rFonts w:eastAsia="Droid Sans Fallback"/>
          <w:color w:val="000000"/>
          <w:kern w:val="1"/>
          <w:sz w:val="24"/>
          <w:szCs w:val="24"/>
          <w:lang w:val="es-AR"/>
        </w:rPr>
        <w:t xml:space="preserve">en ese momento </w:t>
      </w:r>
      <w:r w:rsidRPr="00B27609">
        <w:rPr>
          <w:rFonts w:eastAsia="Droid Sans Fallback"/>
          <w:color w:val="000000"/>
          <w:kern w:val="1"/>
          <w:sz w:val="24"/>
          <w:szCs w:val="24"/>
          <w:lang w:val="es-AR"/>
        </w:rPr>
        <w:t>Embajador para los Derechos Humanos de la Cancillería argentina. Esta comunicación telefónica se concretó con solo unos días de antelación al vencimiento del plazo</w:t>
      </w:r>
      <w:r w:rsidR="00CE7599">
        <w:rPr>
          <w:rFonts w:eastAsia="Droid Sans Fallback"/>
          <w:color w:val="000000"/>
          <w:kern w:val="1"/>
          <w:sz w:val="24"/>
          <w:szCs w:val="24"/>
          <w:lang w:val="es-AR"/>
        </w:rPr>
        <w:t xml:space="preserve"> de postulación al SPT</w:t>
      </w:r>
      <w:r w:rsidRPr="00B27609">
        <w:rPr>
          <w:rFonts w:eastAsia="Droid Sans Fallback"/>
          <w:color w:val="000000"/>
          <w:kern w:val="1"/>
          <w:sz w:val="24"/>
          <w:szCs w:val="24"/>
          <w:lang w:val="es-AR"/>
        </w:rPr>
        <w:t xml:space="preserve">, en octubre y transcurridos varios meses luego de la presentación de la nota. En dicha comunicación Despouy informó a Font que “la Canciller había optado por enviar otra candidatura”.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color w:val="000000"/>
          <w:kern w:val="1"/>
          <w:sz w:val="24"/>
          <w:szCs w:val="24"/>
          <w:lang w:val="es-AR"/>
        </w:rPr>
        <w:t xml:space="preserve">Un comparación de los CVs presentados por la candidata postulada por </w:t>
      </w:r>
      <w:r w:rsidR="009E0ED0">
        <w:rPr>
          <w:rFonts w:eastAsia="Droid Sans Fallback"/>
          <w:color w:val="000000"/>
          <w:kern w:val="1"/>
          <w:sz w:val="24"/>
          <w:szCs w:val="24"/>
          <w:lang w:val="es-AR"/>
        </w:rPr>
        <w:t>el Estado argentino</w:t>
      </w:r>
      <w:r w:rsidRPr="00B27609">
        <w:rPr>
          <w:rFonts w:eastAsia="Droid Sans Fallback"/>
          <w:color w:val="000000"/>
          <w:kern w:val="1"/>
          <w:sz w:val="24"/>
          <w:szCs w:val="24"/>
          <w:lang w:val="es-AR"/>
        </w:rPr>
        <w:t xml:space="preserve">, María Dolores Gomez, y el </w:t>
      </w:r>
      <w:r w:rsidR="009E0ED0">
        <w:rPr>
          <w:rFonts w:eastAsia="Droid Sans Fallback"/>
          <w:color w:val="000000"/>
          <w:kern w:val="1"/>
          <w:sz w:val="24"/>
          <w:szCs w:val="24"/>
          <w:lang w:val="es-AR"/>
        </w:rPr>
        <w:t>d</w:t>
      </w:r>
      <w:r w:rsidRPr="00B27609">
        <w:rPr>
          <w:rFonts w:eastAsia="Droid Sans Fallback"/>
          <w:color w:val="000000"/>
          <w:kern w:val="1"/>
          <w:sz w:val="24"/>
          <w:szCs w:val="24"/>
          <w:lang w:val="es-AR"/>
        </w:rPr>
        <w:t xml:space="preserve">e Font, en el mismo formato, deja en evidencia sin necesidad de mayor </w:t>
      </w:r>
      <w:r w:rsidR="009E0ED0">
        <w:rPr>
          <w:rFonts w:eastAsia="Droid Sans Fallback"/>
          <w:color w:val="000000"/>
          <w:kern w:val="1"/>
          <w:sz w:val="24"/>
          <w:szCs w:val="24"/>
          <w:lang w:val="es-AR"/>
        </w:rPr>
        <w:t>argumentación que</w:t>
      </w:r>
      <w:r w:rsidRPr="00B27609">
        <w:rPr>
          <w:rFonts w:eastAsia="Droid Sans Fallback"/>
          <w:color w:val="000000"/>
          <w:kern w:val="1"/>
          <w:sz w:val="24"/>
          <w:szCs w:val="24"/>
          <w:lang w:val="es-AR"/>
        </w:rPr>
        <w:t xml:space="preserve"> en el procedimiento de selección, el Estado argentino no respetó ninguno de los principios establecidos a tales fines</w:t>
      </w:r>
      <w:r w:rsidR="009E0ED0">
        <w:rPr>
          <w:rFonts w:eastAsia="Droid Sans Fallback"/>
          <w:color w:val="000000"/>
          <w:kern w:val="1"/>
          <w:sz w:val="24"/>
          <w:szCs w:val="24"/>
          <w:lang w:val="es-AR"/>
        </w:rPr>
        <w:t xml:space="preserve"> y excluyó arbitrariamente a </w:t>
      </w:r>
      <w:r w:rsidR="009E0ED0" w:rsidRPr="00C349A2">
        <w:rPr>
          <w:rFonts w:eastAsia="Droid Sans Fallback"/>
          <w:color w:val="000000"/>
          <w:kern w:val="1"/>
          <w:sz w:val="24"/>
          <w:szCs w:val="24"/>
          <w:lang w:val="es-AR"/>
        </w:rPr>
        <w:t>Font</w:t>
      </w:r>
      <w:r w:rsidR="00CE7599">
        <w:rPr>
          <w:rFonts w:eastAsia="Droid Sans Fallback"/>
          <w:color w:val="000000"/>
          <w:kern w:val="1"/>
          <w:sz w:val="24"/>
          <w:szCs w:val="24"/>
          <w:lang w:val="es-AR"/>
        </w:rPr>
        <w:t xml:space="preserve"> al no realizar procedimiento alguno para la selección de candidaturas</w:t>
      </w:r>
      <w:r w:rsidR="009E0ED0" w:rsidRPr="00C349A2">
        <w:rPr>
          <w:rFonts w:eastAsia="Droid Sans Fallback"/>
          <w:color w:val="000000"/>
          <w:kern w:val="1"/>
          <w:sz w:val="24"/>
          <w:szCs w:val="24"/>
          <w:lang w:val="es-AR"/>
        </w:rPr>
        <w:t>.</w:t>
      </w:r>
      <w:r w:rsidRPr="00C349A2">
        <w:rPr>
          <w:rFonts w:eastAsia="Droid Sans Fallback"/>
          <w:color w:val="000000"/>
          <w:kern w:val="1"/>
          <w:sz w:val="24"/>
          <w:szCs w:val="24"/>
          <w:lang w:val="es-AR"/>
        </w:rPr>
        <w:t xml:space="preserve"> </w:t>
      </w:r>
      <w:r w:rsidRPr="00C349A2">
        <w:rPr>
          <w:rFonts w:eastAsia="Droid Sans Fallback"/>
          <w:kern w:val="1"/>
          <w:sz w:val="24"/>
          <w:szCs w:val="24"/>
          <w:lang w:val="es-AR"/>
        </w:rPr>
        <w:t>(se adjuntan ambos CVs</w:t>
      </w:r>
      <w:r w:rsidR="00CE7599">
        <w:rPr>
          <w:rFonts w:eastAsia="Droid Sans Fallback"/>
          <w:kern w:val="1"/>
          <w:sz w:val="24"/>
          <w:szCs w:val="24"/>
          <w:lang w:val="es-AR"/>
        </w:rPr>
        <w:t xml:space="preserve"> en el formato requerido para la nominación</w:t>
      </w:r>
      <w:r w:rsidRPr="00C349A2">
        <w:rPr>
          <w:rFonts w:eastAsia="Droid Sans Fallback"/>
          <w:kern w:val="1"/>
          <w:sz w:val="24"/>
          <w:szCs w:val="24"/>
          <w:lang w:val="es-AR"/>
        </w:rPr>
        <w:t>).</w:t>
      </w:r>
      <w:r w:rsidRPr="00B27609">
        <w:rPr>
          <w:rFonts w:eastAsia="Droid Sans Fallback"/>
          <w:kern w:val="1"/>
          <w:sz w:val="24"/>
          <w:szCs w:val="24"/>
          <w:lang w:val="es-AR"/>
        </w:rPr>
        <w:t xml:space="preserve">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color w:val="000000"/>
          <w:kern w:val="1"/>
          <w:sz w:val="24"/>
          <w:szCs w:val="24"/>
          <w:lang w:val="es-AR"/>
        </w:rPr>
      </w:pPr>
      <w:r w:rsidRPr="00B27609">
        <w:rPr>
          <w:rFonts w:eastAsia="Droid Sans Fallback"/>
          <w:b/>
          <w:color w:val="000000"/>
          <w:kern w:val="1"/>
          <w:sz w:val="24"/>
          <w:szCs w:val="24"/>
          <w:lang w:val="es-AR"/>
        </w:rPr>
        <w:t xml:space="preserve">4. Solicitud de medidas </w:t>
      </w:r>
      <w:r w:rsidR="009E0ED0">
        <w:rPr>
          <w:rFonts w:eastAsia="Droid Sans Fallback"/>
          <w:b/>
          <w:color w:val="000000"/>
          <w:kern w:val="1"/>
          <w:sz w:val="24"/>
          <w:szCs w:val="24"/>
          <w:lang w:val="es-AR"/>
        </w:rPr>
        <w:t xml:space="preserve">solicitadas </w:t>
      </w:r>
      <w:r w:rsidRPr="00B27609">
        <w:rPr>
          <w:rFonts w:eastAsia="Droid Sans Fallback"/>
          <w:b/>
          <w:color w:val="000000"/>
          <w:kern w:val="1"/>
          <w:sz w:val="24"/>
          <w:szCs w:val="24"/>
          <w:lang w:val="es-AR"/>
        </w:rPr>
        <w:t xml:space="preserve">al SPT </w:t>
      </w:r>
      <w:r w:rsidR="005D1D76">
        <w:rPr>
          <w:rFonts w:eastAsia="Droid Sans Fallback"/>
          <w:b/>
          <w:color w:val="000000"/>
          <w:kern w:val="1"/>
          <w:sz w:val="24"/>
          <w:szCs w:val="24"/>
          <w:lang w:val="es-AR"/>
        </w:rPr>
        <w:t>para que ser consideradas por el CAT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Tal como se mencionara en la introducción de esta sección en el informe que se presentó recientemente al SPT </w:t>
      </w:r>
      <w:r w:rsidR="005D1D76">
        <w:rPr>
          <w:rFonts w:eastAsia="Droid Sans Fallback"/>
          <w:color w:val="000000"/>
          <w:kern w:val="1"/>
          <w:sz w:val="24"/>
          <w:szCs w:val="24"/>
          <w:lang w:val="es-AR"/>
        </w:rPr>
        <w:t xml:space="preserve">se le solicitó </w:t>
      </w:r>
      <w:r w:rsidRPr="00B27609">
        <w:rPr>
          <w:rFonts w:eastAsia="Droid Sans Fallback"/>
          <w:color w:val="000000"/>
          <w:kern w:val="1"/>
          <w:sz w:val="24"/>
          <w:szCs w:val="24"/>
          <w:lang w:val="es-AR"/>
        </w:rPr>
        <w:t>a dicho órgano de tratado que considere las siguientes acciones</w:t>
      </w:r>
      <w:r w:rsidR="005D1D76">
        <w:rPr>
          <w:rFonts w:eastAsia="Droid Sans Fallback"/>
          <w:color w:val="000000"/>
          <w:kern w:val="1"/>
          <w:sz w:val="24"/>
          <w:szCs w:val="24"/>
          <w:lang w:val="es-AR"/>
        </w:rPr>
        <w:t>, las que entendemos son también de relevancia para el CAT</w:t>
      </w:r>
      <w:r w:rsidRPr="00B27609">
        <w:rPr>
          <w:rFonts w:eastAsia="Droid Sans Fallback"/>
          <w:color w:val="000000"/>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a. Inste y asista al Estado argentino para que cumpla con la designación de los/as integrantes del Comité Nacional del Sistema Nacional para la Prevención de la Tortura.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b. Inste al Estado argentino para que promueva activamente la creación e implementación de los Mecanismos Provinciales, cumpliendo estrictamente lo establecido en el OPCAT, los documentos públicos, las recomendaciones y la jurisprudencia del SPT y la Ley nacional 26827.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 xml:space="preserve">c. Inste al Estado argentino para que </w:t>
      </w:r>
      <w:r w:rsidR="005D1D76" w:rsidRPr="00B27609">
        <w:rPr>
          <w:rFonts w:eastAsia="Droid Sans Fallback"/>
          <w:color w:val="000000"/>
          <w:kern w:val="1"/>
          <w:sz w:val="24"/>
          <w:szCs w:val="24"/>
          <w:lang w:val="es-AR"/>
        </w:rPr>
        <w:t>mantenga</w:t>
      </w:r>
      <w:r w:rsidRPr="00B27609">
        <w:rPr>
          <w:rFonts w:eastAsia="Droid Sans Fallback"/>
          <w:color w:val="000000"/>
          <w:kern w:val="1"/>
          <w:sz w:val="24"/>
          <w:szCs w:val="24"/>
          <w:lang w:val="es-AR"/>
        </w:rPr>
        <w:t xml:space="preserve"> y fortalezca los Mecanismos Provinciales existentes, garantizando su adecuado funcionamiento, incluyendo metodologías adecuadas de visitas </w:t>
      </w:r>
      <w:r w:rsidR="005D1D76" w:rsidRPr="00B27609">
        <w:rPr>
          <w:rFonts w:eastAsia="Droid Sans Fallback"/>
          <w:color w:val="000000"/>
          <w:kern w:val="1"/>
          <w:sz w:val="24"/>
          <w:szCs w:val="24"/>
          <w:lang w:val="es-AR"/>
        </w:rPr>
        <w:t>periódicas</w:t>
      </w:r>
      <w:r w:rsidRPr="00B27609">
        <w:rPr>
          <w:rFonts w:eastAsia="Droid Sans Fallback"/>
          <w:color w:val="000000"/>
          <w:kern w:val="1"/>
          <w:sz w:val="24"/>
          <w:szCs w:val="24"/>
          <w:lang w:val="es-AR"/>
        </w:rPr>
        <w:t xml:space="preserve"> no anunciadas, realización de recomendaciones específicas con énfasis en la prevención y promoción de un diálogo cooperativo con las más altas autoridades provinciales. </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d. En el caso puntual de la provincia de Santa Fe inste al Estado argentino a los fines de que se promueva la participación amplia y activa a la sociedad civil en el proceso de sanción de la ley provincial de creación del Mecanismo y se sancione una ley que se ajuste plenamente a lo establecido en el OPCAT, los documentos públicos, las recomendaciones y la jurisprudencia del SPT y la Ley nacional 26827 y que garantice un procedimiento de selección y designación para la integración del Mecanismo Provincial que garantice la autonomía, independencia, autarquía y objetividad del mismo.</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r w:rsidRPr="00B27609">
        <w:rPr>
          <w:rFonts w:eastAsia="Droid Sans Fallback"/>
          <w:color w:val="000000"/>
          <w:kern w:val="1"/>
          <w:sz w:val="24"/>
          <w:szCs w:val="24"/>
          <w:lang w:val="es-AR"/>
        </w:rPr>
        <w:t>e. Inste al Estado argentino a cumplir con un procedimiento amplio, meritocrático y transparente en consonancia con la recomendación de la Alta Comisionada para los Derechos Humanos AA/66/860, secc 4.4.2 para la selección de expertos/as para postular a los órganos de tratado de Naciones Unidas.</w:t>
      </w:r>
    </w:p>
    <w:p w:rsidR="00D22324" w:rsidRPr="00B27609" w:rsidRDefault="00D22324" w:rsidP="00D22324">
      <w:pPr>
        <w:tabs>
          <w:tab w:val="left" w:pos="720"/>
        </w:tabs>
        <w:suppressAutoHyphens/>
        <w:spacing w:line="276" w:lineRule="auto"/>
        <w:jc w:val="both"/>
        <w:rPr>
          <w:rFonts w:eastAsia="Droid Sans Fallback"/>
          <w:color w:val="000000"/>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bCs/>
          <w:color w:val="000000"/>
          <w:kern w:val="1"/>
          <w:sz w:val="24"/>
          <w:szCs w:val="24"/>
          <w:lang w:val="es-AR"/>
        </w:rPr>
      </w:pPr>
    </w:p>
    <w:p w:rsidR="00D22324" w:rsidRPr="00B27609" w:rsidRDefault="00D22324" w:rsidP="00D22324">
      <w:pPr>
        <w:tabs>
          <w:tab w:val="left" w:pos="720"/>
        </w:tabs>
        <w:suppressAutoHyphens/>
        <w:spacing w:line="276" w:lineRule="auto"/>
        <w:jc w:val="center"/>
        <w:rPr>
          <w:rFonts w:eastAsia="Droid Sans Fallback"/>
          <w:b/>
          <w:bCs/>
          <w:color w:val="FF0000"/>
          <w:kern w:val="1"/>
          <w:sz w:val="24"/>
          <w:szCs w:val="24"/>
          <w:lang w:val="es-ES"/>
        </w:rPr>
      </w:pPr>
      <w:r w:rsidRPr="00B27609">
        <w:rPr>
          <w:rFonts w:eastAsia="Droid Sans Fallback"/>
          <w:b/>
          <w:bCs/>
          <w:color w:val="000000"/>
          <w:kern w:val="1"/>
          <w:sz w:val="24"/>
          <w:szCs w:val="24"/>
          <w:lang w:val="es-AR"/>
        </w:rPr>
        <w:t>ARTICULO 12 Y 13</w:t>
      </w:r>
    </w:p>
    <w:p w:rsidR="00D22324" w:rsidRPr="00B27609" w:rsidRDefault="00D22324" w:rsidP="00D22324">
      <w:pPr>
        <w:tabs>
          <w:tab w:val="left" w:pos="720"/>
        </w:tabs>
        <w:suppressAutoHyphens/>
        <w:spacing w:line="276" w:lineRule="auto"/>
        <w:jc w:val="both"/>
        <w:rPr>
          <w:rFonts w:eastAsia="Droid Sans Fallback"/>
          <w:color w:val="0000FF"/>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bCs/>
          <w:kern w:val="1"/>
          <w:sz w:val="24"/>
          <w:szCs w:val="24"/>
          <w:lang w:val="es-AR"/>
        </w:rPr>
      </w:pPr>
      <w:r w:rsidRPr="00B27609">
        <w:rPr>
          <w:rFonts w:eastAsia="Droid Sans Fallback"/>
          <w:b/>
          <w:bCs/>
          <w:kern w:val="1"/>
          <w:sz w:val="24"/>
          <w:szCs w:val="24"/>
          <w:lang w:val="es-AR"/>
        </w:rPr>
        <w:t xml:space="preserve">Respecto a las </w:t>
      </w:r>
      <w:r w:rsidRPr="00B27609">
        <w:rPr>
          <w:rFonts w:eastAsia="Droid Sans Fallback"/>
          <w:b/>
          <w:color w:val="00000A"/>
          <w:kern w:val="1"/>
          <w:sz w:val="24"/>
          <w:szCs w:val="24"/>
          <w:lang w:val="es-AR"/>
        </w:rPr>
        <w:t xml:space="preserve">cuestiones consideradas prioritarias por el </w:t>
      </w:r>
      <w:r w:rsidR="00CE7599">
        <w:rPr>
          <w:rFonts w:eastAsia="Droid Sans Fallback"/>
          <w:b/>
          <w:color w:val="00000A"/>
          <w:kern w:val="1"/>
          <w:sz w:val="24"/>
          <w:szCs w:val="24"/>
          <w:lang w:val="es-AR"/>
        </w:rPr>
        <w:t>CAT</w:t>
      </w:r>
      <w:r w:rsidRPr="00B27609">
        <w:rPr>
          <w:rFonts w:eastAsia="Droid Sans Fallback"/>
          <w:b/>
          <w:color w:val="00000A"/>
          <w:kern w:val="1"/>
          <w:sz w:val="24"/>
          <w:szCs w:val="24"/>
          <w:lang w:val="es-AR"/>
        </w:rPr>
        <w:t xml:space="preserve"> en su documento de fecha 2 de agosto de 2010 (CAT/C/ARG/5-6) en sus párrafos veintinueve y treinta y uno en relación a estos artículos </w:t>
      </w:r>
      <w:r w:rsidRPr="00B27609">
        <w:rPr>
          <w:rFonts w:eastAsia="Droid Sans Fallback"/>
          <w:b/>
          <w:bCs/>
          <w:kern w:val="1"/>
          <w:sz w:val="24"/>
          <w:szCs w:val="24"/>
          <w:lang w:val="es-AR"/>
        </w:rPr>
        <w:t xml:space="preserve">corresponde informar al CAT lo siguiente. </w:t>
      </w:r>
    </w:p>
    <w:p w:rsidR="00D22324" w:rsidRPr="00B27609" w:rsidRDefault="00D22324" w:rsidP="00D22324">
      <w:pPr>
        <w:tabs>
          <w:tab w:val="left" w:pos="720"/>
        </w:tabs>
        <w:suppressAutoHyphens/>
        <w:spacing w:line="276" w:lineRule="auto"/>
        <w:jc w:val="both"/>
        <w:rPr>
          <w:rFonts w:eastAsia="Droid Sans Fallback"/>
          <w:b/>
          <w:bCs/>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Actualmente, la Cátedra de Criminología junto a distintas organizaciones sociales, políticas, académicas, sindicales y de Derechos Humanos y familiares de víctimas de violencia institucional conforma la Multisectorial Contra la Violencia Institucional. Desde este espacio se denuncia la grave situación de violencia institucional en el Departamento Rosario de la provincia de Santa Fe. En tanto como fue mencionado, se trata de un fenómeno extendido, sistemático y con casos de extrema gravedad, entre los que se cuentan tres desapariciones forzadas de personas seguidas de muerte (las que fueron mencionadas arriba).</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Este fenómeno también se caracteriza por una inadecuada e insuficiente respuesta judicial, tanto por parte de los jueces como del MPA. Por un lado, hay investigaciones que directamente no se trabajan. En otras se incumplen los estándares internacionales para la adecuada detección, investigación, producción de pruebas y sanción de estas graves violaciones a los derechos humanos, siendo el resultado la impunidad. El inadecuado abordaje por parte del MPA hace posible que estos hechos se sigan repitiendo. </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Las víctimas de casos de homicidios producidos por la policía y miembros de las </w:t>
      </w:r>
      <w:r w:rsidRPr="00B27609">
        <w:rPr>
          <w:rFonts w:eastAsia="Droid Sans Fallback"/>
          <w:kern w:val="1"/>
          <w:sz w:val="24"/>
          <w:szCs w:val="24"/>
          <w:lang w:val="es-AR"/>
        </w:rPr>
        <w:lastRenderedPageBreak/>
        <w:t>fuerzas de seguridad se caracterizan por ser varones, menores de 30 años y de sectores populares. Esta misma concentración de la victimización es la que relevó la Cátedra de Criminología como resultado de sus investigaciones sobre uso de fuerza letal por parte de funcionarios/as policiales y sobre acciones, políticas y/o programas orientados a este problema.</w:t>
      </w:r>
      <w:r w:rsidRPr="00B27609">
        <w:rPr>
          <w:rFonts w:eastAsia="Droid Sans Fallback"/>
          <w:kern w:val="1"/>
          <w:sz w:val="24"/>
          <w:szCs w:val="24"/>
          <w:vertAlign w:val="superscript"/>
          <w:lang w:val="es-AR"/>
        </w:rPr>
        <w:footnoteReference w:id="8"/>
      </w:r>
      <w:r w:rsidRPr="00B27609">
        <w:rPr>
          <w:rFonts w:eastAsia="Droid Sans Fallback"/>
          <w:kern w:val="1"/>
          <w:sz w:val="24"/>
          <w:szCs w:val="24"/>
          <w:lang w:val="es-AR"/>
        </w:rPr>
        <w:t xml:space="preserve"> Y, como se mencionó anteriormente, este patrón se mantiene en los casos de torturas y malos tratos registrados tanto por la Cátedra de Criminología como por el MPD.</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ES"/>
        </w:rPr>
      </w:pPr>
      <w:r w:rsidRPr="00B27609">
        <w:rPr>
          <w:rFonts w:eastAsia="Droid Sans Fallback"/>
          <w:kern w:val="1"/>
          <w:sz w:val="24"/>
          <w:szCs w:val="24"/>
          <w:lang w:val="es-AR"/>
        </w:rPr>
        <w:t xml:space="preserve">En relación al abordaje judicial de la violencia institucional, desde la Multisectorial se denuncia activamente patrones de respuesta policial y judicial inadecuados y que producen impunidad. En la mayoría de los casos las primeras actuaciones las realiza la policía. En algunos, incluso, los mismos policías autores o participes de los hechos. Esto permite la construcción de una versión policial de lo sucedido, presentando por ejemplo los casos de uso ilegal de la fuerza letal como enfrentamientos con armas, o legítima defensa ante un intento de robo. Hace posible, también, la alteración de los escenarios del hecho, la introducción de evidencia falsa y el ocultamiento de evidencia incriminatoria, como por ejemplo </w:t>
      </w:r>
      <w:r w:rsidRPr="00B27609">
        <w:rPr>
          <w:rFonts w:eastAsia="Droid Sans Fallback"/>
          <w:i/>
          <w:kern w:val="1"/>
          <w:sz w:val="24"/>
          <w:szCs w:val="24"/>
          <w:lang w:val="es-AR"/>
        </w:rPr>
        <w:t xml:space="preserve">plantado </w:t>
      </w:r>
      <w:r w:rsidRPr="00B27609">
        <w:rPr>
          <w:rFonts w:eastAsia="Droid Sans Fallback"/>
          <w:kern w:val="1"/>
          <w:sz w:val="24"/>
          <w:szCs w:val="24"/>
          <w:lang w:val="es-AR"/>
        </w:rPr>
        <w:t xml:space="preserve">de armas de fuego a las víctimas y/u ocultamiento de vainas servidas y balas. También denunciamos dilaciones </w:t>
      </w:r>
      <w:r w:rsidRPr="00B27609">
        <w:rPr>
          <w:rFonts w:eastAsia="Droid Sans Fallback"/>
          <w:kern w:val="1"/>
          <w:sz w:val="24"/>
          <w:szCs w:val="24"/>
          <w:lang w:val="es-ES"/>
        </w:rPr>
        <w:t>en las investigaciones judiciales y falta de impulso por parte de los fiscales. O directamente la no investigación de los/as policías involucrados/as en los homicidios, intentos por calificar los hechos de manera menos gravosa que la que correspondería y de cerrar las causas con juicios abreviados, esto es sin investigación. Del mismo modo, muchas veces el MPA pretende e impulsa rápidamente el “archivo” de estas causas. Frente a ello, por ejemplo, se solicitó a fines del año pasado una auditoría y apartamiento del fiscal Miguel Moreno de las causas Zamudio, Ponce y Godoy (ver más abajo).</w:t>
      </w:r>
    </w:p>
    <w:p w:rsidR="00D22324" w:rsidRPr="00B27609" w:rsidRDefault="00D22324" w:rsidP="00D22324">
      <w:pPr>
        <w:tabs>
          <w:tab w:val="left" w:pos="720"/>
        </w:tabs>
        <w:suppressAutoHyphens/>
        <w:spacing w:line="276" w:lineRule="auto"/>
        <w:jc w:val="both"/>
        <w:rPr>
          <w:rFonts w:eastAsia="Droid Sans Fallback"/>
          <w:kern w:val="1"/>
          <w:sz w:val="24"/>
          <w:szCs w:val="24"/>
          <w:lang w:val="es-ES"/>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Desde la Multisectorial se sostiene que estas cuestiones sólo resultan visibilizadas a partir del activismo de víctimas, familiares y amigos/as de las víctimas y organizaciones sociales y políticas. Sin embargo, y a pesar de la incorporación de la figura de la querella en el nuevo ordenamiento procesal penal implementado en febrero de 2014, la participación de las víctimas en el proceso confronta dificultades, fundamentalmente cuando la víctima o los familiares que pretenden querellar no cuentan con recursos económicos. Tal como se mencionó anteriormente, el Centro de Asistencia a la Víctima del Ministerio de Justicia de Derechos Humanos no querella en estos casos. Y el MPA, el Poder Ejecutivo, algunos legisladores y la Corte provincial niegan esta potestad al MPD (la que a pesar de ello ya ha sido reconocida por tres sentencias firmes). Sin posibilidades de querellar de manera </w:t>
      </w:r>
      <w:r w:rsidRPr="00B27609">
        <w:rPr>
          <w:rFonts w:eastAsia="Droid Sans Fallback"/>
          <w:kern w:val="1"/>
          <w:sz w:val="24"/>
          <w:szCs w:val="24"/>
          <w:lang w:val="es-AR"/>
        </w:rPr>
        <w:lastRenderedPageBreak/>
        <w:t xml:space="preserve">gratuita las víctimas de sectores populares ven coartado su derecho de acceso a la justicia. </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kern w:val="1"/>
          <w:sz w:val="24"/>
          <w:szCs w:val="24"/>
          <w:lang w:val="es-AR"/>
        </w:rPr>
      </w:pPr>
      <w:r w:rsidRPr="00B27609">
        <w:rPr>
          <w:rFonts w:eastAsia="Droid Sans Fallback"/>
          <w:b/>
          <w:kern w:val="1"/>
          <w:sz w:val="24"/>
          <w:szCs w:val="24"/>
          <w:lang w:val="es-AR"/>
        </w:rPr>
        <w:t xml:space="preserve">A continuación se individualizan algunos casos paradigmáticos sobre los cuales la Cátedra realiza un seguimiento de los mismos y de las respuestas judiciales </w:t>
      </w:r>
      <w:r w:rsidR="00CE7599">
        <w:rPr>
          <w:rFonts w:eastAsia="Droid Sans Fallback"/>
          <w:b/>
          <w:kern w:val="1"/>
          <w:sz w:val="24"/>
          <w:szCs w:val="24"/>
          <w:lang w:val="es-AR"/>
        </w:rPr>
        <w:t>dad</w:t>
      </w:r>
      <w:r w:rsidRPr="00B27609">
        <w:rPr>
          <w:rFonts w:eastAsia="Droid Sans Fallback"/>
          <w:b/>
          <w:kern w:val="1"/>
          <w:sz w:val="24"/>
          <w:szCs w:val="24"/>
          <w:lang w:val="es-AR"/>
        </w:rPr>
        <w:t>a</w:t>
      </w:r>
      <w:r w:rsidR="00CE7599">
        <w:rPr>
          <w:rFonts w:eastAsia="Droid Sans Fallback"/>
          <w:b/>
          <w:kern w:val="1"/>
          <w:sz w:val="24"/>
          <w:szCs w:val="24"/>
          <w:lang w:val="es-AR"/>
        </w:rPr>
        <w:t>s</w:t>
      </w:r>
      <w:r w:rsidRPr="00B27609">
        <w:rPr>
          <w:rFonts w:eastAsia="Droid Sans Fallback"/>
          <w:b/>
          <w:kern w:val="1"/>
          <w:sz w:val="24"/>
          <w:szCs w:val="24"/>
          <w:lang w:val="es-AR"/>
        </w:rPr>
        <w:t xml:space="preserve"> </w:t>
      </w:r>
      <w:r w:rsidR="00CE7599">
        <w:rPr>
          <w:rFonts w:eastAsia="Droid Sans Fallback"/>
          <w:b/>
          <w:kern w:val="1"/>
          <w:sz w:val="24"/>
          <w:szCs w:val="24"/>
          <w:lang w:val="es-AR"/>
        </w:rPr>
        <w:t>a dichos casos</w:t>
      </w:r>
      <w:r w:rsidRPr="00B27609">
        <w:rPr>
          <w:rFonts w:eastAsia="Droid Sans Fallback"/>
          <w:b/>
          <w:kern w:val="1"/>
          <w:sz w:val="24"/>
          <w:szCs w:val="24"/>
          <w:lang w:val="es-AR"/>
        </w:rPr>
        <w:t>:</w:t>
      </w:r>
    </w:p>
    <w:p w:rsidR="00D22324" w:rsidRPr="00B27609" w:rsidRDefault="00D22324" w:rsidP="00D22324">
      <w:pPr>
        <w:tabs>
          <w:tab w:val="left" w:pos="720"/>
        </w:tabs>
        <w:suppressAutoHyphens/>
        <w:spacing w:line="276" w:lineRule="auto"/>
        <w:jc w:val="both"/>
        <w:rPr>
          <w:rFonts w:eastAsia="Droid Sans Fallback"/>
          <w:b/>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b/>
          <w:kern w:val="1"/>
          <w:sz w:val="24"/>
          <w:szCs w:val="24"/>
          <w:lang w:val="es-AR"/>
        </w:rPr>
        <w:t>Jonatan Herrera, 23 años - Asesinado por la policía santafesina el 4 de enero de 2015 – Barrio Tablada de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Era un joven de barrio Tablada, el 4 de en</w:t>
      </w:r>
      <w:r w:rsidR="00A364B4">
        <w:rPr>
          <w:rFonts w:eastAsia="Droid Sans Fallback"/>
          <w:kern w:val="1"/>
          <w:sz w:val="24"/>
          <w:szCs w:val="24"/>
          <w:lang w:val="es-AR"/>
        </w:rPr>
        <w:t>e</w:t>
      </w:r>
      <w:r w:rsidRPr="00B27609">
        <w:rPr>
          <w:rFonts w:eastAsia="Droid Sans Fallback"/>
          <w:kern w:val="1"/>
          <w:sz w:val="24"/>
          <w:szCs w:val="24"/>
          <w:lang w:val="es-AR"/>
        </w:rPr>
        <w:t xml:space="preserve">ro de 2015 fue asesinado como consecuencia de una balacera en la que intervinieron agentes de la Policía de Acción Táctica (PAT) y del Comando Radioeléctrico (CRE), mientras lavaba su auto en la vereda de su casa. Cuatro policías de la PAT fueron imputados por la muerte de Jonatan, uno por el delito de homicidio y tres por tentativa de homicidio. Tiempo después los abogados que primeramente representaban a la familia Herrera y el fiscal Spelta intentaron convencerla de concluir la investigación y atribuir responsabilidades por la muerte de Jonatan mediante un juicio abreviado para tres de los imputados por “abuso de armas”. La familia Herrera revocó entonces el poder otorgado a sus abogados y nombró nuevas abogadas querellantes. A partir de ahí la causa comenzó a tener una mayor visibilidad pública, a través de la conformación de la Multisectorial “Justicia por Jonatan Herrera”. Spelta desistió de celebrar juicio abreviado contra dos de los imputados y los acusó a ambos por tentativa de homicidio agravada. Celebró con la defensa de uno de los imputados un juicio abreviado por abuso de armas, resolución que fue apelada por la querella. El 27/6/16 una agente del CRE que también intervino en la balacera fue detenida e imputada de ser la autora de uno de los disparos que recibió Jonatan. </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b/>
          <w:kern w:val="1"/>
          <w:sz w:val="24"/>
          <w:szCs w:val="24"/>
          <w:lang w:val="es-AR"/>
        </w:rPr>
        <w:t>Carlos Godoy, 25 años – Asesinado por la policía santafesina el 24 de mayo 2015 – Barrio Empalme Graneros de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Carlos fue asesinado en el Puente Sorrento, a pocas cuadras de su casa. Los policías que lo mataron dicen que hubo un intento de robo con posterior enfrentamiento. En la causa declaran testigos que aseguran que no hubo enfrentamiento y que Carlos fue rematado en el suelo, y le plantaron el arma. El fiscal Miguel Moreno dejó en libertad a los dos policías involucrados: José Arturo Villalba, agente del Comando Radioeléctrico, y Daniel Alberto Sabater, agente de la Policía de Seguridad Vial. </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b/>
          <w:kern w:val="1"/>
          <w:sz w:val="24"/>
          <w:szCs w:val="24"/>
          <w:lang w:val="es-AR"/>
        </w:rPr>
        <w:t>Maximiliano Zamudio, 16 años – Asesinado por la Prefectura Naval el 27 de mayo de 2015 – Barrio Tablada de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A Maximiliano lo mató un prefecto con tres tiros de un arma no reglamentaria. El cabo dijo que Maxi con otro pibe le quiso robar y que se defendió porque el otro le </w:t>
      </w:r>
      <w:r w:rsidRPr="00B27609">
        <w:rPr>
          <w:rFonts w:eastAsia="Droid Sans Fallback"/>
          <w:kern w:val="1"/>
          <w:sz w:val="24"/>
          <w:szCs w:val="24"/>
          <w:lang w:val="es-AR"/>
        </w:rPr>
        <w:lastRenderedPageBreak/>
        <w:t xml:space="preserve">dijo a Maxi que le dispare. No encontraron ningún arma a Maximiliano y los testigos aseguran que el chico estaba solo y desarmado. La mamá de Maxi y los testigos dicen que el prefecto lo remató en el suelo. El fiscal Miguel Moreno considera que no hay peligro de entorpecimiento probatorio ni peligro de fuga, por lo cual desde un primer momento decide dejar al prefecto libre y en ejercicio de sus funciones. Además, desde los primeros días de la investigación, Moreno advirtió a la familia que archivaría la causa, y que Maxi no era merecedor de justicia porque estaba robando, entre otras numerosas faltas de respeto a la familia Zamudio. </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b/>
          <w:kern w:val="1"/>
          <w:sz w:val="24"/>
          <w:szCs w:val="24"/>
          <w:lang w:val="es-AR"/>
        </w:rPr>
      </w:pPr>
      <w:r w:rsidRPr="00B27609">
        <w:rPr>
          <w:rFonts w:eastAsia="Droid Sans Fallback"/>
          <w:b/>
          <w:kern w:val="1"/>
          <w:sz w:val="24"/>
          <w:szCs w:val="24"/>
          <w:lang w:val="es-AR"/>
        </w:rPr>
        <w:t>Jonatan Ezequiel Ojeda, 17 años – asesinado por la policía santafesina el 18 de octubre de 2015 – Barrio Itatí de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Jonatan era un joven de barrio Itatí, el 18 de octubre de 2015, a las 7 de la mañana, regresaba de bailar junto a sus amigos y el agente policial Martín Robledo comenzó a perseguirlo con su automóvil mientras le disparaba; como consecuencia, resultó gravemente herido y finalmente muere producto de los disparos recibidos. Jonatan sufrió previamente hostigamiento sistemático de parte de este policía, quien, además, lo amenazó de muerte. Jonatan se encontraba inconsciente con una herida de bala en el pómulo izquierdo, cuando Adriana, su mamá, intentando acercarse al cuerpo de su hijo, observó como el policía intentó poner a su lado un monedero de color negro y un arma. Sin embargo, familiares y conocidos se lo impidieron. Cuando llegó el Comando Radioeléctrico al lugar del hecho, los efectivos decidieron proteger a Robledo para que las personas que se habían acercado no lo lastimarán; para ello, además, dispararon escopetazos. Robledo fue imputado  por homicidio simple, y permanece en libertad a pesar tener ocho causas abiertas por otros delitos. Asimismo, no hubo avances significativos en la investigación judicial. </w:t>
      </w:r>
    </w:p>
    <w:p w:rsidR="00D22324" w:rsidRPr="00B27609" w:rsidRDefault="00D22324" w:rsidP="00D22324">
      <w:pPr>
        <w:tabs>
          <w:tab w:val="left" w:pos="720"/>
        </w:tabs>
        <w:suppressAutoHyphens/>
        <w:spacing w:line="276" w:lineRule="auto"/>
        <w:jc w:val="both"/>
        <w:rPr>
          <w:rFonts w:eastAsia="Droid Sans Fallback"/>
          <w:b/>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b/>
          <w:kern w:val="1"/>
          <w:sz w:val="24"/>
          <w:szCs w:val="24"/>
          <w:lang w:val="es-AR"/>
        </w:rPr>
        <w:t>Alejandro Ponce, 23 años – Víctima de desaparición forzada el 30 de octubre de 2015 en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Alejandro había robado a unos jóvenes en la zona del parque, y fue perseguido junto a su hermano por la policía. El hermano sobrevivió y cuenta que se tiraron al río pero que quisieron volver a tierra. Él pudo subir, pero Alejandro no sabía nadar. La policía le tiró piedras y no lo ayudó a subir. Su hermano fue detenido y llevado a la Comisaría 3ra, donde le dijeron que Alejandro se había dado a la fuga. Su cadáver fue encontrado tres días después en el río Paraná. El fiscal Miguel Moreno, sin embargo, adhiere a la versión policial y asegura que, de no haberse constituido la madre de Alejandro como querellante, cerraría la causa.</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b/>
          <w:kern w:val="1"/>
          <w:sz w:val="24"/>
          <w:szCs w:val="24"/>
          <w:lang w:val="es-AR"/>
        </w:rPr>
        <w:t>Brandon Cardozo, 16 años – Asesinado por la policía santafesina el 1 de enero de 2016 en Rosario</w:t>
      </w:r>
    </w:p>
    <w:p w:rsidR="00D22324" w:rsidRPr="00B27609" w:rsidRDefault="00D22324" w:rsidP="00D22324">
      <w:pPr>
        <w:tabs>
          <w:tab w:val="left" w:pos="720"/>
        </w:tabs>
        <w:suppressAutoHyphens/>
        <w:spacing w:line="276" w:lineRule="auto"/>
        <w:jc w:val="both"/>
        <w:rPr>
          <w:rFonts w:eastAsia="Droid Sans Fallback"/>
          <w:kern w:val="1"/>
          <w:sz w:val="24"/>
          <w:szCs w:val="24"/>
          <w:lang w:val="es-AR"/>
        </w:rPr>
      </w:pPr>
      <w:r w:rsidRPr="00B27609">
        <w:rPr>
          <w:rFonts w:eastAsia="Droid Sans Fallback"/>
          <w:kern w:val="1"/>
          <w:sz w:val="24"/>
          <w:szCs w:val="24"/>
          <w:lang w:val="es-AR"/>
        </w:rPr>
        <w:t xml:space="preserve">Brandon estaba festejando con amigos la llegada del año nuevo en la fiesta callejera a la que había ido. En medio de la noche se desató una pelea entre bandas que </w:t>
      </w:r>
      <w:r w:rsidRPr="00B27609">
        <w:rPr>
          <w:rFonts w:eastAsia="Droid Sans Fallback"/>
          <w:kern w:val="1"/>
          <w:sz w:val="24"/>
          <w:szCs w:val="24"/>
          <w:lang w:val="es-AR"/>
        </w:rPr>
        <w:lastRenderedPageBreak/>
        <w:t>terminó con disparos. Uno de ellos dio en el mentón de Brandon, que llegó sin vida al Hospital Roque Sáenz Peña. A los pocos días del hecho, un policía se acercó a Fiscalía para declarar y mencionó que un colega suyo había sido el autor de los disparos. Fue entonces que se detuvo a Emiliano Martín Gómez, un policía de 26 años de la Brigada Motorizada de la Unidad Regional II, que fue imputado por homicidio agravado por el uso de arma de fuego. Desde la querella que representa a la madre de la víctima buscan cambiar la calificación a homicidio calificado por su cargo de policía. Por su parte, el imputado se declara inocente asegura que el policía que lo delató miente y sería el autor del disparo mortal.</w:t>
      </w:r>
    </w:p>
    <w:p w:rsidR="00D22324" w:rsidRPr="00B27609" w:rsidRDefault="00D22324" w:rsidP="00D22324">
      <w:pPr>
        <w:tabs>
          <w:tab w:val="left" w:pos="720"/>
        </w:tabs>
        <w:suppressAutoHyphens/>
        <w:spacing w:line="276" w:lineRule="auto"/>
        <w:jc w:val="both"/>
        <w:rPr>
          <w:rFonts w:eastAsia="Droid Sans Fallback"/>
          <w:color w:val="008000"/>
          <w:kern w:val="1"/>
          <w:sz w:val="24"/>
          <w:szCs w:val="24"/>
          <w:lang w:val="es-AR"/>
        </w:rPr>
      </w:pPr>
    </w:p>
    <w:p w:rsidR="00D22324" w:rsidRPr="00B27609" w:rsidRDefault="00D22324" w:rsidP="00D22324">
      <w:pPr>
        <w:widowControl/>
        <w:tabs>
          <w:tab w:val="left" w:pos="720"/>
        </w:tabs>
        <w:suppressAutoHyphens/>
        <w:spacing w:line="276" w:lineRule="auto"/>
        <w:jc w:val="both"/>
        <w:rPr>
          <w:rFonts w:eastAsia="Droid Sans Fallback"/>
          <w:color w:val="00000A"/>
          <w:kern w:val="1"/>
          <w:sz w:val="24"/>
          <w:szCs w:val="24"/>
          <w:lang w:val="es-ES"/>
        </w:rPr>
      </w:pPr>
      <w:r w:rsidRPr="00B27609">
        <w:rPr>
          <w:color w:val="00000A"/>
          <w:kern w:val="1"/>
          <w:sz w:val="24"/>
          <w:szCs w:val="24"/>
          <w:lang w:val="es-ES"/>
        </w:rPr>
        <w:t xml:space="preserve"> </w:t>
      </w:r>
    </w:p>
    <w:p w:rsidR="00171F43" w:rsidRPr="00B27609" w:rsidRDefault="00171F43" w:rsidP="00D22324">
      <w:pPr>
        <w:rPr>
          <w:sz w:val="24"/>
          <w:szCs w:val="24"/>
          <w:lang w:val="es-AR"/>
        </w:rPr>
      </w:pPr>
    </w:p>
    <w:sectPr w:rsidR="00171F43" w:rsidRPr="00B27609" w:rsidSect="00B27609">
      <w:headerReference w:type="default" r:id="rId13"/>
      <w:footerReference w:type="default" r:id="rId14"/>
      <w:pgSz w:w="11910" w:h="16840" w:code="9"/>
      <w:pgMar w:top="2268" w:right="851" w:bottom="1418" w:left="1985" w:header="278"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52C" w:rsidRDefault="008E552C" w:rsidP="00171F43">
      <w:r>
        <w:separator/>
      </w:r>
    </w:p>
  </w:endnote>
  <w:endnote w:type="continuationSeparator" w:id="0">
    <w:p w:rsidR="008E552C" w:rsidRDefault="008E552C" w:rsidP="00171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Fallback">
    <w:altName w:val="MS Mincho"/>
    <w:charset w:val="80"/>
    <w:family w:val="auto"/>
    <w:pitch w:val="variable"/>
  </w:font>
  <w:font w:name="Cambria">
    <w:panose1 w:val="02040503050406030204"/>
    <w:charset w:val="00"/>
    <w:family w:val="roman"/>
    <w:pitch w:val="variable"/>
    <w:sig w:usb0="E00002FF" w:usb1="400004FF" w:usb2="00000000" w:usb3="00000000" w:csb0="0000019F" w:csb1="00000000"/>
  </w:font>
  <w:font w:name="font285">
    <w:altName w:val="MS Mincho"/>
    <w:charset w:val="80"/>
    <w:family w:val="auto"/>
    <w:pitch w:val="variable"/>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609" w:rsidRPr="00B27609" w:rsidRDefault="00F52482">
    <w:pPr>
      <w:pStyle w:val="Footer"/>
      <w:jc w:val="right"/>
      <w:rPr>
        <w:sz w:val="20"/>
        <w:szCs w:val="20"/>
      </w:rPr>
    </w:pPr>
    <w:r w:rsidRPr="00B27609">
      <w:rPr>
        <w:sz w:val="20"/>
        <w:szCs w:val="20"/>
      </w:rPr>
      <w:fldChar w:fldCharType="begin"/>
    </w:r>
    <w:r w:rsidR="00B27609" w:rsidRPr="00B27609">
      <w:rPr>
        <w:sz w:val="20"/>
        <w:szCs w:val="20"/>
      </w:rPr>
      <w:instrText xml:space="preserve"> PAGE   \* MERGEFORMAT </w:instrText>
    </w:r>
    <w:r w:rsidRPr="00B27609">
      <w:rPr>
        <w:sz w:val="20"/>
        <w:szCs w:val="20"/>
      </w:rPr>
      <w:fldChar w:fldCharType="separate"/>
    </w:r>
    <w:r w:rsidR="00BE1EF1">
      <w:rPr>
        <w:noProof/>
        <w:sz w:val="20"/>
        <w:szCs w:val="20"/>
      </w:rPr>
      <w:t>1</w:t>
    </w:r>
    <w:r w:rsidRPr="00B27609">
      <w:rPr>
        <w:sz w:val="20"/>
        <w:szCs w:val="20"/>
      </w:rPr>
      <w:fldChar w:fldCharType="end"/>
    </w:r>
  </w:p>
  <w:p w:rsidR="00B27609" w:rsidRDefault="00B276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52C" w:rsidRDefault="008E552C" w:rsidP="00171F43">
      <w:r>
        <w:separator/>
      </w:r>
    </w:p>
  </w:footnote>
  <w:footnote w:type="continuationSeparator" w:id="0">
    <w:p w:rsidR="008E552C" w:rsidRDefault="008E552C" w:rsidP="00171F43">
      <w:r>
        <w:continuationSeparator/>
      </w:r>
    </w:p>
  </w:footnote>
  <w:footnote w:id="1">
    <w:p w:rsidR="00D22324" w:rsidRPr="00B27609" w:rsidRDefault="00D22324" w:rsidP="00D22324">
      <w:pPr>
        <w:pStyle w:val="FootnoteText"/>
        <w:tabs>
          <w:tab w:val="left" w:pos="142"/>
        </w:tabs>
        <w:jc w:val="both"/>
        <w:rPr>
          <w:sz w:val="18"/>
          <w:szCs w:val="18"/>
          <w:lang w:val="es-AR"/>
        </w:rPr>
      </w:pPr>
      <w:r w:rsidRPr="00D22324">
        <w:rPr>
          <w:rStyle w:val="FootnoteReference"/>
          <w:sz w:val="18"/>
          <w:szCs w:val="18"/>
        </w:rPr>
        <w:footnoteRef/>
      </w:r>
      <w:r w:rsidRPr="00B27609">
        <w:rPr>
          <w:sz w:val="18"/>
          <w:szCs w:val="18"/>
          <w:lang w:val="es-AR"/>
        </w:rPr>
        <w:t xml:space="preserve"> </w:t>
      </w:r>
      <w:r w:rsidRPr="00D22324">
        <w:rPr>
          <w:sz w:val="18"/>
          <w:szCs w:val="18"/>
          <w:lang w:val="es-AR"/>
        </w:rPr>
        <w:t>Detenciones arbitrarias, desapariciones forzadas, hechos de tortura y tratos o penas crueles, inhumanos o degradantes y de uso de la fuerza letal ilegal por parte de agentes del estado provincial.</w:t>
      </w:r>
    </w:p>
  </w:footnote>
  <w:footnote w:id="2">
    <w:p w:rsidR="00D22324" w:rsidRPr="00B27609" w:rsidRDefault="00D22324" w:rsidP="00D22324">
      <w:pPr>
        <w:pStyle w:val="FootnoteText"/>
        <w:jc w:val="both"/>
        <w:rPr>
          <w:sz w:val="18"/>
          <w:szCs w:val="18"/>
          <w:lang w:val="es-AR"/>
        </w:rPr>
      </w:pPr>
      <w:r w:rsidRPr="00D22324">
        <w:rPr>
          <w:rStyle w:val="FootnoteReference"/>
          <w:sz w:val="18"/>
          <w:szCs w:val="18"/>
        </w:rPr>
        <w:footnoteRef/>
      </w:r>
      <w:r w:rsidRPr="00B27609">
        <w:rPr>
          <w:sz w:val="18"/>
          <w:szCs w:val="18"/>
          <w:lang w:val="es-AR"/>
        </w:rPr>
        <w:t xml:space="preserve"> </w:t>
      </w:r>
      <w:r w:rsidRPr="00D22324">
        <w:rPr>
          <w:sz w:val="18"/>
          <w:szCs w:val="18"/>
          <w:lang w:val="es-AR"/>
        </w:rPr>
        <w:t xml:space="preserve">Las inspecciones que realiza el MPD son periódicas y no anunciadas y se enmarcan en lo establecido por el Protocolo Facultativo de la Convención Contra la Tortura de la ONU. </w:t>
      </w:r>
      <w:r w:rsidRPr="00B27609">
        <w:rPr>
          <w:sz w:val="18"/>
          <w:szCs w:val="18"/>
          <w:lang w:val="es-AR"/>
        </w:rPr>
        <w:t>Las entrevistas que se realizan con las personas privadas de libertad son voluntarias,  individuales y confidenciales. Asimismo, si bien en ocasiones las entrevistas con las personas privadas de libertad pueden complementarse con entrevistas grupales, siempre se realizan de manera individual para lograr confidencialidad también respecto de las demás personas privadas de libertad. Por su parte el contenido de la entrevista en sí se ajusta a estándares internacionales para lograr la adecuada detección de tortura y malos tratos. En los casos en los que durante la entrevista surgen situaciones de victimización o que pueden requerir intervenciones el MPD explica esto a la persona entrevistada y le presentan opciones para denunciar o de acceso a la justicia o medidas urgentes pero ninguna de estas se realizan en su nombre sin el consentimiento informado de la persona.</w:t>
      </w:r>
    </w:p>
  </w:footnote>
  <w:footnote w:id="3">
    <w:p w:rsidR="00D22324" w:rsidRPr="00B27609" w:rsidRDefault="00D22324" w:rsidP="00D22324">
      <w:pPr>
        <w:pStyle w:val="FootnoteText"/>
        <w:jc w:val="both"/>
        <w:rPr>
          <w:sz w:val="18"/>
          <w:szCs w:val="18"/>
          <w:lang w:val="es-AR"/>
        </w:rPr>
      </w:pPr>
      <w:r w:rsidRPr="00D22324">
        <w:rPr>
          <w:rStyle w:val="FootnoteReference"/>
          <w:sz w:val="18"/>
          <w:szCs w:val="18"/>
        </w:rPr>
        <w:footnoteRef/>
      </w:r>
      <w:r w:rsidRPr="00B27609">
        <w:rPr>
          <w:sz w:val="18"/>
          <w:szCs w:val="18"/>
          <w:lang w:val="es-AR"/>
        </w:rPr>
        <w:t xml:space="preserve"> Link al Registro: http://www.defensasantafe.gob.ar/institucional/secretaria-prevencion-violencia-institucional/registro-casos-tortura</w:t>
      </w:r>
    </w:p>
  </w:footnote>
  <w:footnote w:id="4">
    <w:p w:rsidR="00D22324" w:rsidRPr="00B27609" w:rsidRDefault="00D22324" w:rsidP="00D22324">
      <w:pPr>
        <w:pStyle w:val="FootnoteText"/>
        <w:suppressLineNumbers/>
        <w:jc w:val="both"/>
        <w:rPr>
          <w:sz w:val="18"/>
          <w:szCs w:val="18"/>
          <w:lang w:val="es-AR"/>
        </w:rPr>
      </w:pPr>
      <w:r w:rsidRPr="00D22324">
        <w:rPr>
          <w:rStyle w:val="FootnoteReference"/>
          <w:sz w:val="18"/>
          <w:szCs w:val="18"/>
        </w:rPr>
        <w:footnoteRef/>
      </w:r>
      <w:r w:rsidRPr="00B27609">
        <w:rPr>
          <w:sz w:val="18"/>
          <w:szCs w:val="18"/>
          <w:lang w:val="es-AR"/>
        </w:rPr>
        <w:t xml:space="preserve"> Y en particular estos hallazgos se encuentran en el Informe final sobre hostigamiento policial y de fuerzas de seguridad –</w:t>
      </w:r>
      <w:r w:rsidR="00C05052">
        <w:rPr>
          <w:sz w:val="18"/>
          <w:szCs w:val="18"/>
          <w:lang w:val="es-AR"/>
        </w:rPr>
        <w:t xml:space="preserve"> </w:t>
      </w:r>
      <w:r w:rsidRPr="00B27609">
        <w:rPr>
          <w:sz w:val="18"/>
          <w:szCs w:val="18"/>
          <w:lang w:val="es-AR"/>
        </w:rPr>
        <w:t>especialmente Gendarmería</w:t>
      </w:r>
      <w:r w:rsidR="00C05052">
        <w:rPr>
          <w:sz w:val="18"/>
          <w:szCs w:val="18"/>
          <w:lang w:val="es-AR"/>
        </w:rPr>
        <w:t xml:space="preserve"> –</w:t>
      </w:r>
      <w:r w:rsidRPr="00B27609">
        <w:rPr>
          <w:sz w:val="18"/>
          <w:szCs w:val="18"/>
          <w:lang w:val="es-AR"/>
        </w:rPr>
        <w:t xml:space="preserve"> a jóvenes de sectores populares en la ciudad de Rosario, durante el período 2008-2015 elaborado por la Cátedra de Criminología en el marco del Proyecto “Violencia Institucional: hacia la implementac</w:t>
      </w:r>
      <w:r w:rsidRPr="00C349A2">
        <w:rPr>
          <w:sz w:val="18"/>
          <w:szCs w:val="18"/>
          <w:lang w:val="es-AR"/>
        </w:rPr>
        <w:t>ión de políticas de prevención en la Argentina” desarrollado por el CELS y financiado y evaluado por la Unión Europea (se adjunta).</w:t>
      </w:r>
      <w:r w:rsidRPr="00B27609">
        <w:rPr>
          <w:sz w:val="18"/>
          <w:szCs w:val="18"/>
          <w:lang w:val="es-AR"/>
        </w:rPr>
        <w:t xml:space="preserve"> Además, se encuentran en el </w:t>
      </w:r>
      <w:hyperlink r:id="rId1" w:history="1">
        <w:r w:rsidRPr="00B27609">
          <w:rPr>
            <w:rStyle w:val="Hyperlink"/>
            <w:sz w:val="18"/>
            <w:szCs w:val="18"/>
            <w:lang w:val="es-AR"/>
          </w:rPr>
          <w:t>Informe</w:t>
        </w:r>
      </w:hyperlink>
      <w:r w:rsidRPr="00B27609">
        <w:rPr>
          <w:sz w:val="18"/>
          <w:szCs w:val="18"/>
          <w:lang w:val="es-AR"/>
        </w:rPr>
        <w:t xml:space="preserve"> que elaboró la Cátedra en respuesta a una consulta realizada por el MPD en el marco del Habeas Corpus Correctivo Colectivo presentado por este Ministerio en favor de jóvenes privados de libertad en el Instituto de Rehabilitación de Adolescentes de Rosario, dependiente de la DJPJ (CUIJ N° 21-07008200-6 y acumulado 21-07008247-8). Dicho informe fue presentado en dicho Habeas Corpus en fecha 26 de septiembre de 2016. Link de este último informe: http://www.defensasantafe.gob.ar/publico/violencia/documentos/001_informe_hostigamiento_policial.pdf</w:t>
      </w:r>
    </w:p>
    <w:p w:rsidR="00D22324" w:rsidRPr="00B27609" w:rsidRDefault="00D22324" w:rsidP="00D22324">
      <w:pPr>
        <w:pStyle w:val="FootnoteText"/>
        <w:jc w:val="both"/>
        <w:rPr>
          <w:sz w:val="18"/>
          <w:szCs w:val="18"/>
          <w:lang w:val="es-AR"/>
        </w:rPr>
      </w:pPr>
    </w:p>
  </w:footnote>
  <w:footnote w:id="5">
    <w:p w:rsidR="00D22324" w:rsidRPr="00D22324" w:rsidRDefault="00D22324" w:rsidP="00D22324">
      <w:pPr>
        <w:pStyle w:val="FootnoteText"/>
        <w:ind w:left="340" w:hanging="340"/>
        <w:jc w:val="both"/>
        <w:rPr>
          <w:sz w:val="18"/>
          <w:szCs w:val="18"/>
          <w:lang w:val="es-ES_tradnl"/>
        </w:rPr>
      </w:pPr>
      <w:r w:rsidRPr="00D22324">
        <w:rPr>
          <w:rStyle w:val="FootnoteReference"/>
          <w:sz w:val="18"/>
          <w:szCs w:val="18"/>
        </w:rPr>
        <w:footnoteRef/>
      </w:r>
      <w:r w:rsidRPr="00B27609">
        <w:rPr>
          <w:sz w:val="18"/>
          <w:szCs w:val="18"/>
          <w:lang w:val="es-AR"/>
        </w:rPr>
        <w:t xml:space="preserve"> </w:t>
      </w:r>
      <w:r w:rsidRPr="00D22324">
        <w:rPr>
          <w:sz w:val="18"/>
          <w:szCs w:val="18"/>
          <w:lang w:val="es-ES_tradnl"/>
        </w:rPr>
        <w:t xml:space="preserve">Nota periodística: </w:t>
      </w:r>
      <w:hyperlink r:id="rId2" w:history="1">
        <w:r w:rsidRPr="00D22324">
          <w:rPr>
            <w:rStyle w:val="Hyperlink"/>
            <w:sz w:val="18"/>
            <w:szCs w:val="18"/>
            <w:lang w:val="es-ES_tradnl"/>
          </w:rPr>
          <w:t>https://www.pagina12.com.ar/25509-oscuro-como-el-humo-de-un-colchon</w:t>
        </w:r>
      </w:hyperlink>
      <w:r w:rsidRPr="00D22324">
        <w:rPr>
          <w:sz w:val="18"/>
          <w:szCs w:val="18"/>
          <w:lang w:val="es-ES_tradnl"/>
        </w:rPr>
        <w:t xml:space="preserve"> </w:t>
      </w:r>
    </w:p>
  </w:footnote>
  <w:footnote w:id="6">
    <w:p w:rsidR="00D22324" w:rsidRPr="00D22324" w:rsidRDefault="00D22324" w:rsidP="00D22324">
      <w:pPr>
        <w:pStyle w:val="FootnoteText"/>
        <w:jc w:val="both"/>
        <w:rPr>
          <w:color w:val="000000"/>
          <w:sz w:val="18"/>
          <w:szCs w:val="18"/>
          <w:lang w:val="es-AR"/>
        </w:rPr>
      </w:pPr>
      <w:r w:rsidRPr="00D22324">
        <w:rPr>
          <w:rStyle w:val="FootnoteReference"/>
          <w:sz w:val="18"/>
          <w:szCs w:val="18"/>
        </w:rPr>
        <w:footnoteRef/>
      </w:r>
      <w:r w:rsidRPr="00B27609">
        <w:rPr>
          <w:sz w:val="18"/>
          <w:szCs w:val="18"/>
          <w:lang w:val="es-AR"/>
        </w:rPr>
        <w:t xml:space="preserve"> </w:t>
      </w:r>
      <w:r w:rsidRPr="00D22324">
        <w:rPr>
          <w:color w:val="000000"/>
          <w:sz w:val="18"/>
          <w:szCs w:val="18"/>
          <w:lang w:val="es-AR"/>
        </w:rPr>
        <w:t>Ello</w:t>
      </w:r>
      <w:r w:rsidRPr="00B27609">
        <w:rPr>
          <w:sz w:val="18"/>
          <w:szCs w:val="18"/>
          <w:lang w:val="es-AR"/>
        </w:rPr>
        <w:t xml:space="preserve"> </w:t>
      </w:r>
      <w:r w:rsidRPr="00D22324">
        <w:rPr>
          <w:color w:val="000000"/>
          <w:sz w:val="18"/>
          <w:szCs w:val="18"/>
          <w:lang w:val="es-AR"/>
        </w:rPr>
        <w:t>en cumplimiento de las funciones de investigación y extensión y en tanto</w:t>
      </w:r>
      <w:r w:rsidRPr="00B27609">
        <w:rPr>
          <w:sz w:val="18"/>
          <w:szCs w:val="18"/>
          <w:lang w:val="es-AR"/>
        </w:rPr>
        <w:t xml:space="preserve"> </w:t>
      </w:r>
      <w:r w:rsidRPr="00D22324">
        <w:rPr>
          <w:color w:val="000000"/>
          <w:sz w:val="18"/>
          <w:szCs w:val="18"/>
          <w:lang w:val="es-AR"/>
        </w:rPr>
        <w:t>la Cátedra de Criminología interviene activamente en el proceso nacional y provincial de creación y puesta en funcionamiento de los mecanismos de prevención de la tortura.</w:t>
      </w:r>
    </w:p>
    <w:p w:rsidR="00D22324" w:rsidRPr="00D22324" w:rsidRDefault="00D22324" w:rsidP="00D22324">
      <w:pPr>
        <w:pStyle w:val="FootnoteText"/>
        <w:jc w:val="both"/>
        <w:rPr>
          <w:sz w:val="18"/>
          <w:szCs w:val="18"/>
          <w:lang w:val="es-AR"/>
        </w:rPr>
      </w:pPr>
    </w:p>
  </w:footnote>
  <w:footnote w:id="7">
    <w:p w:rsidR="00D22324" w:rsidRPr="00B27609" w:rsidRDefault="00D22324" w:rsidP="00D22324">
      <w:pPr>
        <w:pStyle w:val="FootnoteText"/>
        <w:jc w:val="both"/>
        <w:rPr>
          <w:sz w:val="18"/>
          <w:szCs w:val="18"/>
          <w:lang w:val="es-AR"/>
        </w:rPr>
      </w:pPr>
      <w:r w:rsidRPr="00D22324">
        <w:rPr>
          <w:rStyle w:val="FootnoteReference"/>
          <w:sz w:val="18"/>
          <w:szCs w:val="18"/>
        </w:rPr>
        <w:footnoteRef/>
      </w:r>
      <w:r w:rsidRPr="00B27609">
        <w:rPr>
          <w:sz w:val="18"/>
          <w:szCs w:val="18"/>
          <w:lang w:val="es-AR"/>
        </w:rPr>
        <w:t xml:space="preserve"> Link del anteproyecto: </w:t>
      </w:r>
    </w:p>
    <w:p w:rsidR="00D22324" w:rsidRPr="00B27609" w:rsidRDefault="00D22324" w:rsidP="00D22324">
      <w:pPr>
        <w:pStyle w:val="FootnoteText"/>
        <w:jc w:val="both"/>
        <w:rPr>
          <w:sz w:val="18"/>
          <w:szCs w:val="18"/>
          <w:lang w:val="es-AR"/>
        </w:rPr>
      </w:pPr>
      <w:r w:rsidRPr="00B27609">
        <w:rPr>
          <w:sz w:val="18"/>
          <w:szCs w:val="18"/>
          <w:lang w:val="es-AR"/>
        </w:rPr>
        <w:t>http://www.defensasantafe.gob.ar/publico/violencia/documentos/003_anteproyecto_creacion_MPL_Sta_Fe.pdf</w:t>
      </w:r>
    </w:p>
  </w:footnote>
  <w:footnote w:id="8">
    <w:p w:rsidR="00D22324" w:rsidRPr="00B27609" w:rsidRDefault="00D22324" w:rsidP="00D22324">
      <w:pPr>
        <w:pStyle w:val="FootnoteText"/>
        <w:jc w:val="both"/>
        <w:rPr>
          <w:sz w:val="18"/>
          <w:szCs w:val="18"/>
          <w:lang w:val="es-AR"/>
        </w:rPr>
      </w:pPr>
      <w:r w:rsidRPr="00D22324">
        <w:rPr>
          <w:rStyle w:val="FootnoteReference"/>
          <w:sz w:val="18"/>
          <w:szCs w:val="18"/>
        </w:rPr>
        <w:footnoteRef/>
      </w:r>
      <w:r w:rsidRPr="00B27609">
        <w:rPr>
          <w:sz w:val="18"/>
          <w:szCs w:val="18"/>
          <w:lang w:val="es-AR"/>
        </w:rPr>
        <w:t xml:space="preserve"> Tal como se desarrolla en el Informe final sobre uso de violencia letal por parte de efectivos policiales en la ciudad de Rosario, durante el período 2008-2015 elaborado por la Cátedra de Criminología en el marco del Proyecto “Violencia Institucional: hacia la implementación de políticas de prevención en la Argentina” CELS/Unión </w:t>
      </w:r>
      <w:r w:rsidRPr="00C349A2">
        <w:rPr>
          <w:sz w:val="18"/>
          <w:szCs w:val="18"/>
          <w:lang w:val="es-AR"/>
        </w:rPr>
        <w:t>Europea (se adjunta).</w:t>
      </w:r>
      <w:r w:rsidRPr="00B27609">
        <w:rPr>
          <w:sz w:val="18"/>
          <w:szCs w:val="18"/>
          <w:lang w:val="es-A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F43" w:rsidRDefault="00465AC6">
    <w:pPr>
      <w:pStyle w:val="BodyText"/>
      <w:spacing w:line="14" w:lineRule="auto"/>
      <w:rPr>
        <w:sz w:val="20"/>
      </w:rPr>
    </w:pPr>
    <w:r>
      <w:rPr>
        <w:noProof/>
        <w:lang w:val="en-GB" w:eastAsia="en-GB"/>
      </w:rPr>
      <w:drawing>
        <wp:anchor distT="0" distB="0" distL="0" distR="0" simplePos="0" relativeHeight="251656704" behindDoc="1" locked="0" layoutInCell="1" allowOverlap="1">
          <wp:simplePos x="0" y="0"/>
          <wp:positionH relativeFrom="page">
            <wp:posOffset>665480</wp:posOffset>
          </wp:positionH>
          <wp:positionV relativeFrom="page">
            <wp:posOffset>176530</wp:posOffset>
          </wp:positionV>
          <wp:extent cx="1256030" cy="1169035"/>
          <wp:effectExtent l="19050" t="0" r="127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srcRect/>
                  <a:stretch>
                    <a:fillRect/>
                  </a:stretch>
                </pic:blipFill>
                <pic:spPr bwMode="auto">
                  <a:xfrm>
                    <a:off x="0" y="0"/>
                    <a:ext cx="1256030" cy="1169035"/>
                  </a:xfrm>
                  <a:prstGeom prst="rect">
                    <a:avLst/>
                  </a:prstGeom>
                  <a:noFill/>
                  <a:ln w="9525">
                    <a:noFill/>
                    <a:miter lim="800000"/>
                    <a:headEnd/>
                    <a:tailEnd/>
                  </a:ln>
                </pic:spPr>
              </pic:pic>
            </a:graphicData>
          </a:graphic>
        </wp:anchor>
      </w:drawing>
    </w:r>
    <w:r w:rsidR="00BE1EF1">
      <w:rPr>
        <w:noProof/>
        <w:lang w:val="en-GB" w:eastAsia="en-GB"/>
      </w:rPr>
      <mc:AlternateContent>
        <mc:Choice Requires="wps">
          <w:drawing>
            <wp:anchor distT="0" distB="0" distL="114300" distR="114300" simplePos="0" relativeHeight="251658752" behindDoc="1" locked="0" layoutInCell="1" allowOverlap="1">
              <wp:simplePos x="0" y="0"/>
              <wp:positionH relativeFrom="page">
                <wp:posOffset>2154555</wp:posOffset>
              </wp:positionH>
              <wp:positionV relativeFrom="page">
                <wp:posOffset>996950</wp:posOffset>
              </wp:positionV>
              <wp:extent cx="2667635" cy="177800"/>
              <wp:effectExtent l="1905"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F43" w:rsidRPr="00B27609" w:rsidRDefault="00E25CFF">
                          <w:pPr>
                            <w:spacing w:line="263" w:lineRule="exact"/>
                            <w:ind w:left="20" w:right="-4"/>
                            <w:rPr>
                              <w:rFonts w:ascii="Corbel" w:hAnsi="Corbel"/>
                              <w:b/>
                              <w:sz w:val="24"/>
                              <w:lang w:val="es-AR"/>
                            </w:rPr>
                          </w:pPr>
                          <w:r w:rsidRPr="00B27609">
                            <w:rPr>
                              <w:rFonts w:ascii="Corbel" w:hAnsi="Corbel"/>
                              <w:b/>
                              <w:color w:val="1D1B11"/>
                              <w:sz w:val="24"/>
                              <w:lang w:val="es-AR"/>
                            </w:rPr>
                            <w:t>Cátedra de Criminología y Control Social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69.65pt;margin-top:78.5pt;width:210.05pt;height:1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" filled="f" stroked="f">
              <v:textbox inset="0,0,0,0">
                <w:txbxContent>
                  <w:p w:rsidR="00171F43" w:rsidRPr="00B27609" w:rsidRDefault="00E25CFF">
                    <w:pPr>
                      <w:spacing w:line="263" w:lineRule="exact"/>
                      <w:ind w:left="20" w:right="-4"/>
                      <w:rPr>
                        <w:rFonts w:ascii="Corbel" w:hAnsi="Corbel"/>
                        <w:b/>
                        <w:sz w:val="24"/>
                        <w:lang w:val="es-AR"/>
                      </w:rPr>
                    </w:pPr>
                    <w:r w:rsidRPr="00B27609">
                      <w:rPr>
                        <w:rFonts w:ascii="Corbel" w:hAnsi="Corbel"/>
                        <w:b/>
                        <w:color w:val="1D1B11"/>
                        <w:sz w:val="24"/>
                        <w:lang w:val="es-AR"/>
                      </w:rPr>
                      <w:t>Cátedra de Criminología y Control Social</w:t>
                    </w:r>
                  </w:p>
                </w:txbxContent>
              </v:textbox>
              <w10:wrap anchorx="page" anchory="page"/>
            </v:shape>
          </w:pict>
        </mc:Fallback>
      </mc:AlternateContent>
    </w:r>
    <w:r w:rsidR="00BE1EF1">
      <w:rPr>
        <w:noProof/>
        <w:lang w:val="en-GB" w:eastAsia="en-GB"/>
      </w:rPr>
      <mc:AlternateContent>
        <mc:Choice Requires="wpg">
          <w:drawing>
            <wp:anchor distT="0" distB="0" distL="114300" distR="114300" simplePos="0" relativeHeight="251657728" behindDoc="1" locked="0" layoutInCell="1" allowOverlap="1">
              <wp:simplePos x="0" y="0"/>
              <wp:positionH relativeFrom="page">
                <wp:posOffset>1965325</wp:posOffset>
              </wp:positionH>
              <wp:positionV relativeFrom="page">
                <wp:posOffset>175260</wp:posOffset>
              </wp:positionV>
              <wp:extent cx="51435" cy="999490"/>
              <wp:effectExtent l="12700" t="13335" r="12065" b="1587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 cy="999490"/>
                        <a:chOff x="3363" y="356"/>
                        <a:chExt cx="337" cy="1496"/>
                      </a:xfrm>
                    </wpg:grpSpPr>
                    <wps:wsp>
                      <wps:cNvPr id="2" name="Freeform 4"/>
                      <wps:cNvSpPr>
                        <a:spLocks/>
                      </wps:cNvSpPr>
                      <wps:spPr bwMode="auto">
                        <a:xfrm>
                          <a:off x="3366" y="359"/>
                          <a:ext cx="332" cy="1491"/>
                        </a:xfrm>
                        <a:custGeom>
                          <a:avLst/>
                          <a:gdLst>
                            <a:gd name="T0" fmla="+- 0 3493 3366"/>
                            <a:gd name="T1" fmla="*/ T0 w 332"/>
                            <a:gd name="T2" fmla="+- 0 359 359"/>
                            <a:gd name="T3" fmla="*/ 359 h 1491"/>
                            <a:gd name="T4" fmla="+- 0 3366 3366"/>
                            <a:gd name="T5" fmla="*/ T4 w 332"/>
                            <a:gd name="T6" fmla="+- 0 1824 359"/>
                            <a:gd name="T7" fmla="*/ 1824 h 1491"/>
                            <a:gd name="T8" fmla="+- 0 3569 3366"/>
                            <a:gd name="T9" fmla="*/ T8 w 332"/>
                            <a:gd name="T10" fmla="+- 0 1849 359"/>
                            <a:gd name="T11" fmla="*/ 1849 h 1491"/>
                            <a:gd name="T12" fmla="+- 0 3697 3366"/>
                            <a:gd name="T13" fmla="*/ T12 w 332"/>
                            <a:gd name="T14" fmla="+- 0 384 359"/>
                            <a:gd name="T15" fmla="*/ 384 h 1491"/>
                            <a:gd name="T16" fmla="+- 0 3493 3366"/>
                            <a:gd name="T17" fmla="*/ T16 w 332"/>
                            <a:gd name="T18" fmla="+- 0 359 359"/>
                            <a:gd name="T19" fmla="*/ 359 h 1491"/>
                          </a:gdLst>
                          <a:ahLst/>
                          <a:cxnLst>
                            <a:cxn ang="0">
                              <a:pos x="T1" y="T3"/>
                            </a:cxn>
                            <a:cxn ang="0">
                              <a:pos x="T5" y="T7"/>
                            </a:cxn>
                            <a:cxn ang="0">
                              <a:pos x="T9" y="T11"/>
                            </a:cxn>
                            <a:cxn ang="0">
                              <a:pos x="T13" y="T15"/>
                            </a:cxn>
                            <a:cxn ang="0">
                              <a:pos x="T17" y="T19"/>
                            </a:cxn>
                          </a:cxnLst>
                          <a:rect l="0" t="0" r="r" b="b"/>
                          <a:pathLst>
                            <a:path w="332" h="1491">
                              <a:moveTo>
                                <a:pt x="127" y="0"/>
                              </a:moveTo>
                              <a:lnTo>
                                <a:pt x="0" y="1465"/>
                              </a:lnTo>
                              <a:lnTo>
                                <a:pt x="203" y="1490"/>
                              </a:lnTo>
                              <a:lnTo>
                                <a:pt x="331" y="25"/>
                              </a:lnTo>
                              <a:lnTo>
                                <a:pt x="127" y="0"/>
                              </a:lnTo>
                              <a:close/>
                            </a:path>
                          </a:pathLst>
                        </a:cu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3"/>
                      <wps:cNvSpPr>
                        <a:spLocks/>
                      </wps:cNvSpPr>
                      <wps:spPr bwMode="auto">
                        <a:xfrm>
                          <a:off x="3366" y="359"/>
                          <a:ext cx="332" cy="1491"/>
                        </a:xfrm>
                        <a:custGeom>
                          <a:avLst/>
                          <a:gdLst>
                            <a:gd name="T0" fmla="+- 0 3697 3366"/>
                            <a:gd name="T1" fmla="*/ T0 w 332"/>
                            <a:gd name="T2" fmla="+- 0 384 359"/>
                            <a:gd name="T3" fmla="*/ 384 h 1491"/>
                            <a:gd name="T4" fmla="+- 0 3493 3366"/>
                            <a:gd name="T5" fmla="*/ T4 w 332"/>
                            <a:gd name="T6" fmla="+- 0 359 359"/>
                            <a:gd name="T7" fmla="*/ 359 h 1491"/>
                            <a:gd name="T8" fmla="+- 0 3366 3366"/>
                            <a:gd name="T9" fmla="*/ T8 w 332"/>
                            <a:gd name="T10" fmla="+- 0 1824 359"/>
                            <a:gd name="T11" fmla="*/ 1824 h 1491"/>
                            <a:gd name="T12" fmla="+- 0 3569 3366"/>
                            <a:gd name="T13" fmla="*/ T12 w 332"/>
                            <a:gd name="T14" fmla="+- 0 1849 359"/>
                            <a:gd name="T15" fmla="*/ 1849 h 1491"/>
                            <a:gd name="T16" fmla="+- 0 3697 3366"/>
                            <a:gd name="T17" fmla="*/ T16 w 332"/>
                            <a:gd name="T18" fmla="+- 0 384 359"/>
                            <a:gd name="T19" fmla="*/ 384 h 1491"/>
                          </a:gdLst>
                          <a:ahLst/>
                          <a:cxnLst>
                            <a:cxn ang="0">
                              <a:pos x="T1" y="T3"/>
                            </a:cxn>
                            <a:cxn ang="0">
                              <a:pos x="T5" y="T7"/>
                            </a:cxn>
                            <a:cxn ang="0">
                              <a:pos x="T9" y="T11"/>
                            </a:cxn>
                            <a:cxn ang="0">
                              <a:pos x="T13" y="T15"/>
                            </a:cxn>
                            <a:cxn ang="0">
                              <a:pos x="T17" y="T19"/>
                            </a:cxn>
                          </a:cxnLst>
                          <a:rect l="0" t="0" r="r" b="b"/>
                          <a:pathLst>
                            <a:path w="332" h="1491">
                              <a:moveTo>
                                <a:pt x="331" y="25"/>
                              </a:moveTo>
                              <a:lnTo>
                                <a:pt x="127" y="0"/>
                              </a:lnTo>
                              <a:lnTo>
                                <a:pt x="0" y="1465"/>
                              </a:lnTo>
                              <a:lnTo>
                                <a:pt x="203" y="1490"/>
                              </a:lnTo>
                              <a:lnTo>
                                <a:pt x="331" y="25"/>
                              </a:lnTo>
                              <a:close/>
                            </a:path>
                          </a:pathLst>
                        </a:custGeom>
                        <a:noFill/>
                        <a:ln w="3240">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54.75pt;margin-top:13.8pt;width:4.05pt;height:78.7pt;z-index:-251658752;mso-position-horizontal-relative:page;mso-position-vertical-relative:page" coordorigin="3363,356" coordsize="337,1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">
              <v:shape id="Freeform 4" o:spid="_x0000_s1027" style="position:absolute;left:3366;top:359;width:332;height:1491;visibility:visible;mso-wrap-style:square;v-text-anchor:top" coordsize="332,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t/aMYA&#10;AADaAAAADwAAAGRycy9kb3ducmV2LnhtbESPT2vCQBTE7wW/w/IEL6Vu/FckuooKBQ9aNC2Kt0f2&#10;mQSzb2N2q7Gfvlso9DjMzG+Y6bwxpbhR7QrLCnrdCARxanXBmYLPj7eXMQjnkTWWlknBgxzMZ62n&#10;Kcba3nlPt8RnIkDYxagg976KpXRpTgZd11bEwTvb2qAPss6krvEe4KaU/Sh6lQYLDgs5VrTKKb0k&#10;X0bB4Hu4PL1vBnbYOyTX3XFEdjt6VqrTbhYTEJ4a/x/+a6+1gj78Xgk3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2t/aMYAAADaAAAADwAAAAAAAAAAAAAAAACYAgAAZHJz&#10;L2Rvd25yZXYueG1sUEsFBgAAAAAEAAQA9QAAAIsDAAAAAA==&#10;" path="m127,l,1465r203,25l331,25,127,xe" fillcolor="#0d0d0d" stroked="f">
                <v:path arrowok="t" o:connecttype="custom" o:connectlocs="127,359;0,1824;203,1849;331,384;127,359" o:connectangles="0,0,0,0,0"/>
              </v:shape>
              <v:shape id="Freeform 3" o:spid="_x0000_s1028" style="position:absolute;left:3366;top:359;width:332;height:1491;visibility:visible;mso-wrap-style:square;v-text-anchor:top" coordsize="332,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ChPcQA&#10;AADaAAAADwAAAGRycy9kb3ducmV2LnhtbESPQWvCQBSE70L/w/KE3nSjBdGYjZSCbaUXTYvg7Zl9&#10;ZkOzb0N2a+K/7xYKHoeZ+YbJNoNtxJU6XztWMJsmIIhLp2uuFHx9bidLED4ga2wck4IbedjkD6MM&#10;U+16PtC1CJWIEPYpKjAhtKmUvjRk0U9dSxy9i+sshii7SuoO+wi3jZwnyUJarDkuGGzpxVD5XfxY&#10;Bee3JZnb7rAik3xUr6fj/tiXe6Uex8PzGkSgIdzD/+13reAJ/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goT3EAAAA2gAAAA8AAAAAAAAAAAAAAAAAmAIAAGRycy9k&#10;b3ducmV2LnhtbFBLBQYAAAAABAAEAPUAAACJAwAAAAA=&#10;" path="m331,25l127,,,1465r203,25l331,25xe" filled="f" strokecolor="#333" strokeweight=".09mm">
                <v:path arrowok="t" o:connecttype="custom" o:connectlocs="331,384;127,359;0,1824;203,1849;331,384"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DC4"/>
    <w:multiLevelType w:val="hybridMultilevel"/>
    <w:tmpl w:val="9182987E"/>
    <w:lvl w:ilvl="0" w:tplc="9662B95C">
      <w:start w:val="1"/>
      <w:numFmt w:val="decimal"/>
      <w:lvlText w:val="%1-"/>
      <w:lvlJc w:val="left"/>
      <w:pPr>
        <w:ind w:left="1342" w:hanging="348"/>
      </w:pPr>
      <w:rPr>
        <w:rFonts w:ascii="Arial" w:eastAsia="Arial" w:hAnsi="Arial" w:cs="Arial" w:hint="default"/>
        <w:spacing w:val="-1"/>
        <w:w w:val="99"/>
        <w:sz w:val="24"/>
        <w:szCs w:val="24"/>
      </w:rPr>
    </w:lvl>
    <w:lvl w:ilvl="1" w:tplc="740ED2C4">
      <w:start w:val="1"/>
      <w:numFmt w:val="upperLetter"/>
      <w:lvlText w:val="%2-"/>
      <w:lvlJc w:val="left"/>
      <w:pPr>
        <w:ind w:left="1702" w:hanging="360"/>
      </w:pPr>
      <w:rPr>
        <w:rFonts w:ascii="Arial" w:eastAsia="Arial" w:hAnsi="Arial" w:cs="Arial" w:hint="default"/>
        <w:spacing w:val="-15"/>
        <w:w w:val="99"/>
        <w:sz w:val="24"/>
        <w:szCs w:val="24"/>
      </w:rPr>
    </w:lvl>
    <w:lvl w:ilvl="2" w:tplc="5F54785E">
      <w:numFmt w:val="bullet"/>
      <w:lvlText w:val="•"/>
      <w:lvlJc w:val="left"/>
      <w:pPr>
        <w:ind w:left="2662" w:hanging="360"/>
      </w:pPr>
      <w:rPr>
        <w:rFonts w:hint="default"/>
      </w:rPr>
    </w:lvl>
    <w:lvl w:ilvl="3" w:tplc="0F4884C4">
      <w:numFmt w:val="bullet"/>
      <w:lvlText w:val="•"/>
      <w:lvlJc w:val="left"/>
      <w:pPr>
        <w:ind w:left="3625" w:hanging="360"/>
      </w:pPr>
      <w:rPr>
        <w:rFonts w:hint="default"/>
      </w:rPr>
    </w:lvl>
    <w:lvl w:ilvl="4" w:tplc="D12AC7CA">
      <w:numFmt w:val="bullet"/>
      <w:lvlText w:val="•"/>
      <w:lvlJc w:val="left"/>
      <w:pPr>
        <w:ind w:left="4588" w:hanging="360"/>
      </w:pPr>
      <w:rPr>
        <w:rFonts w:hint="default"/>
      </w:rPr>
    </w:lvl>
    <w:lvl w:ilvl="5" w:tplc="1E6801CA">
      <w:numFmt w:val="bullet"/>
      <w:lvlText w:val="•"/>
      <w:lvlJc w:val="left"/>
      <w:pPr>
        <w:ind w:left="5551" w:hanging="360"/>
      </w:pPr>
      <w:rPr>
        <w:rFonts w:hint="default"/>
      </w:rPr>
    </w:lvl>
    <w:lvl w:ilvl="6" w:tplc="FC120ACA">
      <w:numFmt w:val="bullet"/>
      <w:lvlText w:val="•"/>
      <w:lvlJc w:val="left"/>
      <w:pPr>
        <w:ind w:left="6514" w:hanging="360"/>
      </w:pPr>
      <w:rPr>
        <w:rFonts w:hint="default"/>
      </w:rPr>
    </w:lvl>
    <w:lvl w:ilvl="7" w:tplc="235AB646">
      <w:numFmt w:val="bullet"/>
      <w:lvlText w:val="•"/>
      <w:lvlJc w:val="left"/>
      <w:pPr>
        <w:ind w:left="7477" w:hanging="360"/>
      </w:pPr>
      <w:rPr>
        <w:rFonts w:hint="default"/>
      </w:rPr>
    </w:lvl>
    <w:lvl w:ilvl="8" w:tplc="181C2A66">
      <w:numFmt w:val="bullet"/>
      <w:lvlText w:val="•"/>
      <w:lvlJc w:val="left"/>
      <w:pPr>
        <w:ind w:left="8440" w:hanging="360"/>
      </w:pPr>
      <w:rPr>
        <w:rFonts w:hint="default"/>
      </w:rPr>
    </w:lvl>
  </w:abstractNum>
  <w:abstractNum w:abstractNumId="1">
    <w:nsid w:val="1F9266E6"/>
    <w:multiLevelType w:val="hybridMultilevel"/>
    <w:tmpl w:val="99E685BE"/>
    <w:lvl w:ilvl="0" w:tplc="2E86530A">
      <w:numFmt w:val="bullet"/>
      <w:lvlText w:val=""/>
      <w:lvlJc w:val="left"/>
      <w:pPr>
        <w:ind w:left="1342" w:hanging="360"/>
      </w:pPr>
      <w:rPr>
        <w:rFonts w:ascii="Symbol" w:eastAsia="Symbol" w:hAnsi="Symbol" w:cs="Symbol" w:hint="default"/>
        <w:w w:val="100"/>
        <w:sz w:val="24"/>
        <w:szCs w:val="24"/>
      </w:rPr>
    </w:lvl>
    <w:lvl w:ilvl="1" w:tplc="1C1E0BC2">
      <w:numFmt w:val="bullet"/>
      <w:lvlText w:val="•"/>
      <w:lvlJc w:val="left"/>
      <w:pPr>
        <w:ind w:left="2242" w:hanging="360"/>
      </w:pPr>
      <w:rPr>
        <w:rFonts w:hint="default"/>
      </w:rPr>
    </w:lvl>
    <w:lvl w:ilvl="2" w:tplc="5328B066">
      <w:numFmt w:val="bullet"/>
      <w:lvlText w:val="•"/>
      <w:lvlJc w:val="left"/>
      <w:pPr>
        <w:ind w:left="3145" w:hanging="360"/>
      </w:pPr>
      <w:rPr>
        <w:rFonts w:hint="default"/>
      </w:rPr>
    </w:lvl>
    <w:lvl w:ilvl="3" w:tplc="BE3CB938">
      <w:numFmt w:val="bullet"/>
      <w:lvlText w:val="•"/>
      <w:lvlJc w:val="left"/>
      <w:pPr>
        <w:ind w:left="4047" w:hanging="360"/>
      </w:pPr>
      <w:rPr>
        <w:rFonts w:hint="default"/>
      </w:rPr>
    </w:lvl>
    <w:lvl w:ilvl="4" w:tplc="2D5A3844">
      <w:numFmt w:val="bullet"/>
      <w:lvlText w:val="•"/>
      <w:lvlJc w:val="left"/>
      <w:pPr>
        <w:ind w:left="4950" w:hanging="360"/>
      </w:pPr>
      <w:rPr>
        <w:rFonts w:hint="default"/>
      </w:rPr>
    </w:lvl>
    <w:lvl w:ilvl="5" w:tplc="03C2650C">
      <w:numFmt w:val="bullet"/>
      <w:lvlText w:val="•"/>
      <w:lvlJc w:val="left"/>
      <w:pPr>
        <w:ind w:left="5853" w:hanging="360"/>
      </w:pPr>
      <w:rPr>
        <w:rFonts w:hint="default"/>
      </w:rPr>
    </w:lvl>
    <w:lvl w:ilvl="6" w:tplc="1B6C43DE">
      <w:numFmt w:val="bullet"/>
      <w:lvlText w:val="•"/>
      <w:lvlJc w:val="left"/>
      <w:pPr>
        <w:ind w:left="6755" w:hanging="360"/>
      </w:pPr>
      <w:rPr>
        <w:rFonts w:hint="default"/>
      </w:rPr>
    </w:lvl>
    <w:lvl w:ilvl="7" w:tplc="0DDE58B6">
      <w:numFmt w:val="bullet"/>
      <w:lvlText w:val="•"/>
      <w:lvlJc w:val="left"/>
      <w:pPr>
        <w:ind w:left="7658" w:hanging="360"/>
      </w:pPr>
      <w:rPr>
        <w:rFonts w:hint="default"/>
      </w:rPr>
    </w:lvl>
    <w:lvl w:ilvl="8" w:tplc="90C8F49E">
      <w:numFmt w:val="bullet"/>
      <w:lvlText w:val="•"/>
      <w:lvlJc w:val="left"/>
      <w:pPr>
        <w:ind w:left="8561" w:hanging="360"/>
      </w:pPr>
      <w:rPr>
        <w:rFonts w:hint="default"/>
      </w:rPr>
    </w:lvl>
  </w:abstractNum>
  <w:abstractNum w:abstractNumId="2">
    <w:nsid w:val="3FA42FE5"/>
    <w:multiLevelType w:val="hybridMultilevel"/>
    <w:tmpl w:val="40765DE2"/>
    <w:lvl w:ilvl="0" w:tplc="2DEAB6D6">
      <w:numFmt w:val="bullet"/>
      <w:lvlText w:val="-"/>
      <w:lvlJc w:val="left"/>
      <w:pPr>
        <w:ind w:left="768" w:hanging="147"/>
      </w:pPr>
      <w:rPr>
        <w:rFonts w:ascii="Arial" w:eastAsia="Arial" w:hAnsi="Arial" w:cs="Arial" w:hint="default"/>
        <w:w w:val="99"/>
        <w:sz w:val="24"/>
        <w:szCs w:val="24"/>
      </w:rPr>
    </w:lvl>
    <w:lvl w:ilvl="1" w:tplc="CCF0BC3A">
      <w:numFmt w:val="bullet"/>
      <w:lvlText w:val="•"/>
      <w:lvlJc w:val="left"/>
      <w:pPr>
        <w:ind w:left="1720" w:hanging="147"/>
      </w:pPr>
      <w:rPr>
        <w:rFonts w:hint="default"/>
      </w:rPr>
    </w:lvl>
    <w:lvl w:ilvl="2" w:tplc="83303F58">
      <w:numFmt w:val="bullet"/>
      <w:lvlText w:val="•"/>
      <w:lvlJc w:val="left"/>
      <w:pPr>
        <w:ind w:left="2681" w:hanging="147"/>
      </w:pPr>
      <w:rPr>
        <w:rFonts w:hint="default"/>
      </w:rPr>
    </w:lvl>
    <w:lvl w:ilvl="3" w:tplc="704474C6">
      <w:numFmt w:val="bullet"/>
      <w:lvlText w:val="•"/>
      <w:lvlJc w:val="left"/>
      <w:pPr>
        <w:ind w:left="3641" w:hanging="147"/>
      </w:pPr>
      <w:rPr>
        <w:rFonts w:hint="default"/>
      </w:rPr>
    </w:lvl>
    <w:lvl w:ilvl="4" w:tplc="4D681A14">
      <w:numFmt w:val="bullet"/>
      <w:lvlText w:val="•"/>
      <w:lvlJc w:val="left"/>
      <w:pPr>
        <w:ind w:left="4602" w:hanging="147"/>
      </w:pPr>
      <w:rPr>
        <w:rFonts w:hint="default"/>
      </w:rPr>
    </w:lvl>
    <w:lvl w:ilvl="5" w:tplc="CDF6D0CC">
      <w:numFmt w:val="bullet"/>
      <w:lvlText w:val="•"/>
      <w:lvlJc w:val="left"/>
      <w:pPr>
        <w:ind w:left="5563" w:hanging="147"/>
      </w:pPr>
      <w:rPr>
        <w:rFonts w:hint="default"/>
      </w:rPr>
    </w:lvl>
    <w:lvl w:ilvl="6" w:tplc="9DEE523C">
      <w:numFmt w:val="bullet"/>
      <w:lvlText w:val="•"/>
      <w:lvlJc w:val="left"/>
      <w:pPr>
        <w:ind w:left="6523" w:hanging="147"/>
      </w:pPr>
      <w:rPr>
        <w:rFonts w:hint="default"/>
      </w:rPr>
    </w:lvl>
    <w:lvl w:ilvl="7" w:tplc="226A9B5A">
      <w:numFmt w:val="bullet"/>
      <w:lvlText w:val="•"/>
      <w:lvlJc w:val="left"/>
      <w:pPr>
        <w:ind w:left="7484" w:hanging="147"/>
      </w:pPr>
      <w:rPr>
        <w:rFonts w:hint="default"/>
      </w:rPr>
    </w:lvl>
    <w:lvl w:ilvl="8" w:tplc="5992B4D8">
      <w:numFmt w:val="bullet"/>
      <w:lvlText w:val="•"/>
      <w:lvlJc w:val="left"/>
      <w:pPr>
        <w:ind w:left="8445" w:hanging="147"/>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F43"/>
    <w:rsid w:val="00171F43"/>
    <w:rsid w:val="003439A4"/>
    <w:rsid w:val="00465AC6"/>
    <w:rsid w:val="005D1D76"/>
    <w:rsid w:val="0068528D"/>
    <w:rsid w:val="00710D9D"/>
    <w:rsid w:val="007124DC"/>
    <w:rsid w:val="007C5FF8"/>
    <w:rsid w:val="00894335"/>
    <w:rsid w:val="0089738C"/>
    <w:rsid w:val="008E552C"/>
    <w:rsid w:val="009E0ED0"/>
    <w:rsid w:val="00A364B4"/>
    <w:rsid w:val="00B27609"/>
    <w:rsid w:val="00B35054"/>
    <w:rsid w:val="00B855D2"/>
    <w:rsid w:val="00BD1B06"/>
    <w:rsid w:val="00BE1EF1"/>
    <w:rsid w:val="00C05052"/>
    <w:rsid w:val="00C349A2"/>
    <w:rsid w:val="00C557A0"/>
    <w:rsid w:val="00CD2CC4"/>
    <w:rsid w:val="00CE0B10"/>
    <w:rsid w:val="00CE7599"/>
    <w:rsid w:val="00D22324"/>
    <w:rsid w:val="00E25CFF"/>
    <w:rsid w:val="00E43CC8"/>
    <w:rsid w:val="00F52482"/>
    <w:rsid w:val="00F64FEB"/>
    <w:rsid w:val="00FD77BB"/>
    <w:rsid w:val="00FD7C0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1F43"/>
    <w:pPr>
      <w:widowControl w:val="0"/>
    </w:pPr>
    <w:rPr>
      <w:rFonts w:ascii="Arial" w:eastAsia="Arial" w:hAnsi="Arial"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171F43"/>
    <w:pPr>
      <w:widowControl w:val="0"/>
    </w:pPr>
    <w:rPr>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uiPriority w:val="1"/>
    <w:qFormat/>
    <w:rsid w:val="00171F43"/>
    <w:rPr>
      <w:sz w:val="24"/>
      <w:szCs w:val="24"/>
    </w:rPr>
  </w:style>
  <w:style w:type="paragraph" w:customStyle="1" w:styleId="Heading11">
    <w:name w:val="Heading 11"/>
    <w:basedOn w:val="Normal"/>
    <w:uiPriority w:val="1"/>
    <w:qFormat/>
    <w:rsid w:val="00171F43"/>
    <w:pPr>
      <w:ind w:left="1342" w:hanging="360"/>
      <w:outlineLvl w:val="1"/>
    </w:pPr>
    <w:rPr>
      <w:b/>
      <w:bCs/>
      <w:sz w:val="24"/>
      <w:szCs w:val="24"/>
    </w:rPr>
  </w:style>
  <w:style w:type="paragraph" w:styleId="ListParagraph">
    <w:name w:val="List Paragraph"/>
    <w:basedOn w:val="Normal"/>
    <w:uiPriority w:val="1"/>
    <w:qFormat/>
    <w:rsid w:val="00171F43"/>
    <w:pPr>
      <w:ind w:left="1342" w:hanging="360"/>
    </w:pPr>
  </w:style>
  <w:style w:type="paragraph" w:customStyle="1" w:styleId="TableParagraph">
    <w:name w:val="Table Paragraph"/>
    <w:basedOn w:val="Normal"/>
    <w:uiPriority w:val="1"/>
    <w:qFormat/>
    <w:rsid w:val="00171F43"/>
    <w:pPr>
      <w:spacing w:line="274" w:lineRule="exact"/>
      <w:ind w:left="103"/>
    </w:pPr>
  </w:style>
  <w:style w:type="paragraph" w:styleId="Header">
    <w:name w:val="header"/>
    <w:basedOn w:val="Normal"/>
    <w:link w:val="HeaderChar"/>
    <w:uiPriority w:val="99"/>
    <w:semiHidden/>
    <w:unhideWhenUsed/>
    <w:rsid w:val="00FD7C04"/>
    <w:pPr>
      <w:tabs>
        <w:tab w:val="center" w:pos="4252"/>
        <w:tab w:val="right" w:pos="8504"/>
      </w:tabs>
    </w:pPr>
  </w:style>
  <w:style w:type="character" w:customStyle="1" w:styleId="HeaderChar">
    <w:name w:val="Header Char"/>
    <w:basedOn w:val="DefaultParagraphFont"/>
    <w:link w:val="Header"/>
    <w:uiPriority w:val="99"/>
    <w:semiHidden/>
    <w:rsid w:val="00FD7C04"/>
    <w:rPr>
      <w:rFonts w:ascii="Arial" w:eastAsia="Arial" w:hAnsi="Arial" w:cs="Arial"/>
    </w:rPr>
  </w:style>
  <w:style w:type="paragraph" w:styleId="Footer">
    <w:name w:val="footer"/>
    <w:basedOn w:val="Normal"/>
    <w:link w:val="FooterChar"/>
    <w:uiPriority w:val="99"/>
    <w:unhideWhenUsed/>
    <w:rsid w:val="00FD7C04"/>
    <w:pPr>
      <w:tabs>
        <w:tab w:val="center" w:pos="4252"/>
        <w:tab w:val="right" w:pos="8504"/>
      </w:tabs>
    </w:pPr>
  </w:style>
  <w:style w:type="character" w:customStyle="1" w:styleId="FooterChar">
    <w:name w:val="Footer Char"/>
    <w:basedOn w:val="DefaultParagraphFont"/>
    <w:link w:val="Footer"/>
    <w:uiPriority w:val="99"/>
    <w:rsid w:val="00FD7C04"/>
    <w:rPr>
      <w:rFonts w:ascii="Arial" w:eastAsia="Arial" w:hAnsi="Arial" w:cs="Arial"/>
    </w:rPr>
  </w:style>
  <w:style w:type="paragraph" w:styleId="FootnoteText">
    <w:name w:val="footnote text"/>
    <w:basedOn w:val="Normal"/>
    <w:link w:val="FootnoteTextChar"/>
    <w:uiPriority w:val="99"/>
    <w:semiHidden/>
    <w:unhideWhenUsed/>
    <w:rsid w:val="00D22324"/>
    <w:rPr>
      <w:sz w:val="20"/>
      <w:szCs w:val="20"/>
    </w:rPr>
  </w:style>
  <w:style w:type="character" w:customStyle="1" w:styleId="FootnoteTextChar">
    <w:name w:val="Footnote Text Char"/>
    <w:basedOn w:val="DefaultParagraphFont"/>
    <w:link w:val="FootnoteText"/>
    <w:uiPriority w:val="99"/>
    <w:semiHidden/>
    <w:rsid w:val="00D22324"/>
    <w:rPr>
      <w:rFonts w:ascii="Arial" w:eastAsia="Arial" w:hAnsi="Arial" w:cs="Arial"/>
      <w:lang w:val="en-US" w:eastAsia="en-US"/>
    </w:rPr>
  </w:style>
  <w:style w:type="character" w:styleId="FootnoteReference">
    <w:name w:val="footnote reference"/>
    <w:rsid w:val="00D22324"/>
    <w:rPr>
      <w:vertAlign w:val="superscript"/>
    </w:rPr>
  </w:style>
  <w:style w:type="character" w:styleId="Hyperlink">
    <w:name w:val="Hyperlink"/>
    <w:rsid w:val="00D22324"/>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1F43"/>
    <w:pPr>
      <w:widowControl w:val="0"/>
    </w:pPr>
    <w:rPr>
      <w:rFonts w:ascii="Arial" w:eastAsia="Arial" w:hAnsi="Arial"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171F43"/>
    <w:pPr>
      <w:widowControl w:val="0"/>
    </w:pPr>
    <w:rPr>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uiPriority w:val="1"/>
    <w:qFormat/>
    <w:rsid w:val="00171F43"/>
    <w:rPr>
      <w:sz w:val="24"/>
      <w:szCs w:val="24"/>
    </w:rPr>
  </w:style>
  <w:style w:type="paragraph" w:customStyle="1" w:styleId="Heading11">
    <w:name w:val="Heading 11"/>
    <w:basedOn w:val="Normal"/>
    <w:uiPriority w:val="1"/>
    <w:qFormat/>
    <w:rsid w:val="00171F43"/>
    <w:pPr>
      <w:ind w:left="1342" w:hanging="360"/>
      <w:outlineLvl w:val="1"/>
    </w:pPr>
    <w:rPr>
      <w:b/>
      <w:bCs/>
      <w:sz w:val="24"/>
      <w:szCs w:val="24"/>
    </w:rPr>
  </w:style>
  <w:style w:type="paragraph" w:styleId="ListParagraph">
    <w:name w:val="List Paragraph"/>
    <w:basedOn w:val="Normal"/>
    <w:uiPriority w:val="1"/>
    <w:qFormat/>
    <w:rsid w:val="00171F43"/>
    <w:pPr>
      <w:ind w:left="1342" w:hanging="360"/>
    </w:pPr>
  </w:style>
  <w:style w:type="paragraph" w:customStyle="1" w:styleId="TableParagraph">
    <w:name w:val="Table Paragraph"/>
    <w:basedOn w:val="Normal"/>
    <w:uiPriority w:val="1"/>
    <w:qFormat/>
    <w:rsid w:val="00171F43"/>
    <w:pPr>
      <w:spacing w:line="274" w:lineRule="exact"/>
      <w:ind w:left="103"/>
    </w:pPr>
  </w:style>
  <w:style w:type="paragraph" w:styleId="Header">
    <w:name w:val="header"/>
    <w:basedOn w:val="Normal"/>
    <w:link w:val="HeaderChar"/>
    <w:uiPriority w:val="99"/>
    <w:semiHidden/>
    <w:unhideWhenUsed/>
    <w:rsid w:val="00FD7C04"/>
    <w:pPr>
      <w:tabs>
        <w:tab w:val="center" w:pos="4252"/>
        <w:tab w:val="right" w:pos="8504"/>
      </w:tabs>
    </w:pPr>
  </w:style>
  <w:style w:type="character" w:customStyle="1" w:styleId="HeaderChar">
    <w:name w:val="Header Char"/>
    <w:basedOn w:val="DefaultParagraphFont"/>
    <w:link w:val="Header"/>
    <w:uiPriority w:val="99"/>
    <w:semiHidden/>
    <w:rsid w:val="00FD7C04"/>
    <w:rPr>
      <w:rFonts w:ascii="Arial" w:eastAsia="Arial" w:hAnsi="Arial" w:cs="Arial"/>
    </w:rPr>
  </w:style>
  <w:style w:type="paragraph" w:styleId="Footer">
    <w:name w:val="footer"/>
    <w:basedOn w:val="Normal"/>
    <w:link w:val="FooterChar"/>
    <w:uiPriority w:val="99"/>
    <w:unhideWhenUsed/>
    <w:rsid w:val="00FD7C04"/>
    <w:pPr>
      <w:tabs>
        <w:tab w:val="center" w:pos="4252"/>
        <w:tab w:val="right" w:pos="8504"/>
      </w:tabs>
    </w:pPr>
  </w:style>
  <w:style w:type="character" w:customStyle="1" w:styleId="FooterChar">
    <w:name w:val="Footer Char"/>
    <w:basedOn w:val="DefaultParagraphFont"/>
    <w:link w:val="Footer"/>
    <w:uiPriority w:val="99"/>
    <w:rsid w:val="00FD7C04"/>
    <w:rPr>
      <w:rFonts w:ascii="Arial" w:eastAsia="Arial" w:hAnsi="Arial" w:cs="Arial"/>
    </w:rPr>
  </w:style>
  <w:style w:type="paragraph" w:styleId="FootnoteText">
    <w:name w:val="footnote text"/>
    <w:basedOn w:val="Normal"/>
    <w:link w:val="FootnoteTextChar"/>
    <w:uiPriority w:val="99"/>
    <w:semiHidden/>
    <w:unhideWhenUsed/>
    <w:rsid w:val="00D22324"/>
    <w:rPr>
      <w:sz w:val="20"/>
      <w:szCs w:val="20"/>
    </w:rPr>
  </w:style>
  <w:style w:type="character" w:customStyle="1" w:styleId="FootnoteTextChar">
    <w:name w:val="Footnote Text Char"/>
    <w:basedOn w:val="DefaultParagraphFont"/>
    <w:link w:val="FootnoteText"/>
    <w:uiPriority w:val="99"/>
    <w:semiHidden/>
    <w:rsid w:val="00D22324"/>
    <w:rPr>
      <w:rFonts w:ascii="Arial" w:eastAsia="Arial" w:hAnsi="Arial" w:cs="Arial"/>
      <w:lang w:val="en-US" w:eastAsia="en-US"/>
    </w:rPr>
  </w:style>
  <w:style w:type="character" w:styleId="FootnoteReference">
    <w:name w:val="footnote reference"/>
    <w:rsid w:val="00D22324"/>
    <w:rPr>
      <w:vertAlign w:val="superscript"/>
    </w:rPr>
  </w:style>
  <w:style w:type="character" w:styleId="Hyperlink">
    <w:name w:val="Hyperlink"/>
    <w:rsid w:val="00D22324"/>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defensasantafe.gob.ar/" TargetMode="External"/><Relationship Id="rId13" Type="http://schemas.openxmlformats.org/officeDocument/2006/relationships/header" Target="head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efensasantafe.gob.ar/publico/violencia/documentos/003_anteproyecto_creacion_MPL_Sta_Fe.pdf"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efensasantafe.gob.ar/institucional/secretaria-prevencion-violencia-institucional/registro-casos-tortur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fe.gov.ar/index.php/web/content/view/full/114976/(subtema)/93812"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mpa.santafe.gov.ar/"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pagina12.com.ar/25509-oscuro-como-el-humo-de-un-colchon" TargetMode="External"/><Relationship Id="rId1" Type="http://schemas.openxmlformats.org/officeDocument/2006/relationships/hyperlink" Target="http://www.defensasantafe.gob.ar/publico/violencia/documentos/001_informe_hostigamiento_polici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2D5811-0895-46FC-A4BB-1DBB874F50AA}"/>
</file>

<file path=customXml/itemProps2.xml><?xml version="1.0" encoding="utf-8"?>
<ds:datastoreItem xmlns:ds="http://schemas.openxmlformats.org/officeDocument/2006/customXml" ds:itemID="{88A41EA2-C99B-4860-AA2F-1846D6151BE2}"/>
</file>

<file path=customXml/itemProps3.xml><?xml version="1.0" encoding="utf-8"?>
<ds:datastoreItem xmlns:ds="http://schemas.openxmlformats.org/officeDocument/2006/customXml" ds:itemID="{2E98F9B5-51D8-4461-A3D6-204AAFBFA274}"/>
</file>

<file path=docProps/app.xml><?xml version="1.0" encoding="utf-8"?>
<Properties xmlns="http://schemas.openxmlformats.org/officeDocument/2006/extended-properties" xmlns:vt="http://schemas.openxmlformats.org/officeDocument/2006/docPropsVTypes">
  <Template>Normal.dotm</Template>
  <TotalTime>1</TotalTime>
  <Pages>31</Pages>
  <Words>11530</Words>
  <Characters>65725</Characters>
  <Application>Microsoft Office Word</Application>
  <DocSecurity>0</DocSecurity>
  <Lines>547</Lines>
  <Paragraphs>154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77101</CharactersWithSpaces>
  <SharedDoc>false</SharedDoc>
  <HLinks>
    <vt:vector size="42" baseType="variant">
      <vt:variant>
        <vt:i4>2555933</vt:i4>
      </vt:variant>
      <vt:variant>
        <vt:i4>12</vt:i4>
      </vt:variant>
      <vt:variant>
        <vt:i4>0</vt:i4>
      </vt:variant>
      <vt:variant>
        <vt:i4>5</vt:i4>
      </vt:variant>
      <vt:variant>
        <vt:lpwstr>http://www.defensasantafe.gob.ar/publico/violencia/documentos/003_anteproyecto_creacion_MPL_Sta_Fe.pdf</vt:lpwstr>
      </vt:variant>
      <vt:variant>
        <vt:lpwstr/>
      </vt:variant>
      <vt:variant>
        <vt:i4>7864440</vt:i4>
      </vt:variant>
      <vt:variant>
        <vt:i4>9</vt:i4>
      </vt:variant>
      <vt:variant>
        <vt:i4>0</vt:i4>
      </vt:variant>
      <vt:variant>
        <vt:i4>5</vt:i4>
      </vt:variant>
      <vt:variant>
        <vt:lpwstr>http://www.defensasantafe.gob.ar/institucional/secretaria-prevencion-violencia-institucional/registro-casos-tortura</vt:lpwstr>
      </vt:variant>
      <vt:variant>
        <vt:lpwstr/>
      </vt:variant>
      <vt:variant>
        <vt:i4>5898269</vt:i4>
      </vt:variant>
      <vt:variant>
        <vt:i4>6</vt:i4>
      </vt:variant>
      <vt:variant>
        <vt:i4>0</vt:i4>
      </vt:variant>
      <vt:variant>
        <vt:i4>5</vt:i4>
      </vt:variant>
      <vt:variant>
        <vt:lpwstr>https://www.santafe.gov.ar/index.php/web/content/view/full/114976/(subtema)/93812</vt:lpwstr>
      </vt:variant>
      <vt:variant>
        <vt:lpwstr/>
      </vt:variant>
      <vt:variant>
        <vt:i4>2162725</vt:i4>
      </vt:variant>
      <vt:variant>
        <vt:i4>3</vt:i4>
      </vt:variant>
      <vt:variant>
        <vt:i4>0</vt:i4>
      </vt:variant>
      <vt:variant>
        <vt:i4>5</vt:i4>
      </vt:variant>
      <vt:variant>
        <vt:lpwstr>https://mpa.santafe.gov.ar/</vt:lpwstr>
      </vt:variant>
      <vt:variant>
        <vt:lpwstr/>
      </vt:variant>
      <vt:variant>
        <vt:i4>4718686</vt:i4>
      </vt:variant>
      <vt:variant>
        <vt:i4>0</vt:i4>
      </vt:variant>
      <vt:variant>
        <vt:i4>0</vt:i4>
      </vt:variant>
      <vt:variant>
        <vt:i4>5</vt:i4>
      </vt:variant>
      <vt:variant>
        <vt:lpwstr>http://www.defensasantafe.gob.ar/</vt:lpwstr>
      </vt:variant>
      <vt:variant>
        <vt:lpwstr/>
      </vt:variant>
      <vt:variant>
        <vt:i4>2818154</vt:i4>
      </vt:variant>
      <vt:variant>
        <vt:i4>3</vt:i4>
      </vt:variant>
      <vt:variant>
        <vt:i4>0</vt:i4>
      </vt:variant>
      <vt:variant>
        <vt:i4>5</vt:i4>
      </vt:variant>
      <vt:variant>
        <vt:lpwstr>https://www.pagina12.com.ar/25509-oscuro-como-el-humo-de-un-colchon</vt:lpwstr>
      </vt:variant>
      <vt:variant>
        <vt:lpwstr/>
      </vt:variant>
      <vt:variant>
        <vt:i4>7340103</vt:i4>
      </vt:variant>
      <vt:variant>
        <vt:i4>0</vt:i4>
      </vt:variant>
      <vt:variant>
        <vt:i4>0</vt:i4>
      </vt:variant>
      <vt:variant>
        <vt:i4>5</vt:i4>
      </vt:variant>
      <vt:variant>
        <vt:lpwstr>http://www.defensasantafe.gob.ar/publico/violencia/documentos/001_informe_hostigamiento_policial.pdf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Eugenia</dc:creator>
  <cp:lastModifiedBy>Liliana Trillo Diaz</cp:lastModifiedBy>
  <cp:revision>2</cp:revision>
  <dcterms:created xsi:type="dcterms:W3CDTF">2017-03-21T15:12:00Z</dcterms:created>
  <dcterms:modified xsi:type="dcterms:W3CDTF">2017-03-21T15:12:00Z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2016-09-22T00:00:00Z</vt:filetime>
  </property>
  <property fmtid="{D5CDD505-2E9C-101B-9397-08002B2CF9AE}" pid="3" name="Creator">
    <vt:lpwstr>Microsoft® Word 2010</vt:lpwstr>
  </property>
  <property fmtid="{D5CDD505-2E9C-101B-9397-08002B2CF9AE}" pid="4" name="LastSaved">
    <vt:filetime>2017-03-20T00:00:00Z</vt:filetime>
  </property>
  <property fmtid="{D5CDD505-2E9C-101B-9397-08002B2CF9AE}" pid="5" name="ContentTypeId">
    <vt:lpwstr>0x01010022B3C51BB8F9654FB8068485B2E4975B</vt:lpwstr>
  </property>
</Properties>
</file>