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02A" w:rsidRDefault="00AE502A" w:rsidP="001F1578">
      <w:pPr>
        <w:jc w:val="center"/>
        <w:rPr>
          <w:b/>
          <w:bCs/>
        </w:rPr>
      </w:pPr>
      <w:bookmarkStart w:id="0" w:name="_GoBack"/>
      <w:bookmarkEnd w:id="0"/>
      <w:r w:rsidRPr="00AE502A">
        <w:rPr>
          <w:b/>
          <w:bCs/>
          <w:noProof/>
          <w:lang w:eastAsia="fr-FR"/>
        </w:rPr>
        <w:drawing>
          <wp:inline distT="0" distB="0" distL="0" distR="0">
            <wp:extent cx="1000125" cy="866775"/>
            <wp:effectExtent l="0" t="0" r="9525" b="9525"/>
            <wp:docPr id="1" name="Image 1" descr="C:\Users\admin\Desktop\logo républi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logo républiqu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0125" cy="866775"/>
                    </a:xfrm>
                    <a:prstGeom prst="rect">
                      <a:avLst/>
                    </a:prstGeom>
                    <a:noFill/>
                    <a:ln>
                      <a:noFill/>
                    </a:ln>
                  </pic:spPr>
                </pic:pic>
              </a:graphicData>
            </a:graphic>
          </wp:inline>
        </w:drawing>
      </w:r>
    </w:p>
    <w:p w:rsidR="00DE5261" w:rsidRDefault="00DE5261" w:rsidP="001F1578">
      <w:pPr>
        <w:jc w:val="center"/>
        <w:rPr>
          <w:b/>
          <w:bCs/>
        </w:rPr>
      </w:pPr>
      <w:r>
        <w:rPr>
          <w:b/>
          <w:bCs/>
        </w:rPr>
        <w:t>République Tunisienne</w:t>
      </w:r>
    </w:p>
    <w:p w:rsidR="00DE5261" w:rsidRDefault="00DE5261" w:rsidP="001F1578">
      <w:pPr>
        <w:jc w:val="center"/>
        <w:rPr>
          <w:b/>
          <w:bCs/>
        </w:rPr>
      </w:pPr>
      <w:r>
        <w:rPr>
          <w:b/>
          <w:bCs/>
        </w:rPr>
        <w:t>Comité Supérieur des Droits de l’Homme et des Libertés Fondamentales</w:t>
      </w:r>
    </w:p>
    <w:p w:rsidR="00DE5261" w:rsidRDefault="00DE5261" w:rsidP="001F1578">
      <w:pPr>
        <w:pBdr>
          <w:bottom w:val="single" w:sz="6" w:space="1" w:color="auto"/>
        </w:pBdr>
        <w:jc w:val="center"/>
        <w:rPr>
          <w:b/>
          <w:bCs/>
        </w:rPr>
      </w:pPr>
    </w:p>
    <w:p w:rsidR="00DE5261" w:rsidRDefault="00DE5261" w:rsidP="001F1578">
      <w:pPr>
        <w:jc w:val="center"/>
        <w:rPr>
          <w:b/>
          <w:bCs/>
        </w:rPr>
      </w:pPr>
    </w:p>
    <w:p w:rsidR="00DE5261" w:rsidRDefault="00DE5261" w:rsidP="001F1578">
      <w:pPr>
        <w:jc w:val="center"/>
        <w:rPr>
          <w:b/>
          <w:bCs/>
        </w:rPr>
      </w:pPr>
    </w:p>
    <w:p w:rsidR="00637A6F" w:rsidRPr="00AE502A" w:rsidRDefault="00637A6F" w:rsidP="00DE5261">
      <w:pPr>
        <w:jc w:val="center"/>
        <w:rPr>
          <w:b/>
          <w:bCs/>
          <w:sz w:val="28"/>
          <w:szCs w:val="28"/>
        </w:rPr>
      </w:pPr>
      <w:r w:rsidRPr="00AE502A">
        <w:rPr>
          <w:b/>
          <w:bCs/>
          <w:sz w:val="28"/>
          <w:szCs w:val="28"/>
        </w:rPr>
        <w:t xml:space="preserve">Contribution Ecrite </w:t>
      </w:r>
      <w:r w:rsidR="00DE5261" w:rsidRPr="00AE502A">
        <w:rPr>
          <w:b/>
          <w:bCs/>
          <w:sz w:val="28"/>
          <w:szCs w:val="28"/>
        </w:rPr>
        <w:t>du</w:t>
      </w:r>
      <w:r w:rsidRPr="00AE502A">
        <w:rPr>
          <w:b/>
          <w:bCs/>
          <w:sz w:val="28"/>
          <w:szCs w:val="28"/>
        </w:rPr>
        <w:t xml:space="preserve"> Comité Supérieur des Droits de l’Homme et des Libertés Fondamentales</w:t>
      </w:r>
    </w:p>
    <w:p w:rsidR="00DE5261" w:rsidRPr="00AE502A" w:rsidRDefault="000514A2" w:rsidP="001F1578">
      <w:pPr>
        <w:jc w:val="center"/>
        <w:rPr>
          <w:b/>
          <w:bCs/>
          <w:sz w:val="28"/>
          <w:szCs w:val="28"/>
        </w:rPr>
      </w:pPr>
      <w:r w:rsidRPr="00AE502A">
        <w:rPr>
          <w:b/>
          <w:bCs/>
          <w:sz w:val="28"/>
          <w:szCs w:val="28"/>
        </w:rPr>
        <w:t xml:space="preserve">Adressée </w:t>
      </w:r>
      <w:r w:rsidR="00DE5261" w:rsidRPr="00AE502A">
        <w:rPr>
          <w:b/>
          <w:bCs/>
          <w:sz w:val="28"/>
          <w:szCs w:val="28"/>
        </w:rPr>
        <w:t>Au</w:t>
      </w:r>
    </w:p>
    <w:p w:rsidR="00563ED9" w:rsidRPr="00AE502A" w:rsidRDefault="001F1578" w:rsidP="001F1578">
      <w:pPr>
        <w:jc w:val="center"/>
        <w:rPr>
          <w:b/>
          <w:bCs/>
          <w:sz w:val="28"/>
          <w:szCs w:val="28"/>
        </w:rPr>
      </w:pPr>
      <w:r w:rsidRPr="00AE502A">
        <w:rPr>
          <w:b/>
          <w:bCs/>
          <w:sz w:val="28"/>
          <w:szCs w:val="28"/>
        </w:rPr>
        <w:t>Comité Contre la Torture</w:t>
      </w:r>
    </w:p>
    <w:p w:rsidR="00637A6F" w:rsidRPr="00AE502A" w:rsidRDefault="00DE5261" w:rsidP="00637A6F">
      <w:pPr>
        <w:jc w:val="center"/>
        <w:rPr>
          <w:b/>
          <w:bCs/>
          <w:sz w:val="28"/>
          <w:szCs w:val="28"/>
        </w:rPr>
      </w:pPr>
      <w:r w:rsidRPr="00AE502A">
        <w:rPr>
          <w:b/>
          <w:bCs/>
          <w:sz w:val="28"/>
          <w:szCs w:val="28"/>
        </w:rPr>
        <w:t>L</w:t>
      </w:r>
      <w:r w:rsidR="00637A6F" w:rsidRPr="00AE502A">
        <w:rPr>
          <w:b/>
          <w:bCs/>
          <w:sz w:val="28"/>
          <w:szCs w:val="28"/>
        </w:rPr>
        <w:t>ors de sa Session d’Avril-Mai 2016</w:t>
      </w:r>
    </w:p>
    <w:p w:rsidR="001F1578" w:rsidRDefault="00AE502A" w:rsidP="00AE502A">
      <w:pPr>
        <w:jc w:val="center"/>
      </w:pPr>
      <w:r>
        <w:t>--------------------------------------------------------------------</w:t>
      </w:r>
    </w:p>
    <w:p w:rsidR="001F1578" w:rsidRDefault="001F1578"/>
    <w:p w:rsidR="001F1578" w:rsidRDefault="001F1578" w:rsidP="00637A6F">
      <w:pPr>
        <w:pStyle w:val="ListParagraph"/>
        <w:numPr>
          <w:ilvl w:val="0"/>
          <w:numId w:val="1"/>
        </w:numPr>
        <w:jc w:val="both"/>
      </w:pPr>
      <w:r>
        <w:t>Le présent rapport est présenté par le Comité Supérieur des Droits de l’Homme et des Libertés Fondamentales (Tunisie) au Comité Contre la Torture, à l’occasion de l’examen du rapport périodique de la Tunisie par la CAT lors de sa session d’avril-mai 2016</w:t>
      </w:r>
    </w:p>
    <w:p w:rsidR="001F1578" w:rsidRDefault="001F1578"/>
    <w:p w:rsidR="001F1578" w:rsidRDefault="000C2F88" w:rsidP="00637A6F">
      <w:pPr>
        <w:pStyle w:val="ListParagraph"/>
        <w:numPr>
          <w:ilvl w:val="0"/>
          <w:numId w:val="1"/>
        </w:numPr>
        <w:jc w:val="both"/>
      </w:pPr>
      <w:r>
        <w:t>Le</w:t>
      </w:r>
      <w:r w:rsidR="001F1578">
        <w:t xml:space="preserve"> Comité Supérieur des Droits de l’Homme et des Libertés Fondamentales représente est l’Institution nationale des droits de l’homme en Tunisie (INDH). Il s’agit d’une institution consultative, c</w:t>
      </w:r>
      <w:r w:rsidR="00CA47CA">
        <w:t>réée en 1991</w:t>
      </w:r>
      <w:r w:rsidR="001F1578">
        <w:t xml:space="preserve"> par décret </w:t>
      </w:r>
      <w:r w:rsidR="001F1578" w:rsidRPr="00CA47CA">
        <w:t>présidentiel</w:t>
      </w:r>
      <w:r w:rsidR="00CA47CA">
        <w:t xml:space="preserve"> (décret du 7 janvier 1991), amendé par une série de textes dont les derniers en date sont la loi </w:t>
      </w:r>
      <w:r w:rsidR="00637A6F">
        <w:t xml:space="preserve">no 2008-37 </w:t>
      </w:r>
      <w:r w:rsidR="00CA47CA">
        <w:t xml:space="preserve">du 16 juin 2008, le décret </w:t>
      </w:r>
      <w:r w:rsidR="00637A6F">
        <w:t xml:space="preserve">no 2009-1767 </w:t>
      </w:r>
      <w:r w:rsidR="00CA47CA">
        <w:t xml:space="preserve">du 9 juin 2009, </w:t>
      </w:r>
      <w:r w:rsidR="00637A6F">
        <w:t>relatif à l’organisation, le fonctionnement et la gestion du CSDHLF.</w:t>
      </w:r>
    </w:p>
    <w:p w:rsidR="001F1578" w:rsidRDefault="001F1578" w:rsidP="001F1578">
      <w:pPr>
        <w:pStyle w:val="ListParagraph"/>
      </w:pPr>
    </w:p>
    <w:p w:rsidR="001F1578" w:rsidRDefault="001F1578" w:rsidP="00637A6F">
      <w:pPr>
        <w:pStyle w:val="ListParagraph"/>
        <w:numPr>
          <w:ilvl w:val="0"/>
          <w:numId w:val="1"/>
        </w:numPr>
        <w:jc w:val="both"/>
      </w:pPr>
      <w:r>
        <w:t>Au cours des deux dernières années, plusieurs allégations sur des cas de tortue et de mauvais traitements perpétrés par les forces de l’ordre ou les agents de l’administration pénitentiaire ont été rapportées par les organisations de la société civile, les médias ou les victimes elles-mêmes. Depuis le début de l’année 2015</w:t>
      </w:r>
      <w:r w:rsidR="003F1DEB">
        <w:t>, plus d’une vingtaine de cas se rapportant à des mauvais traitements ou torture ont été rapportées au CSDHLF.</w:t>
      </w:r>
    </w:p>
    <w:p w:rsidR="003F1DEB" w:rsidRDefault="003F1DEB" w:rsidP="003F1DEB">
      <w:pPr>
        <w:pStyle w:val="ListParagraph"/>
      </w:pPr>
    </w:p>
    <w:p w:rsidR="008F5100" w:rsidRDefault="003F1DEB" w:rsidP="008F5100">
      <w:pPr>
        <w:pStyle w:val="ListParagraph"/>
        <w:numPr>
          <w:ilvl w:val="0"/>
          <w:numId w:val="1"/>
        </w:numPr>
        <w:jc w:val="both"/>
      </w:pPr>
      <w:r w:rsidRPr="008547FA">
        <w:rPr>
          <w:u w:val="single"/>
        </w:rPr>
        <w:t>Concernant le cadre juridique</w:t>
      </w:r>
      <w:r w:rsidRPr="003F1DEB">
        <w:t xml:space="preserve"> : La Tunisie a ratifié la Convention contre la Torture </w:t>
      </w:r>
      <w:r w:rsidRPr="00AD6C76">
        <w:rPr>
          <w:color w:val="333333"/>
          <w:shd w:val="clear" w:color="auto" w:fill="FFFFFF"/>
        </w:rPr>
        <w:t xml:space="preserve">et </w:t>
      </w:r>
      <w:r w:rsidR="00AD6C76">
        <w:rPr>
          <w:color w:val="333333"/>
          <w:shd w:val="clear" w:color="auto" w:fill="FFFFFF"/>
        </w:rPr>
        <w:t>Autres P</w:t>
      </w:r>
      <w:r w:rsidRPr="00AD6C76">
        <w:rPr>
          <w:color w:val="333333"/>
          <w:shd w:val="clear" w:color="auto" w:fill="FFFFFF"/>
        </w:rPr>
        <w:t xml:space="preserve">eines ou </w:t>
      </w:r>
      <w:r w:rsidR="00AD6C76">
        <w:rPr>
          <w:color w:val="333333"/>
          <w:shd w:val="clear" w:color="auto" w:fill="FFFFFF"/>
        </w:rPr>
        <w:t>T</w:t>
      </w:r>
      <w:r w:rsidRPr="00AD6C76">
        <w:rPr>
          <w:color w:val="333333"/>
          <w:shd w:val="clear" w:color="auto" w:fill="FFFFFF"/>
        </w:rPr>
        <w:t xml:space="preserve">raitements </w:t>
      </w:r>
      <w:r w:rsidR="00AD6C76">
        <w:rPr>
          <w:color w:val="333333"/>
          <w:shd w:val="clear" w:color="auto" w:fill="FFFFFF"/>
        </w:rPr>
        <w:t>Cruels, I</w:t>
      </w:r>
      <w:r w:rsidRPr="00AD6C76">
        <w:rPr>
          <w:color w:val="333333"/>
          <w:shd w:val="clear" w:color="auto" w:fill="FFFFFF"/>
        </w:rPr>
        <w:t xml:space="preserve">nhumains ou </w:t>
      </w:r>
      <w:r w:rsidR="00AD6C76" w:rsidRPr="008F5100">
        <w:rPr>
          <w:color w:val="333333"/>
          <w:shd w:val="clear" w:color="auto" w:fill="FFFFFF"/>
        </w:rPr>
        <w:t>D</w:t>
      </w:r>
      <w:r w:rsidRPr="008F5100">
        <w:rPr>
          <w:color w:val="333333"/>
          <w:shd w:val="clear" w:color="auto" w:fill="FFFFFF"/>
        </w:rPr>
        <w:t xml:space="preserve">égradants) </w:t>
      </w:r>
      <w:r w:rsidRPr="008F5100">
        <w:t>depuis</w:t>
      </w:r>
      <w:r w:rsidRPr="003F1DEB">
        <w:t xml:space="preserve"> septembre 1988</w:t>
      </w:r>
      <w:r>
        <w:t xml:space="preserve">. </w:t>
      </w:r>
      <w:r w:rsidR="008F5100">
        <w:t>Quant au Protocole facultatif se rapportant à la Convention, bien qu’entré en vigueur dès 2006, n’a été ratifié par la Tunisie qu’en juin 2011.</w:t>
      </w:r>
    </w:p>
    <w:p w:rsidR="00AD6C76" w:rsidRDefault="003F1DEB" w:rsidP="008F5100">
      <w:pPr>
        <w:ind w:left="709"/>
        <w:jc w:val="both"/>
      </w:pPr>
      <w:r>
        <w:lastRenderedPageBreak/>
        <w:t>Au niveau de la législation nationale, les crimes portant sur la tortu</w:t>
      </w:r>
      <w:r w:rsidR="00AD6C76">
        <w:t>re sont régis par le code pénal</w:t>
      </w:r>
    </w:p>
    <w:p w:rsidR="00AD6C76" w:rsidRDefault="00AD6C76" w:rsidP="00AD6C76">
      <w:pPr>
        <w:pStyle w:val="ListParagraph"/>
      </w:pPr>
    </w:p>
    <w:p w:rsidR="00AD6C76" w:rsidRDefault="00AD6C76" w:rsidP="00637A6F">
      <w:pPr>
        <w:pStyle w:val="ListParagraph"/>
        <w:numPr>
          <w:ilvl w:val="0"/>
          <w:numId w:val="1"/>
        </w:numPr>
        <w:jc w:val="both"/>
      </w:pPr>
      <w:r>
        <w:t>En 2011,</w:t>
      </w:r>
      <w:r w:rsidR="003F1DEB">
        <w:t xml:space="preserve"> </w:t>
      </w:r>
      <w:r>
        <w:t>le décret no</w:t>
      </w:r>
      <w:r w:rsidR="008547FA">
        <w:t>2011-</w:t>
      </w:r>
      <w:r>
        <w:t xml:space="preserve">106 </w:t>
      </w:r>
      <w:r w:rsidR="008547FA">
        <w:t xml:space="preserve">du 22 octobre 2011 </w:t>
      </w:r>
      <w:r>
        <w:t>a abrogé l’article 101 BIS du Code pénal, mais d</w:t>
      </w:r>
      <w:r w:rsidR="003F1DEB">
        <w:t>e l’avis de la plupart, des experts, militants et OSC des droits de l’homme, le législation nationale présente quelques insuffisances quant à sa conformit</w:t>
      </w:r>
      <w:r>
        <w:t>é avec la Convention, notamment :</w:t>
      </w:r>
    </w:p>
    <w:p w:rsidR="00AD6C76" w:rsidRDefault="00AD6C76" w:rsidP="00AD6C76">
      <w:pPr>
        <w:pStyle w:val="ListParagraph"/>
      </w:pPr>
    </w:p>
    <w:p w:rsidR="003F1DEB" w:rsidRDefault="003F1DEB" w:rsidP="00637A6F">
      <w:pPr>
        <w:pStyle w:val="ListParagraph"/>
        <w:numPr>
          <w:ilvl w:val="1"/>
          <w:numId w:val="1"/>
        </w:numPr>
        <w:jc w:val="both"/>
      </w:pPr>
      <w:r>
        <w:t>en matière de défi</w:t>
      </w:r>
      <w:r w:rsidR="00AD6C76">
        <w:t>nition de la torture et de traitement</w:t>
      </w:r>
    </w:p>
    <w:p w:rsidR="00AD6C76" w:rsidRDefault="00AD6C76" w:rsidP="005D631F">
      <w:pPr>
        <w:pStyle w:val="ListParagraph"/>
        <w:numPr>
          <w:ilvl w:val="1"/>
          <w:numId w:val="1"/>
        </w:numPr>
        <w:jc w:val="both"/>
      </w:pPr>
      <w:r>
        <w:t xml:space="preserve">la torture et </w:t>
      </w:r>
      <w:r w:rsidR="005D631F">
        <w:t>les mauvais traitements</w:t>
      </w:r>
      <w:r>
        <w:t xml:space="preserve"> pratiqués come châtiment sont considérées par la législation tunisienne comme étant de simples actes de violence</w:t>
      </w:r>
    </w:p>
    <w:p w:rsidR="00AD6C76" w:rsidRDefault="00AD6C76" w:rsidP="00637A6F">
      <w:pPr>
        <w:pStyle w:val="ListParagraph"/>
        <w:numPr>
          <w:ilvl w:val="1"/>
          <w:numId w:val="1"/>
        </w:numPr>
        <w:jc w:val="both"/>
      </w:pPr>
      <w:r>
        <w:t>à l’exception de la torture pratiquée pour motif de discrimination raciale, les violences commises pour d’autres formes de discrimination ne sont pas considérées comme étant de la torture</w:t>
      </w:r>
    </w:p>
    <w:p w:rsidR="008547FA" w:rsidRDefault="008547FA" w:rsidP="008547FA">
      <w:pPr>
        <w:ind w:left="1080"/>
      </w:pPr>
    </w:p>
    <w:p w:rsidR="007C06D5" w:rsidRDefault="005D631F" w:rsidP="00637A6F">
      <w:pPr>
        <w:pStyle w:val="ListParagraph"/>
        <w:numPr>
          <w:ilvl w:val="0"/>
          <w:numId w:val="1"/>
        </w:numPr>
        <w:jc w:val="both"/>
      </w:pPr>
      <w:r>
        <w:t>Les</w:t>
      </w:r>
      <w:r w:rsidR="008547FA">
        <w:t xml:space="preserve"> dispositions du Code de procédure pénale (notamment celles relatives à la période de détention préventive, le contrôle et le visite des centres de détention provisoire, la présence des avocats lors des interrogatoires, etc.) présentant également des insuffisances.</w:t>
      </w:r>
    </w:p>
    <w:p w:rsidR="008547FA" w:rsidRDefault="008547FA" w:rsidP="008547FA">
      <w:pPr>
        <w:ind w:left="360"/>
      </w:pPr>
    </w:p>
    <w:p w:rsidR="008547FA" w:rsidRDefault="008547FA" w:rsidP="008547FA">
      <w:pPr>
        <w:pStyle w:val="ListParagraph"/>
        <w:numPr>
          <w:ilvl w:val="0"/>
          <w:numId w:val="1"/>
        </w:numPr>
      </w:pPr>
      <w:r>
        <w:t>En janvier 2016, le code de procédure pénale a été amendé, et le nouveau code entrera en vigueur au mois de juin 2016. La nouvelle loi présente également certaines insuffisances</w:t>
      </w:r>
      <w:r w:rsidR="00CA47CA">
        <w:t>, et nécessite encore des améliorations.</w:t>
      </w:r>
    </w:p>
    <w:p w:rsidR="00CA47CA" w:rsidRDefault="00CA47CA" w:rsidP="00CA47CA">
      <w:pPr>
        <w:pStyle w:val="ListParagraph"/>
      </w:pPr>
    </w:p>
    <w:p w:rsidR="00CA47CA" w:rsidRPr="00684728" w:rsidRDefault="00CA47CA" w:rsidP="008547FA">
      <w:pPr>
        <w:pStyle w:val="ListParagraph"/>
        <w:numPr>
          <w:ilvl w:val="0"/>
          <w:numId w:val="1"/>
        </w:numPr>
        <w:rPr>
          <w:b/>
          <w:bCs/>
          <w:sz w:val="24"/>
          <w:szCs w:val="24"/>
        </w:rPr>
      </w:pPr>
      <w:r w:rsidRPr="00684728">
        <w:rPr>
          <w:b/>
          <w:bCs/>
          <w:sz w:val="24"/>
          <w:szCs w:val="24"/>
        </w:rPr>
        <w:t>Rôle du CSDHLF :</w:t>
      </w:r>
    </w:p>
    <w:p w:rsidR="00CA47CA" w:rsidRDefault="00CA47CA" w:rsidP="00CA47CA">
      <w:pPr>
        <w:pStyle w:val="ListParagraph"/>
      </w:pPr>
    </w:p>
    <w:p w:rsidR="00CA47CA" w:rsidRDefault="00CA47CA" w:rsidP="00637A6F">
      <w:pPr>
        <w:pStyle w:val="ListParagraph"/>
        <w:numPr>
          <w:ilvl w:val="1"/>
          <w:numId w:val="1"/>
        </w:numPr>
        <w:jc w:val="both"/>
      </w:pPr>
      <w:r>
        <w:t xml:space="preserve">La loi du 16 juin 2008 autorise le président du Comité à effectuer, « sans préavis, des visites dans les établissements pénitentiaires et de rééducation, </w:t>
      </w:r>
      <w:r w:rsidR="00B25DC2">
        <w:t xml:space="preserve">les </w:t>
      </w:r>
      <w:r>
        <w:t>centres de détention</w:t>
      </w:r>
      <w:r w:rsidR="00B25DC2">
        <w:t>, les centres d’hébergement ou d’observation des enfants, les organismes sociaux chargés des personnes ayant des besoins spécifiques, et ce en vue de s’assurer de l’application de la législation nationale relative aux droits de l’homme et des libertés fondamentales » (article 5). De même, elle permet au président du CSDHLF, mais sur mandat spécial du Président de la République, à mener des missions d’enquête. Les rapports de ses missions sont, également, soumis au Président de la République (article 6). Malgré le caractère positif de ses enquêtes, le fait de les soumettre au mandat du Président de la République et de limiter la soumission des rapports au Président de la République constitue des aspects négatifs.</w:t>
      </w:r>
    </w:p>
    <w:p w:rsidR="00391F55" w:rsidRDefault="00391F55" w:rsidP="00391F55">
      <w:pPr>
        <w:ind w:left="1080"/>
        <w:jc w:val="both"/>
      </w:pPr>
    </w:p>
    <w:p w:rsidR="00B25DC2" w:rsidRDefault="00B25DC2" w:rsidP="00B25DC2">
      <w:pPr>
        <w:pStyle w:val="ListParagraph"/>
        <w:numPr>
          <w:ilvl w:val="1"/>
          <w:numId w:val="1"/>
        </w:numPr>
        <w:jc w:val="both"/>
      </w:pPr>
      <w:r>
        <w:t>Actuellement, un projet de loi, en vue de la création d’une nouvelle INDH, est en train d’être finalisé conjointement par le ministère chargé des relations avec la société civile et les droits de l’homme, et le CSDH.</w:t>
      </w:r>
    </w:p>
    <w:p w:rsidR="000C2F88" w:rsidRDefault="000C2F88" w:rsidP="000C2F88">
      <w:pPr>
        <w:pStyle w:val="ListParagraph"/>
      </w:pPr>
    </w:p>
    <w:p w:rsidR="000C2F88" w:rsidRDefault="000C2F88" w:rsidP="000C2F88">
      <w:pPr>
        <w:pStyle w:val="ListParagraph"/>
        <w:numPr>
          <w:ilvl w:val="1"/>
          <w:numId w:val="1"/>
        </w:numPr>
        <w:jc w:val="both"/>
      </w:pPr>
      <w:r>
        <w:t xml:space="preserve">Il est, par ailleurs, à noter que le CSDHLF a été paralysé pendant plus de deux ans, et ce, suite à la démission d’une partie de ses membres. Ceci a eu comme conséquence </w:t>
      </w:r>
      <w:r>
        <w:lastRenderedPageBreak/>
        <w:t>un ralentissement conséquent de ses activités. Actuellement, et avec la nomination des nouveaux membres en mars 2016, les activités du CSDHLF sont en train de redémarrer.</w:t>
      </w:r>
    </w:p>
    <w:p w:rsidR="003F1DEB" w:rsidRDefault="003F1DEB" w:rsidP="003F1DEB">
      <w:pPr>
        <w:pStyle w:val="ListParagraph"/>
        <w:ind w:left="1440"/>
      </w:pPr>
    </w:p>
    <w:p w:rsidR="00687FB7" w:rsidRPr="00687FB7" w:rsidRDefault="00687FB7" w:rsidP="00687FB7">
      <w:pPr>
        <w:ind w:left="360"/>
        <w:rPr>
          <w:b/>
          <w:bCs/>
        </w:rPr>
      </w:pPr>
    </w:p>
    <w:p w:rsidR="00687FB7" w:rsidRPr="00687FB7" w:rsidRDefault="00687FB7" w:rsidP="00687FB7">
      <w:pPr>
        <w:ind w:left="360"/>
        <w:rPr>
          <w:b/>
          <w:bCs/>
        </w:rPr>
      </w:pPr>
    </w:p>
    <w:p w:rsidR="00F13F08" w:rsidRPr="00684728" w:rsidRDefault="00F13F08" w:rsidP="00F13F08">
      <w:pPr>
        <w:pStyle w:val="ListParagraph"/>
        <w:numPr>
          <w:ilvl w:val="0"/>
          <w:numId w:val="1"/>
        </w:numPr>
        <w:rPr>
          <w:b/>
          <w:bCs/>
          <w:sz w:val="24"/>
          <w:szCs w:val="24"/>
        </w:rPr>
      </w:pPr>
      <w:r w:rsidRPr="00684728">
        <w:rPr>
          <w:b/>
          <w:bCs/>
          <w:sz w:val="24"/>
          <w:szCs w:val="24"/>
        </w:rPr>
        <w:t>L’Instance Nationale pour la Prévention de la Torture :</w:t>
      </w:r>
    </w:p>
    <w:p w:rsidR="00F13F08" w:rsidRDefault="00F13F08" w:rsidP="00F13F08">
      <w:pPr>
        <w:pStyle w:val="ListParagraph"/>
      </w:pPr>
    </w:p>
    <w:p w:rsidR="00F13F08" w:rsidRDefault="00F13F08" w:rsidP="000C2F88">
      <w:pPr>
        <w:pStyle w:val="ListParagraph"/>
        <w:numPr>
          <w:ilvl w:val="1"/>
          <w:numId w:val="1"/>
        </w:numPr>
        <w:jc w:val="both"/>
      </w:pPr>
      <w:r>
        <w:t xml:space="preserve">Dans le cadre du processus de démocratisation, et du renforcement du système national des droits de l’homme, un certain nombre d’instances nationales ont été créés ou sont en cours de création. Parmi ces instances, l’Instance Nationale pour la Prévention de la Torture (INPT) </w:t>
      </w:r>
      <w:r w:rsidR="000F1085">
        <w:t xml:space="preserve">qui </w:t>
      </w:r>
      <w:r>
        <w:t>a été créée par la loi organique no 43 du 21 octob</w:t>
      </w:r>
      <w:r w:rsidR="000F1085">
        <w:t xml:space="preserve">re 2013, jugée comme positive et en conformité avec les principes globaux de la Convention contre la Torture et du Protocole facultatif. </w:t>
      </w:r>
      <w:r>
        <w:t>Mais, le processus de sélection des membres et de mise en place de l’INPT a pris un certain retard</w:t>
      </w:r>
      <w:r w:rsidR="000C2F88">
        <w:t xml:space="preserve">. </w:t>
      </w:r>
      <w:r>
        <w:t>Des voix s</w:t>
      </w:r>
      <w:r w:rsidR="000C2F88">
        <w:t>e sont élevées</w:t>
      </w:r>
      <w:r>
        <w:t>, notamment de la part des acteurs de la société civile, réclamant l’accélération de la mise en place de l’INPT et du démarrage de ses activités.</w:t>
      </w:r>
      <w:r w:rsidR="000C2F88">
        <w:t xml:space="preserve"> Récemment, le parlement vient de voter la nomination des membres de l’INPT, faisant de la Tunisie le premier pays du Monde arabe à se doter d’un mécanisme national de prévention de la torture.</w:t>
      </w:r>
    </w:p>
    <w:p w:rsidR="00F13F08" w:rsidRDefault="00F13F08" w:rsidP="003F1DEB">
      <w:pPr>
        <w:pStyle w:val="ListParagraph"/>
        <w:ind w:left="1440"/>
      </w:pPr>
    </w:p>
    <w:p w:rsidR="000F1085" w:rsidRPr="00684728" w:rsidRDefault="005124D2" w:rsidP="000F1085">
      <w:pPr>
        <w:pStyle w:val="ListParagraph"/>
        <w:numPr>
          <w:ilvl w:val="0"/>
          <w:numId w:val="1"/>
        </w:numPr>
        <w:rPr>
          <w:b/>
          <w:bCs/>
          <w:sz w:val="24"/>
          <w:szCs w:val="24"/>
        </w:rPr>
      </w:pPr>
      <w:r w:rsidRPr="00684728">
        <w:rPr>
          <w:b/>
          <w:bCs/>
          <w:sz w:val="24"/>
          <w:szCs w:val="24"/>
        </w:rPr>
        <w:t>L</w:t>
      </w:r>
      <w:r w:rsidR="000F1085" w:rsidRPr="00684728">
        <w:rPr>
          <w:b/>
          <w:bCs/>
          <w:sz w:val="24"/>
          <w:szCs w:val="24"/>
        </w:rPr>
        <w:t>es acteurs de la société civile :</w:t>
      </w:r>
    </w:p>
    <w:p w:rsidR="000F1085" w:rsidRDefault="000F1085" w:rsidP="000F1085">
      <w:pPr>
        <w:pStyle w:val="ListParagraph"/>
      </w:pPr>
    </w:p>
    <w:p w:rsidR="000F1085" w:rsidRDefault="000F1085" w:rsidP="00684728">
      <w:pPr>
        <w:pStyle w:val="ListParagraph"/>
        <w:numPr>
          <w:ilvl w:val="1"/>
          <w:numId w:val="1"/>
        </w:numPr>
        <w:jc w:val="both"/>
      </w:pPr>
      <w:r>
        <w:t>L’</w:t>
      </w:r>
      <w:r w:rsidR="005124D2">
        <w:t>Organisation Contre la Torture en Tunisie (OCTT) est l’une des associations les plus actives dans la</w:t>
      </w:r>
      <w:r w:rsidR="00684728">
        <w:t xml:space="preserve"> prévention et la lutte </w:t>
      </w:r>
      <w:r w:rsidR="005124D2">
        <w:t>contre la Tunisie. Elle est à l’origine de plusieurs allégations de cas de torture, et de plusieurs communiqués, et de campagnes dans les médias dénonçant des cas de torture et de mauvais traitements commis par les forces de l’ordre et le personnel des services pénitentiaires. Elle publie également un rapport périodique sur la question de la torture en Tunisie.</w:t>
      </w:r>
    </w:p>
    <w:p w:rsidR="005124D2" w:rsidRDefault="005124D2" w:rsidP="005124D2">
      <w:pPr>
        <w:ind w:left="1080"/>
        <w:jc w:val="both"/>
      </w:pPr>
    </w:p>
    <w:p w:rsidR="000F1085" w:rsidRDefault="000F1085" w:rsidP="005124D2">
      <w:pPr>
        <w:pStyle w:val="ListParagraph"/>
        <w:numPr>
          <w:ilvl w:val="1"/>
          <w:numId w:val="1"/>
        </w:numPr>
        <w:jc w:val="both"/>
      </w:pPr>
      <w:r>
        <w:t>L</w:t>
      </w:r>
      <w:r w:rsidR="005124D2">
        <w:t>a Ligue Tunisienne pour la Défense des Droits de l’Homme (LTDH) est également un des acteurs les plus importants de la société civile tunisienne en matière de protection des droits de l’homme</w:t>
      </w:r>
      <w:r w:rsidR="00CB0D58">
        <w:t xml:space="preserve"> en général, et de lutte contre la torture en particulier.</w:t>
      </w:r>
    </w:p>
    <w:p w:rsidR="00CB0D58" w:rsidRDefault="00CB0D58" w:rsidP="00CB0D58">
      <w:pPr>
        <w:pStyle w:val="ListParagraph"/>
      </w:pPr>
    </w:p>
    <w:p w:rsidR="00CB0D58" w:rsidRDefault="00CB0D58" w:rsidP="006713B7">
      <w:pPr>
        <w:pStyle w:val="ListParagraph"/>
        <w:numPr>
          <w:ilvl w:val="1"/>
          <w:numId w:val="1"/>
        </w:numPr>
        <w:jc w:val="both"/>
      </w:pPr>
      <w:r>
        <w:t>D’autres acteurs de la société civile sont également impliqués, à des degrés différents, dans la prévention et la lutte contre la torture. Néanmoins, nous pensons qu’une plus grande coordination est nécessaire entre ces différents acteurs de la société civile dans ce domaine particulier. Cette coordination est surtout requise en matière de collecte et de partage de l’information. Des actions de formation et de renforcement des capacités sont également nécessaires en matière de techniques d’enquête</w:t>
      </w:r>
      <w:r w:rsidR="006713B7">
        <w:t xml:space="preserve"> </w:t>
      </w:r>
      <w:r w:rsidR="00182A9B">
        <w:t xml:space="preserve">et d’investigation, </w:t>
      </w:r>
      <w:r w:rsidR="006713B7">
        <w:t xml:space="preserve">de reporting, </w:t>
      </w:r>
      <w:r w:rsidR="00182A9B">
        <w:t>de vis</w:t>
      </w:r>
      <w:r w:rsidR="005D631F">
        <w:t>ites des centres de détention,</w:t>
      </w:r>
      <w:r w:rsidR="00182A9B">
        <w:t xml:space="preserve"> etc.</w:t>
      </w:r>
    </w:p>
    <w:p w:rsidR="00C82098" w:rsidRDefault="00C82098" w:rsidP="00C82098">
      <w:pPr>
        <w:pStyle w:val="ListParagraph"/>
      </w:pPr>
    </w:p>
    <w:p w:rsidR="00C82098" w:rsidRDefault="006713B7" w:rsidP="006713B7">
      <w:pPr>
        <w:pStyle w:val="ListParagraph"/>
        <w:numPr>
          <w:ilvl w:val="1"/>
          <w:numId w:val="1"/>
        </w:numPr>
        <w:jc w:val="both"/>
      </w:pPr>
      <w:r>
        <w:t xml:space="preserve">Les organisations de la société civile se plaignent notamment du peu de </w:t>
      </w:r>
      <w:r w:rsidR="00C82098">
        <w:t xml:space="preserve">collaboration </w:t>
      </w:r>
      <w:r>
        <w:t>d</w:t>
      </w:r>
      <w:r w:rsidR="00C82098">
        <w:t>es parties gouvernementales</w:t>
      </w:r>
      <w:r>
        <w:t xml:space="preserve"> en ce qui concerne la visite des lieux de </w:t>
      </w:r>
      <w:r>
        <w:lastRenderedPageBreak/>
        <w:t>détention. Malgré la signature de protocoles d’accord entre le ministère de la justice et un certain nombre d’ONG pour la visite des centres de détentions, cet accord a été rejeté par la LTDH et l’OCTT vu qu’il n’autorise pas les visites inopinées.</w:t>
      </w:r>
    </w:p>
    <w:p w:rsidR="000F1085" w:rsidRDefault="000F1085" w:rsidP="003F1DEB">
      <w:pPr>
        <w:pStyle w:val="ListParagraph"/>
        <w:ind w:left="1440"/>
      </w:pPr>
    </w:p>
    <w:p w:rsidR="006713B7" w:rsidRPr="00684728" w:rsidRDefault="006713B7" w:rsidP="006713B7">
      <w:pPr>
        <w:pStyle w:val="ListParagraph"/>
        <w:numPr>
          <w:ilvl w:val="0"/>
          <w:numId w:val="1"/>
        </w:numPr>
        <w:rPr>
          <w:b/>
          <w:bCs/>
          <w:sz w:val="24"/>
          <w:szCs w:val="24"/>
        </w:rPr>
      </w:pPr>
      <w:r w:rsidRPr="00684728">
        <w:rPr>
          <w:b/>
          <w:bCs/>
          <w:sz w:val="24"/>
          <w:szCs w:val="24"/>
        </w:rPr>
        <w:t>La situation dans les prisons tunisiennes :</w:t>
      </w:r>
    </w:p>
    <w:p w:rsidR="006713B7" w:rsidRDefault="006713B7" w:rsidP="006713B7">
      <w:pPr>
        <w:pStyle w:val="ListParagraph"/>
      </w:pPr>
    </w:p>
    <w:p w:rsidR="006713B7" w:rsidRDefault="006713B7" w:rsidP="008B1CCE">
      <w:pPr>
        <w:pStyle w:val="ListParagraph"/>
        <w:numPr>
          <w:ilvl w:val="1"/>
          <w:numId w:val="1"/>
        </w:numPr>
        <w:jc w:val="both"/>
      </w:pPr>
      <w:r>
        <w:t xml:space="preserve">Le Comité </w:t>
      </w:r>
      <w:r w:rsidR="00684728">
        <w:t xml:space="preserve">Supérieur </w:t>
      </w:r>
      <w:r>
        <w:t>des Droits de l’Homme et des Libertés Fo</w:t>
      </w:r>
      <w:r w:rsidR="008B1CCE">
        <w:t xml:space="preserve">ndamentales (CSDHLF) a effectué, entre 2013 et 2015, </w:t>
      </w:r>
      <w:r>
        <w:t>un certain nombre de visites aux prisons tunisiennes</w:t>
      </w:r>
      <w:r w:rsidR="008B1CCE">
        <w:t>.</w:t>
      </w:r>
      <w:r>
        <w:t xml:space="preserve"> </w:t>
      </w:r>
      <w:r w:rsidR="008B1CCE">
        <w:t>L</w:t>
      </w:r>
      <w:r>
        <w:t xml:space="preserve">es rapports </w:t>
      </w:r>
      <w:r w:rsidR="008B1CCE">
        <w:t>relatifs à ces visites ont mis en évidence les points suivants :</w:t>
      </w:r>
    </w:p>
    <w:p w:rsidR="00CB58FD" w:rsidRDefault="00CB58FD" w:rsidP="0041462A">
      <w:pPr>
        <w:pStyle w:val="ListParagraph"/>
        <w:numPr>
          <w:ilvl w:val="2"/>
          <w:numId w:val="1"/>
        </w:numPr>
        <w:spacing w:after="0"/>
        <w:jc w:val="both"/>
      </w:pPr>
      <w:r>
        <w:t>Un surpeuplement massif des prisons</w:t>
      </w:r>
      <w:r w:rsidR="00D50944">
        <w:t xml:space="preserve"> et dans les centres de détention</w:t>
      </w:r>
    </w:p>
    <w:p w:rsidR="00D452A3" w:rsidRDefault="00D452A3" w:rsidP="0041462A">
      <w:pPr>
        <w:spacing w:after="0"/>
        <w:ind w:left="2160" w:hanging="360"/>
        <w:contextualSpacing/>
        <w:jc w:val="both"/>
      </w:pPr>
    </w:p>
    <w:p w:rsidR="00CB58FD" w:rsidRDefault="00CB58FD" w:rsidP="0041462A">
      <w:pPr>
        <w:pStyle w:val="ListParagraph"/>
        <w:numPr>
          <w:ilvl w:val="2"/>
          <w:numId w:val="1"/>
        </w:numPr>
        <w:spacing w:after="0"/>
        <w:jc w:val="both"/>
      </w:pPr>
      <w:r>
        <w:t>L</w:t>
      </w:r>
      <w:r w:rsidR="00C67F26">
        <w:t>e temps des promenades n’est pas toujours respecté</w:t>
      </w:r>
    </w:p>
    <w:p w:rsidR="00D452A3" w:rsidRDefault="00D452A3" w:rsidP="0041462A">
      <w:pPr>
        <w:spacing w:after="0"/>
        <w:ind w:left="2160" w:hanging="360"/>
        <w:contextualSpacing/>
        <w:jc w:val="both"/>
      </w:pPr>
    </w:p>
    <w:p w:rsidR="00C67F26" w:rsidRDefault="00C67F26" w:rsidP="0041462A">
      <w:pPr>
        <w:pStyle w:val="ListParagraph"/>
        <w:numPr>
          <w:ilvl w:val="2"/>
          <w:numId w:val="1"/>
        </w:numPr>
        <w:spacing w:after="0"/>
        <w:jc w:val="both"/>
      </w:pPr>
      <w:r>
        <w:t xml:space="preserve">Des mauvais traitements sont pratiqués à l’égard des prisonniers, généralement pour des motifs de châtiments ou </w:t>
      </w:r>
      <w:r w:rsidR="00D50944">
        <w:t>dans le but de</w:t>
      </w:r>
      <w:r>
        <w:t xml:space="preserve"> faire peur</w:t>
      </w:r>
      <w:r w:rsidR="00D50944">
        <w:t xml:space="preserve"> aux détenus</w:t>
      </w:r>
    </w:p>
    <w:p w:rsidR="00D452A3" w:rsidRDefault="00D452A3" w:rsidP="0041462A">
      <w:pPr>
        <w:spacing w:after="0"/>
        <w:ind w:left="2160" w:hanging="360"/>
        <w:contextualSpacing/>
        <w:jc w:val="both"/>
      </w:pPr>
    </w:p>
    <w:p w:rsidR="002D01C1" w:rsidRDefault="00D50944" w:rsidP="0041462A">
      <w:pPr>
        <w:pStyle w:val="ListParagraph"/>
        <w:numPr>
          <w:ilvl w:val="2"/>
          <w:numId w:val="1"/>
        </w:numPr>
        <w:spacing w:after="0"/>
        <w:jc w:val="both"/>
      </w:pPr>
      <w:r>
        <w:t>Dans certains centres de détention, comme le centre de Bouchoucha à Tunis, les</w:t>
      </w:r>
      <w:r w:rsidR="002D01C1">
        <w:t xml:space="preserve"> conditions sanitaires sont défectueuses : absence des</w:t>
      </w:r>
      <w:r>
        <w:t xml:space="preserve"> visites médicales à l’arrivée des détenus</w:t>
      </w:r>
      <w:r w:rsidR="002D01C1">
        <w:t>, absence d’une ambulance pour les situations d’urgence médicale.</w:t>
      </w:r>
    </w:p>
    <w:p w:rsidR="00D452A3" w:rsidRPr="00D452A3" w:rsidRDefault="00D452A3" w:rsidP="0041462A">
      <w:pPr>
        <w:spacing w:after="0"/>
        <w:ind w:left="2160" w:hanging="360"/>
        <w:contextualSpacing/>
        <w:jc w:val="both"/>
      </w:pPr>
    </w:p>
    <w:p w:rsidR="00271D15" w:rsidRDefault="002D01C1" w:rsidP="00271D15">
      <w:pPr>
        <w:pStyle w:val="ListParagraph"/>
        <w:numPr>
          <w:ilvl w:val="2"/>
          <w:numId w:val="1"/>
        </w:numPr>
        <w:spacing w:after="120"/>
        <w:jc w:val="both"/>
      </w:pPr>
      <w:r w:rsidRPr="0041462A">
        <w:t>Malgré son statut d’INDH</w:t>
      </w:r>
      <w:r w:rsidR="00533EAA" w:rsidRPr="0041462A">
        <w:t>,</w:t>
      </w:r>
      <w:r w:rsidRPr="0041462A">
        <w:t xml:space="preserve"> </w:t>
      </w:r>
      <w:r w:rsidR="00533EAA" w:rsidRPr="0041462A">
        <w:t xml:space="preserve">en juin 2013, </w:t>
      </w:r>
      <w:r w:rsidRPr="0041462A">
        <w:t>une délégat</w:t>
      </w:r>
      <w:r w:rsidR="00533EAA" w:rsidRPr="0041462A">
        <w:t>ion du CSDHLF a été empêchée</w:t>
      </w:r>
      <w:r w:rsidRPr="0041462A">
        <w:t xml:space="preserve"> d’effectuer une visite au centre de détention d’El Gorjani à Tunis, et ce en contradiction flagrante avec les dispositions de l’artic</w:t>
      </w:r>
      <w:r w:rsidR="00533EAA" w:rsidRPr="0041462A">
        <w:t>l</w:t>
      </w:r>
      <w:r w:rsidRPr="0041462A">
        <w:t>e 5 de la loi du 16 juin 2008</w:t>
      </w:r>
      <w:r w:rsidR="00533EAA" w:rsidRPr="0041462A">
        <w:t xml:space="preserve">, qui stipule que </w:t>
      </w:r>
      <w:r w:rsidR="00D452A3" w:rsidRPr="0041462A">
        <w:t xml:space="preserve">«le président du comité supérieur effectue, sans préavis, des visites dans les établissements pénitentiaires et de rééducation, les centres de détention, les centres d’hébergement ou d’observation des enfants, les organismes sociaux chargés des personnes ayant des besoins spécifiques, et ce, en vue de s’assurer de l’application de la législation relative aux droits de l’homme at aux libertés fondamentales. Le président du comité supérieur peut se faire assister dans l’accomplissement de ses missions, de deux membres dudit comité, à chaque visite </w:t>
      </w:r>
      <w:r w:rsidR="0041462A" w:rsidRPr="0041462A">
        <w:t>d’inspection »</w:t>
      </w:r>
      <w:r w:rsidR="00D452A3" w:rsidRPr="0041462A">
        <w:t>.</w:t>
      </w:r>
    </w:p>
    <w:p w:rsidR="00D452A3" w:rsidRPr="0041462A" w:rsidRDefault="00271D15" w:rsidP="00271D15">
      <w:pPr>
        <w:spacing w:after="0"/>
        <w:ind w:left="2127"/>
        <w:jc w:val="both"/>
      </w:pPr>
      <w:r>
        <w:t>D’autres organisations, notamment des organisations de la société civile, ont rapporté avoir fait face au même refus de la part des responsables du Centre en question. L’argument avancé par ces responsables étant que ledit centre n’est pas un centre de détention mais un centre de garde à vue et- d’interrogatoires.</w:t>
      </w:r>
    </w:p>
    <w:p w:rsidR="00D452A3" w:rsidRPr="00D452A3" w:rsidRDefault="00D452A3" w:rsidP="0041462A">
      <w:pPr>
        <w:spacing w:after="0"/>
        <w:ind w:left="2160" w:hanging="360"/>
        <w:contextualSpacing/>
        <w:jc w:val="both"/>
      </w:pPr>
    </w:p>
    <w:p w:rsidR="00D50944" w:rsidRDefault="00D452A3" w:rsidP="00AE768E">
      <w:pPr>
        <w:pStyle w:val="ListParagraph"/>
        <w:numPr>
          <w:ilvl w:val="2"/>
          <w:numId w:val="1"/>
        </w:numPr>
        <w:jc w:val="both"/>
      </w:pPr>
      <w:r w:rsidRPr="00AE768E">
        <w:t xml:space="preserve"> </w:t>
      </w:r>
      <w:r w:rsidR="002D01C1" w:rsidRPr="00AE768E">
        <w:t xml:space="preserve">Des allégations de torture et </w:t>
      </w:r>
      <w:r w:rsidR="00AE768E" w:rsidRPr="00AE768E">
        <w:t xml:space="preserve">de </w:t>
      </w:r>
      <w:r w:rsidR="002D01C1" w:rsidRPr="00AE768E">
        <w:t xml:space="preserve">mauvais traitements se déroulant dans le Centre d’El Gorjani sont formulées par </w:t>
      </w:r>
      <w:r w:rsidR="00AE768E" w:rsidRPr="00AE768E">
        <w:t xml:space="preserve">plusieurs </w:t>
      </w:r>
      <w:r w:rsidR="002D01C1" w:rsidRPr="00AE768E">
        <w:t>organisations de la société civile.</w:t>
      </w:r>
    </w:p>
    <w:p w:rsidR="006713B7" w:rsidRDefault="006713B7" w:rsidP="003F1DEB">
      <w:pPr>
        <w:pStyle w:val="ListParagraph"/>
        <w:ind w:left="1440"/>
      </w:pPr>
    </w:p>
    <w:p w:rsidR="00AE768E" w:rsidRPr="00684728" w:rsidRDefault="00AE768E" w:rsidP="00AE768E">
      <w:pPr>
        <w:pStyle w:val="ListParagraph"/>
        <w:numPr>
          <w:ilvl w:val="0"/>
          <w:numId w:val="1"/>
        </w:numPr>
        <w:rPr>
          <w:b/>
          <w:bCs/>
          <w:sz w:val="24"/>
          <w:szCs w:val="24"/>
        </w:rPr>
      </w:pPr>
      <w:r w:rsidRPr="00684728">
        <w:rPr>
          <w:b/>
          <w:bCs/>
          <w:sz w:val="24"/>
          <w:szCs w:val="24"/>
        </w:rPr>
        <w:t>Les procédures de recours en cas de torture et mauvais traitement :</w:t>
      </w:r>
    </w:p>
    <w:p w:rsidR="00AE768E" w:rsidRDefault="00AE768E" w:rsidP="00AE768E">
      <w:pPr>
        <w:pStyle w:val="ListParagraph"/>
      </w:pPr>
    </w:p>
    <w:p w:rsidR="00AE768E" w:rsidRDefault="00AE768E" w:rsidP="00AE768E">
      <w:pPr>
        <w:pStyle w:val="ListParagraph"/>
        <w:numPr>
          <w:ilvl w:val="1"/>
          <w:numId w:val="1"/>
        </w:numPr>
        <w:jc w:val="both"/>
      </w:pPr>
      <w:r>
        <w:t>Depuis la Révolution de 2011, les recours contre les responsables des actions de torture et mauvais traitements sont devenus possibles.</w:t>
      </w:r>
    </w:p>
    <w:p w:rsidR="00AE768E" w:rsidRDefault="00AE768E" w:rsidP="00AE768E">
      <w:pPr>
        <w:ind w:left="1418"/>
        <w:jc w:val="both"/>
      </w:pPr>
      <w:r>
        <w:lastRenderedPageBreak/>
        <w:t>Ces recours sont effectués auprès de :</w:t>
      </w:r>
    </w:p>
    <w:p w:rsidR="00AE768E" w:rsidRDefault="00AE768E" w:rsidP="00AE768E">
      <w:pPr>
        <w:pStyle w:val="ListParagraph"/>
        <w:numPr>
          <w:ilvl w:val="0"/>
          <w:numId w:val="2"/>
        </w:numPr>
        <w:jc w:val="both"/>
      </w:pPr>
      <w:r>
        <w:t>Le bureau du Procureur de la République</w:t>
      </w:r>
    </w:p>
    <w:p w:rsidR="00AE768E" w:rsidRDefault="00AE768E" w:rsidP="00AE768E">
      <w:pPr>
        <w:pStyle w:val="ListParagraph"/>
        <w:numPr>
          <w:ilvl w:val="0"/>
          <w:numId w:val="2"/>
        </w:numPr>
        <w:jc w:val="both"/>
      </w:pPr>
      <w:r>
        <w:t>Le Comité Supérieur des Droits de l’Homme et des Libertés Fondamentales</w:t>
      </w:r>
    </w:p>
    <w:p w:rsidR="00AE768E" w:rsidRDefault="00AE768E" w:rsidP="00AE768E">
      <w:pPr>
        <w:pStyle w:val="ListParagraph"/>
        <w:numPr>
          <w:ilvl w:val="0"/>
          <w:numId w:val="2"/>
        </w:numPr>
        <w:jc w:val="both"/>
      </w:pPr>
      <w:r>
        <w:t>Les bureaux des droits de l’homme et les inspections au sein de certains ministères (ministère de la justice et ministère de l’intérieur)</w:t>
      </w:r>
    </w:p>
    <w:p w:rsidR="00AE768E" w:rsidRDefault="00AE768E" w:rsidP="00AE768E">
      <w:pPr>
        <w:ind w:left="1080"/>
        <w:jc w:val="both"/>
      </w:pPr>
    </w:p>
    <w:p w:rsidR="00CA528D" w:rsidRDefault="00F5445B" w:rsidP="00F5445B">
      <w:pPr>
        <w:pStyle w:val="ListParagraph"/>
        <w:numPr>
          <w:ilvl w:val="1"/>
          <w:numId w:val="1"/>
        </w:numPr>
        <w:jc w:val="both"/>
      </w:pPr>
      <w:r>
        <w:t>Les victimes et les OSC ont rapporté que p</w:t>
      </w:r>
      <w:r w:rsidR="00CA528D">
        <w:t>armi les problèmes</w:t>
      </w:r>
      <w:r>
        <w:t xml:space="preserve"> auxquels font face les plaignants victimes de torture et de mauvais traitement, figurent :</w:t>
      </w:r>
    </w:p>
    <w:p w:rsidR="00F5445B" w:rsidRDefault="00F5445B" w:rsidP="00F5445B">
      <w:pPr>
        <w:pStyle w:val="ListParagraph"/>
        <w:numPr>
          <w:ilvl w:val="2"/>
          <w:numId w:val="1"/>
        </w:numPr>
        <w:ind w:firstLine="392"/>
        <w:jc w:val="both"/>
      </w:pPr>
      <w:r>
        <w:t>La lenteur excessive des procédures</w:t>
      </w:r>
    </w:p>
    <w:p w:rsidR="00F5445B" w:rsidRDefault="00F5445B" w:rsidP="00F5445B">
      <w:pPr>
        <w:pStyle w:val="ListParagraph"/>
        <w:numPr>
          <w:ilvl w:val="2"/>
          <w:numId w:val="1"/>
        </w:numPr>
        <w:ind w:firstLine="392"/>
        <w:jc w:val="both"/>
      </w:pPr>
      <w:r>
        <w:t xml:space="preserve">Les pressions qui sont, souvent, exercées sur les plaignants. </w:t>
      </w:r>
    </w:p>
    <w:p w:rsidR="00F5445B" w:rsidRDefault="00F5445B" w:rsidP="00F5445B">
      <w:pPr>
        <w:pStyle w:val="ListParagraph"/>
        <w:numPr>
          <w:ilvl w:val="2"/>
          <w:numId w:val="1"/>
        </w:numPr>
        <w:ind w:firstLine="392"/>
        <w:jc w:val="both"/>
      </w:pPr>
      <w:r>
        <w:t>Dans plusieurs cas, les actes de torture sont traités comme de simples cas de violence</w:t>
      </w:r>
    </w:p>
    <w:p w:rsidR="00F5445B" w:rsidRDefault="00F5445B" w:rsidP="00F5445B">
      <w:pPr>
        <w:pStyle w:val="ListParagraph"/>
        <w:numPr>
          <w:ilvl w:val="2"/>
          <w:numId w:val="1"/>
        </w:numPr>
        <w:ind w:firstLine="392"/>
        <w:jc w:val="both"/>
      </w:pPr>
      <w:r>
        <w:t>Les peines prononcées par les tribunaux sont, dans beaucoup de cas, sont en contradiction avec la gravité des actes commis (amendes, peines de prison avec sursis</w:t>
      </w:r>
    </w:p>
    <w:p w:rsidR="00F5445B" w:rsidRDefault="00F5445B" w:rsidP="00F5445B">
      <w:pPr>
        <w:pStyle w:val="ListParagraph"/>
        <w:numPr>
          <w:ilvl w:val="2"/>
          <w:numId w:val="1"/>
        </w:numPr>
        <w:ind w:firstLine="392"/>
        <w:jc w:val="both"/>
      </w:pPr>
      <w:r>
        <w:t>Comme conséquence de cet état de fait, les victimes continuent à souffrir du problème de manque voire d’absence d’initiatives de réparation et de réhabilitation</w:t>
      </w:r>
    </w:p>
    <w:p w:rsidR="009A4C1A" w:rsidRDefault="009A4C1A" w:rsidP="009A4C1A">
      <w:pPr>
        <w:ind w:left="360"/>
        <w:jc w:val="both"/>
      </w:pPr>
    </w:p>
    <w:p w:rsidR="009A4C1A" w:rsidRPr="00684728" w:rsidRDefault="009A4C1A" w:rsidP="009A4C1A">
      <w:pPr>
        <w:pStyle w:val="ListParagraph"/>
        <w:numPr>
          <w:ilvl w:val="0"/>
          <w:numId w:val="1"/>
        </w:numPr>
        <w:rPr>
          <w:b/>
          <w:bCs/>
          <w:sz w:val="24"/>
          <w:szCs w:val="24"/>
        </w:rPr>
      </w:pPr>
      <w:r w:rsidRPr="00684728">
        <w:rPr>
          <w:b/>
          <w:bCs/>
          <w:sz w:val="24"/>
          <w:szCs w:val="24"/>
        </w:rPr>
        <w:t>Les recommandations du CSDHLF :</w:t>
      </w:r>
    </w:p>
    <w:p w:rsidR="009A4C1A" w:rsidRDefault="009A4C1A" w:rsidP="009A4C1A">
      <w:pPr>
        <w:pStyle w:val="ListParagraph"/>
      </w:pPr>
    </w:p>
    <w:p w:rsidR="009A4C1A" w:rsidRDefault="009A4C1A" w:rsidP="009A4C1A">
      <w:pPr>
        <w:pStyle w:val="ListParagraph"/>
        <w:numPr>
          <w:ilvl w:val="1"/>
          <w:numId w:val="1"/>
        </w:numPr>
        <w:spacing w:after="360"/>
        <w:ind w:left="1434" w:hanging="357"/>
        <w:contextualSpacing w:val="0"/>
        <w:jc w:val="both"/>
      </w:pPr>
      <w:r>
        <w:t>Réformer le cadre juridique régissant les forces de l’ordre et le personnel pénitentiaire en vue d’une plus grande conformité avec les standards internationaux</w:t>
      </w:r>
    </w:p>
    <w:p w:rsidR="009A4C1A" w:rsidRDefault="009A4C1A" w:rsidP="009A4C1A">
      <w:pPr>
        <w:pStyle w:val="ListParagraph"/>
        <w:numPr>
          <w:ilvl w:val="1"/>
          <w:numId w:val="1"/>
        </w:numPr>
        <w:spacing w:after="360"/>
        <w:ind w:left="1434" w:hanging="357"/>
        <w:contextualSpacing w:val="0"/>
        <w:jc w:val="both"/>
      </w:pPr>
      <w:r>
        <w:t>Modifier l’article 101 du Code de procédure en vue d’une définition plus adéquate du crime de torture et de mauvais traitements</w:t>
      </w:r>
    </w:p>
    <w:p w:rsidR="009A4C1A" w:rsidRDefault="009A4C1A" w:rsidP="009A4C1A">
      <w:pPr>
        <w:pStyle w:val="ListParagraph"/>
        <w:numPr>
          <w:ilvl w:val="1"/>
          <w:numId w:val="1"/>
        </w:numPr>
        <w:spacing w:after="360"/>
        <w:ind w:left="1434" w:hanging="357"/>
        <w:contextualSpacing w:val="0"/>
        <w:jc w:val="both"/>
      </w:pPr>
      <w:r>
        <w:t>Mettre en place des mécanismes de réparation et de réhabilitation des victimes de la torture qui soient efficaces et équitables</w:t>
      </w:r>
    </w:p>
    <w:p w:rsidR="009A4C1A" w:rsidRDefault="009A4C1A" w:rsidP="009A4C1A">
      <w:pPr>
        <w:pStyle w:val="ListParagraph"/>
        <w:numPr>
          <w:ilvl w:val="1"/>
          <w:numId w:val="1"/>
        </w:numPr>
        <w:spacing w:after="360"/>
        <w:ind w:left="1434" w:hanging="357"/>
        <w:contextualSpacing w:val="0"/>
        <w:jc w:val="both"/>
      </w:pPr>
      <w:r>
        <w:t xml:space="preserve">Préparer et mettre en œuvre un programme de formation des forces de l’ordre et du personnel des institutions </w:t>
      </w:r>
      <w:r w:rsidR="0054350C">
        <w:t>pénitentiaires</w:t>
      </w:r>
    </w:p>
    <w:p w:rsidR="0054350C" w:rsidRDefault="0054350C" w:rsidP="009A4C1A">
      <w:pPr>
        <w:pStyle w:val="ListParagraph"/>
        <w:numPr>
          <w:ilvl w:val="1"/>
          <w:numId w:val="1"/>
        </w:numPr>
        <w:spacing w:after="360"/>
        <w:ind w:left="1434" w:hanging="357"/>
        <w:contextualSpacing w:val="0"/>
        <w:jc w:val="both"/>
      </w:pPr>
      <w:r>
        <w:t>Les organisations de la société civile actives dans le domaine de la prévention et de la lutte contre la torture sont appelées à une plus grande coopération entre elles.</w:t>
      </w:r>
    </w:p>
    <w:p w:rsidR="0054350C" w:rsidRDefault="0054350C" w:rsidP="00637A6F">
      <w:pPr>
        <w:pStyle w:val="ListParagraph"/>
        <w:numPr>
          <w:ilvl w:val="1"/>
          <w:numId w:val="1"/>
        </w:numPr>
        <w:spacing w:after="360"/>
        <w:ind w:left="1434" w:hanging="357"/>
        <w:contextualSpacing w:val="0"/>
        <w:jc w:val="both"/>
      </w:pPr>
      <w:r>
        <w:t xml:space="preserve">Des programmes de coopération et de partenariat </w:t>
      </w:r>
      <w:r w:rsidR="00637A6F">
        <w:t xml:space="preserve">durable </w:t>
      </w:r>
      <w:r>
        <w:t xml:space="preserve">devraient être mis en œuvre entre les OSC, le CSDHLF et l’Institution </w:t>
      </w:r>
      <w:r w:rsidR="00637A6F">
        <w:t xml:space="preserve">Nationale pour </w:t>
      </w:r>
      <w:r>
        <w:t>la Prévention de</w:t>
      </w:r>
      <w:r w:rsidR="00637A6F">
        <w:t xml:space="preserve"> </w:t>
      </w:r>
      <w:r>
        <w:t>la Torture, nouvellement créée.</w:t>
      </w:r>
    </w:p>
    <w:p w:rsidR="0054350C" w:rsidRDefault="0054350C" w:rsidP="00637A6F">
      <w:pPr>
        <w:pStyle w:val="ListParagraph"/>
        <w:numPr>
          <w:ilvl w:val="1"/>
          <w:numId w:val="1"/>
        </w:numPr>
        <w:spacing w:after="360"/>
        <w:ind w:left="1434" w:hanging="357"/>
        <w:contextualSpacing w:val="0"/>
        <w:jc w:val="both"/>
      </w:pPr>
      <w:r>
        <w:t>Des programmes de formation et de renforcement des capacités destinées à ces OSC devraient être mis en œuvre</w:t>
      </w:r>
    </w:p>
    <w:p w:rsidR="00AE768E" w:rsidRDefault="00AE768E" w:rsidP="003F1DEB">
      <w:pPr>
        <w:pStyle w:val="ListParagraph"/>
        <w:ind w:left="1440"/>
      </w:pPr>
    </w:p>
    <w:sectPr w:rsidR="00AE768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7A1" w:rsidRDefault="006157A1" w:rsidP="00CA528D">
      <w:pPr>
        <w:spacing w:after="0" w:line="240" w:lineRule="auto"/>
      </w:pPr>
      <w:r>
        <w:separator/>
      </w:r>
    </w:p>
  </w:endnote>
  <w:endnote w:type="continuationSeparator" w:id="0">
    <w:p w:rsidR="006157A1" w:rsidRDefault="006157A1" w:rsidP="00CA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0959123"/>
      <w:docPartObj>
        <w:docPartGallery w:val="Page Numbers (Bottom of Page)"/>
        <w:docPartUnique/>
      </w:docPartObj>
    </w:sdtPr>
    <w:sdtEndPr/>
    <w:sdtContent>
      <w:p w:rsidR="00CA528D" w:rsidRDefault="00CA528D">
        <w:pPr>
          <w:pStyle w:val="Footer"/>
          <w:jc w:val="right"/>
        </w:pPr>
        <w:r>
          <w:fldChar w:fldCharType="begin"/>
        </w:r>
        <w:r>
          <w:instrText>PAGE   \* MERGEFORMAT</w:instrText>
        </w:r>
        <w:r>
          <w:fldChar w:fldCharType="separate"/>
        </w:r>
        <w:r w:rsidR="00BA0647">
          <w:rPr>
            <w:noProof/>
          </w:rPr>
          <w:t>2</w:t>
        </w:r>
        <w:r>
          <w:fldChar w:fldCharType="end"/>
        </w:r>
      </w:p>
    </w:sdtContent>
  </w:sdt>
  <w:p w:rsidR="00CA528D" w:rsidRDefault="00CA52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7A1" w:rsidRDefault="006157A1" w:rsidP="00CA528D">
      <w:pPr>
        <w:spacing w:after="0" w:line="240" w:lineRule="auto"/>
      </w:pPr>
      <w:r>
        <w:separator/>
      </w:r>
    </w:p>
  </w:footnote>
  <w:footnote w:type="continuationSeparator" w:id="0">
    <w:p w:rsidR="006157A1" w:rsidRDefault="006157A1" w:rsidP="00CA52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F2FAA"/>
    <w:multiLevelType w:val="hybridMultilevel"/>
    <w:tmpl w:val="3774D6EA"/>
    <w:lvl w:ilvl="0" w:tplc="5D088DE0">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D">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83D7516"/>
    <w:multiLevelType w:val="hybridMultilevel"/>
    <w:tmpl w:val="B70A6AC2"/>
    <w:lvl w:ilvl="0" w:tplc="040C000D">
      <w:start w:val="1"/>
      <w:numFmt w:val="bullet"/>
      <w:lvlText w:val=""/>
      <w:lvlJc w:val="left"/>
      <w:pPr>
        <w:ind w:left="2850" w:hanging="360"/>
      </w:pPr>
      <w:rPr>
        <w:rFonts w:ascii="Wingdings" w:hAnsi="Wingdings" w:hint="default"/>
      </w:rPr>
    </w:lvl>
    <w:lvl w:ilvl="1" w:tplc="040C0003" w:tentative="1">
      <w:start w:val="1"/>
      <w:numFmt w:val="bullet"/>
      <w:lvlText w:val="o"/>
      <w:lvlJc w:val="left"/>
      <w:pPr>
        <w:ind w:left="3570" w:hanging="360"/>
      </w:pPr>
      <w:rPr>
        <w:rFonts w:ascii="Courier New" w:hAnsi="Courier New" w:cs="Courier New" w:hint="default"/>
      </w:rPr>
    </w:lvl>
    <w:lvl w:ilvl="2" w:tplc="040C0005" w:tentative="1">
      <w:start w:val="1"/>
      <w:numFmt w:val="bullet"/>
      <w:lvlText w:val=""/>
      <w:lvlJc w:val="left"/>
      <w:pPr>
        <w:ind w:left="4290" w:hanging="360"/>
      </w:pPr>
      <w:rPr>
        <w:rFonts w:ascii="Wingdings" w:hAnsi="Wingdings" w:hint="default"/>
      </w:rPr>
    </w:lvl>
    <w:lvl w:ilvl="3" w:tplc="040C0001" w:tentative="1">
      <w:start w:val="1"/>
      <w:numFmt w:val="bullet"/>
      <w:lvlText w:val=""/>
      <w:lvlJc w:val="left"/>
      <w:pPr>
        <w:ind w:left="5010" w:hanging="360"/>
      </w:pPr>
      <w:rPr>
        <w:rFonts w:ascii="Symbol" w:hAnsi="Symbol" w:hint="default"/>
      </w:rPr>
    </w:lvl>
    <w:lvl w:ilvl="4" w:tplc="040C0003" w:tentative="1">
      <w:start w:val="1"/>
      <w:numFmt w:val="bullet"/>
      <w:lvlText w:val="o"/>
      <w:lvlJc w:val="left"/>
      <w:pPr>
        <w:ind w:left="5730" w:hanging="360"/>
      </w:pPr>
      <w:rPr>
        <w:rFonts w:ascii="Courier New" w:hAnsi="Courier New" w:cs="Courier New" w:hint="default"/>
      </w:rPr>
    </w:lvl>
    <w:lvl w:ilvl="5" w:tplc="040C0005" w:tentative="1">
      <w:start w:val="1"/>
      <w:numFmt w:val="bullet"/>
      <w:lvlText w:val=""/>
      <w:lvlJc w:val="left"/>
      <w:pPr>
        <w:ind w:left="6450" w:hanging="360"/>
      </w:pPr>
      <w:rPr>
        <w:rFonts w:ascii="Wingdings" w:hAnsi="Wingdings" w:hint="default"/>
      </w:rPr>
    </w:lvl>
    <w:lvl w:ilvl="6" w:tplc="040C0001" w:tentative="1">
      <w:start w:val="1"/>
      <w:numFmt w:val="bullet"/>
      <w:lvlText w:val=""/>
      <w:lvlJc w:val="left"/>
      <w:pPr>
        <w:ind w:left="7170" w:hanging="360"/>
      </w:pPr>
      <w:rPr>
        <w:rFonts w:ascii="Symbol" w:hAnsi="Symbol" w:hint="default"/>
      </w:rPr>
    </w:lvl>
    <w:lvl w:ilvl="7" w:tplc="040C0003" w:tentative="1">
      <w:start w:val="1"/>
      <w:numFmt w:val="bullet"/>
      <w:lvlText w:val="o"/>
      <w:lvlJc w:val="left"/>
      <w:pPr>
        <w:ind w:left="7890" w:hanging="360"/>
      </w:pPr>
      <w:rPr>
        <w:rFonts w:ascii="Courier New" w:hAnsi="Courier New" w:cs="Courier New" w:hint="default"/>
      </w:rPr>
    </w:lvl>
    <w:lvl w:ilvl="8" w:tplc="040C0005" w:tentative="1">
      <w:start w:val="1"/>
      <w:numFmt w:val="bullet"/>
      <w:lvlText w:val=""/>
      <w:lvlJc w:val="left"/>
      <w:pPr>
        <w:ind w:left="86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578"/>
    <w:rsid w:val="000514A2"/>
    <w:rsid w:val="000C2F88"/>
    <w:rsid w:val="000F1085"/>
    <w:rsid w:val="00182A9B"/>
    <w:rsid w:val="001F1578"/>
    <w:rsid w:val="00271D15"/>
    <w:rsid w:val="002D01C1"/>
    <w:rsid w:val="00391F55"/>
    <w:rsid w:val="003F1DEB"/>
    <w:rsid w:val="0041462A"/>
    <w:rsid w:val="004721F2"/>
    <w:rsid w:val="005124D2"/>
    <w:rsid w:val="00533EAA"/>
    <w:rsid w:val="0054350C"/>
    <w:rsid w:val="00563ED9"/>
    <w:rsid w:val="0058799B"/>
    <w:rsid w:val="005D631F"/>
    <w:rsid w:val="006157A1"/>
    <w:rsid w:val="00637A6F"/>
    <w:rsid w:val="006713B7"/>
    <w:rsid w:val="00684728"/>
    <w:rsid w:val="00687FB7"/>
    <w:rsid w:val="007C06D5"/>
    <w:rsid w:val="007E4A03"/>
    <w:rsid w:val="008547FA"/>
    <w:rsid w:val="008B1CCE"/>
    <w:rsid w:val="008F5100"/>
    <w:rsid w:val="009A4C1A"/>
    <w:rsid w:val="00AD6C76"/>
    <w:rsid w:val="00AE502A"/>
    <w:rsid w:val="00AE768E"/>
    <w:rsid w:val="00B25DC2"/>
    <w:rsid w:val="00BA0647"/>
    <w:rsid w:val="00C67F26"/>
    <w:rsid w:val="00C82098"/>
    <w:rsid w:val="00CA47CA"/>
    <w:rsid w:val="00CA528D"/>
    <w:rsid w:val="00CB0D58"/>
    <w:rsid w:val="00CB58FD"/>
    <w:rsid w:val="00D452A3"/>
    <w:rsid w:val="00D50944"/>
    <w:rsid w:val="00DE5261"/>
    <w:rsid w:val="00F13F08"/>
    <w:rsid w:val="00F5445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578"/>
    <w:pPr>
      <w:ind w:left="720"/>
      <w:contextualSpacing/>
    </w:pPr>
  </w:style>
  <w:style w:type="paragraph" w:styleId="Header">
    <w:name w:val="header"/>
    <w:basedOn w:val="Normal"/>
    <w:link w:val="HeaderChar"/>
    <w:uiPriority w:val="99"/>
    <w:unhideWhenUsed/>
    <w:rsid w:val="00CA52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528D"/>
  </w:style>
  <w:style w:type="paragraph" w:styleId="Footer">
    <w:name w:val="footer"/>
    <w:basedOn w:val="Normal"/>
    <w:link w:val="FooterChar"/>
    <w:uiPriority w:val="99"/>
    <w:unhideWhenUsed/>
    <w:rsid w:val="00CA52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CA528D"/>
  </w:style>
  <w:style w:type="paragraph" w:styleId="BalloonText">
    <w:name w:val="Balloon Text"/>
    <w:basedOn w:val="Normal"/>
    <w:link w:val="BalloonTextChar"/>
    <w:uiPriority w:val="99"/>
    <w:semiHidden/>
    <w:unhideWhenUsed/>
    <w:rsid w:val="00687F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FB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578"/>
    <w:pPr>
      <w:ind w:left="720"/>
      <w:contextualSpacing/>
    </w:pPr>
  </w:style>
  <w:style w:type="paragraph" w:styleId="Header">
    <w:name w:val="header"/>
    <w:basedOn w:val="Normal"/>
    <w:link w:val="HeaderChar"/>
    <w:uiPriority w:val="99"/>
    <w:unhideWhenUsed/>
    <w:rsid w:val="00CA52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528D"/>
  </w:style>
  <w:style w:type="paragraph" w:styleId="Footer">
    <w:name w:val="footer"/>
    <w:basedOn w:val="Normal"/>
    <w:link w:val="FooterChar"/>
    <w:uiPriority w:val="99"/>
    <w:unhideWhenUsed/>
    <w:rsid w:val="00CA52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CA528D"/>
  </w:style>
  <w:style w:type="paragraph" w:styleId="BalloonText">
    <w:name w:val="Balloon Text"/>
    <w:basedOn w:val="Normal"/>
    <w:link w:val="BalloonTextChar"/>
    <w:uiPriority w:val="99"/>
    <w:semiHidden/>
    <w:unhideWhenUsed/>
    <w:rsid w:val="00687F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F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A20BA3-1C67-4E68-B9DD-A179619E0153}"/>
</file>

<file path=customXml/itemProps2.xml><?xml version="1.0" encoding="utf-8"?>
<ds:datastoreItem xmlns:ds="http://schemas.openxmlformats.org/officeDocument/2006/customXml" ds:itemID="{63E8D20F-A2DD-461B-979E-ABD7D47EA18F}"/>
</file>

<file path=customXml/itemProps3.xml><?xml version="1.0" encoding="utf-8"?>
<ds:datastoreItem xmlns:ds="http://schemas.openxmlformats.org/officeDocument/2006/customXml" ds:itemID="{7E865A9D-F541-4790-A1D6-34A10F89C7DF}"/>
</file>

<file path=docProps/app.xml><?xml version="1.0" encoding="utf-8"?>
<Properties xmlns="http://schemas.openxmlformats.org/officeDocument/2006/extended-properties" xmlns:vt="http://schemas.openxmlformats.org/officeDocument/2006/docPropsVTypes">
  <Template>Normal</Template>
  <TotalTime>1</TotalTime>
  <Pages>6</Pages>
  <Words>1788</Words>
  <Characters>9839</Characters>
  <Application>Microsoft Office Word</Application>
  <DocSecurity>0</DocSecurity>
  <Lines>81</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Liliana Trillo Diaz</cp:lastModifiedBy>
  <cp:revision>2</cp:revision>
  <cp:lastPrinted>2016-04-04T09:11:00Z</cp:lastPrinted>
  <dcterms:created xsi:type="dcterms:W3CDTF">2016-04-04T09:12:00Z</dcterms:created>
  <dcterms:modified xsi:type="dcterms:W3CDTF">2016-04-04T09:12:00Z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