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104B7A" w14:textId="77777777" w:rsidR="009450CF" w:rsidRPr="00532430" w:rsidRDefault="009450CF" w:rsidP="009450CF">
      <w:pPr>
        <w:jc w:val="center"/>
        <w:rPr>
          <w:rFonts w:ascii="MetaPro-Norm" w:hAnsi="MetaPro-Norm"/>
          <w:color w:val="000000" w:themeColor="text1"/>
        </w:rPr>
      </w:pPr>
      <w:bookmarkStart w:id="0" w:name="_GoBack"/>
      <w:bookmarkEnd w:id="0"/>
      <w:r w:rsidRPr="00532430">
        <w:rPr>
          <w:rFonts w:ascii="MetaPro-Norm" w:hAnsi="MetaPro-Norm"/>
          <w:noProof/>
          <w:color w:val="000000" w:themeColor="text1"/>
          <w:lang w:val="en-GB" w:eastAsia="en-GB"/>
        </w:rPr>
        <w:drawing>
          <wp:inline distT="0" distB="0" distL="0" distR="0" wp14:anchorId="05DFD008" wp14:editId="763C8657">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302C8294" w14:textId="77777777" w:rsidR="009450CF" w:rsidRPr="00532430" w:rsidRDefault="009450CF" w:rsidP="009450CF">
      <w:pPr>
        <w:jc w:val="center"/>
        <w:rPr>
          <w:rFonts w:ascii="MetaPro-Norm" w:eastAsia="Calibri" w:hAnsi="MetaPro-Norm"/>
          <w:color w:val="000000" w:themeColor="text1"/>
        </w:rPr>
      </w:pPr>
    </w:p>
    <w:p w14:paraId="369A39F6" w14:textId="77777777" w:rsidR="009450CF" w:rsidRPr="00532430" w:rsidRDefault="009450CF" w:rsidP="009450CF">
      <w:pPr>
        <w:pStyle w:val="NoSpacing"/>
        <w:jc w:val="center"/>
        <w:rPr>
          <w:rFonts w:ascii="MetaPro-Norm" w:hAnsi="MetaPro-Norm"/>
          <w:color w:val="000000" w:themeColor="text1"/>
          <w:sz w:val="24"/>
          <w:szCs w:val="24"/>
        </w:rPr>
      </w:pPr>
      <w:r w:rsidRPr="00532430">
        <w:rPr>
          <w:rFonts w:ascii="MetaPro-Norm" w:hAnsi="MetaPro-Norm"/>
          <w:color w:val="000000" w:themeColor="text1"/>
          <w:sz w:val="24"/>
          <w:szCs w:val="24"/>
        </w:rPr>
        <w:t xml:space="preserve">Human Rights Watch Submission to the </w:t>
      </w:r>
      <w:bookmarkStart w:id="1" w:name="_Hlk534376786"/>
      <w:r w:rsidRPr="00532430">
        <w:rPr>
          <w:rFonts w:ascii="MetaPro-Norm" w:hAnsi="MetaPro-Norm"/>
          <w:color w:val="000000" w:themeColor="text1"/>
          <w:sz w:val="24"/>
          <w:szCs w:val="24"/>
        </w:rPr>
        <w:t xml:space="preserve">Committee </w:t>
      </w:r>
      <w:bookmarkEnd w:id="1"/>
      <w:r w:rsidRPr="00532430">
        <w:rPr>
          <w:rFonts w:ascii="MetaPro-Norm" w:hAnsi="MetaPro-Norm"/>
          <w:color w:val="000000" w:themeColor="text1"/>
          <w:sz w:val="24"/>
          <w:szCs w:val="24"/>
        </w:rPr>
        <w:t>on Economic, Social, and Cultural Rights Ahead of the Review of the Islamic Republic of Mauritania</w:t>
      </w:r>
    </w:p>
    <w:p w14:paraId="55AE762C" w14:textId="6D5253FC" w:rsidR="009450CF" w:rsidRPr="00532430" w:rsidRDefault="009450CF" w:rsidP="009450CF">
      <w:pPr>
        <w:pStyle w:val="NoSpacing"/>
        <w:jc w:val="center"/>
        <w:rPr>
          <w:rFonts w:ascii="MetaPro-Norm" w:hAnsi="MetaPro-Norm"/>
          <w:color w:val="000000" w:themeColor="text1"/>
          <w:sz w:val="24"/>
          <w:szCs w:val="24"/>
        </w:rPr>
      </w:pPr>
      <w:r w:rsidRPr="00532430">
        <w:rPr>
          <w:rFonts w:ascii="MetaPro-Norm" w:hAnsi="MetaPro-Norm"/>
          <w:color w:val="000000" w:themeColor="text1"/>
          <w:sz w:val="24"/>
          <w:szCs w:val="24"/>
        </w:rPr>
        <w:t xml:space="preserve"> </w:t>
      </w:r>
      <w:r w:rsidR="00414202">
        <w:rPr>
          <w:rFonts w:ascii="MetaPro-Norm" w:hAnsi="MetaPro-Norm"/>
          <w:color w:val="000000" w:themeColor="text1"/>
          <w:sz w:val="24"/>
          <w:szCs w:val="24"/>
        </w:rPr>
        <w:t>69</w:t>
      </w:r>
      <w:r w:rsidR="00414202" w:rsidRPr="00532430">
        <w:rPr>
          <w:rFonts w:ascii="MetaPro-Norm" w:hAnsi="MetaPro-Norm"/>
          <w:color w:val="000000" w:themeColor="text1"/>
          <w:sz w:val="24"/>
          <w:szCs w:val="24"/>
          <w:vertAlign w:val="superscript"/>
        </w:rPr>
        <w:t>th</w:t>
      </w:r>
      <w:r w:rsidR="00414202" w:rsidRPr="00532430">
        <w:rPr>
          <w:rFonts w:ascii="MetaPro-Norm" w:hAnsi="MetaPro-Norm"/>
          <w:color w:val="000000" w:themeColor="text1"/>
          <w:sz w:val="24"/>
          <w:szCs w:val="24"/>
        </w:rPr>
        <w:t xml:space="preserve"> </w:t>
      </w:r>
      <w:r w:rsidRPr="00532430">
        <w:rPr>
          <w:rFonts w:ascii="MetaPro-Norm" w:hAnsi="MetaPro-Norm"/>
          <w:color w:val="000000" w:themeColor="text1"/>
          <w:sz w:val="24"/>
          <w:szCs w:val="24"/>
        </w:rPr>
        <w:t>Pre-Session: August 2021</w:t>
      </w:r>
    </w:p>
    <w:p w14:paraId="20F84DBA" w14:textId="77777777" w:rsidR="009450CF" w:rsidRPr="00532430" w:rsidRDefault="009450CF" w:rsidP="009450CF">
      <w:pPr>
        <w:shd w:val="clear" w:color="auto" w:fill="FFFFFF"/>
        <w:spacing w:line="288" w:lineRule="atLeast"/>
        <w:outlineLvl w:val="0"/>
        <w:rPr>
          <w:rFonts w:ascii="MetaPro-Norm" w:hAnsi="MetaPro-Norm"/>
          <w:color w:val="000000" w:themeColor="text1"/>
          <w:kern w:val="36"/>
        </w:rPr>
      </w:pPr>
    </w:p>
    <w:p w14:paraId="70CAA6F1" w14:textId="5BE18533" w:rsidR="009450CF" w:rsidRPr="00532430" w:rsidRDefault="009450CF" w:rsidP="009450CF">
      <w:pPr>
        <w:autoSpaceDE w:val="0"/>
        <w:autoSpaceDN w:val="0"/>
        <w:adjustRightInd w:val="0"/>
        <w:rPr>
          <w:rFonts w:ascii="MetaPro-Norm" w:hAnsi="MetaPro-Norm"/>
          <w:color w:val="000000" w:themeColor="text1"/>
        </w:rPr>
      </w:pPr>
      <w:r w:rsidRPr="00532430">
        <w:rPr>
          <w:rFonts w:ascii="MetaPro-Norm" w:hAnsi="MetaPro-Norm"/>
          <w:color w:val="000000" w:themeColor="text1"/>
          <w:shd w:val="clear" w:color="auto" w:fill="FFFFFF"/>
        </w:rPr>
        <w:t>We write in advance of the</w:t>
      </w:r>
      <w:r w:rsidRPr="00532430">
        <w:rPr>
          <w:rFonts w:ascii="MetaPro-Norm" w:hAnsi="MetaPro-Norm"/>
          <w:color w:val="000000" w:themeColor="text1"/>
        </w:rPr>
        <w:t xml:space="preserve"> </w:t>
      </w:r>
      <w:r w:rsidR="00414202">
        <w:rPr>
          <w:rFonts w:ascii="MetaPro-Norm" w:hAnsi="MetaPro-Norm"/>
          <w:color w:val="000000" w:themeColor="text1"/>
          <w:shd w:val="clear" w:color="auto" w:fill="FFFFFF"/>
        </w:rPr>
        <w:t>69</w:t>
      </w:r>
      <w:r w:rsidR="00414202" w:rsidRPr="00532430">
        <w:rPr>
          <w:rFonts w:ascii="MetaPro-Norm" w:hAnsi="MetaPro-Norm"/>
          <w:color w:val="000000" w:themeColor="text1"/>
          <w:shd w:val="clear" w:color="auto" w:fill="FFFFFF"/>
          <w:vertAlign w:val="superscript"/>
        </w:rPr>
        <w:t>th</w:t>
      </w:r>
      <w:r w:rsidR="00414202" w:rsidRPr="00532430">
        <w:rPr>
          <w:rFonts w:ascii="MetaPro-Norm" w:hAnsi="MetaPro-Norm"/>
          <w:color w:val="000000" w:themeColor="text1"/>
          <w:shd w:val="clear" w:color="auto" w:fill="FFFFFF"/>
        </w:rPr>
        <w:t xml:space="preserve"> </w:t>
      </w:r>
      <w:r w:rsidRPr="00532430">
        <w:rPr>
          <w:rFonts w:ascii="MetaPro-Norm" w:hAnsi="MetaPro-Norm"/>
          <w:color w:val="000000" w:themeColor="text1"/>
          <w:shd w:val="clear" w:color="auto" w:fill="FFFFFF"/>
        </w:rPr>
        <w:t xml:space="preserve">pre-session of the </w:t>
      </w:r>
      <w:r w:rsidRPr="00532430">
        <w:rPr>
          <w:rFonts w:ascii="MetaPro-Norm" w:hAnsi="MetaPro-Norm"/>
          <w:color w:val="000000" w:themeColor="text1"/>
        </w:rPr>
        <w:t>Committee on the Economic, Social, and Cultural Rights</w:t>
      </w:r>
      <w:r w:rsidR="006F1187">
        <w:rPr>
          <w:rFonts w:ascii="MetaPro-Norm" w:hAnsi="MetaPro-Norm"/>
          <w:color w:val="000000" w:themeColor="text1"/>
        </w:rPr>
        <w:t xml:space="preserve">’ </w:t>
      </w:r>
      <w:r w:rsidRPr="00532430">
        <w:rPr>
          <w:rFonts w:ascii="MetaPro-Norm" w:hAnsi="MetaPro-Norm"/>
          <w:color w:val="000000" w:themeColor="text1"/>
        </w:rPr>
        <w:t xml:space="preserve">review of the Islamic Republic of Mauritania’s compliance with the International Covenant on Economic, Social, and Cultural Rights (CESCR). </w:t>
      </w:r>
    </w:p>
    <w:p w14:paraId="29736B9B" w14:textId="77777777" w:rsidR="009450CF" w:rsidRPr="00532430" w:rsidRDefault="009450CF" w:rsidP="009450CF">
      <w:pPr>
        <w:autoSpaceDE w:val="0"/>
        <w:autoSpaceDN w:val="0"/>
        <w:adjustRightInd w:val="0"/>
        <w:rPr>
          <w:rFonts w:ascii="MetaPro-Norm" w:hAnsi="MetaPro-Norm"/>
        </w:rPr>
      </w:pPr>
    </w:p>
    <w:p w14:paraId="4BF3DD1E" w14:textId="77777777" w:rsidR="009450CF" w:rsidRPr="00DB596E" w:rsidRDefault="009450CF" w:rsidP="009450CF">
      <w:pPr>
        <w:pStyle w:val="ListParagraph"/>
        <w:numPr>
          <w:ilvl w:val="0"/>
          <w:numId w:val="2"/>
        </w:numPr>
        <w:autoSpaceDE w:val="0"/>
        <w:autoSpaceDN w:val="0"/>
        <w:adjustRightInd w:val="0"/>
        <w:rPr>
          <w:rFonts w:ascii="MetaPro-Norm" w:hAnsi="MetaPro-Norm" w:cs="Times New Roman"/>
          <w:b/>
          <w:bCs/>
          <w:color w:val="000000" w:themeColor="text1"/>
        </w:rPr>
      </w:pPr>
      <w:r w:rsidRPr="00DB596E">
        <w:rPr>
          <w:rFonts w:ascii="MetaPro-Norm" w:hAnsi="MetaPro-Norm" w:cs="Times New Roman"/>
          <w:b/>
          <w:bCs/>
          <w:color w:val="000000" w:themeColor="text1"/>
        </w:rPr>
        <w:t>Access to Education</w:t>
      </w:r>
      <w:r>
        <w:rPr>
          <w:rFonts w:ascii="MetaPro-Norm" w:hAnsi="MetaPro-Norm" w:cs="Times New Roman"/>
          <w:b/>
          <w:bCs/>
          <w:color w:val="000000" w:themeColor="text1"/>
        </w:rPr>
        <w:t xml:space="preserve"> (arts. 2 and 13) </w:t>
      </w:r>
      <w:r w:rsidRPr="00DB596E">
        <w:rPr>
          <w:rFonts w:ascii="MetaPro-Norm" w:hAnsi="MetaPro-Norm" w:cs="Times New Roman"/>
          <w:b/>
          <w:bCs/>
          <w:color w:val="000000" w:themeColor="text1"/>
        </w:rPr>
        <w:t xml:space="preserve"> </w:t>
      </w:r>
    </w:p>
    <w:p w14:paraId="6576B07F" w14:textId="77777777" w:rsidR="009450CF" w:rsidRPr="00532430" w:rsidRDefault="009450CF" w:rsidP="009450CF">
      <w:pPr>
        <w:autoSpaceDE w:val="0"/>
        <w:autoSpaceDN w:val="0"/>
        <w:adjustRightInd w:val="0"/>
        <w:rPr>
          <w:rFonts w:ascii="MetaPro-Norm" w:hAnsi="MetaPro-Norm"/>
          <w:color w:val="000000" w:themeColor="text1"/>
        </w:rPr>
      </w:pPr>
    </w:p>
    <w:p w14:paraId="155DE7DC" w14:textId="77777777" w:rsidR="009450CF" w:rsidRPr="00F743F4" w:rsidRDefault="009450CF" w:rsidP="009450CF">
      <w:pPr>
        <w:autoSpaceDE w:val="0"/>
        <w:autoSpaceDN w:val="0"/>
        <w:adjustRightInd w:val="0"/>
        <w:rPr>
          <w:rFonts w:ascii="MetaPro-Norm" w:hAnsi="MetaPro-Norm"/>
          <w:b/>
          <w:bCs/>
          <w:i/>
          <w:iCs/>
          <w:color w:val="000000" w:themeColor="text1"/>
        </w:rPr>
      </w:pPr>
      <w:r>
        <w:rPr>
          <w:rFonts w:ascii="MetaPro-Norm" w:hAnsi="MetaPro-Norm"/>
          <w:b/>
          <w:bCs/>
          <w:i/>
          <w:iCs/>
          <w:color w:val="000000" w:themeColor="text1"/>
        </w:rPr>
        <w:t>Civil Registration as a B</w:t>
      </w:r>
      <w:r w:rsidRPr="00F743F4">
        <w:rPr>
          <w:rFonts w:ascii="MetaPro-Norm" w:hAnsi="MetaPro-Norm"/>
          <w:b/>
          <w:bCs/>
          <w:i/>
          <w:iCs/>
          <w:color w:val="000000" w:themeColor="text1"/>
        </w:rPr>
        <w:t xml:space="preserve">arrier to </w:t>
      </w:r>
      <w:r>
        <w:rPr>
          <w:rFonts w:ascii="MetaPro-Norm" w:hAnsi="MetaPro-Norm"/>
          <w:b/>
          <w:bCs/>
          <w:i/>
          <w:iCs/>
          <w:color w:val="000000" w:themeColor="text1"/>
        </w:rPr>
        <w:t>C</w:t>
      </w:r>
      <w:r w:rsidRPr="00F743F4">
        <w:rPr>
          <w:rFonts w:ascii="MetaPro-Norm" w:hAnsi="MetaPro-Norm"/>
          <w:b/>
          <w:bCs/>
          <w:i/>
          <w:iCs/>
          <w:color w:val="000000" w:themeColor="text1"/>
        </w:rPr>
        <w:t>hildren’s</w:t>
      </w:r>
      <w:r>
        <w:rPr>
          <w:rFonts w:ascii="MetaPro-Norm" w:hAnsi="MetaPro-Norm"/>
          <w:b/>
          <w:bCs/>
          <w:i/>
          <w:iCs/>
          <w:color w:val="000000" w:themeColor="text1"/>
        </w:rPr>
        <w:t xml:space="preserve"> A</w:t>
      </w:r>
      <w:r w:rsidRPr="00F743F4">
        <w:rPr>
          <w:rFonts w:ascii="MetaPro-Norm" w:hAnsi="MetaPro-Norm"/>
          <w:b/>
          <w:bCs/>
          <w:i/>
          <w:iCs/>
          <w:color w:val="000000" w:themeColor="text1"/>
        </w:rPr>
        <w:t xml:space="preserve">ccess to </w:t>
      </w:r>
      <w:r>
        <w:rPr>
          <w:rFonts w:ascii="MetaPro-Norm" w:hAnsi="MetaPro-Norm"/>
          <w:b/>
          <w:bCs/>
          <w:i/>
          <w:iCs/>
          <w:color w:val="000000" w:themeColor="text1"/>
        </w:rPr>
        <w:t>S</w:t>
      </w:r>
      <w:r w:rsidRPr="00F743F4">
        <w:rPr>
          <w:rFonts w:ascii="MetaPro-Norm" w:hAnsi="MetaPro-Norm"/>
          <w:b/>
          <w:bCs/>
          <w:i/>
          <w:iCs/>
          <w:color w:val="000000" w:themeColor="text1"/>
        </w:rPr>
        <w:t>chool</w:t>
      </w:r>
    </w:p>
    <w:p w14:paraId="4E948FBA" w14:textId="72AB5188" w:rsidR="009450CF" w:rsidRDefault="009450CF" w:rsidP="009450CF">
      <w:pPr>
        <w:autoSpaceDE w:val="0"/>
        <w:autoSpaceDN w:val="0"/>
        <w:adjustRightInd w:val="0"/>
        <w:rPr>
          <w:rFonts w:ascii="MetaPro-Norm" w:hAnsi="MetaPro-Norm"/>
          <w:color w:val="000000" w:themeColor="text1"/>
        </w:rPr>
      </w:pPr>
      <w:r>
        <w:rPr>
          <w:rFonts w:ascii="MetaPro-Norm" w:hAnsi="MetaPro-Norm"/>
          <w:color w:val="000000" w:themeColor="text1"/>
        </w:rPr>
        <w:t xml:space="preserve">Human Rights Watch in 2018 found that </w:t>
      </w:r>
      <w:r w:rsidRPr="00532430">
        <w:rPr>
          <w:rFonts w:ascii="MetaPro-Norm" w:hAnsi="MetaPro-Norm"/>
          <w:color w:val="000000" w:themeColor="text1"/>
        </w:rPr>
        <w:t xml:space="preserve">Mauritania’s national civil registration process, which began in 2011, </w:t>
      </w:r>
      <w:r>
        <w:rPr>
          <w:rFonts w:ascii="MetaPro-Norm" w:hAnsi="MetaPro-Norm"/>
          <w:color w:val="000000" w:themeColor="text1"/>
        </w:rPr>
        <w:t xml:space="preserve">prevented </w:t>
      </w:r>
      <w:r w:rsidRPr="00532430">
        <w:rPr>
          <w:rFonts w:ascii="MetaPro-Norm" w:hAnsi="MetaPro-Norm"/>
          <w:color w:val="000000" w:themeColor="text1"/>
        </w:rPr>
        <w:t>some children from attending public school and taking mandatory national examinations.</w:t>
      </w:r>
      <w:r>
        <w:rPr>
          <w:rStyle w:val="FootnoteReference"/>
          <w:rFonts w:ascii="MetaPro-Norm" w:hAnsi="MetaPro-Norm"/>
          <w:color w:val="000000" w:themeColor="text1"/>
        </w:rPr>
        <w:footnoteReference w:id="2"/>
      </w:r>
      <w:r w:rsidRPr="00532430">
        <w:rPr>
          <w:rFonts w:ascii="MetaPro-Norm" w:hAnsi="MetaPro-Norm"/>
          <w:color w:val="000000" w:themeColor="text1"/>
        </w:rPr>
        <w:t xml:space="preserve"> To complete the registration process, citizens and non-citizen residents are required to produce a range of official paperwork, but many people lack</w:t>
      </w:r>
      <w:r>
        <w:rPr>
          <w:rFonts w:ascii="MetaPro-Norm" w:hAnsi="MetaPro-Norm"/>
          <w:color w:val="000000" w:themeColor="text1"/>
        </w:rPr>
        <w:t>ed</w:t>
      </w:r>
      <w:r w:rsidRPr="00532430">
        <w:rPr>
          <w:rFonts w:ascii="MetaPro-Norm" w:hAnsi="MetaPro-Norm"/>
          <w:color w:val="000000" w:themeColor="text1"/>
        </w:rPr>
        <w:t xml:space="preserve"> the necessary documents and have found the process of obtaining them arduous.</w:t>
      </w:r>
      <w:r>
        <w:rPr>
          <w:rFonts w:ascii="MetaPro-Norm" w:hAnsi="MetaPro-Norm"/>
          <w:color w:val="000000" w:themeColor="text1"/>
        </w:rPr>
        <w:t xml:space="preserve"> People</w:t>
      </w:r>
      <w:r w:rsidRPr="00E52770">
        <w:rPr>
          <w:rFonts w:ascii="MetaPro-Norm" w:hAnsi="MetaPro-Norm"/>
          <w:color w:val="000000" w:themeColor="text1"/>
        </w:rPr>
        <w:t xml:space="preserve"> who lack </w:t>
      </w:r>
      <w:r>
        <w:rPr>
          <w:rFonts w:ascii="MetaPro-Norm" w:hAnsi="MetaPro-Norm"/>
          <w:color w:val="000000" w:themeColor="text1"/>
        </w:rPr>
        <w:t>a national ID</w:t>
      </w:r>
      <w:r w:rsidRPr="00E52770">
        <w:rPr>
          <w:rFonts w:ascii="MetaPro-Norm" w:hAnsi="MetaPro-Norm"/>
          <w:color w:val="000000" w:themeColor="text1"/>
        </w:rPr>
        <w:t xml:space="preserve"> card </w:t>
      </w:r>
      <w:r>
        <w:rPr>
          <w:rFonts w:ascii="MetaPro-Norm" w:hAnsi="MetaPro-Norm"/>
          <w:color w:val="000000" w:themeColor="text1"/>
        </w:rPr>
        <w:t xml:space="preserve">are </w:t>
      </w:r>
      <w:r w:rsidRPr="00E52770">
        <w:rPr>
          <w:rFonts w:ascii="MetaPro-Norm" w:hAnsi="MetaPro-Norm"/>
          <w:color w:val="000000" w:themeColor="text1"/>
        </w:rPr>
        <w:t>effectively stateless</w:t>
      </w:r>
      <w:r>
        <w:rPr>
          <w:rFonts w:ascii="MetaPro-Norm" w:hAnsi="MetaPro-Norm"/>
          <w:color w:val="000000" w:themeColor="text1"/>
        </w:rPr>
        <w:t xml:space="preserve"> – they</w:t>
      </w:r>
      <w:r w:rsidRPr="00E52770">
        <w:rPr>
          <w:rFonts w:ascii="MetaPro-Norm" w:hAnsi="MetaPro-Norm"/>
          <w:color w:val="000000" w:themeColor="text1"/>
        </w:rPr>
        <w:t xml:space="preserve"> cannot </w:t>
      </w:r>
      <w:r>
        <w:rPr>
          <w:rFonts w:ascii="MetaPro-Norm" w:hAnsi="MetaPro-Norm"/>
          <w:color w:val="000000" w:themeColor="text1"/>
        </w:rPr>
        <w:t xml:space="preserve">vote, </w:t>
      </w:r>
      <w:r w:rsidRPr="00E52770">
        <w:rPr>
          <w:rFonts w:ascii="MetaPro-Norm" w:hAnsi="MetaPro-Norm"/>
          <w:color w:val="000000" w:themeColor="text1"/>
        </w:rPr>
        <w:t>own land</w:t>
      </w:r>
      <w:r>
        <w:rPr>
          <w:rFonts w:ascii="MetaPro-Norm" w:hAnsi="MetaPro-Norm"/>
          <w:color w:val="000000" w:themeColor="text1"/>
        </w:rPr>
        <w:t xml:space="preserve">, or qualify for government benefits, and </w:t>
      </w:r>
      <w:r w:rsidRPr="00E52770">
        <w:rPr>
          <w:rFonts w:ascii="MetaPro-Norm" w:hAnsi="MetaPro-Norm"/>
          <w:color w:val="000000" w:themeColor="text1"/>
        </w:rPr>
        <w:t>face obstacles to attending school and taking national exams</w:t>
      </w:r>
      <w:r>
        <w:rPr>
          <w:rFonts w:ascii="MetaPro-Norm" w:hAnsi="MetaPro-Norm"/>
          <w:color w:val="000000" w:themeColor="text1"/>
        </w:rPr>
        <w:t>.</w:t>
      </w:r>
      <w:r>
        <w:rPr>
          <w:rStyle w:val="FootnoteReference"/>
          <w:rFonts w:ascii="MetaPro-Norm" w:hAnsi="MetaPro-Norm"/>
          <w:color w:val="000000" w:themeColor="text1"/>
        </w:rPr>
        <w:footnoteReference w:id="3"/>
      </w:r>
    </w:p>
    <w:p w14:paraId="345AC43D" w14:textId="77777777" w:rsidR="009450CF" w:rsidRDefault="009450CF" w:rsidP="009450CF">
      <w:pPr>
        <w:autoSpaceDE w:val="0"/>
        <w:autoSpaceDN w:val="0"/>
        <w:adjustRightInd w:val="0"/>
        <w:rPr>
          <w:rFonts w:ascii="MetaPro-Norm" w:hAnsi="MetaPro-Norm"/>
          <w:color w:val="000000" w:themeColor="text1"/>
        </w:rPr>
      </w:pPr>
    </w:p>
    <w:p w14:paraId="192720B2" w14:textId="2732019B" w:rsidR="009450CF" w:rsidRPr="00532430" w:rsidRDefault="009450CF" w:rsidP="009450CF">
      <w:pPr>
        <w:autoSpaceDE w:val="0"/>
        <w:autoSpaceDN w:val="0"/>
        <w:adjustRightInd w:val="0"/>
        <w:rPr>
          <w:rFonts w:ascii="MetaPro-Norm" w:hAnsi="MetaPro-Norm"/>
          <w:color w:val="000000" w:themeColor="text1"/>
        </w:rPr>
      </w:pPr>
      <w:r w:rsidRPr="00532430">
        <w:rPr>
          <w:rFonts w:ascii="MetaPro-Norm" w:hAnsi="MetaPro-Norm"/>
          <w:color w:val="000000" w:themeColor="text1"/>
        </w:rPr>
        <w:t xml:space="preserve">Families told Human Rights Watch that some </w:t>
      </w:r>
      <w:r>
        <w:rPr>
          <w:rFonts w:ascii="MetaPro-Norm" w:hAnsi="MetaPro-Norm"/>
          <w:color w:val="000000" w:themeColor="text1"/>
        </w:rPr>
        <w:t xml:space="preserve">public </w:t>
      </w:r>
      <w:r w:rsidRPr="00532430">
        <w:rPr>
          <w:rFonts w:ascii="MetaPro-Norm" w:hAnsi="MetaPro-Norm"/>
          <w:color w:val="000000" w:themeColor="text1"/>
        </w:rPr>
        <w:t>schools rejected pupils who lack</w:t>
      </w:r>
      <w:r>
        <w:rPr>
          <w:rFonts w:ascii="MetaPro-Norm" w:hAnsi="MetaPro-Norm"/>
          <w:color w:val="000000" w:themeColor="text1"/>
        </w:rPr>
        <w:t>ed</w:t>
      </w:r>
      <w:r w:rsidRPr="00532430">
        <w:rPr>
          <w:rFonts w:ascii="MetaPro-Norm" w:hAnsi="MetaPro-Norm"/>
          <w:color w:val="000000" w:themeColor="text1"/>
        </w:rPr>
        <w:t xml:space="preserve"> civil registration, even though school attendance is compulsory from ages 6 to 14.</w:t>
      </w:r>
      <w:r>
        <w:rPr>
          <w:rStyle w:val="FootnoteReference"/>
          <w:rFonts w:ascii="MetaPro-Norm" w:hAnsi="MetaPro-Norm"/>
          <w:color w:val="000000" w:themeColor="text1"/>
        </w:rPr>
        <w:footnoteReference w:id="4"/>
      </w:r>
      <w:r w:rsidRPr="00532430">
        <w:rPr>
          <w:rFonts w:ascii="MetaPro-Norm" w:hAnsi="MetaPro-Norm"/>
          <w:color w:val="000000" w:themeColor="text1"/>
        </w:rPr>
        <w:t xml:space="preserve"> </w:t>
      </w:r>
      <w:r w:rsidRPr="00532430">
        <w:rPr>
          <w:rFonts w:ascii="MetaPro-Norm" w:hAnsi="MetaPro-Norm"/>
          <w:color w:val="000000" w:themeColor="text1"/>
        </w:rPr>
        <w:lastRenderedPageBreak/>
        <w:t xml:space="preserve">Some children without the required documentation </w:t>
      </w:r>
      <w:r>
        <w:rPr>
          <w:rFonts w:ascii="MetaPro-Norm" w:hAnsi="MetaPro-Norm"/>
          <w:color w:val="000000" w:themeColor="text1"/>
        </w:rPr>
        <w:t>were</w:t>
      </w:r>
      <w:r w:rsidRPr="00532430">
        <w:rPr>
          <w:rFonts w:ascii="MetaPro-Norm" w:hAnsi="MetaPro-Norm"/>
          <w:color w:val="000000" w:themeColor="text1"/>
        </w:rPr>
        <w:t xml:space="preserve"> able to enroll – often thanks to the leniency of a school administrator or by enrolling in private or Quranic schools – but still cannot take the national tests they must pass to graduate from elementary, middle, and high school.</w:t>
      </w:r>
    </w:p>
    <w:p w14:paraId="0D1DF98D" w14:textId="77777777" w:rsidR="009450CF" w:rsidRDefault="009450CF" w:rsidP="009450CF">
      <w:pPr>
        <w:autoSpaceDE w:val="0"/>
        <w:autoSpaceDN w:val="0"/>
        <w:adjustRightInd w:val="0"/>
        <w:rPr>
          <w:rFonts w:ascii="MetaPro-Norm" w:hAnsi="MetaPro-Norm"/>
          <w:color w:val="000000" w:themeColor="text1"/>
        </w:rPr>
      </w:pPr>
    </w:p>
    <w:p w14:paraId="51FB4221" w14:textId="77777777" w:rsidR="009450CF" w:rsidRDefault="009450CF" w:rsidP="009450CF">
      <w:pPr>
        <w:autoSpaceDE w:val="0"/>
        <w:autoSpaceDN w:val="0"/>
        <w:adjustRightInd w:val="0"/>
        <w:rPr>
          <w:rFonts w:ascii="MetaPro-Norm" w:hAnsi="MetaPro-Norm"/>
          <w:color w:val="000000" w:themeColor="text1"/>
        </w:rPr>
      </w:pPr>
      <w:r w:rsidRPr="00532430">
        <w:rPr>
          <w:rFonts w:ascii="MetaPro-Norm" w:hAnsi="MetaPro-Norm"/>
          <w:color w:val="000000" w:themeColor="text1"/>
        </w:rPr>
        <w:t>Despite attempts to standardize the civil registration procedures, local rules governing registration are often passed on orally, and rules are not applied consistently across civil registration centers.</w:t>
      </w:r>
      <w:r>
        <w:rPr>
          <w:rFonts w:ascii="MetaPro-Norm" w:hAnsi="MetaPro-Norm"/>
          <w:color w:val="000000" w:themeColor="text1"/>
        </w:rPr>
        <w:t xml:space="preserve"> </w:t>
      </w:r>
    </w:p>
    <w:p w14:paraId="2F24D6C3" w14:textId="77777777" w:rsidR="009450CF" w:rsidRPr="00532430" w:rsidRDefault="009450CF" w:rsidP="009450CF">
      <w:pPr>
        <w:autoSpaceDE w:val="0"/>
        <w:autoSpaceDN w:val="0"/>
        <w:adjustRightInd w:val="0"/>
        <w:rPr>
          <w:rFonts w:ascii="MetaPro-Norm" w:hAnsi="MetaPro-Norm"/>
          <w:color w:val="000000" w:themeColor="text1"/>
        </w:rPr>
      </w:pPr>
    </w:p>
    <w:p w14:paraId="334FCA76" w14:textId="4B4DA602" w:rsidR="009450CF" w:rsidRDefault="00D80DF1" w:rsidP="009450CF">
      <w:pPr>
        <w:autoSpaceDE w:val="0"/>
        <w:autoSpaceDN w:val="0"/>
        <w:adjustRightInd w:val="0"/>
        <w:rPr>
          <w:rFonts w:ascii="MetaPro-Norm" w:hAnsi="MetaPro-Norm"/>
          <w:color w:val="000000" w:themeColor="text1"/>
        </w:rPr>
      </w:pPr>
      <w:r w:rsidRPr="00D80DF1">
        <w:rPr>
          <w:rFonts w:ascii="MetaPro-Norm" w:hAnsi="MetaPro-Norm"/>
          <w:color w:val="000000" w:themeColor="text1"/>
        </w:rPr>
        <w:t>All the families interviewed by Human Rights Watch in its 2018 report who lacked the required documentation for school attendance are of modest means and are from traditional Mauritanian slave castes in the Black Moor (Haratine) or Afro-Mauritanian communities.</w:t>
      </w:r>
      <w:r>
        <w:rPr>
          <w:rFonts w:ascii="MetaPro-Norm" w:hAnsi="MetaPro-Norm"/>
          <w:color w:val="000000" w:themeColor="text1"/>
        </w:rPr>
        <w:t xml:space="preserve"> </w:t>
      </w:r>
      <w:r w:rsidR="009450CF" w:rsidRPr="00532430">
        <w:rPr>
          <w:rFonts w:ascii="MetaPro-Norm" w:hAnsi="MetaPro-Norm"/>
          <w:color w:val="000000" w:themeColor="text1"/>
        </w:rPr>
        <w:t xml:space="preserve">Some Mauritanian </w:t>
      </w:r>
      <w:r w:rsidR="009450CF">
        <w:rPr>
          <w:rFonts w:ascii="MetaPro-Norm" w:hAnsi="MetaPro-Norm"/>
          <w:color w:val="000000" w:themeColor="text1"/>
        </w:rPr>
        <w:t xml:space="preserve">civic </w:t>
      </w:r>
      <w:r w:rsidR="009450CF" w:rsidRPr="00532430">
        <w:rPr>
          <w:rFonts w:ascii="MetaPro-Norm" w:hAnsi="MetaPro-Norm"/>
          <w:color w:val="000000" w:themeColor="text1"/>
        </w:rPr>
        <w:t xml:space="preserve">groups </w:t>
      </w:r>
      <w:r w:rsidR="009450CF">
        <w:rPr>
          <w:rFonts w:ascii="MetaPro-Norm" w:hAnsi="MetaPro-Norm"/>
          <w:color w:val="000000" w:themeColor="text1"/>
        </w:rPr>
        <w:t>claim</w:t>
      </w:r>
      <w:r w:rsidR="009450CF" w:rsidRPr="00532430">
        <w:rPr>
          <w:rFonts w:ascii="MetaPro-Norm" w:hAnsi="MetaPro-Norm"/>
          <w:color w:val="000000" w:themeColor="text1"/>
        </w:rPr>
        <w:t xml:space="preserve"> the civil registration process discriminates against these </w:t>
      </w:r>
      <w:r w:rsidR="009450CF">
        <w:rPr>
          <w:rFonts w:ascii="MetaPro-Norm" w:hAnsi="MetaPro-Norm"/>
          <w:color w:val="000000" w:themeColor="text1"/>
        </w:rPr>
        <w:t>communities, though the government denies this</w:t>
      </w:r>
      <w:r w:rsidR="009450CF" w:rsidRPr="00532430">
        <w:rPr>
          <w:rFonts w:ascii="MetaPro-Norm" w:hAnsi="MetaPro-Norm"/>
          <w:color w:val="000000" w:themeColor="text1"/>
        </w:rPr>
        <w:t>.</w:t>
      </w:r>
      <w:r w:rsidR="009450CF">
        <w:rPr>
          <w:rStyle w:val="FootnoteReference"/>
          <w:rFonts w:ascii="MetaPro-Norm" w:hAnsi="MetaPro-Norm"/>
          <w:color w:val="000000" w:themeColor="text1"/>
        </w:rPr>
        <w:footnoteReference w:id="5"/>
      </w:r>
      <w:r w:rsidR="009450CF">
        <w:rPr>
          <w:rFonts w:ascii="MetaPro-Norm" w:hAnsi="MetaPro-Norm"/>
          <w:color w:val="000000" w:themeColor="text1"/>
        </w:rPr>
        <w:t xml:space="preserve"> </w:t>
      </w:r>
      <w:r w:rsidR="009450CF" w:rsidRPr="00B1320B">
        <w:rPr>
          <w:rFonts w:ascii="MetaPro-Norm" w:hAnsi="MetaPro-Norm"/>
          <w:color w:val="000000" w:themeColor="text1"/>
        </w:rPr>
        <w:t xml:space="preserve">State schools that primarily cater to these groups </w:t>
      </w:r>
      <w:r w:rsidR="009450CF">
        <w:rPr>
          <w:rFonts w:ascii="MetaPro-Norm" w:hAnsi="MetaPro-Norm"/>
          <w:color w:val="000000" w:themeColor="text1"/>
        </w:rPr>
        <w:t>“lack teachers or fall into disrepair,” according to some media reports</w:t>
      </w:r>
      <w:r w:rsidR="00462B45">
        <w:rPr>
          <w:rFonts w:ascii="MetaPro-Norm" w:hAnsi="MetaPro-Norm"/>
          <w:color w:val="000000" w:themeColor="text1"/>
        </w:rPr>
        <w:t>, or are seriously understaffed</w:t>
      </w:r>
      <w:r w:rsidR="009450CF">
        <w:rPr>
          <w:rFonts w:ascii="MetaPro-Norm" w:hAnsi="MetaPro-Norm"/>
          <w:color w:val="000000" w:themeColor="text1"/>
        </w:rPr>
        <w:t>.</w:t>
      </w:r>
      <w:r w:rsidR="009450CF">
        <w:rPr>
          <w:rStyle w:val="FootnoteReference"/>
          <w:rFonts w:ascii="MetaPro-Norm" w:hAnsi="MetaPro-Norm"/>
          <w:color w:val="000000" w:themeColor="text1"/>
        </w:rPr>
        <w:footnoteReference w:id="6"/>
      </w:r>
    </w:p>
    <w:p w14:paraId="1716DF9F" w14:textId="77777777" w:rsidR="009450CF" w:rsidRDefault="009450CF" w:rsidP="009450CF">
      <w:pPr>
        <w:autoSpaceDE w:val="0"/>
        <w:autoSpaceDN w:val="0"/>
        <w:adjustRightInd w:val="0"/>
        <w:rPr>
          <w:rFonts w:ascii="MetaPro-Norm" w:hAnsi="MetaPro-Norm"/>
          <w:color w:val="000000" w:themeColor="text1"/>
        </w:rPr>
      </w:pPr>
    </w:p>
    <w:p w14:paraId="638D8690" w14:textId="77777777" w:rsidR="009450CF" w:rsidRPr="00C549BB" w:rsidRDefault="009450CF" w:rsidP="009450CF">
      <w:pPr>
        <w:autoSpaceDE w:val="0"/>
        <w:autoSpaceDN w:val="0"/>
        <w:adjustRightInd w:val="0"/>
        <w:rPr>
          <w:rFonts w:ascii="MetaPro-Norm" w:hAnsi="MetaPro-Norm"/>
          <w:b/>
          <w:bCs/>
          <w:i/>
          <w:iCs/>
          <w:color w:val="000000" w:themeColor="text1"/>
        </w:rPr>
      </w:pPr>
      <w:r w:rsidRPr="00C549BB">
        <w:rPr>
          <w:rFonts w:ascii="MetaPro-Norm" w:hAnsi="MetaPro-Norm"/>
          <w:b/>
          <w:bCs/>
          <w:i/>
          <w:iCs/>
          <w:color w:val="000000" w:themeColor="text1"/>
        </w:rPr>
        <w:t xml:space="preserve">Gender </w:t>
      </w:r>
      <w:r>
        <w:rPr>
          <w:rFonts w:ascii="MetaPro-Norm" w:hAnsi="MetaPro-Norm"/>
          <w:b/>
          <w:bCs/>
          <w:i/>
          <w:iCs/>
          <w:color w:val="000000" w:themeColor="text1"/>
        </w:rPr>
        <w:t>I</w:t>
      </w:r>
      <w:r w:rsidRPr="00C549BB">
        <w:rPr>
          <w:rFonts w:ascii="MetaPro-Norm" w:hAnsi="MetaPro-Norm"/>
          <w:b/>
          <w:bCs/>
          <w:i/>
          <w:iCs/>
          <w:color w:val="000000" w:themeColor="text1"/>
        </w:rPr>
        <w:t>nequalities</w:t>
      </w:r>
      <w:r>
        <w:rPr>
          <w:rFonts w:ascii="MetaPro-Norm" w:hAnsi="MetaPro-Norm"/>
          <w:b/>
          <w:bCs/>
          <w:i/>
          <w:iCs/>
          <w:color w:val="000000" w:themeColor="text1"/>
        </w:rPr>
        <w:t xml:space="preserve"> </w:t>
      </w:r>
    </w:p>
    <w:p w14:paraId="47703E2B" w14:textId="77777777" w:rsidR="009450CF" w:rsidRPr="00532430" w:rsidRDefault="009450CF" w:rsidP="009450CF">
      <w:pPr>
        <w:autoSpaceDE w:val="0"/>
        <w:autoSpaceDN w:val="0"/>
        <w:adjustRightInd w:val="0"/>
        <w:rPr>
          <w:rFonts w:ascii="MetaPro-Norm" w:hAnsi="MetaPro-Norm"/>
          <w:color w:val="000000" w:themeColor="text1"/>
        </w:rPr>
      </w:pPr>
      <w:r w:rsidRPr="00532430">
        <w:rPr>
          <w:rFonts w:ascii="MetaPro-Norm" w:hAnsi="MetaPro-Norm"/>
          <w:color w:val="000000" w:themeColor="text1"/>
        </w:rPr>
        <w:t>School completion rates at the primary and lower secondary levels evince inequities between boys and girls.</w:t>
      </w:r>
      <w:r>
        <w:rPr>
          <w:rStyle w:val="FootnoteReference"/>
          <w:rFonts w:ascii="MetaPro-Norm" w:hAnsi="MetaPro-Norm"/>
          <w:color w:val="000000" w:themeColor="text1"/>
        </w:rPr>
        <w:footnoteReference w:id="7"/>
      </w:r>
      <w:r w:rsidRPr="00532430">
        <w:rPr>
          <w:rFonts w:ascii="MetaPro-Norm" w:hAnsi="MetaPro-Norm"/>
          <w:color w:val="000000" w:themeColor="text1"/>
        </w:rPr>
        <w:t xml:space="preserve"> According to UNICEF, between 2012 and 2018, only 56 percent of girls completed primary school, compared to 64 percent of boys.</w:t>
      </w:r>
      <w:r>
        <w:rPr>
          <w:rStyle w:val="FootnoteReference"/>
          <w:rFonts w:ascii="MetaPro-Norm" w:hAnsi="MetaPro-Norm"/>
          <w:color w:val="000000" w:themeColor="text1"/>
        </w:rPr>
        <w:footnoteReference w:id="8"/>
      </w:r>
      <w:r w:rsidRPr="00532430">
        <w:rPr>
          <w:rFonts w:ascii="MetaPro-Norm" w:hAnsi="MetaPro-Norm"/>
          <w:color w:val="000000" w:themeColor="text1"/>
        </w:rPr>
        <w:t xml:space="preserve"> Within the same timeframe, only 34 percent of girls completed lower secondary school, compared to 42 percent of boys.</w:t>
      </w:r>
      <w:r>
        <w:rPr>
          <w:rStyle w:val="FootnoteReference"/>
          <w:rFonts w:ascii="MetaPro-Norm" w:hAnsi="MetaPro-Norm"/>
          <w:color w:val="000000" w:themeColor="text1"/>
        </w:rPr>
        <w:footnoteReference w:id="9"/>
      </w:r>
      <w:r w:rsidRPr="00532430">
        <w:rPr>
          <w:rFonts w:ascii="MetaPro-Norm" w:hAnsi="MetaPro-Norm"/>
          <w:color w:val="000000" w:themeColor="text1"/>
        </w:rPr>
        <w:t xml:space="preserve"> At the upper secondary level, boys and girls completed school at similar rates.</w:t>
      </w:r>
      <w:r>
        <w:rPr>
          <w:rStyle w:val="FootnoteReference"/>
          <w:rFonts w:ascii="MetaPro-Norm" w:hAnsi="MetaPro-Norm"/>
          <w:color w:val="000000" w:themeColor="text1"/>
        </w:rPr>
        <w:footnoteReference w:id="10"/>
      </w:r>
      <w:r w:rsidRPr="00532430">
        <w:rPr>
          <w:rFonts w:ascii="MetaPro-Norm" w:hAnsi="MetaPro-Norm"/>
          <w:color w:val="000000" w:themeColor="text1"/>
        </w:rPr>
        <w:t xml:space="preserve"> </w:t>
      </w:r>
    </w:p>
    <w:p w14:paraId="32D77C6B" w14:textId="77777777" w:rsidR="009450CF" w:rsidRDefault="009450CF" w:rsidP="009450CF">
      <w:pPr>
        <w:autoSpaceDE w:val="0"/>
        <w:autoSpaceDN w:val="0"/>
        <w:adjustRightInd w:val="0"/>
        <w:rPr>
          <w:rFonts w:ascii="MetaPro-Norm" w:hAnsi="MetaPro-Norm"/>
          <w:color w:val="000000" w:themeColor="text1"/>
        </w:rPr>
      </w:pPr>
    </w:p>
    <w:p w14:paraId="0FCCED11" w14:textId="77777777" w:rsidR="009450CF" w:rsidRPr="0030280A" w:rsidRDefault="009450CF" w:rsidP="009450CF">
      <w:pPr>
        <w:autoSpaceDE w:val="0"/>
        <w:autoSpaceDN w:val="0"/>
        <w:adjustRightInd w:val="0"/>
        <w:rPr>
          <w:rFonts w:ascii="MetaPro-Norm" w:hAnsi="MetaPro-Norm"/>
          <w:b/>
          <w:bCs/>
          <w:i/>
          <w:iCs/>
          <w:color w:val="000000" w:themeColor="text1"/>
        </w:rPr>
      </w:pPr>
      <w:r w:rsidRPr="00EC4415">
        <w:rPr>
          <w:rFonts w:ascii="MetaPro-Norm" w:hAnsi="MetaPro-Norm"/>
          <w:b/>
          <w:bCs/>
          <w:i/>
          <w:iCs/>
          <w:color w:val="000000" w:themeColor="text1"/>
        </w:rPr>
        <w:lastRenderedPageBreak/>
        <w:t>Covid-19</w:t>
      </w:r>
      <w:r w:rsidRPr="00967653">
        <w:rPr>
          <w:rFonts w:ascii="MetaPro-Norm" w:hAnsi="MetaPro-Norm"/>
          <w:b/>
          <w:bCs/>
          <w:i/>
          <w:iCs/>
          <w:color w:val="000000" w:themeColor="text1"/>
        </w:rPr>
        <w:t xml:space="preserve"> </w:t>
      </w:r>
    </w:p>
    <w:p w14:paraId="43AF50A2" w14:textId="571E9877" w:rsidR="009450CF" w:rsidRDefault="009450CF" w:rsidP="009450CF">
      <w:pPr>
        <w:rPr>
          <w:rFonts w:ascii="MetaPro-Norm" w:hAnsi="MetaPro-Norm"/>
          <w:color w:val="000000" w:themeColor="text1"/>
        </w:rPr>
      </w:pPr>
      <w:r>
        <w:rPr>
          <w:rFonts w:ascii="MetaPro-Norm" w:hAnsi="MetaPro-Norm"/>
          <w:color w:val="000000" w:themeColor="text1"/>
        </w:rPr>
        <w:t>Covid-19 related school closures and other measures geared toward minimizing the spread of the novel coronavirus have impacted children’s abilities to attend school and obtain an education. The Ministry of Education closed all schools nationwide on March 16, 2020, forcing approximately 943,000</w:t>
      </w:r>
      <w:r>
        <w:t xml:space="preserve"> </w:t>
      </w:r>
      <w:r>
        <w:rPr>
          <w:rFonts w:ascii="MetaPro-Norm" w:hAnsi="MetaPro-Norm"/>
          <w:color w:val="000000" w:themeColor="text1"/>
        </w:rPr>
        <w:t>students, almost 60</w:t>
      </w:r>
      <w:r w:rsidR="428764D4">
        <w:rPr>
          <w:rFonts w:ascii="MetaPro-Norm" w:hAnsi="MetaPro-Norm"/>
          <w:color w:val="000000" w:themeColor="text1"/>
        </w:rPr>
        <w:t xml:space="preserve"> percent</w:t>
      </w:r>
      <w:r>
        <w:rPr>
          <w:rFonts w:ascii="MetaPro-Norm" w:hAnsi="MetaPro-Norm"/>
          <w:color w:val="000000" w:themeColor="text1"/>
        </w:rPr>
        <w:t xml:space="preserve"> of whom were boys, to remain home, and introduced a gradual re-opening of schools in mid-January 2021.</w:t>
      </w:r>
      <w:r>
        <w:rPr>
          <w:rStyle w:val="FootnoteReference"/>
          <w:rFonts w:ascii="MetaPro-Norm" w:hAnsi="MetaPro-Norm"/>
          <w:color w:val="000000" w:themeColor="text1"/>
        </w:rPr>
        <w:footnoteReference w:id="11"/>
      </w:r>
      <w:r>
        <w:rPr>
          <w:rFonts w:ascii="MetaPro-Norm" w:hAnsi="MetaPro-Norm"/>
          <w:color w:val="000000" w:themeColor="text1"/>
        </w:rPr>
        <w:t xml:space="preserve"> </w:t>
      </w:r>
    </w:p>
    <w:p w14:paraId="37B53E2E" w14:textId="77777777" w:rsidR="009450CF" w:rsidRDefault="009450CF" w:rsidP="009450CF">
      <w:pPr>
        <w:rPr>
          <w:rFonts w:ascii="MetaPro-Norm" w:hAnsi="MetaPro-Norm"/>
          <w:color w:val="000000" w:themeColor="text1"/>
        </w:rPr>
      </w:pPr>
    </w:p>
    <w:p w14:paraId="3F1F30B2" w14:textId="6DF8F10C" w:rsidR="009450CF" w:rsidRDefault="4AA55371" w:rsidP="009450CF">
      <w:pPr>
        <w:autoSpaceDE w:val="0"/>
        <w:autoSpaceDN w:val="0"/>
        <w:adjustRightInd w:val="0"/>
        <w:rPr>
          <w:rFonts w:ascii="MetaPro-Norm" w:hAnsi="MetaPro-Norm"/>
          <w:color w:val="000000" w:themeColor="text1"/>
        </w:rPr>
      </w:pPr>
      <w:r>
        <w:rPr>
          <w:rFonts w:ascii="MetaPro-Norm" w:hAnsi="MetaPro-Norm"/>
          <w:color w:val="000000" w:themeColor="text1"/>
        </w:rPr>
        <w:t>D</w:t>
      </w:r>
      <w:r w:rsidR="009450CF">
        <w:rPr>
          <w:rFonts w:ascii="MetaPro-Norm" w:hAnsi="MetaPro-Norm"/>
          <w:color w:val="000000" w:themeColor="text1"/>
        </w:rPr>
        <w:t xml:space="preserve">istance learning measures relied heavily on the distribution of school materials online and via television and radio, </w:t>
      </w:r>
      <w:r w:rsidR="6E2556C6">
        <w:rPr>
          <w:rFonts w:ascii="MetaPro-Norm" w:hAnsi="MetaPro-Norm"/>
          <w:color w:val="000000" w:themeColor="text1"/>
        </w:rPr>
        <w:t>but failed to ensure that children without access to these technologies could still fulfill their right to education</w:t>
      </w:r>
      <w:r w:rsidR="009450CF">
        <w:rPr>
          <w:rFonts w:ascii="MetaPro-Norm" w:hAnsi="MetaPro-Norm"/>
          <w:color w:val="000000" w:themeColor="text1"/>
        </w:rPr>
        <w:t>.</w:t>
      </w:r>
      <w:r w:rsidR="009450CF">
        <w:rPr>
          <w:rStyle w:val="FootnoteReference"/>
          <w:rFonts w:ascii="MetaPro-Norm" w:hAnsi="MetaPro-Norm"/>
          <w:color w:val="000000" w:themeColor="text1"/>
        </w:rPr>
        <w:footnoteReference w:id="12"/>
      </w:r>
      <w:r w:rsidR="009450CF">
        <w:rPr>
          <w:rFonts w:ascii="MetaPro-Norm" w:hAnsi="MetaPro-Norm"/>
          <w:color w:val="000000" w:themeColor="text1"/>
        </w:rPr>
        <w:t xml:space="preserve"> According to DataReportal, as of January 2021, out of a population of 4.7 million, only 1.56 million Mauritanians are internet users</w:t>
      </w:r>
      <w:r w:rsidR="00657DA9">
        <w:rPr>
          <w:rFonts w:ascii="MetaPro-Norm" w:hAnsi="MetaPro-Norm"/>
          <w:color w:val="000000" w:themeColor="text1"/>
        </w:rPr>
        <w:t xml:space="preserve"> (about 33 percent)</w:t>
      </w:r>
      <w:r w:rsidR="006C566E">
        <w:rPr>
          <w:rFonts w:ascii="MetaPro-Norm" w:hAnsi="MetaPro-Norm"/>
          <w:color w:val="000000" w:themeColor="text1"/>
        </w:rPr>
        <w:t>.</w:t>
      </w:r>
      <w:r w:rsidR="009450CF">
        <w:rPr>
          <w:rStyle w:val="FootnoteReference"/>
          <w:rFonts w:ascii="MetaPro-Norm" w:hAnsi="MetaPro-Norm"/>
          <w:color w:val="000000" w:themeColor="text1"/>
        </w:rPr>
        <w:footnoteReference w:id="13"/>
      </w:r>
      <w:r w:rsidR="009450CF">
        <w:rPr>
          <w:rFonts w:ascii="MetaPro-Norm" w:hAnsi="MetaPro-Norm"/>
          <w:color w:val="000000" w:themeColor="text1"/>
        </w:rPr>
        <w:t xml:space="preserve"> Data remain unclear regarding the number and gender breakdown of students supported in distance or home-based learning.</w:t>
      </w:r>
      <w:r w:rsidR="009450CF">
        <w:rPr>
          <w:rStyle w:val="FootnoteReference"/>
          <w:rFonts w:ascii="MetaPro-Norm" w:hAnsi="MetaPro-Norm"/>
          <w:color w:val="000000" w:themeColor="text1"/>
        </w:rPr>
        <w:footnoteReference w:id="14"/>
      </w:r>
      <w:r w:rsidR="009450CF">
        <w:rPr>
          <w:rFonts w:ascii="MetaPro-Norm" w:hAnsi="MetaPro-Norm"/>
          <w:color w:val="000000" w:themeColor="text1"/>
        </w:rPr>
        <w:t xml:space="preserve"> </w:t>
      </w:r>
    </w:p>
    <w:p w14:paraId="2A9BE92B" w14:textId="77777777" w:rsidR="009450CF" w:rsidRDefault="009450CF" w:rsidP="009450CF">
      <w:pPr>
        <w:rPr>
          <w:rFonts w:ascii="MetaPro-Norm" w:hAnsi="MetaPro-Norm"/>
          <w:color w:val="000000" w:themeColor="text1"/>
        </w:rPr>
      </w:pPr>
    </w:p>
    <w:p w14:paraId="3A4CDB8E" w14:textId="77777777" w:rsidR="009450CF" w:rsidRPr="00427269" w:rsidRDefault="009450CF" w:rsidP="009450CF">
      <w:pPr>
        <w:autoSpaceDE w:val="0"/>
        <w:autoSpaceDN w:val="0"/>
        <w:adjustRightInd w:val="0"/>
        <w:rPr>
          <w:rFonts w:ascii="MetaPro-Norm" w:eastAsiaTheme="minorHAnsi" w:hAnsi="MetaPro-Norm"/>
          <w:color w:val="000000" w:themeColor="text1"/>
        </w:rPr>
      </w:pPr>
      <w:r>
        <w:rPr>
          <w:rFonts w:ascii="MetaPro-Norm" w:hAnsi="MetaPro-Norm"/>
          <w:color w:val="000000" w:themeColor="text1"/>
        </w:rPr>
        <w:t>Additionally, the education ministry’s response plan, published in May 2020, did not explicitly include strategies or proposals geared towards reaching out-of-school children.</w:t>
      </w:r>
      <w:r>
        <w:rPr>
          <w:rStyle w:val="FootnoteReference"/>
          <w:rFonts w:ascii="MetaPro-Norm" w:hAnsi="MetaPro-Norm"/>
          <w:color w:val="000000" w:themeColor="text1"/>
        </w:rPr>
        <w:footnoteReference w:id="15"/>
      </w:r>
      <w:r>
        <w:rPr>
          <w:rFonts w:ascii="MetaPro-Norm" w:hAnsi="MetaPro-Norm"/>
          <w:color w:val="000000" w:themeColor="text1"/>
        </w:rPr>
        <w:t xml:space="preserve"> UNICEF estimates only about 1,200 0ut-of-school boys and girls aged 3-17 are receiving learning materials.</w:t>
      </w:r>
      <w:r>
        <w:rPr>
          <w:rStyle w:val="FootnoteReference"/>
          <w:rFonts w:ascii="MetaPro-Norm" w:hAnsi="MetaPro-Norm"/>
          <w:color w:val="000000" w:themeColor="text1"/>
        </w:rPr>
        <w:footnoteReference w:id="16"/>
      </w:r>
    </w:p>
    <w:p w14:paraId="318FB49F" w14:textId="77777777" w:rsidR="009450CF" w:rsidRDefault="009450CF" w:rsidP="009450CF">
      <w:pPr>
        <w:autoSpaceDE w:val="0"/>
        <w:autoSpaceDN w:val="0"/>
        <w:adjustRightInd w:val="0"/>
        <w:rPr>
          <w:rFonts w:ascii="MetaPro-Norm" w:hAnsi="MetaPro-Norm"/>
          <w:color w:val="000000" w:themeColor="text1"/>
        </w:rPr>
      </w:pPr>
    </w:p>
    <w:p w14:paraId="4E596129" w14:textId="7B7AE9D4" w:rsidR="009450CF" w:rsidRDefault="009450CF" w:rsidP="009450CF">
      <w:pPr>
        <w:autoSpaceDE w:val="0"/>
        <w:autoSpaceDN w:val="0"/>
        <w:adjustRightInd w:val="0"/>
        <w:rPr>
          <w:rFonts w:ascii="MetaPro-Norm" w:hAnsi="MetaPro-Norm"/>
          <w:color w:val="000000" w:themeColor="text1"/>
        </w:rPr>
      </w:pPr>
      <w:r>
        <w:rPr>
          <w:rFonts w:ascii="MetaPro-Norm" w:hAnsi="MetaPro-Norm"/>
          <w:color w:val="000000" w:themeColor="text1"/>
        </w:rPr>
        <w:t>In May 2021, Human Rights Watch documented how at a global</w:t>
      </w:r>
      <w:r w:rsidR="00A070F9">
        <w:rPr>
          <w:rFonts w:ascii="MetaPro-Norm" w:hAnsi="MetaPro-Norm"/>
          <w:color w:val="000000" w:themeColor="text1"/>
        </w:rPr>
        <w:t xml:space="preserve"> level, </w:t>
      </w:r>
      <w:r w:rsidR="5C001A49">
        <w:rPr>
          <w:rFonts w:ascii="MetaPro-Norm" w:hAnsi="MetaPro-Norm"/>
          <w:color w:val="000000" w:themeColor="text1"/>
        </w:rPr>
        <w:t>school closure</w:t>
      </w:r>
      <w:r w:rsidR="00E70391">
        <w:rPr>
          <w:rFonts w:ascii="MetaPro-Norm" w:hAnsi="MetaPro-Norm"/>
          <w:color w:val="000000" w:themeColor="text1"/>
        </w:rPr>
        <w:t>s</w:t>
      </w:r>
      <w:r w:rsidR="5C001A49">
        <w:rPr>
          <w:rFonts w:ascii="MetaPro-Norm" w:hAnsi="MetaPro-Norm"/>
          <w:color w:val="000000" w:themeColor="text1"/>
        </w:rPr>
        <w:t xml:space="preserve"> in response to the </w:t>
      </w:r>
      <w:r>
        <w:rPr>
          <w:rFonts w:ascii="MetaPro-Norm" w:hAnsi="MetaPro-Norm"/>
          <w:color w:val="000000" w:themeColor="text1"/>
        </w:rPr>
        <w:t>Covid-</w:t>
      </w:r>
      <w:r w:rsidR="343E8729">
        <w:rPr>
          <w:rFonts w:ascii="MetaPro-Norm" w:hAnsi="MetaPro-Norm"/>
          <w:color w:val="000000" w:themeColor="text1"/>
        </w:rPr>
        <w:t xml:space="preserve">19 </w:t>
      </w:r>
      <w:r w:rsidR="62B47477">
        <w:rPr>
          <w:rFonts w:ascii="MetaPro-Norm" w:hAnsi="MetaPro-Norm"/>
          <w:color w:val="000000" w:themeColor="text1"/>
        </w:rPr>
        <w:t xml:space="preserve">pandemic </w:t>
      </w:r>
      <w:r>
        <w:rPr>
          <w:rFonts w:ascii="MetaPro-Norm" w:hAnsi="MetaPro-Norm"/>
          <w:color w:val="000000" w:themeColor="text1"/>
        </w:rPr>
        <w:t xml:space="preserve"> tended to disproportionately harm students from groups facing discrimination and exclusion from education even before the pandemic, including children who are ethnic and racial minorities in the countries where they live, and girls, especially in countries where gender inequalities already exist in school enrollment and achievements.</w:t>
      </w:r>
      <w:r>
        <w:rPr>
          <w:rStyle w:val="FootnoteReference"/>
          <w:rFonts w:ascii="MetaPro-Norm" w:hAnsi="MetaPro-Norm"/>
          <w:color w:val="000000" w:themeColor="text1"/>
        </w:rPr>
        <w:footnoteReference w:id="17"/>
      </w:r>
      <w:r>
        <w:rPr>
          <w:rFonts w:ascii="MetaPro-Norm" w:hAnsi="MetaPro-Norm"/>
          <w:color w:val="000000" w:themeColor="text1"/>
        </w:rPr>
        <w:t xml:space="preserve"> </w:t>
      </w:r>
      <w:r w:rsidR="00DF5FAB">
        <w:rPr>
          <w:rFonts w:ascii="MetaPro-Norm" w:hAnsi="MetaPro-Norm"/>
          <w:color w:val="000000" w:themeColor="text1"/>
        </w:rPr>
        <w:t xml:space="preserve">Children least likely to have access </w:t>
      </w:r>
      <w:r w:rsidR="00625A30">
        <w:rPr>
          <w:rFonts w:ascii="MetaPro-Norm" w:hAnsi="MetaPro-Norm"/>
          <w:color w:val="000000" w:themeColor="text1"/>
        </w:rPr>
        <w:t>to distance learning materials include those with disabilities, for whom online material is not always adapte</w:t>
      </w:r>
      <w:r w:rsidR="00F13ED9">
        <w:rPr>
          <w:rFonts w:ascii="MetaPro-Norm" w:hAnsi="MetaPro-Norm"/>
          <w:color w:val="000000" w:themeColor="text1"/>
        </w:rPr>
        <w:t>d, and those from low-income, marginalized, or rural areas.</w:t>
      </w:r>
      <w:r w:rsidR="00BC5B60">
        <w:rPr>
          <w:rStyle w:val="FootnoteReference"/>
          <w:rFonts w:ascii="MetaPro-Norm" w:hAnsi="MetaPro-Norm"/>
          <w:color w:val="000000" w:themeColor="text1"/>
        </w:rPr>
        <w:footnoteReference w:id="18"/>
      </w:r>
    </w:p>
    <w:p w14:paraId="55F12F38" w14:textId="77777777" w:rsidR="009450CF" w:rsidRDefault="009450CF" w:rsidP="009450CF">
      <w:pPr>
        <w:autoSpaceDE w:val="0"/>
        <w:autoSpaceDN w:val="0"/>
        <w:adjustRightInd w:val="0"/>
        <w:rPr>
          <w:rFonts w:ascii="MetaPro-Norm" w:hAnsi="MetaPro-Norm"/>
          <w:b/>
          <w:bCs/>
          <w:color w:val="000000" w:themeColor="text1"/>
        </w:rPr>
      </w:pPr>
    </w:p>
    <w:p w14:paraId="20AD6292" w14:textId="77777777" w:rsidR="009450CF" w:rsidRPr="00F743F4" w:rsidRDefault="009450CF" w:rsidP="009450CF">
      <w:pPr>
        <w:autoSpaceDE w:val="0"/>
        <w:autoSpaceDN w:val="0"/>
        <w:adjustRightInd w:val="0"/>
        <w:rPr>
          <w:rFonts w:ascii="MetaPro-Norm" w:hAnsi="MetaPro-Norm"/>
          <w:b/>
          <w:bCs/>
          <w:i/>
          <w:iCs/>
          <w:color w:val="000000" w:themeColor="text1"/>
        </w:rPr>
      </w:pPr>
      <w:r w:rsidRPr="00F743F4">
        <w:rPr>
          <w:rFonts w:ascii="MetaPro-Norm" w:hAnsi="MetaPro-Norm"/>
          <w:b/>
          <w:bCs/>
          <w:i/>
          <w:iCs/>
          <w:color w:val="000000" w:themeColor="text1"/>
        </w:rPr>
        <w:lastRenderedPageBreak/>
        <w:t xml:space="preserve">Protection of Education from Attack </w:t>
      </w:r>
    </w:p>
    <w:p w14:paraId="36AB2BBE" w14:textId="77777777" w:rsidR="009450CF" w:rsidRPr="005460C5" w:rsidRDefault="009450CF" w:rsidP="009450CF">
      <w:pPr>
        <w:autoSpaceDE w:val="0"/>
        <w:autoSpaceDN w:val="0"/>
        <w:adjustRightInd w:val="0"/>
        <w:rPr>
          <w:rFonts w:ascii="MetaPro-Norm" w:hAnsi="MetaPro-Norm"/>
          <w:color w:val="000000" w:themeColor="text1"/>
        </w:rPr>
      </w:pPr>
      <w:r w:rsidRPr="005460C5">
        <w:rPr>
          <w:rFonts w:ascii="MetaPro-Norm" w:hAnsi="MetaPro-Norm"/>
          <w:color w:val="000000" w:themeColor="text1"/>
        </w:rPr>
        <w:t>Mauritania is a member of the G5 Sahel, an alliance of five countries that cooperate on security, including in countries where attacks on education have been documented.</w:t>
      </w:r>
      <w:r>
        <w:rPr>
          <w:rStyle w:val="FootnoteReference"/>
          <w:rFonts w:ascii="MetaPro-Norm" w:hAnsi="MetaPro-Norm"/>
          <w:color w:val="000000" w:themeColor="text1"/>
        </w:rPr>
        <w:footnoteReference w:id="19"/>
      </w:r>
      <w:r w:rsidRPr="005460C5">
        <w:rPr>
          <w:rFonts w:ascii="MetaPro-Norm" w:hAnsi="MetaPro-Norm"/>
          <w:color w:val="000000" w:themeColor="text1"/>
        </w:rPr>
        <w:t xml:space="preserve"> As of January 2021, Mauritania has 750 troops, experts, police, and staff deployed to UN peacekeeping missions in the Central African Republic and Mali.</w:t>
      </w:r>
    </w:p>
    <w:p w14:paraId="5FB9F469" w14:textId="77777777" w:rsidR="009450CF" w:rsidRDefault="009450CF" w:rsidP="009450CF">
      <w:pPr>
        <w:autoSpaceDE w:val="0"/>
        <w:autoSpaceDN w:val="0"/>
        <w:adjustRightInd w:val="0"/>
        <w:rPr>
          <w:rFonts w:ascii="MetaPro-Norm" w:hAnsi="MetaPro-Norm"/>
          <w:color w:val="000000" w:themeColor="text1"/>
        </w:rPr>
      </w:pPr>
    </w:p>
    <w:p w14:paraId="7BE2388E" w14:textId="7D42568B" w:rsidR="009450CF" w:rsidRDefault="001430A4" w:rsidP="009450CF">
      <w:pPr>
        <w:autoSpaceDE w:val="0"/>
        <w:autoSpaceDN w:val="0"/>
        <w:adjustRightInd w:val="0"/>
        <w:rPr>
          <w:rFonts w:ascii="MetaPro-Norm" w:hAnsi="MetaPro-Norm"/>
          <w:color w:val="000000" w:themeColor="text1"/>
        </w:rPr>
      </w:pPr>
      <w:r>
        <w:rPr>
          <w:rFonts w:ascii="MetaPro-Norm" w:hAnsi="MetaPro-Norm"/>
          <w:color w:val="000000" w:themeColor="text1"/>
        </w:rPr>
        <w:t>Military and p</w:t>
      </w:r>
      <w:r w:rsidR="009450CF" w:rsidRPr="005460C5">
        <w:rPr>
          <w:rFonts w:ascii="MetaPro-Norm" w:hAnsi="MetaPro-Norm"/>
          <w:color w:val="000000" w:themeColor="text1"/>
        </w:rPr>
        <w:t xml:space="preserve">eacekeeping troops are required to </w:t>
      </w:r>
      <w:r w:rsidR="009450CF">
        <w:rPr>
          <w:rFonts w:ascii="MetaPro-Norm" w:hAnsi="MetaPro-Norm"/>
          <w:color w:val="000000" w:themeColor="text1"/>
        </w:rPr>
        <w:t>refrain from actions that impede children’s access to education and to not use schools in their military operations.</w:t>
      </w:r>
      <w:r w:rsidR="009450CF">
        <w:rPr>
          <w:rStyle w:val="FootnoteReference"/>
          <w:rFonts w:ascii="MetaPro-Norm" w:hAnsi="MetaPro-Norm"/>
          <w:color w:val="000000" w:themeColor="text1"/>
        </w:rPr>
        <w:footnoteReference w:id="20"/>
      </w:r>
      <w:r w:rsidR="009450CF" w:rsidRPr="005460C5">
        <w:rPr>
          <w:rFonts w:ascii="MetaPro-Norm" w:hAnsi="MetaPro-Norm"/>
          <w:color w:val="000000" w:themeColor="text1"/>
        </w:rPr>
        <w:t> </w:t>
      </w:r>
      <w:r w:rsidR="009450CF">
        <w:rPr>
          <w:rFonts w:ascii="MetaPro-Norm" w:hAnsi="MetaPro-Norm"/>
          <w:color w:val="000000" w:themeColor="text1"/>
        </w:rPr>
        <w:t xml:space="preserve">Attacks </w:t>
      </w:r>
      <w:r w:rsidR="009450CF" w:rsidRPr="005460C5">
        <w:rPr>
          <w:rFonts w:ascii="MetaPro-Norm" w:hAnsi="MetaPro-Norm"/>
          <w:color w:val="000000" w:themeColor="text1"/>
        </w:rPr>
        <w:t>on students and schools, and the use of schools for military purposes, disproportionately affect girls.</w:t>
      </w:r>
      <w:r w:rsidR="009450CF">
        <w:rPr>
          <w:rStyle w:val="FootnoteReference"/>
          <w:rFonts w:ascii="MetaPro-Norm" w:hAnsi="MetaPro-Norm"/>
          <w:color w:val="000000" w:themeColor="text1"/>
        </w:rPr>
        <w:footnoteReference w:id="21"/>
      </w:r>
      <w:r w:rsidR="009450CF">
        <w:rPr>
          <w:rFonts w:ascii="MetaPro-Norm" w:hAnsi="MetaPro-Norm"/>
          <w:color w:val="000000" w:themeColor="text1"/>
        </w:rPr>
        <w:t xml:space="preserve"> </w:t>
      </w:r>
    </w:p>
    <w:p w14:paraId="30A0ACAD" w14:textId="77777777" w:rsidR="009450CF" w:rsidRDefault="009450CF" w:rsidP="009450CF">
      <w:pPr>
        <w:autoSpaceDE w:val="0"/>
        <w:autoSpaceDN w:val="0"/>
        <w:adjustRightInd w:val="0"/>
        <w:rPr>
          <w:rFonts w:ascii="MetaPro-Norm" w:hAnsi="MetaPro-Norm"/>
          <w:color w:val="000000" w:themeColor="text1"/>
        </w:rPr>
      </w:pPr>
    </w:p>
    <w:p w14:paraId="1F0D43E3" w14:textId="77777777" w:rsidR="009450CF" w:rsidRDefault="009450CF" w:rsidP="009450CF">
      <w:pPr>
        <w:autoSpaceDE w:val="0"/>
        <w:autoSpaceDN w:val="0"/>
        <w:adjustRightInd w:val="0"/>
        <w:rPr>
          <w:rFonts w:ascii="MetaPro-Norm" w:hAnsi="MetaPro-Norm"/>
          <w:color w:val="000000" w:themeColor="text1"/>
        </w:rPr>
      </w:pPr>
      <w:r w:rsidRPr="005460C5">
        <w:rPr>
          <w:rFonts w:ascii="MetaPro-Norm" w:hAnsi="MetaPro-Norm"/>
          <w:color w:val="000000" w:themeColor="text1"/>
        </w:rPr>
        <w:t>The Safe Schools Declaration is 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Guidelines for Protecting Schools and Universities from Military Use during Armed Conflict.</w:t>
      </w:r>
      <w:r>
        <w:rPr>
          <w:rStyle w:val="FootnoteReference"/>
          <w:rFonts w:ascii="MetaPro-Norm" w:hAnsi="MetaPro-Norm"/>
          <w:color w:val="000000" w:themeColor="text1"/>
        </w:rPr>
        <w:footnoteReference w:id="22"/>
      </w:r>
      <w:r w:rsidRPr="005460C5">
        <w:rPr>
          <w:rFonts w:ascii="MetaPro-Norm" w:hAnsi="MetaPro-Norm"/>
          <w:color w:val="000000" w:themeColor="text1"/>
        </w:rPr>
        <w:t xml:space="preserve"> As of January 2021, 106 countries have endorsed the Safe Schools Declaration—including all fellow G5 Sahel countries. However, Mauritania has yet to do so.</w:t>
      </w:r>
    </w:p>
    <w:p w14:paraId="5AF2298A" w14:textId="77777777" w:rsidR="009450CF" w:rsidRPr="005460C5" w:rsidRDefault="009450CF" w:rsidP="009450CF">
      <w:pPr>
        <w:autoSpaceDE w:val="0"/>
        <w:autoSpaceDN w:val="0"/>
        <w:adjustRightInd w:val="0"/>
        <w:rPr>
          <w:rFonts w:ascii="MetaPro-Norm" w:hAnsi="MetaPro-Norm"/>
          <w:color w:val="000000" w:themeColor="text1"/>
        </w:rPr>
      </w:pPr>
    </w:p>
    <w:p w14:paraId="17307751" w14:textId="77777777" w:rsidR="009450CF" w:rsidRPr="00544A7A" w:rsidRDefault="009450CF" w:rsidP="009450CF">
      <w:pPr>
        <w:autoSpaceDE w:val="0"/>
        <w:autoSpaceDN w:val="0"/>
        <w:adjustRightInd w:val="0"/>
        <w:rPr>
          <w:rFonts w:ascii="MetaPro-Norm" w:hAnsi="MetaPro-Norm"/>
          <w:b/>
          <w:bCs/>
          <w:color w:val="000000" w:themeColor="text1"/>
        </w:rPr>
      </w:pPr>
      <w:r w:rsidRPr="00544A7A">
        <w:rPr>
          <w:rFonts w:ascii="MetaPro-Norm" w:hAnsi="MetaPro-Norm"/>
          <w:b/>
          <w:bCs/>
          <w:i/>
          <w:iCs/>
          <w:color w:val="000000" w:themeColor="text1"/>
        </w:rPr>
        <w:t>We encourage the Committee to pose the following questions:</w:t>
      </w:r>
    </w:p>
    <w:p w14:paraId="395E0C48" w14:textId="58646190" w:rsidR="009450CF" w:rsidRDefault="7B08A9F7" w:rsidP="009450CF">
      <w:pPr>
        <w:pStyle w:val="ListParagraph"/>
        <w:numPr>
          <w:ilvl w:val="0"/>
          <w:numId w:val="13"/>
        </w:numPr>
        <w:autoSpaceDE w:val="0"/>
        <w:autoSpaceDN w:val="0"/>
        <w:adjustRightInd w:val="0"/>
        <w:rPr>
          <w:rFonts w:ascii="MetaPro-Norm" w:hAnsi="MetaPro-Norm" w:cs="Times New Roman"/>
          <w:color w:val="000000" w:themeColor="text1"/>
        </w:rPr>
      </w:pPr>
      <w:r w:rsidRPr="71FC2A32">
        <w:rPr>
          <w:rFonts w:ascii="MetaPro-Norm" w:hAnsi="MetaPro-Norm" w:cs="Times New Roman"/>
          <w:color w:val="000000" w:themeColor="text1"/>
        </w:rPr>
        <w:t>Does the government’s vaccination plan align with the</w:t>
      </w:r>
      <w:r w:rsidR="2E2F16BA" w:rsidRPr="71FC2A32">
        <w:rPr>
          <w:rFonts w:ascii="MetaPro-Norm" w:hAnsi="MetaPro-Norm" w:cs="Times New Roman"/>
          <w:color w:val="000000" w:themeColor="text1"/>
        </w:rPr>
        <w:t xml:space="preserve"> W</w:t>
      </w:r>
      <w:r w:rsidR="00E70391">
        <w:rPr>
          <w:rFonts w:ascii="MetaPro-Norm" w:hAnsi="MetaPro-Norm" w:cs="Times New Roman"/>
          <w:color w:val="000000" w:themeColor="text1"/>
        </w:rPr>
        <w:t>orld Health Organization</w:t>
      </w:r>
      <w:r w:rsidR="2E2F16BA" w:rsidRPr="71FC2A32">
        <w:rPr>
          <w:rFonts w:ascii="MetaPro-Norm" w:hAnsi="MetaPro-Norm" w:cs="Times New Roman"/>
          <w:color w:val="000000" w:themeColor="text1"/>
        </w:rPr>
        <w:t xml:space="preserve"> values framework</w:t>
      </w:r>
      <w:r w:rsidR="003C5C92">
        <w:rPr>
          <w:rFonts w:ascii="MetaPro-Norm" w:hAnsi="MetaPro-Norm" w:cs="Times New Roman"/>
          <w:color w:val="000000" w:themeColor="text1"/>
        </w:rPr>
        <w:t>, endorsed by the Strategic Advisory Group of Experts on Immunization,</w:t>
      </w:r>
      <w:r w:rsidR="2E2F16BA" w:rsidRPr="71FC2A32">
        <w:rPr>
          <w:rFonts w:ascii="MetaPro-Norm" w:hAnsi="MetaPro-Norm" w:cs="Times New Roman"/>
          <w:color w:val="000000" w:themeColor="text1"/>
        </w:rPr>
        <w:t xml:space="preserve"> for the allocation and prioritization of COVID-19 vaccination</w:t>
      </w:r>
      <w:r w:rsidR="0C0079CB" w:rsidRPr="71FC2A32">
        <w:rPr>
          <w:rFonts w:ascii="MetaPro-Norm" w:hAnsi="MetaPro-Norm" w:cs="Times New Roman"/>
          <w:color w:val="000000" w:themeColor="text1"/>
        </w:rPr>
        <w:t>?</w:t>
      </w:r>
      <w:r w:rsidR="2E2F16BA" w:rsidRPr="71FC2A32">
        <w:rPr>
          <w:rFonts w:ascii="MetaPro-Norm" w:hAnsi="MetaPro-Norm" w:cs="Times New Roman"/>
          <w:color w:val="000000" w:themeColor="text1"/>
        </w:rPr>
        <w:t xml:space="preserve"> </w:t>
      </w:r>
    </w:p>
    <w:p w14:paraId="680A064A" w14:textId="7B37BDCB" w:rsidR="009450CF" w:rsidRDefault="009450CF" w:rsidP="009450CF">
      <w:pPr>
        <w:pStyle w:val="ListParagraph"/>
        <w:numPr>
          <w:ilvl w:val="0"/>
          <w:numId w:val="13"/>
        </w:numPr>
        <w:autoSpaceDE w:val="0"/>
        <w:autoSpaceDN w:val="0"/>
        <w:adjustRightInd w:val="0"/>
        <w:rPr>
          <w:rFonts w:ascii="MetaPro-Norm" w:hAnsi="MetaPro-Norm" w:cs="Times New Roman"/>
          <w:color w:val="000000" w:themeColor="text1"/>
        </w:rPr>
      </w:pPr>
      <w:r w:rsidRPr="00F17850">
        <w:rPr>
          <w:rFonts w:ascii="MetaPro-Norm" w:hAnsi="MetaPro-Norm" w:cs="Times New Roman"/>
          <w:color w:val="000000" w:themeColor="text1"/>
        </w:rPr>
        <w:t xml:space="preserve">What measures are in place to ensure all children have access to education </w:t>
      </w:r>
      <w:r w:rsidR="24017A19" w:rsidRPr="04CCB1C2">
        <w:rPr>
          <w:rFonts w:ascii="MetaPro-Norm" w:hAnsi="MetaPro-Norm" w:cs="Times New Roman"/>
          <w:color w:val="000000" w:themeColor="text1"/>
        </w:rPr>
        <w:t>while schools are closed</w:t>
      </w:r>
      <w:r w:rsidR="52B72123" w:rsidRPr="04CCB1C2">
        <w:rPr>
          <w:rFonts w:ascii="MetaPro-Norm" w:hAnsi="MetaPro-Norm" w:cs="Times New Roman"/>
          <w:color w:val="000000" w:themeColor="text1"/>
        </w:rPr>
        <w:t>,</w:t>
      </w:r>
      <w:r w:rsidR="24017A19" w:rsidRPr="04CCB1C2">
        <w:rPr>
          <w:rFonts w:ascii="MetaPro-Norm" w:hAnsi="MetaPro-Norm" w:cs="Times New Roman"/>
          <w:color w:val="000000" w:themeColor="text1"/>
        </w:rPr>
        <w:t xml:space="preserve"> </w:t>
      </w:r>
      <w:r w:rsidR="207F79CE" w:rsidRPr="04CCB1C2">
        <w:rPr>
          <w:rFonts w:ascii="MetaPro-Norm" w:hAnsi="MetaPro-Norm" w:cs="Times New Roman"/>
          <w:color w:val="000000" w:themeColor="text1"/>
        </w:rPr>
        <w:t xml:space="preserve">including </w:t>
      </w:r>
      <w:r w:rsidR="55143766" w:rsidRPr="04CCB1C2">
        <w:rPr>
          <w:rFonts w:ascii="MetaPro-Norm" w:hAnsi="MetaPro-Norm" w:cs="Times New Roman"/>
          <w:color w:val="000000" w:themeColor="text1"/>
        </w:rPr>
        <w:t>the use of technolog</w:t>
      </w:r>
      <w:r w:rsidR="715EB05F" w:rsidRPr="04CCB1C2">
        <w:rPr>
          <w:rFonts w:ascii="MetaPro-Norm" w:hAnsi="MetaPro-Norm" w:cs="Times New Roman"/>
          <w:color w:val="000000" w:themeColor="text1"/>
        </w:rPr>
        <w:t>ies</w:t>
      </w:r>
      <w:r w:rsidR="55143766" w:rsidRPr="04CCB1C2">
        <w:rPr>
          <w:rFonts w:ascii="MetaPro-Norm" w:hAnsi="MetaPro-Norm" w:cs="Times New Roman"/>
          <w:color w:val="000000" w:themeColor="text1"/>
        </w:rPr>
        <w:t xml:space="preserve"> </w:t>
      </w:r>
      <w:r>
        <w:rPr>
          <w:rFonts w:ascii="MetaPro-Norm" w:hAnsi="MetaPro-Norm" w:cs="Times New Roman"/>
          <w:color w:val="000000" w:themeColor="text1"/>
        </w:rPr>
        <w:t xml:space="preserve">that </w:t>
      </w:r>
      <w:r w:rsidR="2E6BA2D9" w:rsidRPr="04CCB1C2">
        <w:rPr>
          <w:rFonts w:ascii="MetaPro-Norm" w:hAnsi="MetaPro-Norm" w:cs="Times New Roman"/>
          <w:color w:val="000000" w:themeColor="text1"/>
        </w:rPr>
        <w:t xml:space="preserve">are </w:t>
      </w:r>
      <w:r>
        <w:rPr>
          <w:rFonts w:ascii="MetaPro-Norm" w:hAnsi="MetaPro-Norm" w:cs="Times New Roman"/>
          <w:color w:val="000000" w:themeColor="text1"/>
        </w:rPr>
        <w:t xml:space="preserve">already accessible to them or otherwise </w:t>
      </w:r>
      <w:r w:rsidR="01C3B6F3" w:rsidRPr="04CCB1C2">
        <w:rPr>
          <w:rFonts w:ascii="MetaPro-Norm" w:hAnsi="MetaPro-Norm" w:cs="Times New Roman"/>
          <w:color w:val="000000" w:themeColor="text1"/>
        </w:rPr>
        <w:t xml:space="preserve">equitably </w:t>
      </w:r>
      <w:r>
        <w:rPr>
          <w:rFonts w:ascii="MetaPro-Norm" w:hAnsi="MetaPro-Norm" w:cs="Times New Roman"/>
          <w:color w:val="000000" w:themeColor="text1"/>
        </w:rPr>
        <w:t xml:space="preserve">distributed? </w:t>
      </w:r>
    </w:p>
    <w:p w14:paraId="63A02071" w14:textId="77777777" w:rsidR="009450CF" w:rsidRDefault="009450CF" w:rsidP="009450CF">
      <w:pPr>
        <w:pStyle w:val="ListParagraph"/>
        <w:numPr>
          <w:ilvl w:val="0"/>
          <w:numId w:val="13"/>
        </w:numPr>
        <w:autoSpaceDE w:val="0"/>
        <w:autoSpaceDN w:val="0"/>
        <w:adjustRightInd w:val="0"/>
        <w:rPr>
          <w:rFonts w:ascii="MetaPro-Norm" w:hAnsi="MetaPro-Norm" w:cs="Times New Roman"/>
          <w:color w:val="000000" w:themeColor="text1"/>
        </w:rPr>
      </w:pPr>
      <w:r>
        <w:rPr>
          <w:rFonts w:ascii="MetaPro-Norm" w:hAnsi="MetaPro-Norm" w:cs="Times New Roman"/>
          <w:color w:val="000000" w:themeColor="text1"/>
        </w:rPr>
        <w:t xml:space="preserve">What efforts are being taken to ensure materials so far distributed online and via radio and television are adapted for the communication strategies of children with different types of disabilities? </w:t>
      </w:r>
    </w:p>
    <w:p w14:paraId="11098DE8" w14:textId="77777777" w:rsidR="009450CF" w:rsidRPr="00DA362A" w:rsidRDefault="009450CF" w:rsidP="009450CF">
      <w:pPr>
        <w:pStyle w:val="ListParagraph"/>
        <w:numPr>
          <w:ilvl w:val="0"/>
          <w:numId w:val="13"/>
        </w:numPr>
        <w:autoSpaceDE w:val="0"/>
        <w:autoSpaceDN w:val="0"/>
        <w:adjustRightInd w:val="0"/>
        <w:rPr>
          <w:rFonts w:ascii="MetaPro-Norm" w:hAnsi="MetaPro-Norm" w:cs="Times New Roman"/>
          <w:color w:val="000000" w:themeColor="text1"/>
        </w:rPr>
      </w:pPr>
      <w:r>
        <w:rPr>
          <w:rFonts w:ascii="MetaPro-Norm" w:hAnsi="MetaPro-Norm" w:cs="Times New Roman"/>
          <w:color w:val="000000" w:themeColor="text1"/>
        </w:rPr>
        <w:t>What measures of targeted support are in place to reach out-of-school children even those in remote and rural areas, and provide them with a quality education?</w:t>
      </w:r>
    </w:p>
    <w:p w14:paraId="3695C49D" w14:textId="77777777" w:rsidR="009450CF" w:rsidRDefault="009450CF" w:rsidP="009450CF">
      <w:pPr>
        <w:pStyle w:val="ListParagraph"/>
        <w:numPr>
          <w:ilvl w:val="0"/>
          <w:numId w:val="13"/>
        </w:numPr>
        <w:autoSpaceDE w:val="0"/>
        <w:autoSpaceDN w:val="0"/>
        <w:adjustRightInd w:val="0"/>
        <w:rPr>
          <w:rFonts w:ascii="MetaPro-Norm" w:hAnsi="MetaPro-Norm" w:cs="Times New Roman"/>
          <w:color w:val="000000" w:themeColor="text1"/>
        </w:rPr>
      </w:pPr>
      <w:r>
        <w:rPr>
          <w:rFonts w:ascii="MetaPro-Norm" w:hAnsi="MetaPro-Norm" w:cs="Times New Roman"/>
          <w:color w:val="000000" w:themeColor="text1"/>
        </w:rPr>
        <w:t xml:space="preserve">What steps are being taken to ensure that all children residing in Mauritania have access to free public primary and secondary education, regardless of their civil registration status? </w:t>
      </w:r>
    </w:p>
    <w:p w14:paraId="2AA491E1" w14:textId="77777777" w:rsidR="009450CF" w:rsidRPr="000441CC" w:rsidRDefault="009450CF" w:rsidP="009450CF">
      <w:pPr>
        <w:pStyle w:val="ListParagraph"/>
        <w:numPr>
          <w:ilvl w:val="0"/>
          <w:numId w:val="13"/>
        </w:numPr>
        <w:autoSpaceDE w:val="0"/>
        <w:autoSpaceDN w:val="0"/>
        <w:adjustRightInd w:val="0"/>
        <w:rPr>
          <w:rFonts w:ascii="MetaPro-Norm" w:hAnsi="MetaPro-Norm" w:cs="Times New Roman"/>
          <w:color w:val="000000" w:themeColor="text1"/>
        </w:rPr>
      </w:pPr>
      <w:r>
        <w:rPr>
          <w:rFonts w:ascii="MetaPro-Norm" w:hAnsi="MetaPro-Norm" w:cs="Times New Roman"/>
          <w:color w:val="000000" w:themeColor="text1"/>
        </w:rPr>
        <w:lastRenderedPageBreak/>
        <w:t>How is the government conducting outreach to families who have yet to complete the civil registration process, especially families with students who have yet to complete their mandatory school examinations?</w:t>
      </w:r>
    </w:p>
    <w:p w14:paraId="067D2C39" w14:textId="21209D7E" w:rsidR="009450CF" w:rsidRDefault="009450CF" w:rsidP="009450CF">
      <w:pPr>
        <w:pStyle w:val="ListParagraph"/>
        <w:numPr>
          <w:ilvl w:val="0"/>
          <w:numId w:val="13"/>
        </w:numPr>
        <w:autoSpaceDE w:val="0"/>
        <w:autoSpaceDN w:val="0"/>
        <w:adjustRightInd w:val="0"/>
        <w:rPr>
          <w:rFonts w:ascii="MetaPro-Norm" w:hAnsi="MetaPro-Norm" w:cs="Times New Roman"/>
          <w:color w:val="000000" w:themeColor="text1"/>
        </w:rPr>
      </w:pPr>
      <w:r>
        <w:rPr>
          <w:rFonts w:ascii="MetaPro-Norm" w:hAnsi="MetaPro-Norm" w:cs="Times New Roman"/>
          <w:color w:val="000000" w:themeColor="text1"/>
        </w:rPr>
        <w:t>When will the</w:t>
      </w:r>
      <w:r w:rsidRPr="005460C5">
        <w:rPr>
          <w:rFonts w:ascii="MetaPro-Norm" w:hAnsi="MetaPro-Norm" w:cs="Times New Roman"/>
          <w:color w:val="000000" w:themeColor="text1"/>
        </w:rPr>
        <w:t xml:space="preserve"> government endorse and implement</w:t>
      </w:r>
      <w:r>
        <w:rPr>
          <w:rFonts w:ascii="MetaPro-Norm" w:hAnsi="MetaPro-Norm" w:cs="Times New Roman"/>
          <w:color w:val="000000" w:themeColor="text1"/>
        </w:rPr>
        <w:t xml:space="preserve"> </w:t>
      </w:r>
      <w:r w:rsidRPr="005460C5">
        <w:rPr>
          <w:rFonts w:ascii="MetaPro-Norm" w:hAnsi="MetaPro-Norm" w:cs="Times New Roman"/>
          <w:color w:val="000000" w:themeColor="text1"/>
        </w:rPr>
        <w:t>the Safe Schools Declaration to deter the military use of schools?</w:t>
      </w:r>
    </w:p>
    <w:p w14:paraId="0B164520" w14:textId="68C6AE02" w:rsidR="009450CF" w:rsidRPr="00DA362A" w:rsidRDefault="009450CF" w:rsidP="009450CF">
      <w:pPr>
        <w:pStyle w:val="ListParagraph"/>
        <w:numPr>
          <w:ilvl w:val="0"/>
          <w:numId w:val="13"/>
        </w:numPr>
        <w:autoSpaceDE w:val="0"/>
        <w:autoSpaceDN w:val="0"/>
        <w:adjustRightInd w:val="0"/>
        <w:rPr>
          <w:rFonts w:ascii="MetaPro-Norm" w:hAnsi="MetaPro-Norm" w:cs="Times New Roman"/>
          <w:color w:val="000000" w:themeColor="text1"/>
        </w:rPr>
      </w:pPr>
      <w:r w:rsidRPr="005460C5">
        <w:rPr>
          <w:rFonts w:ascii="MetaPro-Norm" w:hAnsi="MetaPro-Norm" w:cs="Times New Roman"/>
          <w:color w:val="000000" w:themeColor="text1"/>
        </w:rPr>
        <w:t>Do any laws</w:t>
      </w:r>
      <w:r>
        <w:rPr>
          <w:rFonts w:ascii="MetaPro-Norm" w:hAnsi="MetaPro-Norm" w:cs="Times New Roman"/>
          <w:color w:val="000000" w:themeColor="text1"/>
        </w:rPr>
        <w:t xml:space="preserve"> </w:t>
      </w:r>
      <w:r w:rsidRPr="5B269477">
        <w:rPr>
          <w:rFonts w:ascii="MetaPro-Norm" w:hAnsi="MetaPro-Norm" w:cs="Times New Roman"/>
          <w:color w:val="000000" w:themeColor="text1"/>
        </w:rPr>
        <w:t>and</w:t>
      </w:r>
      <w:r w:rsidR="7E80C26D" w:rsidRPr="5B269477">
        <w:rPr>
          <w:rFonts w:ascii="MetaPro-Norm" w:hAnsi="MetaPro-Norm" w:cs="Times New Roman"/>
          <w:color w:val="000000" w:themeColor="text1"/>
        </w:rPr>
        <w:t xml:space="preserve"> </w:t>
      </w:r>
      <w:r w:rsidRPr="5B269477">
        <w:rPr>
          <w:rFonts w:ascii="MetaPro-Norm" w:hAnsi="MetaPro-Norm" w:cs="Times New Roman"/>
          <w:color w:val="000000" w:themeColor="text1"/>
        </w:rPr>
        <w:t>policies</w:t>
      </w:r>
      <w:r w:rsidRPr="005460C5">
        <w:rPr>
          <w:rFonts w:ascii="MetaPro-Norm" w:hAnsi="MetaPro-Norm" w:cs="Times New Roman"/>
          <w:color w:val="000000" w:themeColor="text1"/>
        </w:rPr>
        <w:t xml:space="preserve">, or trainings </w:t>
      </w:r>
      <w:r>
        <w:rPr>
          <w:rFonts w:ascii="MetaPro-Norm" w:hAnsi="MetaPro-Norm" w:cs="Times New Roman"/>
          <w:color w:val="000000" w:themeColor="text1"/>
        </w:rPr>
        <w:t xml:space="preserve">to armed forces </w:t>
      </w:r>
      <w:r w:rsidRPr="005460C5">
        <w:rPr>
          <w:rFonts w:ascii="MetaPro-Norm" w:hAnsi="MetaPro-Norm" w:cs="Times New Roman"/>
          <w:color w:val="000000" w:themeColor="text1"/>
        </w:rPr>
        <w:t>provide explicit protection for schools and universities from military use during armed conflict?</w:t>
      </w:r>
    </w:p>
    <w:p w14:paraId="70669BDD" w14:textId="77777777" w:rsidR="009450CF" w:rsidRPr="003A18A9" w:rsidRDefault="009450CF" w:rsidP="009450CF">
      <w:pPr>
        <w:pStyle w:val="ListParagraph"/>
        <w:autoSpaceDE w:val="0"/>
        <w:autoSpaceDN w:val="0"/>
        <w:adjustRightInd w:val="0"/>
        <w:rPr>
          <w:rFonts w:ascii="MetaPro-Norm" w:hAnsi="MetaPro-Norm"/>
        </w:rPr>
      </w:pPr>
    </w:p>
    <w:p w14:paraId="2B7652D1" w14:textId="77777777" w:rsidR="009450CF" w:rsidRPr="003A18A9" w:rsidRDefault="009450CF" w:rsidP="009450CF">
      <w:pPr>
        <w:pStyle w:val="ListParagraph"/>
        <w:numPr>
          <w:ilvl w:val="0"/>
          <w:numId w:val="2"/>
        </w:numPr>
        <w:autoSpaceDE w:val="0"/>
        <w:autoSpaceDN w:val="0"/>
        <w:adjustRightInd w:val="0"/>
        <w:rPr>
          <w:rFonts w:ascii="MetaPro-Norm" w:hAnsi="MetaPro-Norm"/>
          <w:b/>
          <w:bCs/>
        </w:rPr>
      </w:pPr>
      <w:r w:rsidRPr="003A18A9">
        <w:rPr>
          <w:rFonts w:ascii="MetaPro-Norm" w:hAnsi="MetaPro-Norm" w:cs="Times New Roman"/>
          <w:b/>
          <w:bCs/>
          <w:color w:val="000000" w:themeColor="text1"/>
        </w:rPr>
        <w:t>Access to Quality Health Care (arts. 2, 3, and 12)</w:t>
      </w:r>
    </w:p>
    <w:p w14:paraId="7553D432" w14:textId="77777777" w:rsidR="009450CF" w:rsidRPr="003A18A9" w:rsidRDefault="009450CF" w:rsidP="009450CF">
      <w:pPr>
        <w:autoSpaceDE w:val="0"/>
        <w:autoSpaceDN w:val="0"/>
        <w:adjustRightInd w:val="0"/>
        <w:rPr>
          <w:rFonts w:ascii="MetaPro-Norm" w:hAnsi="MetaPro-Norm"/>
        </w:rPr>
      </w:pPr>
    </w:p>
    <w:p w14:paraId="2C006BD1" w14:textId="77777777" w:rsidR="009450CF" w:rsidRPr="001B2124" w:rsidRDefault="009450CF" w:rsidP="009450CF">
      <w:pPr>
        <w:autoSpaceDE w:val="0"/>
        <w:autoSpaceDN w:val="0"/>
        <w:adjustRightInd w:val="0"/>
        <w:rPr>
          <w:rFonts w:ascii="MetaPro-Norm" w:hAnsi="MetaPro-Norm"/>
          <w:b/>
          <w:bCs/>
          <w:i/>
          <w:iCs/>
        </w:rPr>
      </w:pPr>
      <w:r w:rsidRPr="003A18A9">
        <w:rPr>
          <w:rFonts w:ascii="MetaPro-Norm" w:hAnsi="MetaPro-Norm"/>
          <w:b/>
          <w:bCs/>
          <w:i/>
          <w:iCs/>
        </w:rPr>
        <w:t>Inadequate Medical, Mental Health, and Legal Support Services for Survivors of Gender-Based Violence</w:t>
      </w:r>
    </w:p>
    <w:p w14:paraId="2734E8E6" w14:textId="2AC65E89" w:rsidR="009450CF" w:rsidRDefault="009450CF" w:rsidP="009450CF">
      <w:pPr>
        <w:autoSpaceDE w:val="0"/>
        <w:autoSpaceDN w:val="0"/>
        <w:adjustRightInd w:val="0"/>
        <w:rPr>
          <w:rFonts w:ascii="MetaPro-Norm" w:hAnsi="MetaPro-Norm"/>
        </w:rPr>
      </w:pPr>
      <w:r w:rsidRPr="003A18A9">
        <w:rPr>
          <w:rFonts w:ascii="MetaPro-Norm" w:hAnsi="MetaPro-Norm"/>
        </w:rPr>
        <w:t>Authorities provide inadequate medical, mental health, and legal support services to survivors of sexual violence</w:t>
      </w:r>
      <w:r>
        <w:rPr>
          <w:rFonts w:ascii="MetaPro-Norm" w:hAnsi="MetaPro-Norm"/>
        </w:rPr>
        <w:t>, according to Human Rights Watch research</w:t>
      </w:r>
      <w:r w:rsidRPr="003A18A9">
        <w:rPr>
          <w:rFonts w:ascii="MetaPro-Norm" w:hAnsi="MetaPro-Norm"/>
        </w:rPr>
        <w:t>.</w:t>
      </w:r>
      <w:r w:rsidR="007873D8">
        <w:rPr>
          <w:rStyle w:val="FootnoteReference"/>
          <w:rFonts w:ascii="MetaPro-Norm" w:hAnsi="MetaPro-Norm"/>
        </w:rPr>
        <w:footnoteReference w:id="23"/>
      </w:r>
      <w:r w:rsidRPr="003A18A9">
        <w:rPr>
          <w:rFonts w:ascii="MetaPro-Norm" w:hAnsi="MetaPro-Norm"/>
        </w:rPr>
        <w:t xml:space="preserve"> In May 2019, Human Rights Watch interviewed a young woman who was repeatedly sexually abused by her father and was pregnant in 2018 as a result of rape by him.</w:t>
      </w:r>
      <w:r>
        <w:rPr>
          <w:rStyle w:val="FootnoteReference"/>
          <w:rFonts w:ascii="MetaPro-Norm" w:hAnsi="MetaPro-Norm"/>
        </w:rPr>
        <w:footnoteReference w:id="24"/>
      </w:r>
      <w:r w:rsidRPr="003A18A9">
        <w:rPr>
          <w:rFonts w:ascii="MetaPro-Norm" w:hAnsi="MetaPro-Norm"/>
        </w:rPr>
        <w:t xml:space="preserve"> The lack of shelters in Nouakchott and lack of government support left </w:t>
      </w:r>
      <w:r w:rsidR="00526DA9">
        <w:rPr>
          <w:rFonts w:ascii="MetaPro-Norm" w:hAnsi="MetaPro-Norm"/>
        </w:rPr>
        <w:t>this woman</w:t>
      </w:r>
      <w:r w:rsidR="00526DA9" w:rsidRPr="003A18A9">
        <w:rPr>
          <w:rFonts w:ascii="MetaPro-Norm" w:hAnsi="MetaPro-Norm"/>
        </w:rPr>
        <w:t xml:space="preserve"> </w:t>
      </w:r>
      <w:r w:rsidRPr="003A18A9">
        <w:rPr>
          <w:rFonts w:ascii="MetaPro-Norm" w:hAnsi="MetaPro-Norm"/>
        </w:rPr>
        <w:t>with no alternative to living in her abusive home, taking care of her newborn, with a father who continues to be physically violent. The gender-based violence law pending before parliament would oblige the government to create shelters with short and long-term accommodation options for survivors.</w:t>
      </w:r>
    </w:p>
    <w:p w14:paraId="33D78D55" w14:textId="77777777" w:rsidR="009450CF" w:rsidRPr="003A18A9" w:rsidRDefault="009450CF" w:rsidP="009450CF">
      <w:pPr>
        <w:autoSpaceDE w:val="0"/>
        <w:autoSpaceDN w:val="0"/>
        <w:adjustRightInd w:val="0"/>
        <w:rPr>
          <w:rFonts w:ascii="MetaPro-Norm" w:hAnsi="MetaPro-Norm"/>
        </w:rPr>
      </w:pPr>
    </w:p>
    <w:p w14:paraId="6F55BE2F" w14:textId="48CF6BB9" w:rsidR="009450CF" w:rsidRDefault="009450CF" w:rsidP="009450CF">
      <w:pPr>
        <w:autoSpaceDE w:val="0"/>
        <w:autoSpaceDN w:val="0"/>
        <w:adjustRightInd w:val="0"/>
        <w:rPr>
          <w:rFonts w:ascii="MetaPro-Norm" w:hAnsi="MetaPro-Norm"/>
        </w:rPr>
      </w:pPr>
      <w:r w:rsidRPr="003A18A9">
        <w:rPr>
          <w:rFonts w:ascii="MetaPro-Norm" w:hAnsi="MetaPro-Norm"/>
        </w:rPr>
        <w:t xml:space="preserve">The alarming lack of medical services for survivors of sexual violence is compounded by a general shortage of doctors across the country. In </w:t>
      </w:r>
      <w:r>
        <w:rPr>
          <w:rFonts w:ascii="MetaPro-Norm" w:hAnsi="MetaPro-Norm"/>
        </w:rPr>
        <w:t xml:space="preserve">the </w:t>
      </w:r>
      <w:r w:rsidRPr="003A18A9">
        <w:rPr>
          <w:rFonts w:ascii="MetaPro-Norm" w:hAnsi="MetaPro-Norm"/>
        </w:rPr>
        <w:t>2018</w:t>
      </w:r>
      <w:r>
        <w:rPr>
          <w:rFonts w:ascii="MetaPro-Norm" w:hAnsi="MetaPro-Norm"/>
        </w:rPr>
        <w:t xml:space="preserve"> report</w:t>
      </w:r>
      <w:r w:rsidRPr="003A18A9">
        <w:rPr>
          <w:rFonts w:ascii="MetaPro-Norm" w:hAnsi="MetaPro-Norm"/>
        </w:rPr>
        <w:t>, Human Rights Watch found that conventional obstetrician-gynecologists performed non-standardized forensic examinations of sexual violence survivors, and that there was only one practicing forensic doctor in the country.</w:t>
      </w:r>
      <w:r>
        <w:rPr>
          <w:rStyle w:val="FootnoteReference"/>
          <w:rFonts w:ascii="MetaPro-Norm" w:hAnsi="MetaPro-Norm"/>
        </w:rPr>
        <w:footnoteReference w:id="25"/>
      </w:r>
      <w:r w:rsidRPr="003A18A9">
        <w:rPr>
          <w:rFonts w:ascii="MetaPro-Norm" w:hAnsi="MetaPro-Norm"/>
        </w:rPr>
        <w:t xml:space="preserve"> The state does not permit midwives to perform forensic examinations, despite calls for them to be allowed to do so by nongovernmental organizations because there are more female midwives than female doctors. According to </w:t>
      </w:r>
      <w:r w:rsidR="00A22630">
        <w:rPr>
          <w:rFonts w:ascii="MetaPro-Norm" w:hAnsi="MetaPro-Norm"/>
        </w:rPr>
        <w:t xml:space="preserve">local NGO </w:t>
      </w:r>
      <w:r w:rsidRPr="003A18A9">
        <w:rPr>
          <w:rFonts w:ascii="MetaPro-Norm" w:hAnsi="MetaPro-Norm"/>
        </w:rPr>
        <w:t xml:space="preserve">representatives </w:t>
      </w:r>
      <w:r w:rsidR="00A22630">
        <w:rPr>
          <w:rFonts w:ascii="MetaPro-Norm" w:hAnsi="MetaPro-Norm"/>
        </w:rPr>
        <w:t>whom Human Rights Watch spoke to</w:t>
      </w:r>
      <w:r w:rsidR="00E70391">
        <w:rPr>
          <w:rFonts w:ascii="MetaPro-Norm" w:hAnsi="MetaPro-Norm"/>
        </w:rPr>
        <w:t xml:space="preserve"> in 2019</w:t>
      </w:r>
      <w:r w:rsidRPr="003A18A9">
        <w:rPr>
          <w:rFonts w:ascii="MetaPro-Norm" w:hAnsi="MetaPro-Norm"/>
        </w:rPr>
        <w:t>, in most public hospitals and health centers, the doctor who examines and performs forensic testing on sexual violence survivors is likely to be a man</w:t>
      </w:r>
      <w:r>
        <w:rPr>
          <w:rFonts w:ascii="MetaPro-Norm" w:hAnsi="MetaPro-Norm"/>
        </w:rPr>
        <w:t>.</w:t>
      </w:r>
      <w:r>
        <w:rPr>
          <w:rStyle w:val="FootnoteReference"/>
          <w:rFonts w:ascii="MetaPro-Norm" w:hAnsi="MetaPro-Norm"/>
        </w:rPr>
        <w:footnoteReference w:id="26"/>
      </w:r>
      <w:r>
        <w:rPr>
          <w:rFonts w:ascii="MetaPro-Norm" w:hAnsi="MetaPro-Norm"/>
        </w:rPr>
        <w:t xml:space="preserve"> </w:t>
      </w:r>
    </w:p>
    <w:p w14:paraId="476DF5C7" w14:textId="77777777" w:rsidR="009450CF" w:rsidRPr="003A18A9" w:rsidRDefault="009450CF" w:rsidP="009450CF">
      <w:pPr>
        <w:autoSpaceDE w:val="0"/>
        <w:autoSpaceDN w:val="0"/>
        <w:adjustRightInd w:val="0"/>
        <w:rPr>
          <w:rFonts w:ascii="MetaPro-Norm" w:hAnsi="MetaPro-Norm"/>
        </w:rPr>
      </w:pPr>
    </w:p>
    <w:p w14:paraId="607AB1ED" w14:textId="77777777" w:rsidR="009450CF" w:rsidRDefault="009450CF" w:rsidP="009450CF">
      <w:pPr>
        <w:autoSpaceDE w:val="0"/>
        <w:autoSpaceDN w:val="0"/>
        <w:adjustRightInd w:val="0"/>
        <w:rPr>
          <w:rFonts w:ascii="MetaPro-Norm" w:hAnsi="MetaPro-Norm"/>
        </w:rPr>
      </w:pPr>
      <w:r w:rsidRPr="003A18A9">
        <w:rPr>
          <w:rFonts w:ascii="MetaPro-Norm" w:hAnsi="MetaPro-Norm"/>
        </w:rPr>
        <w:t xml:space="preserve">Fear of retaliation also dissuades doctors from performing forensic examinations and issuing medical reports that may be used to prosecute alleged perpetrators. Moreover, sometimes doctors in Mauritania refuse to examine rape survivors unless they have a </w:t>
      </w:r>
      <w:r w:rsidRPr="003A18A9">
        <w:rPr>
          <w:rFonts w:ascii="MetaPro-Norm" w:hAnsi="MetaPro-Norm"/>
        </w:rPr>
        <w:lastRenderedPageBreak/>
        <w:t>police referral, forcing many women and girls to report their attack to the police just to get medical care.</w:t>
      </w:r>
      <w:r>
        <w:rPr>
          <w:rStyle w:val="FootnoteReference"/>
          <w:rFonts w:ascii="MetaPro-Norm" w:hAnsi="MetaPro-Norm"/>
        </w:rPr>
        <w:footnoteReference w:id="27"/>
      </w:r>
      <w:r>
        <w:rPr>
          <w:rFonts w:ascii="MetaPro-Norm" w:hAnsi="MetaPro-Norm"/>
        </w:rPr>
        <w:t xml:space="preserve"> </w:t>
      </w:r>
    </w:p>
    <w:p w14:paraId="5E08BABF" w14:textId="77777777" w:rsidR="009450CF" w:rsidRPr="003A18A9" w:rsidRDefault="009450CF" w:rsidP="009450CF">
      <w:pPr>
        <w:autoSpaceDE w:val="0"/>
        <w:autoSpaceDN w:val="0"/>
        <w:adjustRightInd w:val="0"/>
        <w:rPr>
          <w:rFonts w:ascii="MetaPro-Norm" w:hAnsi="MetaPro-Norm"/>
        </w:rPr>
      </w:pPr>
    </w:p>
    <w:p w14:paraId="0FF10F93" w14:textId="77777777" w:rsidR="009450CF" w:rsidRPr="003A18A9" w:rsidRDefault="009450CF" w:rsidP="009450CF">
      <w:pPr>
        <w:autoSpaceDE w:val="0"/>
        <w:autoSpaceDN w:val="0"/>
        <w:adjustRightInd w:val="0"/>
        <w:rPr>
          <w:rFonts w:ascii="MetaPro-Norm" w:hAnsi="MetaPro-Norm"/>
          <w:b/>
          <w:bCs/>
        </w:rPr>
      </w:pPr>
      <w:r w:rsidRPr="003A18A9">
        <w:rPr>
          <w:rFonts w:ascii="MetaPro-Norm" w:hAnsi="MetaPro-Norm"/>
          <w:b/>
          <w:bCs/>
          <w:i/>
          <w:iCs/>
        </w:rPr>
        <w:t>Female Genital Mutilation and “Virginity Testing”</w:t>
      </w:r>
    </w:p>
    <w:p w14:paraId="2DEF3A3E" w14:textId="5FBBD074" w:rsidR="009450CF" w:rsidRDefault="009450CF" w:rsidP="009450CF">
      <w:pPr>
        <w:autoSpaceDE w:val="0"/>
        <w:autoSpaceDN w:val="0"/>
        <w:adjustRightInd w:val="0"/>
        <w:rPr>
          <w:rFonts w:ascii="MetaPro-Norm" w:hAnsi="MetaPro-Norm"/>
        </w:rPr>
      </w:pPr>
      <w:r w:rsidRPr="003A18A9">
        <w:rPr>
          <w:rFonts w:ascii="MetaPro-Norm" w:hAnsi="MetaPro-Norm"/>
        </w:rPr>
        <w:t xml:space="preserve">Female genital mutilation (FGM) is practiced </w:t>
      </w:r>
      <w:r w:rsidR="00171BB7">
        <w:rPr>
          <w:rFonts w:ascii="MetaPro-Norm" w:hAnsi="MetaPro-Norm"/>
        </w:rPr>
        <w:t>in Mauritania</w:t>
      </w:r>
      <w:r w:rsidRPr="003A18A9">
        <w:rPr>
          <w:rFonts w:ascii="MetaPro-Norm" w:hAnsi="MetaPro-Norm"/>
        </w:rPr>
        <w:t xml:space="preserve"> despite the fact that the country’s General Code on Children’s Protection, adopted in 2017, unconditionally criminalizes it.</w:t>
      </w:r>
      <w:r>
        <w:rPr>
          <w:rStyle w:val="FootnoteReference"/>
          <w:rFonts w:ascii="MetaPro-Norm" w:hAnsi="MetaPro-Norm"/>
        </w:rPr>
        <w:footnoteReference w:id="28"/>
      </w:r>
    </w:p>
    <w:p w14:paraId="756648CF" w14:textId="77777777" w:rsidR="00171BB7" w:rsidRDefault="00171BB7" w:rsidP="009450CF">
      <w:pPr>
        <w:autoSpaceDE w:val="0"/>
        <w:autoSpaceDN w:val="0"/>
        <w:adjustRightInd w:val="0"/>
        <w:rPr>
          <w:rFonts w:ascii="MetaPro-Norm" w:hAnsi="MetaPro-Norm"/>
        </w:rPr>
      </w:pPr>
    </w:p>
    <w:p w14:paraId="4D9A2D12" w14:textId="166C081F" w:rsidR="009450CF" w:rsidRDefault="009450CF" w:rsidP="009450CF">
      <w:pPr>
        <w:autoSpaceDE w:val="0"/>
        <w:autoSpaceDN w:val="0"/>
        <w:adjustRightInd w:val="0"/>
        <w:rPr>
          <w:rFonts w:ascii="MetaPro-Norm" w:hAnsi="MetaPro-Norm"/>
        </w:rPr>
      </w:pPr>
      <w:r w:rsidRPr="003A18A9">
        <w:rPr>
          <w:rFonts w:ascii="MetaPro-Norm" w:hAnsi="MetaPro-Norm"/>
        </w:rPr>
        <w:t>2019 World Bank data suggests that up to 90 percent of Mauritanian women and girls aged 15-49 years have undergone some form of FGM in their lifetime; the majority of mutilations are performed by traditional practitioners.</w:t>
      </w:r>
      <w:r>
        <w:rPr>
          <w:rStyle w:val="FootnoteReference"/>
          <w:rFonts w:ascii="MetaPro-Norm" w:hAnsi="MetaPro-Norm"/>
        </w:rPr>
        <w:footnoteReference w:id="29"/>
      </w:r>
      <w:r w:rsidRPr="003A18A9">
        <w:rPr>
          <w:rFonts w:ascii="MetaPro-Norm" w:hAnsi="MetaPro-Norm"/>
        </w:rPr>
        <w:t> Women and girls from rural communities and those who have</w:t>
      </w:r>
      <w:r w:rsidR="004F0AF4">
        <w:rPr>
          <w:rFonts w:ascii="MetaPro-Norm" w:hAnsi="MetaPro-Norm"/>
        </w:rPr>
        <w:t xml:space="preserve"> not</w:t>
      </w:r>
      <w:r w:rsidRPr="003A18A9">
        <w:rPr>
          <w:rFonts w:ascii="MetaPro-Norm" w:hAnsi="MetaPro-Norm"/>
        </w:rPr>
        <w:t xml:space="preserve"> completed secondary schooling are more likely to have experienced FGM than those from urban areas and those who have completed their education.</w:t>
      </w:r>
      <w:r>
        <w:rPr>
          <w:rStyle w:val="FootnoteReference"/>
          <w:rFonts w:ascii="MetaPro-Norm" w:hAnsi="MetaPro-Norm"/>
        </w:rPr>
        <w:footnoteReference w:id="30"/>
      </w:r>
      <w:r>
        <w:rPr>
          <w:rFonts w:ascii="MetaPro-Norm" w:hAnsi="MetaPro-Norm"/>
        </w:rPr>
        <w:t xml:space="preserve"> </w:t>
      </w:r>
    </w:p>
    <w:p w14:paraId="2EBFEF7F" w14:textId="77777777" w:rsidR="009450CF" w:rsidRPr="003A18A9" w:rsidRDefault="009450CF" w:rsidP="009450CF">
      <w:pPr>
        <w:autoSpaceDE w:val="0"/>
        <w:autoSpaceDN w:val="0"/>
        <w:adjustRightInd w:val="0"/>
        <w:rPr>
          <w:rFonts w:ascii="MetaPro-Norm" w:hAnsi="MetaPro-Norm"/>
        </w:rPr>
      </w:pPr>
    </w:p>
    <w:p w14:paraId="14539A74" w14:textId="49803EB7" w:rsidR="009450CF" w:rsidRDefault="009450CF" w:rsidP="009450CF">
      <w:pPr>
        <w:autoSpaceDE w:val="0"/>
        <w:autoSpaceDN w:val="0"/>
        <w:adjustRightInd w:val="0"/>
        <w:rPr>
          <w:rFonts w:ascii="MetaPro-Norm" w:hAnsi="MetaPro-Norm"/>
        </w:rPr>
      </w:pPr>
      <w:r>
        <w:rPr>
          <w:rFonts w:ascii="MetaPro-Norm" w:hAnsi="MetaPro-Norm"/>
        </w:rPr>
        <w:t>In recent years</w:t>
      </w:r>
      <w:r w:rsidRPr="003A18A9">
        <w:rPr>
          <w:rFonts w:ascii="MetaPro-Norm" w:hAnsi="MetaPro-Norm"/>
        </w:rPr>
        <w:t>, the government has attempted to address the issue more proactively by adopting national strategies, including by establishing national and regional councils on gender-based violence and FGM with the aim to progressively eradicate this harmful practice.</w:t>
      </w:r>
      <w:r>
        <w:rPr>
          <w:rStyle w:val="FootnoteReference"/>
          <w:rFonts w:ascii="MetaPro-Norm" w:hAnsi="MetaPro-Norm"/>
        </w:rPr>
        <w:footnoteReference w:id="31"/>
      </w:r>
      <w:r>
        <w:rPr>
          <w:rFonts w:ascii="MetaPro-Norm" w:hAnsi="MetaPro-Norm"/>
        </w:rPr>
        <w:t xml:space="preserve"> </w:t>
      </w:r>
      <w:r w:rsidRPr="003A18A9">
        <w:rPr>
          <w:rFonts w:ascii="MetaPro-Norm" w:hAnsi="MetaPro-Norm"/>
        </w:rPr>
        <w:t>However, gaps in legal enforcement against FGM and a lack of public awareness of its harms remain. There are no records of any prosecutions for cases of FGM performed in recent years.</w:t>
      </w:r>
      <w:r>
        <w:rPr>
          <w:rStyle w:val="FootnoteReference"/>
          <w:rFonts w:ascii="MetaPro-Norm" w:hAnsi="MetaPro-Norm"/>
        </w:rPr>
        <w:footnoteReference w:id="32"/>
      </w:r>
      <w:r>
        <w:rPr>
          <w:rFonts w:ascii="MetaPro-Norm" w:hAnsi="MetaPro-Norm"/>
        </w:rPr>
        <w:t xml:space="preserve"> </w:t>
      </w:r>
      <w:r w:rsidRPr="003A18A9">
        <w:rPr>
          <w:rFonts w:ascii="MetaPro-Norm" w:hAnsi="MetaPro-Norm"/>
        </w:rPr>
        <w:t>Freedom House in 2020 reported the law against FGM is “rarely enforced.”</w:t>
      </w:r>
      <w:r>
        <w:rPr>
          <w:rStyle w:val="FootnoteReference"/>
          <w:rFonts w:ascii="MetaPro-Norm" w:hAnsi="MetaPro-Norm"/>
        </w:rPr>
        <w:footnoteReference w:id="33"/>
      </w:r>
      <w:r>
        <w:rPr>
          <w:rFonts w:ascii="MetaPro-Norm" w:hAnsi="MetaPro-Norm"/>
        </w:rPr>
        <w:t xml:space="preserve"> </w:t>
      </w:r>
      <w:r w:rsidRPr="003A18A9">
        <w:rPr>
          <w:rFonts w:ascii="MetaPro-Norm" w:hAnsi="MetaPro-Norm"/>
        </w:rPr>
        <w:t>Moreover, only about half of women and girls aged 15-49 years who have heard of FGM think the practice should stop, according to 2020 surveys conducted by UNICEF.</w:t>
      </w:r>
      <w:r>
        <w:rPr>
          <w:rStyle w:val="FootnoteReference"/>
          <w:rFonts w:ascii="MetaPro-Norm" w:hAnsi="MetaPro-Norm"/>
        </w:rPr>
        <w:footnoteReference w:id="34"/>
      </w:r>
      <w:r>
        <w:rPr>
          <w:rFonts w:ascii="MetaPro-Norm" w:hAnsi="MetaPro-Norm"/>
        </w:rPr>
        <w:t xml:space="preserve"> </w:t>
      </w:r>
    </w:p>
    <w:p w14:paraId="66591A46" w14:textId="77777777" w:rsidR="009450CF" w:rsidRPr="003A18A9" w:rsidRDefault="009450CF" w:rsidP="009450CF">
      <w:pPr>
        <w:autoSpaceDE w:val="0"/>
        <w:autoSpaceDN w:val="0"/>
        <w:adjustRightInd w:val="0"/>
        <w:rPr>
          <w:rFonts w:ascii="MetaPro-Norm" w:hAnsi="MetaPro-Norm"/>
        </w:rPr>
      </w:pPr>
    </w:p>
    <w:p w14:paraId="0351C9DF" w14:textId="2E489323" w:rsidR="009450CF" w:rsidRPr="003A18A9" w:rsidRDefault="00B944C6" w:rsidP="009450CF">
      <w:pPr>
        <w:autoSpaceDE w:val="0"/>
        <w:autoSpaceDN w:val="0"/>
        <w:adjustRightInd w:val="0"/>
        <w:rPr>
          <w:rFonts w:ascii="MetaPro-Norm" w:hAnsi="MetaPro-Norm"/>
        </w:rPr>
      </w:pPr>
      <w:r>
        <w:rPr>
          <w:rFonts w:ascii="MetaPro-Norm" w:hAnsi="MetaPro-Norm"/>
        </w:rPr>
        <w:t>“</w:t>
      </w:r>
      <w:r w:rsidR="009450CF" w:rsidRPr="003A18A9">
        <w:rPr>
          <w:rFonts w:ascii="MetaPro-Norm" w:hAnsi="MetaPro-Norm"/>
        </w:rPr>
        <w:t>Virginity</w:t>
      </w:r>
      <w:r>
        <w:rPr>
          <w:rFonts w:ascii="MetaPro-Norm" w:hAnsi="MetaPro-Norm"/>
        </w:rPr>
        <w:t>”</w:t>
      </w:r>
      <w:r w:rsidR="009450CF" w:rsidRPr="003A18A9">
        <w:rPr>
          <w:rFonts w:ascii="MetaPro-Norm" w:hAnsi="MetaPro-Norm"/>
        </w:rPr>
        <w:t xml:space="preserve"> testing sometimes takes place during forensic examinations when treating survivors of sexual violence. According to a lawyer Human Rights Watch spoke to in 2018, “virginity tests are automatic in forensic exams performed in rape cases, and rape is usually only recognized when a girl’s hymen is broken as a result of the assault.</w:t>
      </w:r>
      <w:r w:rsidR="009450CF">
        <w:rPr>
          <w:rStyle w:val="FootnoteReference"/>
          <w:rFonts w:ascii="MetaPro-Norm" w:hAnsi="MetaPro-Norm"/>
        </w:rPr>
        <w:footnoteReference w:id="35"/>
      </w:r>
      <w:r w:rsidR="009450CF" w:rsidRPr="003A18A9">
        <w:rPr>
          <w:rFonts w:ascii="MetaPro-Norm" w:hAnsi="MetaPro-Norm"/>
        </w:rPr>
        <w:t xml:space="preserve"> </w:t>
      </w:r>
      <w:r w:rsidR="009450CF" w:rsidRPr="003A18A9">
        <w:rPr>
          <w:rFonts w:ascii="MetaPro-Norm" w:hAnsi="MetaPro-Norm"/>
        </w:rPr>
        <w:lastRenderedPageBreak/>
        <w:t>Human Rights Watch also reviewed several medical certificates prepared by doctors who forensically examined survivors of sexual assault and many commented on the state of the survivor’s hymen</w:t>
      </w:r>
      <w:r w:rsidR="009450CF">
        <w:rPr>
          <w:rFonts w:ascii="MetaPro-Norm" w:hAnsi="MetaPro-Norm"/>
        </w:rPr>
        <w:t>. Such tests are discriminatory, degrading</w:t>
      </w:r>
      <w:r w:rsidR="00F717EB">
        <w:rPr>
          <w:rFonts w:ascii="MetaPro-Norm" w:hAnsi="MetaPro-Norm"/>
        </w:rPr>
        <w:t>,</w:t>
      </w:r>
      <w:r w:rsidR="009450CF">
        <w:rPr>
          <w:rFonts w:ascii="MetaPro-Norm" w:hAnsi="MetaPro-Norm"/>
        </w:rPr>
        <w:t xml:space="preserve"> and in breach of World Health Organization guidelines which deems </w:t>
      </w:r>
      <w:r w:rsidR="002A442E">
        <w:rPr>
          <w:rFonts w:ascii="MetaPro-Norm" w:hAnsi="MetaPro-Norm"/>
        </w:rPr>
        <w:t>“</w:t>
      </w:r>
      <w:r w:rsidR="009450CF">
        <w:rPr>
          <w:rFonts w:ascii="MetaPro-Norm" w:hAnsi="MetaPro-Norm"/>
        </w:rPr>
        <w:t>virginity</w:t>
      </w:r>
      <w:r w:rsidR="002A442E">
        <w:rPr>
          <w:rFonts w:ascii="MetaPro-Norm" w:hAnsi="MetaPro-Norm"/>
        </w:rPr>
        <w:t>”</w:t>
      </w:r>
      <w:r w:rsidR="009450CF">
        <w:rPr>
          <w:rFonts w:ascii="MetaPro-Norm" w:hAnsi="MetaPro-Norm"/>
        </w:rPr>
        <w:t xml:space="preserve"> tests as having </w:t>
      </w:r>
      <w:r w:rsidR="002A442E">
        <w:rPr>
          <w:rFonts w:ascii="MetaPro-Norm" w:hAnsi="MetaPro-Norm"/>
        </w:rPr>
        <w:t>“</w:t>
      </w:r>
      <w:r w:rsidR="009450CF">
        <w:rPr>
          <w:rFonts w:ascii="MetaPro-Norm" w:hAnsi="MetaPro-Norm"/>
        </w:rPr>
        <w:t>no scientific validity</w:t>
      </w:r>
      <w:r w:rsidR="002A442E">
        <w:rPr>
          <w:rFonts w:ascii="MetaPro-Norm" w:hAnsi="MetaPro-Norm"/>
        </w:rPr>
        <w:t>.”</w:t>
      </w:r>
      <w:r w:rsidR="009450CF">
        <w:rPr>
          <w:rStyle w:val="FootnoteReference"/>
          <w:rFonts w:ascii="MetaPro-Norm" w:hAnsi="MetaPro-Norm"/>
        </w:rPr>
        <w:footnoteReference w:id="36"/>
      </w:r>
      <w:r w:rsidR="009450CF" w:rsidRPr="003A18A9">
        <w:rPr>
          <w:rFonts w:ascii="MetaPro-Norm" w:hAnsi="MetaPro-Norm"/>
        </w:rPr>
        <w:t xml:space="preserve"> </w:t>
      </w:r>
    </w:p>
    <w:p w14:paraId="73BA2CB3" w14:textId="77777777" w:rsidR="009450CF" w:rsidRDefault="009450CF" w:rsidP="009450CF">
      <w:pPr>
        <w:autoSpaceDE w:val="0"/>
        <w:autoSpaceDN w:val="0"/>
        <w:adjustRightInd w:val="0"/>
        <w:rPr>
          <w:rFonts w:ascii="MetaPro-Norm" w:hAnsi="MetaPro-Norm"/>
        </w:rPr>
      </w:pPr>
    </w:p>
    <w:p w14:paraId="4851D42D" w14:textId="77777777" w:rsidR="009450CF" w:rsidRPr="007F795A" w:rsidRDefault="009450CF" w:rsidP="009450CF">
      <w:pPr>
        <w:autoSpaceDE w:val="0"/>
        <w:autoSpaceDN w:val="0"/>
        <w:adjustRightInd w:val="0"/>
        <w:rPr>
          <w:rFonts w:ascii="MetaPro-Norm" w:hAnsi="MetaPro-Norm"/>
          <w:b/>
          <w:bCs/>
          <w:i/>
          <w:iCs/>
        </w:rPr>
      </w:pPr>
      <w:r w:rsidRPr="007F795A">
        <w:rPr>
          <w:rFonts w:ascii="MetaPro-Norm" w:hAnsi="MetaPro-Norm"/>
          <w:b/>
          <w:bCs/>
          <w:i/>
          <w:iCs/>
        </w:rPr>
        <w:t xml:space="preserve">We encourage the Committee to pose the following questions: </w:t>
      </w:r>
    </w:p>
    <w:p w14:paraId="0645AA94" w14:textId="65619D7B" w:rsidR="009450CF" w:rsidRPr="00825C79" w:rsidRDefault="009450CF" w:rsidP="009450CF">
      <w:pPr>
        <w:pStyle w:val="ListParagraph"/>
        <w:numPr>
          <w:ilvl w:val="0"/>
          <w:numId w:val="18"/>
        </w:numPr>
        <w:autoSpaceDE w:val="0"/>
        <w:autoSpaceDN w:val="0"/>
        <w:adjustRightInd w:val="0"/>
        <w:rPr>
          <w:rFonts w:ascii="MetaPro-Norm" w:hAnsi="MetaPro-Norm"/>
        </w:rPr>
      </w:pPr>
      <w:r w:rsidRPr="00825C79">
        <w:rPr>
          <w:rFonts w:ascii="MetaPro-Norm" w:hAnsi="MetaPro-Norm"/>
        </w:rPr>
        <w:t>W</w:t>
      </w:r>
      <w:r>
        <w:rPr>
          <w:rFonts w:ascii="MetaPro-Norm" w:hAnsi="MetaPro-Norm"/>
        </w:rPr>
        <w:t>hat steps is</w:t>
      </w:r>
      <w:r w:rsidRPr="00825C79">
        <w:rPr>
          <w:rFonts w:ascii="MetaPro-Norm" w:hAnsi="MetaPro-Norm"/>
        </w:rPr>
        <w:t xml:space="preserve"> Mauritania </w:t>
      </w:r>
      <w:r>
        <w:rPr>
          <w:rFonts w:ascii="MetaPro-Norm" w:hAnsi="MetaPro-Norm"/>
        </w:rPr>
        <w:t xml:space="preserve">taking to </w:t>
      </w:r>
      <w:r w:rsidRPr="00825C79">
        <w:rPr>
          <w:rFonts w:ascii="MetaPro-Norm" w:hAnsi="MetaPro-Norm"/>
        </w:rPr>
        <w:t>remedy problems that prevent survivors of sexual violence from seeking medical treatment</w:t>
      </w:r>
      <w:r>
        <w:rPr>
          <w:rFonts w:ascii="MetaPro-Norm" w:hAnsi="MetaPro-Norm"/>
        </w:rPr>
        <w:t xml:space="preserve">? For instance, are there any measures to </w:t>
      </w:r>
      <w:r w:rsidRPr="00825C79">
        <w:rPr>
          <w:rFonts w:ascii="MetaPro-Norm" w:hAnsi="MetaPro-Norm"/>
        </w:rPr>
        <w:t>ensur</w:t>
      </w:r>
      <w:r>
        <w:rPr>
          <w:rFonts w:ascii="MetaPro-Norm" w:hAnsi="MetaPro-Norm"/>
        </w:rPr>
        <w:t>e</w:t>
      </w:r>
      <w:r w:rsidRPr="00825C79">
        <w:rPr>
          <w:rFonts w:ascii="MetaPro-Norm" w:hAnsi="MetaPro-Norm"/>
        </w:rPr>
        <w:t xml:space="preserve"> that women survivors of sexual violence can be examined by women medical professionals</w:t>
      </w:r>
      <w:r>
        <w:rPr>
          <w:rFonts w:ascii="MetaPro-Norm" w:hAnsi="MetaPro-Norm"/>
        </w:rPr>
        <w:t xml:space="preserve"> and any measures to </w:t>
      </w:r>
      <w:r w:rsidRPr="00825C79">
        <w:rPr>
          <w:rFonts w:ascii="MetaPro-Norm" w:hAnsi="MetaPro-Norm"/>
        </w:rPr>
        <w:t>prohibit</w:t>
      </w:r>
      <w:r>
        <w:rPr>
          <w:rFonts w:ascii="MetaPro-Norm" w:hAnsi="MetaPro-Norm"/>
        </w:rPr>
        <w:t xml:space="preserve"> </w:t>
      </w:r>
      <w:r w:rsidRPr="00825C79">
        <w:rPr>
          <w:rFonts w:ascii="MetaPro-Norm" w:hAnsi="MetaPro-Norm"/>
        </w:rPr>
        <w:t xml:space="preserve">doctors </w:t>
      </w:r>
      <w:r>
        <w:rPr>
          <w:rFonts w:ascii="MetaPro-Norm" w:hAnsi="MetaPro-Norm"/>
        </w:rPr>
        <w:t xml:space="preserve">from </w:t>
      </w:r>
      <w:r w:rsidRPr="00825C79">
        <w:rPr>
          <w:rFonts w:ascii="MetaPro-Norm" w:hAnsi="MetaPro-Norm"/>
        </w:rPr>
        <w:t>requir</w:t>
      </w:r>
      <w:r>
        <w:rPr>
          <w:rFonts w:ascii="MetaPro-Norm" w:hAnsi="MetaPro-Norm"/>
        </w:rPr>
        <w:t>ing</w:t>
      </w:r>
      <w:r w:rsidRPr="00825C79">
        <w:rPr>
          <w:rFonts w:ascii="MetaPro-Norm" w:hAnsi="MetaPro-Norm"/>
        </w:rPr>
        <w:t xml:space="preserve"> police referrals to provide medical treatment</w:t>
      </w:r>
      <w:r>
        <w:rPr>
          <w:rFonts w:ascii="MetaPro-Norm" w:hAnsi="MetaPro-Norm"/>
        </w:rPr>
        <w:t>?</w:t>
      </w:r>
      <w:r w:rsidRPr="00825C79">
        <w:rPr>
          <w:rFonts w:ascii="MetaPro-Norm" w:hAnsi="MetaPro-Norm"/>
        </w:rPr>
        <w:t xml:space="preserve"> </w:t>
      </w:r>
    </w:p>
    <w:p w14:paraId="39AD9648" w14:textId="376B6BE8" w:rsidR="009450CF" w:rsidRDefault="009450CF" w:rsidP="009450CF">
      <w:pPr>
        <w:pStyle w:val="ListParagraph"/>
        <w:numPr>
          <w:ilvl w:val="0"/>
          <w:numId w:val="18"/>
        </w:numPr>
        <w:autoSpaceDE w:val="0"/>
        <w:autoSpaceDN w:val="0"/>
        <w:adjustRightInd w:val="0"/>
        <w:rPr>
          <w:rFonts w:ascii="MetaPro-Norm" w:hAnsi="MetaPro-Norm"/>
        </w:rPr>
      </w:pPr>
      <w:r w:rsidRPr="007F795A">
        <w:rPr>
          <w:rFonts w:ascii="MetaPro-Norm" w:hAnsi="MetaPro-Norm"/>
        </w:rPr>
        <w:t xml:space="preserve">What steps are being taken to prohibit forced </w:t>
      </w:r>
      <w:r w:rsidR="008A759F">
        <w:rPr>
          <w:rFonts w:ascii="MetaPro-Norm" w:hAnsi="MetaPro-Norm"/>
        </w:rPr>
        <w:t>“</w:t>
      </w:r>
      <w:r w:rsidRPr="007F795A">
        <w:rPr>
          <w:rFonts w:ascii="MetaPro-Norm" w:hAnsi="MetaPro-Norm"/>
        </w:rPr>
        <w:t>virginity</w:t>
      </w:r>
      <w:r w:rsidR="008A759F">
        <w:rPr>
          <w:rFonts w:ascii="MetaPro-Norm" w:hAnsi="MetaPro-Norm"/>
        </w:rPr>
        <w:t>”</w:t>
      </w:r>
      <w:r w:rsidRPr="007F795A">
        <w:rPr>
          <w:rFonts w:ascii="MetaPro-Norm" w:hAnsi="MetaPro-Norm"/>
        </w:rPr>
        <w:t xml:space="preserve"> tests</w:t>
      </w:r>
      <w:r>
        <w:rPr>
          <w:rFonts w:ascii="MetaPro-Norm" w:hAnsi="MetaPro-Norm"/>
        </w:rPr>
        <w:t xml:space="preserve"> and ensuring that forensic examination for sexual assault abides by World Health Organization guidelines</w:t>
      </w:r>
      <w:r w:rsidRPr="007F795A">
        <w:rPr>
          <w:rFonts w:ascii="MetaPro-Norm" w:hAnsi="MetaPro-Norm"/>
        </w:rPr>
        <w:t>?</w:t>
      </w:r>
    </w:p>
    <w:p w14:paraId="536B0991" w14:textId="77777777" w:rsidR="009450CF" w:rsidRPr="00825C79" w:rsidRDefault="009450CF" w:rsidP="009450CF">
      <w:pPr>
        <w:pStyle w:val="ListParagraph"/>
        <w:numPr>
          <w:ilvl w:val="0"/>
          <w:numId w:val="19"/>
        </w:numPr>
        <w:autoSpaceDE w:val="0"/>
        <w:autoSpaceDN w:val="0"/>
        <w:adjustRightInd w:val="0"/>
        <w:rPr>
          <w:rFonts w:ascii="MetaPro-Norm" w:hAnsi="MetaPro-Norm"/>
        </w:rPr>
      </w:pPr>
      <w:r w:rsidRPr="00825C79">
        <w:rPr>
          <w:rFonts w:ascii="MetaPro-Norm" w:hAnsi="MetaPro-Norm"/>
        </w:rPr>
        <w:t>What is the status of the draft law on violence against women, stalled in parliament since 2016? Please clarify what consultation is being done with civil society including prominent nongovernmental women’s rights groups on the draft law?</w:t>
      </w:r>
    </w:p>
    <w:p w14:paraId="4C5AEF78" w14:textId="609CEEB7" w:rsidR="009450CF" w:rsidRDefault="009450CF" w:rsidP="009450CF">
      <w:pPr>
        <w:pStyle w:val="ListParagraph"/>
        <w:numPr>
          <w:ilvl w:val="0"/>
          <w:numId w:val="21"/>
        </w:numPr>
        <w:autoSpaceDE w:val="0"/>
        <w:autoSpaceDN w:val="0"/>
        <w:adjustRightInd w:val="0"/>
        <w:rPr>
          <w:rFonts w:ascii="MetaPro-Norm" w:hAnsi="MetaPro-Norm"/>
        </w:rPr>
      </w:pPr>
      <w:r w:rsidRPr="00825C79">
        <w:rPr>
          <w:rFonts w:ascii="MetaPro-Norm" w:hAnsi="MetaPro-Norm"/>
        </w:rPr>
        <w:t>What guidelines, trainings, or procedures are in place to change attitudes among police, prosecutors, judges, health professionals, social workers, and teachers to help address FGM, virginity testing, and gender-based violence?</w:t>
      </w:r>
    </w:p>
    <w:p w14:paraId="16B98150" w14:textId="4FCA2B90" w:rsidR="00CB651A" w:rsidRPr="005B5FF3" w:rsidRDefault="00CB651A">
      <w:pPr>
        <w:pStyle w:val="ListParagraph"/>
        <w:numPr>
          <w:ilvl w:val="0"/>
          <w:numId w:val="21"/>
        </w:numPr>
        <w:autoSpaceDE w:val="0"/>
        <w:autoSpaceDN w:val="0"/>
        <w:adjustRightInd w:val="0"/>
        <w:rPr>
          <w:rFonts w:ascii="MetaPro-Norm" w:hAnsi="MetaPro-Norm"/>
        </w:rPr>
      </w:pPr>
      <w:r w:rsidRPr="00CB651A">
        <w:rPr>
          <w:rFonts w:ascii="MetaPro-Norm" w:hAnsi="MetaPro-Norm"/>
        </w:rPr>
        <w:t xml:space="preserve">How is the government working to change the cultural acceptance </w:t>
      </w:r>
      <w:r>
        <w:rPr>
          <w:rFonts w:ascii="MetaPro-Norm" w:hAnsi="MetaPro-Norm"/>
        </w:rPr>
        <w:t>of FGM?</w:t>
      </w:r>
    </w:p>
    <w:p w14:paraId="57A1A8BB" w14:textId="77777777" w:rsidR="009450CF" w:rsidRPr="00967653" w:rsidRDefault="009450CF" w:rsidP="009450CF">
      <w:pPr>
        <w:autoSpaceDE w:val="0"/>
        <w:autoSpaceDN w:val="0"/>
        <w:adjustRightInd w:val="0"/>
        <w:rPr>
          <w:rFonts w:ascii="MetaPro-Norm" w:hAnsi="MetaPro-Norm"/>
          <w:color w:val="000000" w:themeColor="text1"/>
        </w:rPr>
      </w:pPr>
    </w:p>
    <w:p w14:paraId="6FD2FB7A" w14:textId="247918D9" w:rsidR="009450CF" w:rsidRPr="00E76836" w:rsidRDefault="009450CF" w:rsidP="009450CF">
      <w:pPr>
        <w:pStyle w:val="ListParagraph"/>
        <w:numPr>
          <w:ilvl w:val="0"/>
          <w:numId w:val="2"/>
        </w:numPr>
        <w:autoSpaceDE w:val="0"/>
        <w:autoSpaceDN w:val="0"/>
        <w:adjustRightInd w:val="0"/>
        <w:rPr>
          <w:rFonts w:ascii="MetaPro-Norm" w:hAnsi="MetaPro-Norm"/>
          <w:b/>
          <w:bCs/>
        </w:rPr>
      </w:pPr>
      <w:r w:rsidRPr="00E76836">
        <w:rPr>
          <w:rFonts w:ascii="MetaPro-Norm" w:hAnsi="MetaPro-Norm" w:cs="Times New Roman"/>
          <w:b/>
          <w:bCs/>
          <w:color w:val="000000" w:themeColor="text1"/>
        </w:rPr>
        <w:t xml:space="preserve">Access to </w:t>
      </w:r>
      <w:r>
        <w:rPr>
          <w:rFonts w:ascii="MetaPro-Norm" w:hAnsi="MetaPro-Norm" w:cs="Times New Roman"/>
          <w:b/>
          <w:bCs/>
          <w:color w:val="000000" w:themeColor="text1"/>
        </w:rPr>
        <w:t xml:space="preserve">Decent, Safe, and </w:t>
      </w:r>
      <w:r w:rsidRPr="00E76836">
        <w:rPr>
          <w:rFonts w:ascii="MetaPro-Norm" w:hAnsi="MetaPro-Norm" w:cs="Times New Roman"/>
          <w:b/>
          <w:bCs/>
          <w:color w:val="000000" w:themeColor="text1"/>
        </w:rPr>
        <w:t>Healthy Living</w:t>
      </w:r>
      <w:r>
        <w:rPr>
          <w:rFonts w:ascii="MetaPro-Norm" w:hAnsi="MetaPro-Norm" w:cs="Times New Roman"/>
          <w:b/>
          <w:bCs/>
          <w:color w:val="000000" w:themeColor="text1"/>
        </w:rPr>
        <w:t xml:space="preserve"> and Working</w:t>
      </w:r>
      <w:r w:rsidRPr="00E76836">
        <w:rPr>
          <w:rFonts w:ascii="MetaPro-Norm" w:hAnsi="MetaPro-Norm" w:cs="Times New Roman"/>
          <w:b/>
          <w:bCs/>
          <w:color w:val="000000" w:themeColor="text1"/>
        </w:rPr>
        <w:t xml:space="preserve"> Conditions for All People </w:t>
      </w:r>
      <w:r>
        <w:rPr>
          <w:rFonts w:ascii="MetaPro-Norm" w:hAnsi="MetaPro-Norm" w:cs="Times New Roman"/>
          <w:b/>
          <w:bCs/>
          <w:color w:val="000000" w:themeColor="text1"/>
        </w:rPr>
        <w:t>(arts. 2, 3, 6</w:t>
      </w:r>
      <w:r w:rsidR="473100E3" w:rsidRPr="05359DFC">
        <w:rPr>
          <w:rFonts w:ascii="MetaPro-Norm" w:hAnsi="MetaPro-Norm" w:cs="Times New Roman"/>
          <w:b/>
          <w:bCs/>
          <w:color w:val="000000" w:themeColor="text1"/>
        </w:rPr>
        <w:t>, 7</w:t>
      </w:r>
      <w:r w:rsidR="771648F4" w:rsidRPr="05359DFC">
        <w:rPr>
          <w:rFonts w:ascii="MetaPro-Norm" w:hAnsi="MetaPro-Norm" w:cs="Times New Roman"/>
          <w:b/>
          <w:bCs/>
          <w:color w:val="000000" w:themeColor="text1"/>
        </w:rPr>
        <w:t>, and 11</w:t>
      </w:r>
      <w:r w:rsidR="473100E3" w:rsidRPr="05359DFC">
        <w:rPr>
          <w:rFonts w:ascii="MetaPro-Norm" w:hAnsi="MetaPro-Norm" w:cs="Times New Roman"/>
          <w:b/>
          <w:bCs/>
          <w:color w:val="000000" w:themeColor="text1"/>
        </w:rPr>
        <w:t>)</w:t>
      </w:r>
      <w:r w:rsidR="1F71E2A2" w:rsidRPr="05359DFC">
        <w:rPr>
          <w:rFonts w:ascii="MetaPro-Norm" w:hAnsi="MetaPro-Norm" w:cs="Times New Roman"/>
          <w:b/>
          <w:bCs/>
          <w:color w:val="000000" w:themeColor="text1"/>
        </w:rPr>
        <w:t>, and Special Protections for Children (art. 10)</w:t>
      </w:r>
    </w:p>
    <w:p w14:paraId="0C066698" w14:textId="77777777" w:rsidR="009450CF" w:rsidRPr="00532430" w:rsidRDefault="009450CF" w:rsidP="009450CF">
      <w:pPr>
        <w:autoSpaceDE w:val="0"/>
        <w:autoSpaceDN w:val="0"/>
        <w:adjustRightInd w:val="0"/>
        <w:rPr>
          <w:rFonts w:ascii="MetaPro-Norm" w:hAnsi="MetaPro-Norm"/>
        </w:rPr>
      </w:pPr>
    </w:p>
    <w:p w14:paraId="6C9A7EA7" w14:textId="77777777" w:rsidR="009450CF" w:rsidRPr="00DB596E" w:rsidRDefault="009450CF" w:rsidP="009450CF">
      <w:pPr>
        <w:autoSpaceDE w:val="0"/>
        <w:autoSpaceDN w:val="0"/>
        <w:adjustRightInd w:val="0"/>
        <w:rPr>
          <w:rFonts w:ascii="MetaPro-Norm" w:hAnsi="MetaPro-Norm"/>
          <w:b/>
          <w:bCs/>
          <w:i/>
          <w:iCs/>
        </w:rPr>
      </w:pPr>
      <w:r w:rsidRPr="00DB596E">
        <w:rPr>
          <w:rFonts w:ascii="MetaPro-Norm" w:hAnsi="MetaPro-Norm"/>
          <w:b/>
          <w:bCs/>
          <w:i/>
          <w:iCs/>
        </w:rPr>
        <w:t xml:space="preserve">Haratine and Afro-Mauritanian Communities </w:t>
      </w:r>
    </w:p>
    <w:p w14:paraId="7DF9B7AA" w14:textId="77777777" w:rsidR="009450CF" w:rsidRDefault="009450CF" w:rsidP="009450CF">
      <w:pPr>
        <w:autoSpaceDE w:val="0"/>
        <w:autoSpaceDN w:val="0"/>
        <w:adjustRightInd w:val="0"/>
        <w:rPr>
          <w:rFonts w:ascii="MetaPro-Norm" w:hAnsi="MetaPro-Norm"/>
        </w:rPr>
      </w:pPr>
      <w:r w:rsidRPr="00DB596E">
        <w:rPr>
          <w:rFonts w:ascii="MetaPro-Norm" w:hAnsi="MetaPro-Norm"/>
        </w:rPr>
        <w:t>The Global Slavery Index, which measures forced labor and forced marriage, estimate</w:t>
      </w:r>
      <w:r>
        <w:rPr>
          <w:rFonts w:ascii="MetaPro-Norm" w:hAnsi="MetaPro-Norm"/>
        </w:rPr>
        <w:t>d</w:t>
      </w:r>
      <w:r w:rsidRPr="00DB596E">
        <w:rPr>
          <w:rFonts w:ascii="MetaPro-Norm" w:hAnsi="MetaPro-Norm"/>
        </w:rPr>
        <w:t xml:space="preserve"> in 2018 t</w:t>
      </w:r>
      <w:r>
        <w:rPr>
          <w:rFonts w:ascii="MetaPro-Norm" w:hAnsi="MetaPro-Norm"/>
        </w:rPr>
        <w:t>hat t</w:t>
      </w:r>
      <w:r w:rsidRPr="00DB596E">
        <w:rPr>
          <w:rFonts w:ascii="MetaPro-Norm" w:hAnsi="MetaPro-Norm"/>
        </w:rPr>
        <w:t>here are 90,000 people living in “modern slaver</w:t>
      </w:r>
      <w:r>
        <w:rPr>
          <w:rFonts w:ascii="MetaPro-Norm" w:hAnsi="MetaPro-Norm"/>
        </w:rPr>
        <w:t>y”</w:t>
      </w:r>
      <w:r w:rsidRPr="00DB596E">
        <w:rPr>
          <w:rFonts w:ascii="MetaPro-Norm" w:hAnsi="MetaPro-Norm"/>
        </w:rPr>
        <w:t xml:space="preserve"> in Mauritania, or 2.4 percent of the population, while 62 percent </w:t>
      </w:r>
      <w:r>
        <w:rPr>
          <w:rFonts w:ascii="MetaPro-Norm" w:hAnsi="MetaPro-Norm"/>
        </w:rPr>
        <w:t>is</w:t>
      </w:r>
      <w:r w:rsidRPr="00DB596E">
        <w:rPr>
          <w:rFonts w:ascii="MetaPro-Norm" w:hAnsi="MetaPro-Norm"/>
        </w:rPr>
        <w:t xml:space="preserve"> “vulnerable” to modern slavery.</w:t>
      </w:r>
      <w:r>
        <w:rPr>
          <w:rStyle w:val="FootnoteReference"/>
          <w:rFonts w:ascii="MetaPro-Norm" w:hAnsi="MetaPro-Norm"/>
        </w:rPr>
        <w:footnoteReference w:id="37"/>
      </w:r>
      <w:r>
        <w:rPr>
          <w:rFonts w:ascii="MetaPro-Norm" w:hAnsi="MetaPro-Norm"/>
        </w:rPr>
        <w:t xml:space="preserve"> </w:t>
      </w:r>
      <w:r>
        <w:rPr>
          <w:rFonts w:ascii="MetaPro-Norm" w:hAnsi="MetaPro-Norm"/>
        </w:rPr>
        <w:br/>
      </w:r>
    </w:p>
    <w:p w14:paraId="7007DD48" w14:textId="77777777" w:rsidR="009450CF" w:rsidRDefault="009450CF" w:rsidP="009450CF">
      <w:pPr>
        <w:autoSpaceDE w:val="0"/>
        <w:autoSpaceDN w:val="0"/>
        <w:adjustRightInd w:val="0"/>
        <w:rPr>
          <w:rFonts w:ascii="MetaPro-Norm" w:hAnsi="MetaPro-Norm"/>
        </w:rPr>
      </w:pPr>
      <w:r w:rsidRPr="00DB596E">
        <w:rPr>
          <w:rFonts w:ascii="MetaPro-Norm" w:hAnsi="MetaPro-Norm"/>
        </w:rPr>
        <w:t>Adults and children from traditional slave castes in the Haratine</w:t>
      </w:r>
      <w:r>
        <w:rPr>
          <w:rFonts w:ascii="MetaPro-Norm" w:hAnsi="MetaPro-Norm"/>
          <w:color w:val="000000" w:themeColor="text1"/>
        </w:rPr>
        <w:t xml:space="preserve"> </w:t>
      </w:r>
      <w:r w:rsidRPr="00DB596E">
        <w:rPr>
          <w:rFonts w:ascii="MetaPro-Norm" w:hAnsi="MetaPro-Norm"/>
        </w:rPr>
        <w:t>and Afro-Mauritanian communities remain exposed to hereditary slavery practices such as forced labor without pay as domestic servants or farm laborers.</w:t>
      </w:r>
      <w:r>
        <w:rPr>
          <w:rFonts w:ascii="MetaPro-Norm" w:hAnsi="MetaPro-Norm"/>
        </w:rPr>
        <w:t xml:space="preserve"> As such, their access to basic rights, including education, health care, voting, and other social services can be impeded.</w:t>
      </w:r>
      <w:r>
        <w:rPr>
          <w:rStyle w:val="FootnoteReference"/>
          <w:rFonts w:ascii="MetaPro-Norm" w:hAnsi="MetaPro-Norm"/>
        </w:rPr>
        <w:footnoteReference w:id="38"/>
      </w:r>
      <w:r>
        <w:rPr>
          <w:rFonts w:ascii="MetaPro-Norm" w:hAnsi="MetaPro-Norm"/>
        </w:rPr>
        <w:t xml:space="preserve"> </w:t>
      </w:r>
      <w:r>
        <w:rPr>
          <w:rFonts w:ascii="MetaPro-Norm" w:hAnsi="MetaPro-Norm"/>
        </w:rPr>
        <w:lastRenderedPageBreak/>
        <w:t>The OECD reports women and girls from these communities are vulnerable to sexual violence and rape.</w:t>
      </w:r>
      <w:r>
        <w:rPr>
          <w:rStyle w:val="FootnoteReference"/>
          <w:rFonts w:ascii="MetaPro-Norm" w:hAnsi="MetaPro-Norm"/>
        </w:rPr>
        <w:footnoteReference w:id="39"/>
      </w:r>
    </w:p>
    <w:p w14:paraId="78C0FBFA" w14:textId="77777777" w:rsidR="009450CF" w:rsidRDefault="009450CF" w:rsidP="009450CF">
      <w:pPr>
        <w:autoSpaceDE w:val="0"/>
        <w:autoSpaceDN w:val="0"/>
        <w:adjustRightInd w:val="0"/>
        <w:rPr>
          <w:rFonts w:ascii="MetaPro-Norm" w:hAnsi="MetaPro-Norm"/>
        </w:rPr>
      </w:pPr>
    </w:p>
    <w:p w14:paraId="1E8FAA85" w14:textId="77777777" w:rsidR="009450CF" w:rsidRDefault="009450CF" w:rsidP="009450CF">
      <w:pPr>
        <w:autoSpaceDE w:val="0"/>
        <w:autoSpaceDN w:val="0"/>
        <w:adjustRightInd w:val="0"/>
        <w:rPr>
          <w:rFonts w:ascii="MetaPro-Norm" w:hAnsi="MetaPro-Norm"/>
        </w:rPr>
      </w:pPr>
      <w:r>
        <w:rPr>
          <w:rFonts w:ascii="MetaPro-Norm" w:hAnsi="MetaPro-Norm"/>
        </w:rPr>
        <w:t>Many who escape or are freed from slavery practices live in what some have described as “niche settlements” or “slums.”</w:t>
      </w:r>
      <w:r>
        <w:rPr>
          <w:rStyle w:val="FootnoteReference"/>
          <w:rFonts w:ascii="MetaPro-Norm" w:hAnsi="MetaPro-Norm"/>
        </w:rPr>
        <w:footnoteReference w:id="40"/>
      </w:r>
      <w:r>
        <w:rPr>
          <w:rFonts w:ascii="MetaPro-Norm" w:hAnsi="MetaPro-Norm"/>
        </w:rPr>
        <w:t xml:space="preserve"> </w:t>
      </w:r>
      <w:r w:rsidRPr="00EF583A">
        <w:rPr>
          <w:rFonts w:ascii="MetaPro-Norm" w:hAnsi="MetaPro-Norm"/>
        </w:rPr>
        <w:t xml:space="preserve">Despite no longer living in slavery, </w:t>
      </w:r>
      <w:r>
        <w:rPr>
          <w:rFonts w:ascii="MetaPro-Norm" w:hAnsi="MetaPro-Norm"/>
        </w:rPr>
        <w:t xml:space="preserve">many former slaves and their descendants’ </w:t>
      </w:r>
      <w:r w:rsidRPr="00EF583A">
        <w:rPr>
          <w:rFonts w:ascii="MetaPro-Norm" w:hAnsi="MetaPro-Norm"/>
        </w:rPr>
        <w:t>access to basic rights</w:t>
      </w:r>
      <w:r>
        <w:rPr>
          <w:rFonts w:ascii="MetaPro-Norm" w:hAnsi="MetaPro-Norm"/>
        </w:rPr>
        <w:t xml:space="preserve"> </w:t>
      </w:r>
      <w:r w:rsidRPr="00EF583A">
        <w:rPr>
          <w:rFonts w:ascii="MetaPro-Norm" w:hAnsi="MetaPro-Norm"/>
        </w:rPr>
        <w:t>can be affected by anti-Black racism or their status</w:t>
      </w:r>
      <w:r>
        <w:rPr>
          <w:rFonts w:ascii="MetaPro-Norm" w:hAnsi="MetaPro-Norm"/>
        </w:rPr>
        <w:t xml:space="preserve"> as former slaves</w:t>
      </w:r>
      <w:r w:rsidRPr="00EF583A">
        <w:rPr>
          <w:rFonts w:ascii="MetaPro-Norm" w:hAnsi="MetaPro-Norm"/>
        </w:rPr>
        <w:t>.</w:t>
      </w:r>
      <w:r>
        <w:rPr>
          <w:rStyle w:val="FootnoteReference"/>
          <w:rFonts w:ascii="MetaPro-Norm" w:hAnsi="MetaPro-Norm"/>
        </w:rPr>
        <w:footnoteReference w:id="41"/>
      </w:r>
      <w:r>
        <w:rPr>
          <w:rFonts w:ascii="MetaPro-Norm" w:hAnsi="MetaPro-Norm"/>
        </w:rPr>
        <w:t xml:space="preserve"> </w:t>
      </w:r>
    </w:p>
    <w:p w14:paraId="088D7E2C" w14:textId="77777777" w:rsidR="009450CF" w:rsidRDefault="009450CF" w:rsidP="009450CF">
      <w:pPr>
        <w:autoSpaceDE w:val="0"/>
        <w:autoSpaceDN w:val="0"/>
        <w:adjustRightInd w:val="0"/>
        <w:rPr>
          <w:rFonts w:ascii="MetaPro-Norm" w:hAnsi="MetaPro-Norm"/>
        </w:rPr>
      </w:pPr>
    </w:p>
    <w:p w14:paraId="1AD19B4C" w14:textId="3EE40C94" w:rsidR="009450CF" w:rsidRDefault="009450CF" w:rsidP="05359DFC">
      <w:pPr>
        <w:rPr>
          <w:rFonts w:ascii="MetaPro-Norm" w:hAnsi="MetaPro-Norm"/>
        </w:rPr>
      </w:pPr>
      <w:r w:rsidRPr="00FC1C26">
        <w:rPr>
          <w:rFonts w:ascii="MetaPro-Norm" w:hAnsi="MetaPro-Norm"/>
        </w:rPr>
        <w:t>The government routinely denies or otherwise downplays the existence of slavery in Mauritania.</w:t>
      </w:r>
    </w:p>
    <w:p w14:paraId="5C53C649" w14:textId="77777777" w:rsidR="00CB3A2D" w:rsidRDefault="00CB3A2D" w:rsidP="05359DFC">
      <w:pPr>
        <w:rPr>
          <w:rFonts w:ascii="MetaPro-Norm" w:hAnsi="MetaPro-Norm"/>
        </w:rPr>
      </w:pPr>
    </w:p>
    <w:p w14:paraId="40D07B5B" w14:textId="77777777" w:rsidR="00CB3A2D" w:rsidRPr="00532430" w:rsidRDefault="00CB3A2D" w:rsidP="00CB3A2D">
      <w:pPr>
        <w:autoSpaceDE w:val="0"/>
        <w:autoSpaceDN w:val="0"/>
        <w:adjustRightInd w:val="0"/>
        <w:rPr>
          <w:rFonts w:ascii="MetaPro-Norm" w:hAnsi="MetaPro-Norm"/>
          <w:b/>
          <w:bCs/>
          <w:i/>
          <w:iCs/>
        </w:rPr>
      </w:pPr>
      <w:r w:rsidRPr="00532430">
        <w:rPr>
          <w:rFonts w:ascii="MetaPro-Norm" w:hAnsi="MetaPro-Norm"/>
          <w:b/>
          <w:bCs/>
          <w:i/>
          <w:iCs/>
        </w:rPr>
        <w:t xml:space="preserve">We encourage the Committee to pose the following questions: </w:t>
      </w:r>
    </w:p>
    <w:p w14:paraId="191927B4" w14:textId="77777777" w:rsidR="00CB3A2D" w:rsidRPr="00F96930" w:rsidRDefault="00CB3A2D" w:rsidP="00CB3A2D">
      <w:pPr>
        <w:pStyle w:val="ListParagraph"/>
        <w:numPr>
          <w:ilvl w:val="0"/>
          <w:numId w:val="5"/>
        </w:numPr>
        <w:autoSpaceDE w:val="0"/>
        <w:autoSpaceDN w:val="0"/>
        <w:adjustRightInd w:val="0"/>
        <w:rPr>
          <w:rFonts w:ascii="MetaPro-Norm" w:hAnsi="MetaPro-Norm"/>
        </w:rPr>
      </w:pPr>
      <w:r w:rsidRPr="00F96930">
        <w:rPr>
          <w:rFonts w:ascii="MetaPro-Norm" w:hAnsi="MetaPro-Norm"/>
        </w:rPr>
        <w:t>What mechanisms are there in place to accurately determine the number of Mauritanians subjected to slavery</w:t>
      </w:r>
      <w:r>
        <w:rPr>
          <w:rFonts w:ascii="MetaPro-Norm" w:hAnsi="MetaPro-Norm"/>
        </w:rPr>
        <w:t xml:space="preserve"> and </w:t>
      </w:r>
      <w:r w:rsidRPr="00F96930">
        <w:rPr>
          <w:rFonts w:ascii="MetaPro-Norm" w:hAnsi="MetaPro-Norm"/>
        </w:rPr>
        <w:t>slavery-like conditions, as well as forced and bonded labor conditions?</w:t>
      </w:r>
    </w:p>
    <w:p w14:paraId="0F5B68CF" w14:textId="3F05D2C1" w:rsidR="00CB3A2D" w:rsidRPr="002704BE" w:rsidRDefault="00CB3A2D" w:rsidP="002704BE">
      <w:pPr>
        <w:pStyle w:val="ListParagraph"/>
        <w:numPr>
          <w:ilvl w:val="0"/>
          <w:numId w:val="5"/>
        </w:numPr>
        <w:autoSpaceDE w:val="0"/>
        <w:autoSpaceDN w:val="0"/>
        <w:adjustRightInd w:val="0"/>
        <w:rPr>
          <w:rFonts w:ascii="MetaPro-Norm" w:hAnsi="MetaPro-Norm"/>
        </w:rPr>
      </w:pPr>
      <w:r w:rsidRPr="00F96930">
        <w:rPr>
          <w:rFonts w:ascii="MetaPro-Norm" w:hAnsi="MetaPro-Norm"/>
        </w:rPr>
        <w:t>What legislative efforts are being made to eliminate slavery, forced labor and other forms of ‘modern-day slavery’ in Mauritania?</w:t>
      </w:r>
    </w:p>
    <w:p w14:paraId="7BCB5FC5" w14:textId="77777777" w:rsidR="009450CF" w:rsidRPr="00FC1C26" w:rsidRDefault="009450CF" w:rsidP="009450CF">
      <w:pPr>
        <w:autoSpaceDE w:val="0"/>
        <w:autoSpaceDN w:val="0"/>
        <w:adjustRightInd w:val="0"/>
        <w:rPr>
          <w:rFonts w:ascii="MetaPro-Norm" w:hAnsi="MetaPro-Norm"/>
        </w:rPr>
      </w:pPr>
    </w:p>
    <w:p w14:paraId="44260DF0" w14:textId="77777777" w:rsidR="009450CF" w:rsidRPr="00DB596E" w:rsidRDefault="009450CF" w:rsidP="009450CF">
      <w:pPr>
        <w:autoSpaceDE w:val="0"/>
        <w:autoSpaceDN w:val="0"/>
        <w:adjustRightInd w:val="0"/>
        <w:rPr>
          <w:rFonts w:ascii="MetaPro-Norm" w:hAnsi="MetaPro-Norm"/>
          <w:b/>
          <w:bCs/>
          <w:i/>
          <w:iCs/>
        </w:rPr>
      </w:pPr>
      <w:r w:rsidRPr="00DB596E">
        <w:rPr>
          <w:rFonts w:ascii="MetaPro-Norm" w:hAnsi="MetaPro-Norm"/>
          <w:b/>
          <w:bCs/>
          <w:i/>
          <w:iCs/>
        </w:rPr>
        <w:t xml:space="preserve">Migrants </w:t>
      </w:r>
    </w:p>
    <w:p w14:paraId="02F19652" w14:textId="22873EDB" w:rsidR="009450CF" w:rsidRPr="00532430" w:rsidRDefault="009450CF" w:rsidP="009450CF">
      <w:pPr>
        <w:autoSpaceDE w:val="0"/>
        <w:autoSpaceDN w:val="0"/>
        <w:adjustRightInd w:val="0"/>
        <w:rPr>
          <w:rFonts w:ascii="MetaPro-Norm" w:hAnsi="MetaPro-Norm"/>
        </w:rPr>
      </w:pPr>
      <w:r w:rsidRPr="00B0369A">
        <w:rPr>
          <w:rFonts w:ascii="MetaPro-Norm" w:hAnsi="MetaPro-Norm"/>
        </w:rPr>
        <w:t>In 2020 and 2021, Human Rights Watch documented cases of arbitrary and abusive arrests and detention by Mauritanian police and gendarmes of migrants intercepted at sea, arrested on Mauritanian territory, or deported from Spain’s Canary Islands.</w:t>
      </w:r>
      <w:r>
        <w:rPr>
          <w:rStyle w:val="FootnoteReference"/>
          <w:rFonts w:ascii="MetaPro-Norm" w:hAnsi="MetaPro-Norm"/>
        </w:rPr>
        <w:footnoteReference w:id="42"/>
      </w:r>
      <w:r w:rsidRPr="00B0369A">
        <w:rPr>
          <w:rFonts w:ascii="MetaPro-Norm" w:hAnsi="MetaPro-Norm"/>
        </w:rPr>
        <w:t xml:space="preserve"> </w:t>
      </w:r>
      <w:r w:rsidRPr="00532430">
        <w:rPr>
          <w:rFonts w:ascii="MetaPro-Norm" w:hAnsi="MetaPro-Norm"/>
        </w:rPr>
        <w:t xml:space="preserve">Human Rights Watch </w:t>
      </w:r>
      <w:r w:rsidRPr="00B0369A">
        <w:rPr>
          <w:rFonts w:ascii="MetaPro-Norm" w:hAnsi="MetaPro-Norm"/>
        </w:rPr>
        <w:t xml:space="preserve">also documented </w:t>
      </w:r>
      <w:r w:rsidR="0B59E9CE" w:rsidRPr="00B0369A">
        <w:rPr>
          <w:rFonts w:ascii="MetaPro-Norm" w:hAnsi="MetaPro-Norm"/>
        </w:rPr>
        <w:t>arbitrary and</w:t>
      </w:r>
      <w:r w:rsidR="4FBE282C" w:rsidRPr="00B0369A">
        <w:rPr>
          <w:rFonts w:ascii="MetaPro-Norm" w:hAnsi="MetaPro-Norm"/>
        </w:rPr>
        <w:t xml:space="preserve"> </w:t>
      </w:r>
      <w:r w:rsidRPr="00B0369A">
        <w:rPr>
          <w:rFonts w:ascii="MetaPro-Norm" w:hAnsi="MetaPro-Norm"/>
        </w:rPr>
        <w:t xml:space="preserve">collective </w:t>
      </w:r>
      <w:r w:rsidR="4FBE282C" w:rsidRPr="00B0369A">
        <w:rPr>
          <w:rFonts w:ascii="MetaPro-Norm" w:hAnsi="MetaPro-Norm"/>
        </w:rPr>
        <w:t>expulsion</w:t>
      </w:r>
      <w:r w:rsidR="229564DE" w:rsidRPr="00B0369A">
        <w:rPr>
          <w:rFonts w:ascii="MetaPro-Norm" w:hAnsi="MetaPro-Norm"/>
        </w:rPr>
        <w:t>s of migrants</w:t>
      </w:r>
      <w:r w:rsidRPr="00B0369A">
        <w:rPr>
          <w:rFonts w:ascii="MetaPro-Norm" w:hAnsi="MetaPro-Norm"/>
        </w:rPr>
        <w:t xml:space="preserve"> by Mauritanian authoritie</w:t>
      </w:r>
      <w:r w:rsidRPr="00532430">
        <w:rPr>
          <w:rFonts w:ascii="MetaPro-Norm" w:hAnsi="MetaPro-Norm"/>
        </w:rPr>
        <w:t>s</w:t>
      </w:r>
      <w:r w:rsidR="3BADFF37" w:rsidRPr="00532430">
        <w:rPr>
          <w:rFonts w:ascii="MetaPro-Norm" w:hAnsi="MetaPro-Norm"/>
        </w:rPr>
        <w:t xml:space="preserve"> to Mali’s land borders</w:t>
      </w:r>
      <w:r w:rsidRPr="00532430">
        <w:rPr>
          <w:rFonts w:ascii="MetaPro-Norm" w:hAnsi="MetaPro-Norm"/>
        </w:rPr>
        <w:t>.</w:t>
      </w:r>
    </w:p>
    <w:p w14:paraId="09206B02" w14:textId="77777777" w:rsidR="009450CF" w:rsidRPr="00532430" w:rsidRDefault="009450CF" w:rsidP="009450CF">
      <w:pPr>
        <w:autoSpaceDE w:val="0"/>
        <w:autoSpaceDN w:val="0"/>
        <w:adjustRightInd w:val="0"/>
        <w:rPr>
          <w:rFonts w:ascii="MetaPro-Norm" w:hAnsi="MetaPro-Norm"/>
        </w:rPr>
      </w:pPr>
    </w:p>
    <w:p w14:paraId="3F91215C" w14:textId="54BAF94C" w:rsidR="009450CF" w:rsidRDefault="009450CF" w:rsidP="04CCB1C2">
      <w:pPr>
        <w:autoSpaceDE w:val="0"/>
        <w:autoSpaceDN w:val="0"/>
        <w:adjustRightInd w:val="0"/>
        <w:rPr>
          <w:rFonts w:ascii="MetaPro-Norm" w:hAnsi="MetaPro-Norm"/>
        </w:rPr>
      </w:pPr>
      <w:r w:rsidRPr="00532430">
        <w:rPr>
          <w:rFonts w:ascii="MetaPro-Norm" w:hAnsi="MetaPro-Norm"/>
        </w:rPr>
        <w:lastRenderedPageBreak/>
        <w:t>Human Rights Watch</w:t>
      </w:r>
      <w:r w:rsidRPr="00B0369A">
        <w:rPr>
          <w:rFonts w:ascii="MetaPro-Norm" w:hAnsi="MetaPro-Norm"/>
        </w:rPr>
        <w:t xml:space="preserve"> spoke with a dozen </w:t>
      </w:r>
      <w:r w:rsidR="6D7B6B70" w:rsidRPr="05359DFC">
        <w:rPr>
          <w:rFonts w:ascii="MetaPro-Norm" w:hAnsi="MetaPro-Norm"/>
        </w:rPr>
        <w:t xml:space="preserve">migrants </w:t>
      </w:r>
      <w:r w:rsidRPr="00B0369A">
        <w:rPr>
          <w:rFonts w:ascii="MetaPro-Norm" w:hAnsi="MetaPro-Norm"/>
        </w:rPr>
        <w:t xml:space="preserve">who described experiencing or witnessing detention without due process, unaccompanied children detained with unrelated adults, abuse during arrest and detention, and poor conditions in detention, including failure to provide adequate food and sanitation. </w:t>
      </w:r>
      <w:r w:rsidR="44DD4F1D" w:rsidRPr="05359DFC">
        <w:rPr>
          <w:rFonts w:ascii="MetaPro-Norm" w:hAnsi="MetaPro-Norm"/>
        </w:rPr>
        <w:t>Such treatment violates their rights</w:t>
      </w:r>
      <w:r w:rsidR="79CA2A23" w:rsidRPr="05359DFC">
        <w:rPr>
          <w:rFonts w:ascii="MetaPro-Norm" w:hAnsi="MetaPro-Norm"/>
        </w:rPr>
        <w:t>, as monitored by this Committee,</w:t>
      </w:r>
      <w:r w:rsidR="44DD4F1D" w:rsidRPr="05359DFC">
        <w:rPr>
          <w:rFonts w:ascii="MetaPro-Norm" w:hAnsi="MetaPro-Norm"/>
        </w:rPr>
        <w:t xml:space="preserve"> to safe and healthy living conditions</w:t>
      </w:r>
      <w:r w:rsidR="0805B10F" w:rsidRPr="05359DFC">
        <w:rPr>
          <w:rFonts w:ascii="MetaPro-Norm" w:hAnsi="MetaPro-Norm"/>
        </w:rPr>
        <w:t xml:space="preserve">, including the right to </w:t>
      </w:r>
      <w:r w:rsidR="419D393A" w:rsidRPr="05359DFC">
        <w:rPr>
          <w:rFonts w:ascii="MetaPro-Norm" w:hAnsi="MetaPro-Norm"/>
        </w:rPr>
        <w:t>adequate food</w:t>
      </w:r>
      <w:r w:rsidR="473100E3" w:rsidRPr="05359DFC">
        <w:rPr>
          <w:rFonts w:ascii="MetaPro-Norm" w:hAnsi="MetaPro-Norm"/>
        </w:rPr>
        <w:t xml:space="preserve">. </w:t>
      </w:r>
      <w:r w:rsidR="744917AE" w:rsidRPr="05359DFC">
        <w:rPr>
          <w:rFonts w:ascii="MetaPro-Norm" w:hAnsi="MetaPro-Norm"/>
        </w:rPr>
        <w:t>The</w:t>
      </w:r>
      <w:r w:rsidR="0EEFE02B" w:rsidRPr="05359DFC">
        <w:rPr>
          <w:rFonts w:ascii="MetaPro-Norm" w:hAnsi="MetaPro-Norm"/>
        </w:rPr>
        <w:t xml:space="preserve"> alleged</w:t>
      </w:r>
      <w:r w:rsidR="744917AE" w:rsidRPr="05359DFC">
        <w:rPr>
          <w:rFonts w:ascii="MetaPro-Norm" w:hAnsi="MetaPro-Norm"/>
        </w:rPr>
        <w:t xml:space="preserve"> detention</w:t>
      </w:r>
      <w:r w:rsidR="6A21E8A0" w:rsidRPr="05359DFC">
        <w:rPr>
          <w:rFonts w:ascii="MetaPro-Norm" w:hAnsi="MetaPro-Norm"/>
        </w:rPr>
        <w:t xml:space="preserve"> </w:t>
      </w:r>
      <w:r w:rsidR="744917AE" w:rsidRPr="05359DFC">
        <w:rPr>
          <w:rFonts w:ascii="MetaPro-Norm" w:hAnsi="MetaPro-Norm"/>
        </w:rPr>
        <w:t xml:space="preserve">of </w:t>
      </w:r>
      <w:r w:rsidR="218C7AE4" w:rsidRPr="05359DFC">
        <w:rPr>
          <w:rFonts w:ascii="MetaPro-Norm" w:hAnsi="MetaPro-Norm"/>
        </w:rPr>
        <w:t xml:space="preserve">migrant </w:t>
      </w:r>
      <w:r w:rsidR="744917AE" w:rsidRPr="05359DFC">
        <w:rPr>
          <w:rFonts w:ascii="MetaPro-Norm" w:hAnsi="MetaPro-Norm"/>
        </w:rPr>
        <w:t xml:space="preserve">children </w:t>
      </w:r>
      <w:r w:rsidR="2F260B02" w:rsidRPr="05359DFC">
        <w:rPr>
          <w:rFonts w:ascii="MetaPro-Norm" w:hAnsi="MetaPro-Norm"/>
        </w:rPr>
        <w:t>with adults violates</w:t>
      </w:r>
      <w:r w:rsidR="5B792006" w:rsidRPr="05359DFC">
        <w:rPr>
          <w:rFonts w:ascii="MetaPro-Norm" w:hAnsi="MetaPro-Norm"/>
        </w:rPr>
        <w:t xml:space="preserve"> the </w:t>
      </w:r>
      <w:r w:rsidR="2F260B02" w:rsidRPr="05359DFC">
        <w:rPr>
          <w:rFonts w:ascii="MetaPro-Norm" w:hAnsi="MetaPro-Norm"/>
        </w:rPr>
        <w:t>right</w:t>
      </w:r>
      <w:r w:rsidR="525AF7D8" w:rsidRPr="05359DFC">
        <w:rPr>
          <w:rFonts w:ascii="MetaPro-Norm" w:hAnsi="MetaPro-Norm"/>
        </w:rPr>
        <w:t xml:space="preserve"> of children</w:t>
      </w:r>
      <w:r w:rsidR="2F260B02" w:rsidRPr="05359DFC">
        <w:rPr>
          <w:rFonts w:ascii="MetaPro-Norm" w:hAnsi="MetaPro-Norm"/>
        </w:rPr>
        <w:t xml:space="preserve"> to special </w:t>
      </w:r>
      <w:r w:rsidR="744917AE" w:rsidRPr="05359DFC">
        <w:rPr>
          <w:rFonts w:ascii="MetaPro-Norm" w:hAnsi="MetaPro-Norm"/>
        </w:rPr>
        <w:t>measures of protection and assistance</w:t>
      </w:r>
      <w:r w:rsidR="07E67778" w:rsidRPr="05359DFC">
        <w:rPr>
          <w:rFonts w:ascii="MetaPro-Norm" w:hAnsi="MetaPro-Norm"/>
        </w:rPr>
        <w:t>.</w:t>
      </w:r>
    </w:p>
    <w:p w14:paraId="4F358D9A" w14:textId="3CEF8C5E" w:rsidR="009450CF" w:rsidRDefault="009450CF" w:rsidP="04CCB1C2">
      <w:pPr>
        <w:autoSpaceDE w:val="0"/>
        <w:autoSpaceDN w:val="0"/>
        <w:adjustRightInd w:val="0"/>
        <w:rPr>
          <w:rFonts w:ascii="MetaPro-Norm" w:hAnsi="MetaPro-Norm"/>
        </w:rPr>
      </w:pPr>
    </w:p>
    <w:p w14:paraId="64EAE436" w14:textId="66EABE24" w:rsidR="009450CF" w:rsidRDefault="009450CF" w:rsidP="009450CF">
      <w:pPr>
        <w:autoSpaceDE w:val="0"/>
        <w:autoSpaceDN w:val="0"/>
        <w:adjustRightInd w:val="0"/>
        <w:rPr>
          <w:rFonts w:ascii="MetaPro-Norm" w:hAnsi="MetaPro-Norm"/>
        </w:rPr>
      </w:pPr>
      <w:r w:rsidRPr="00B0369A">
        <w:rPr>
          <w:rFonts w:ascii="MetaPro-Norm" w:hAnsi="MetaPro-Norm"/>
        </w:rPr>
        <w:t>The alleged abuses took place in a context of increased migration from western Africa to the Canary Islands (the “Atlantic route”) during 2020 and into 2021, pressure from the EU and Spain to combat irregular migration flows, and increasing migration cooperation between Spain and Mauritania.</w:t>
      </w:r>
      <w:r>
        <w:rPr>
          <w:rStyle w:val="FootnoteReference"/>
          <w:rFonts w:ascii="MetaPro-Norm" w:hAnsi="MetaPro-Norm"/>
        </w:rPr>
        <w:footnoteReference w:id="43"/>
      </w:r>
      <w:r w:rsidRPr="00B0369A">
        <w:rPr>
          <w:rFonts w:ascii="MetaPro-Norm" w:hAnsi="MetaPro-Norm"/>
        </w:rPr>
        <w:t xml:space="preserve"> </w:t>
      </w:r>
      <w:r>
        <w:rPr>
          <w:rFonts w:ascii="MetaPro-Norm" w:hAnsi="MetaPro-Norm"/>
        </w:rPr>
        <w:t xml:space="preserve"> Mauritania is required to “respect, protect, and fulfill” the </w:t>
      </w:r>
      <w:r w:rsidR="0FE1076B">
        <w:rPr>
          <w:rFonts w:ascii="MetaPro-Norm" w:hAnsi="MetaPro-Norm"/>
        </w:rPr>
        <w:t>human</w:t>
      </w:r>
      <w:r w:rsidR="4FBE282C">
        <w:rPr>
          <w:rFonts w:ascii="MetaPro-Norm" w:hAnsi="MetaPro-Norm"/>
        </w:rPr>
        <w:t xml:space="preserve"> rights</w:t>
      </w:r>
      <w:r w:rsidR="45BD8AFF">
        <w:rPr>
          <w:rFonts w:ascii="MetaPro-Norm" w:hAnsi="MetaPro-Norm"/>
        </w:rPr>
        <w:t xml:space="preserve"> of </w:t>
      </w:r>
      <w:r w:rsidR="546850DE">
        <w:rPr>
          <w:rFonts w:ascii="MetaPro-Norm" w:hAnsi="MetaPro-Norm"/>
        </w:rPr>
        <w:t>everyone, regardless of their migration status</w:t>
      </w:r>
      <w:r>
        <w:rPr>
          <w:rFonts w:ascii="MetaPro-Norm" w:hAnsi="MetaPro-Norm"/>
        </w:rPr>
        <w:t>, as the UN Office of the High Commissioner for Human Rights has noted.</w:t>
      </w:r>
      <w:r>
        <w:rPr>
          <w:rStyle w:val="FootnoteReference"/>
          <w:rFonts w:ascii="MetaPro-Norm" w:hAnsi="MetaPro-Norm"/>
        </w:rPr>
        <w:footnoteReference w:id="44"/>
      </w:r>
      <w:r>
        <w:rPr>
          <w:rFonts w:ascii="MetaPro-Norm" w:hAnsi="MetaPro-Norm"/>
        </w:rPr>
        <w:t xml:space="preserve"> </w:t>
      </w:r>
    </w:p>
    <w:p w14:paraId="2241D964" w14:textId="77777777" w:rsidR="009450CF" w:rsidRPr="00532430" w:rsidRDefault="009450CF" w:rsidP="009450CF">
      <w:pPr>
        <w:autoSpaceDE w:val="0"/>
        <w:autoSpaceDN w:val="0"/>
        <w:adjustRightInd w:val="0"/>
        <w:rPr>
          <w:rFonts w:ascii="MetaPro-Norm" w:hAnsi="MetaPro-Norm"/>
        </w:rPr>
      </w:pPr>
    </w:p>
    <w:p w14:paraId="533D88C6" w14:textId="77777777" w:rsidR="009450CF" w:rsidRPr="00532430" w:rsidRDefault="009450CF" w:rsidP="009450CF">
      <w:pPr>
        <w:autoSpaceDE w:val="0"/>
        <w:autoSpaceDN w:val="0"/>
        <w:adjustRightInd w:val="0"/>
        <w:rPr>
          <w:rFonts w:ascii="MetaPro-Norm" w:hAnsi="MetaPro-Norm"/>
          <w:b/>
          <w:bCs/>
          <w:i/>
          <w:iCs/>
        </w:rPr>
      </w:pPr>
      <w:r w:rsidRPr="00532430">
        <w:rPr>
          <w:rFonts w:ascii="MetaPro-Norm" w:hAnsi="MetaPro-Norm"/>
          <w:b/>
          <w:bCs/>
          <w:i/>
          <w:iCs/>
        </w:rPr>
        <w:t xml:space="preserve">We encourage the Committee to pose the following questions: </w:t>
      </w:r>
    </w:p>
    <w:p w14:paraId="3E16BB1D" w14:textId="559E019A" w:rsidR="71CAB285" w:rsidRDefault="71CAB285" w:rsidP="05359DFC">
      <w:pPr>
        <w:pStyle w:val="ListParagraph"/>
        <w:numPr>
          <w:ilvl w:val="0"/>
          <w:numId w:val="5"/>
        </w:numPr>
        <w:rPr>
          <w:rFonts w:ascii="MetaPro-Norm" w:hAnsi="MetaPro-Norm"/>
        </w:rPr>
      </w:pPr>
      <w:r w:rsidRPr="05359DFC">
        <w:rPr>
          <w:rFonts w:ascii="MetaPro-Norm" w:hAnsi="MetaPro-Norm"/>
        </w:rPr>
        <w:t xml:space="preserve">What plans or policies are in place to ensure that </w:t>
      </w:r>
      <w:r w:rsidR="0DA2981D" w:rsidRPr="05359DFC">
        <w:rPr>
          <w:rFonts w:ascii="MetaPro-Norm" w:hAnsi="MetaPro-Norm"/>
        </w:rPr>
        <w:t>any facilities used</w:t>
      </w:r>
      <w:r w:rsidR="7FA49BBF" w:rsidRPr="05359DFC">
        <w:rPr>
          <w:rFonts w:ascii="MetaPro-Norm" w:hAnsi="MetaPro-Norm"/>
        </w:rPr>
        <w:t xml:space="preserve"> </w:t>
      </w:r>
      <w:r w:rsidR="0DA2981D" w:rsidRPr="05359DFC">
        <w:rPr>
          <w:rFonts w:ascii="MetaPro-Norm" w:hAnsi="MetaPro-Norm"/>
        </w:rPr>
        <w:t xml:space="preserve">for purposes of immigration detention </w:t>
      </w:r>
      <w:r w:rsidR="15B09ADE" w:rsidRPr="05359DFC">
        <w:rPr>
          <w:rFonts w:ascii="MetaPro-Norm" w:hAnsi="MetaPro-Norm"/>
        </w:rPr>
        <w:t>meet appropriate standards of health and safety, providing adequate food</w:t>
      </w:r>
      <w:r w:rsidR="17355D26" w:rsidRPr="05359DFC">
        <w:rPr>
          <w:rFonts w:ascii="MetaPro-Norm" w:hAnsi="MetaPro-Norm"/>
        </w:rPr>
        <w:t>, sanitation,</w:t>
      </w:r>
      <w:r w:rsidR="15B09ADE" w:rsidRPr="05359DFC">
        <w:rPr>
          <w:rFonts w:ascii="MetaPro-Norm" w:hAnsi="MetaPro-Norm"/>
        </w:rPr>
        <w:t xml:space="preserve"> and medical care to </w:t>
      </w:r>
      <w:r w:rsidR="323D60CE" w:rsidRPr="05359DFC">
        <w:rPr>
          <w:rFonts w:ascii="MetaPro-Norm" w:hAnsi="MetaPro-Norm"/>
        </w:rPr>
        <w:t>detainees?</w:t>
      </w:r>
    </w:p>
    <w:p w14:paraId="060EF32E" w14:textId="2B9A5EDE" w:rsidR="009450CF" w:rsidRPr="00532430" w:rsidRDefault="009450CF" w:rsidP="009450CF">
      <w:pPr>
        <w:pStyle w:val="ListParagraph"/>
        <w:numPr>
          <w:ilvl w:val="0"/>
          <w:numId w:val="5"/>
        </w:numPr>
        <w:autoSpaceDE w:val="0"/>
        <w:autoSpaceDN w:val="0"/>
        <w:adjustRightInd w:val="0"/>
        <w:rPr>
          <w:rFonts w:ascii="MetaPro-Norm" w:hAnsi="MetaPro-Norm"/>
        </w:rPr>
      </w:pPr>
      <w:r w:rsidRPr="00532430">
        <w:rPr>
          <w:rFonts w:ascii="MetaPro-Norm" w:hAnsi="MetaPro-Norm"/>
        </w:rPr>
        <w:t>What plans or policies are in place to ensure</w:t>
      </w:r>
      <w:r w:rsidR="6FF4B7F7" w:rsidRPr="1E68B62E">
        <w:rPr>
          <w:rFonts w:ascii="MetaPro-Norm" w:hAnsi="MetaPro-Norm"/>
        </w:rPr>
        <w:t>:</w:t>
      </w:r>
      <w:r w:rsidR="3ECA5657" w:rsidRPr="1E68B62E">
        <w:rPr>
          <w:rFonts w:ascii="MetaPro-Norm" w:hAnsi="MetaPro-Norm"/>
        </w:rPr>
        <w:t xml:space="preserve"> </w:t>
      </w:r>
      <w:r w:rsidR="00FE6B4E">
        <w:rPr>
          <w:rFonts w:ascii="MetaPro-Norm" w:hAnsi="MetaPro-Norm"/>
        </w:rPr>
        <w:t>t</w:t>
      </w:r>
      <w:r w:rsidRPr="00532430">
        <w:rPr>
          <w:rFonts w:ascii="MetaPro-Norm" w:hAnsi="MetaPro-Norm"/>
        </w:rPr>
        <w:t xml:space="preserve">hat </w:t>
      </w:r>
      <w:r w:rsidR="10720AD4" w:rsidRPr="629C9E63">
        <w:rPr>
          <w:rFonts w:ascii="MetaPro-Norm" w:hAnsi="MetaPro-Norm"/>
        </w:rPr>
        <w:t xml:space="preserve">police, </w:t>
      </w:r>
      <w:r w:rsidR="10720AD4" w:rsidRPr="2A8EBA3F">
        <w:rPr>
          <w:rFonts w:ascii="MetaPro-Norm" w:hAnsi="MetaPro-Norm"/>
        </w:rPr>
        <w:t xml:space="preserve">gendarmes, and other state agents </w:t>
      </w:r>
      <w:r w:rsidR="0587E0FA" w:rsidRPr="2A8EBA3F">
        <w:rPr>
          <w:rFonts w:ascii="MetaPro-Norm" w:hAnsi="MetaPro-Norm"/>
        </w:rPr>
        <w:t>screen</w:t>
      </w:r>
      <w:r w:rsidR="31451E0A" w:rsidRPr="2A8EBA3F">
        <w:rPr>
          <w:rFonts w:ascii="MetaPro-Norm" w:hAnsi="MetaPro-Norm"/>
        </w:rPr>
        <w:t xml:space="preserve"> </w:t>
      </w:r>
      <w:r w:rsidR="0587E0FA" w:rsidRPr="2A8EBA3F">
        <w:rPr>
          <w:rFonts w:ascii="MetaPro-Norm" w:hAnsi="MetaPro-Norm"/>
        </w:rPr>
        <w:t xml:space="preserve">arrested </w:t>
      </w:r>
      <w:r w:rsidR="29310C64" w:rsidRPr="2A8EBA3F">
        <w:rPr>
          <w:rFonts w:ascii="MetaPro-Norm" w:hAnsi="MetaPro-Norm"/>
        </w:rPr>
        <w:t xml:space="preserve">or </w:t>
      </w:r>
      <w:r w:rsidR="0587E0FA" w:rsidRPr="629C9E63">
        <w:rPr>
          <w:rFonts w:ascii="MetaPro-Norm" w:hAnsi="MetaPro-Norm"/>
        </w:rPr>
        <w:t>detained migrants for age</w:t>
      </w:r>
      <w:r w:rsidR="1B1510AD" w:rsidRPr="2A8EBA3F">
        <w:rPr>
          <w:rFonts w:ascii="MetaPro-Norm" w:hAnsi="MetaPro-Norm"/>
        </w:rPr>
        <w:t>,</w:t>
      </w:r>
      <w:r w:rsidR="0587E0FA" w:rsidRPr="629C9E63">
        <w:rPr>
          <w:rFonts w:ascii="MetaPro-Norm" w:hAnsi="MetaPro-Norm"/>
        </w:rPr>
        <w:t xml:space="preserve"> and </w:t>
      </w:r>
      <w:r w:rsidR="75E9576A" w:rsidRPr="1E68B62E">
        <w:rPr>
          <w:rFonts w:ascii="MetaPro-Norm" w:hAnsi="MetaPro-Norm"/>
        </w:rPr>
        <w:t>that</w:t>
      </w:r>
      <w:r w:rsidR="0587E0FA" w:rsidRPr="629C9E63">
        <w:rPr>
          <w:rFonts w:ascii="MetaPro-Norm" w:hAnsi="MetaPro-Norm"/>
        </w:rPr>
        <w:t xml:space="preserve"> </w:t>
      </w:r>
      <w:r w:rsidR="34BCC7DC" w:rsidRPr="03BFA7E0">
        <w:rPr>
          <w:rFonts w:ascii="MetaPro-Norm" w:hAnsi="MetaPro-Norm"/>
        </w:rPr>
        <w:t xml:space="preserve">migrant </w:t>
      </w:r>
      <w:r w:rsidRPr="03BFA7E0">
        <w:rPr>
          <w:rFonts w:ascii="MetaPro-Norm" w:hAnsi="MetaPro-Norm"/>
        </w:rPr>
        <w:t>children</w:t>
      </w:r>
      <w:r w:rsidRPr="00532430">
        <w:rPr>
          <w:rFonts w:ascii="MetaPro-Norm" w:hAnsi="MetaPro-Norm"/>
        </w:rPr>
        <w:t xml:space="preserve"> are referred to appropriate child protection services and never placed in detention?</w:t>
      </w:r>
    </w:p>
    <w:p w14:paraId="3EB73E17" w14:textId="3A532F25" w:rsidR="00157096" w:rsidRPr="009450CF" w:rsidRDefault="00157096" w:rsidP="009450CF"/>
    <w:sectPr w:rsidR="00157096" w:rsidRPr="009450CF" w:rsidSect="006C12C8">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F2196" w14:textId="77777777" w:rsidR="00A25645" w:rsidRDefault="00A25645" w:rsidP="00BE18A1">
      <w:r>
        <w:separator/>
      </w:r>
    </w:p>
  </w:endnote>
  <w:endnote w:type="continuationSeparator" w:id="0">
    <w:p w14:paraId="081BF485" w14:textId="77777777" w:rsidR="00A25645" w:rsidRDefault="00A25645" w:rsidP="00BE18A1">
      <w:r>
        <w:continuationSeparator/>
      </w:r>
    </w:p>
  </w:endnote>
  <w:endnote w:type="continuationNotice" w:id="1">
    <w:p w14:paraId="59DFFB7B" w14:textId="77777777" w:rsidR="00A25645" w:rsidRDefault="00A256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etaPro-Norm">
    <w:altName w:val="Arial"/>
    <w:panose1 w:val="00000000000000000000"/>
    <w:charset w:val="00"/>
    <w:family w:val="swiss"/>
    <w:notTrueType/>
    <w:pitch w:val="variable"/>
    <w:sig w:usb0="00000001"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89049841"/>
      <w:docPartObj>
        <w:docPartGallery w:val="Page Numbers (Bottom of Page)"/>
        <w:docPartUnique/>
      </w:docPartObj>
    </w:sdtPr>
    <w:sdtEndPr>
      <w:rPr>
        <w:rStyle w:val="PageNumber"/>
      </w:rPr>
    </w:sdtEndPr>
    <w:sdtContent>
      <w:p w14:paraId="116EC11A" w14:textId="59905809" w:rsidR="00E75D1A" w:rsidRDefault="00E75D1A" w:rsidP="00FE6B4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2D91E7" w14:textId="77777777" w:rsidR="00E75D1A" w:rsidRDefault="00E75D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MetaPro-Norm" w:hAnsi="MetaPro-Norm"/>
        <w:sz w:val="20"/>
        <w:szCs w:val="20"/>
      </w:rPr>
      <w:id w:val="1388301217"/>
      <w:docPartObj>
        <w:docPartGallery w:val="Page Numbers (Bottom of Page)"/>
        <w:docPartUnique/>
      </w:docPartObj>
    </w:sdtPr>
    <w:sdtEndPr>
      <w:rPr>
        <w:rStyle w:val="PageNumber"/>
      </w:rPr>
    </w:sdtEndPr>
    <w:sdtContent>
      <w:p w14:paraId="3A1B259A" w14:textId="1379CD08" w:rsidR="00E75D1A" w:rsidRPr="00E75D1A" w:rsidRDefault="00E75D1A" w:rsidP="00FE6B4E">
        <w:pPr>
          <w:pStyle w:val="Footer"/>
          <w:framePr w:wrap="none" w:vAnchor="text" w:hAnchor="margin" w:xAlign="center" w:y="1"/>
          <w:rPr>
            <w:rStyle w:val="PageNumber"/>
            <w:rFonts w:ascii="MetaPro-Norm" w:hAnsi="MetaPro-Norm"/>
            <w:sz w:val="20"/>
            <w:szCs w:val="20"/>
          </w:rPr>
        </w:pPr>
        <w:r w:rsidRPr="00E75D1A">
          <w:rPr>
            <w:rStyle w:val="PageNumber"/>
            <w:rFonts w:ascii="MetaPro-Norm" w:hAnsi="MetaPro-Norm"/>
            <w:sz w:val="20"/>
            <w:szCs w:val="20"/>
          </w:rPr>
          <w:fldChar w:fldCharType="begin"/>
        </w:r>
        <w:r w:rsidRPr="00E75D1A">
          <w:rPr>
            <w:rStyle w:val="PageNumber"/>
            <w:rFonts w:ascii="MetaPro-Norm" w:hAnsi="MetaPro-Norm"/>
            <w:sz w:val="20"/>
            <w:szCs w:val="20"/>
          </w:rPr>
          <w:instrText xml:space="preserve"> PAGE </w:instrText>
        </w:r>
        <w:r w:rsidRPr="00E75D1A">
          <w:rPr>
            <w:rStyle w:val="PageNumber"/>
            <w:rFonts w:ascii="MetaPro-Norm" w:hAnsi="MetaPro-Norm"/>
            <w:sz w:val="20"/>
            <w:szCs w:val="20"/>
          </w:rPr>
          <w:fldChar w:fldCharType="separate"/>
        </w:r>
        <w:r w:rsidR="00E65A6E">
          <w:rPr>
            <w:rStyle w:val="PageNumber"/>
            <w:rFonts w:ascii="MetaPro-Norm" w:hAnsi="MetaPro-Norm"/>
            <w:noProof/>
            <w:sz w:val="20"/>
            <w:szCs w:val="20"/>
          </w:rPr>
          <w:t>2</w:t>
        </w:r>
        <w:r w:rsidRPr="00E75D1A">
          <w:rPr>
            <w:rStyle w:val="PageNumber"/>
            <w:rFonts w:ascii="MetaPro-Norm" w:hAnsi="MetaPro-Norm"/>
            <w:sz w:val="20"/>
            <w:szCs w:val="20"/>
          </w:rPr>
          <w:fldChar w:fldCharType="end"/>
        </w:r>
      </w:p>
    </w:sdtContent>
  </w:sdt>
  <w:p w14:paraId="79DE0693" w14:textId="77777777" w:rsidR="00E75D1A" w:rsidRPr="00E75D1A" w:rsidRDefault="00E75D1A">
    <w:pPr>
      <w:pStyle w:val="Footer"/>
      <w:rPr>
        <w:rFonts w:ascii="MetaPro-Norm" w:hAnsi="MetaPro-Norm"/>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B61551" w14:textId="77777777" w:rsidR="00A25645" w:rsidRDefault="00A25645" w:rsidP="00BE18A1">
      <w:r>
        <w:separator/>
      </w:r>
    </w:p>
  </w:footnote>
  <w:footnote w:type="continuationSeparator" w:id="0">
    <w:p w14:paraId="43AC59D6" w14:textId="77777777" w:rsidR="00A25645" w:rsidRDefault="00A25645" w:rsidP="00BE18A1">
      <w:r>
        <w:continuationSeparator/>
      </w:r>
    </w:p>
  </w:footnote>
  <w:footnote w:type="continuationNotice" w:id="1">
    <w:p w14:paraId="696F278D" w14:textId="77777777" w:rsidR="00A25645" w:rsidRDefault="00A25645"/>
  </w:footnote>
  <w:footnote w:id="2">
    <w:p w14:paraId="680E6689" w14:textId="4F176F11"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Human Rights Watch news release, “Mauritania: Administrative Obstacles Keep Kids from School,” March 29, 2018, </w:t>
      </w:r>
      <w:hyperlink r:id="rId1" w:history="1">
        <w:r w:rsidRPr="005B5FF3">
          <w:rPr>
            <w:rStyle w:val="Hyperlink"/>
            <w:rFonts w:ascii="MetaPro-Norm" w:hAnsi="MetaPro-Norm"/>
          </w:rPr>
          <w:t>https://www.hrw.org/news/2018/03/29/mauritania-administrative-obstacles-keep-kids-school</w:t>
        </w:r>
      </w:hyperlink>
      <w:r w:rsidRPr="005B5FF3">
        <w:rPr>
          <w:rFonts w:ascii="MetaPro-Norm" w:hAnsi="MetaPro-Norm"/>
        </w:rPr>
        <w:t>; see also “Submission by Human Rights Watch to the United Nations Committee on the Rights of the Child Concerning Mauritania – 79</w:t>
      </w:r>
      <w:r w:rsidRPr="005B5FF3">
        <w:rPr>
          <w:rFonts w:ascii="MetaPro-Norm" w:hAnsi="MetaPro-Norm"/>
          <w:vertAlign w:val="superscript"/>
        </w:rPr>
        <w:t>th</w:t>
      </w:r>
      <w:r w:rsidRPr="005B5FF3">
        <w:rPr>
          <w:rFonts w:ascii="MetaPro-Norm" w:hAnsi="MetaPro-Norm"/>
        </w:rPr>
        <w:t xml:space="preserve"> Pre-Sessional Working Group,” June 5, 2018, </w:t>
      </w:r>
      <w:hyperlink r:id="rId2" w:history="1">
        <w:r w:rsidRPr="005B5FF3">
          <w:rPr>
            <w:rStyle w:val="Hyperlink"/>
            <w:rFonts w:ascii="MetaPro-Norm" w:hAnsi="MetaPro-Norm"/>
          </w:rPr>
          <w:t>https://www.hrw.org/news/2018/06/05/submission-human-rights-watch-united-nations-committee-rights-child-concerning</w:t>
        </w:r>
      </w:hyperlink>
      <w:r w:rsidR="00FF1634">
        <w:rPr>
          <w:rFonts w:ascii="MetaPro-Norm" w:hAnsi="MetaPro-Norm"/>
        </w:rPr>
        <w:t>.</w:t>
      </w:r>
    </w:p>
  </w:footnote>
  <w:footnote w:id="3">
    <w:p w14:paraId="0B808352" w14:textId="77777777" w:rsidR="009450CF" w:rsidRDefault="009450CF" w:rsidP="009450CF">
      <w:pPr>
        <w:pStyle w:val="FootnoteText"/>
      </w:pPr>
      <w:r w:rsidRPr="005B5FF3">
        <w:rPr>
          <w:rStyle w:val="FootnoteReference"/>
          <w:rFonts w:ascii="MetaPro-Norm" w:hAnsi="MetaPro-Norm"/>
        </w:rPr>
        <w:footnoteRef/>
      </w:r>
      <w:r w:rsidRPr="005B5FF3">
        <w:rPr>
          <w:rFonts w:ascii="MetaPro-Norm" w:hAnsi="MetaPro-Norm"/>
        </w:rPr>
        <w:t xml:space="preserve"> Sebastian Kohn, “Fear and Statelessness in Mauritania,” </w:t>
      </w:r>
      <w:r w:rsidRPr="005B5FF3">
        <w:rPr>
          <w:rFonts w:ascii="MetaPro-Norm" w:hAnsi="MetaPro-Norm"/>
          <w:i/>
          <w:iCs/>
        </w:rPr>
        <w:t>Open Society Foundation</w:t>
      </w:r>
      <w:r w:rsidRPr="005B5FF3">
        <w:rPr>
          <w:rFonts w:ascii="MetaPro-Norm" w:hAnsi="MetaPro-Norm"/>
        </w:rPr>
        <w:t xml:space="preserve">, October 3, 2011, </w:t>
      </w:r>
      <w:hyperlink r:id="rId3" w:history="1">
        <w:r w:rsidRPr="005B5FF3">
          <w:rPr>
            <w:rStyle w:val="Hyperlink"/>
            <w:rFonts w:ascii="MetaPro-Norm" w:hAnsi="MetaPro-Norm"/>
          </w:rPr>
          <w:t>https://www.opensocietyfoundations.org/voices/fear-and-statelessness-mauritania</w:t>
        </w:r>
      </w:hyperlink>
      <w:r w:rsidRPr="005B5FF3">
        <w:rPr>
          <w:rFonts w:ascii="MetaPro-Norm" w:hAnsi="MetaPro-Norm"/>
        </w:rPr>
        <w:t xml:space="preserve"> (accessed May 25, 2017); OHCHR, “End-of-mission statement on Mauritania, by Professor Philip Alston, Special Rapporteur on extreme poverty and human rights,” May 11, 2016, </w:t>
      </w:r>
      <w:hyperlink r:id="rId4" w:history="1">
        <w:r w:rsidRPr="005B5FF3">
          <w:rPr>
            <w:rStyle w:val="Hyperlink"/>
            <w:rFonts w:ascii="MetaPro-Norm" w:hAnsi="MetaPro-Norm"/>
          </w:rPr>
          <w:t>http://www.ohchr.org/EN/NewsEvents/Pages/DisplayNews.aspx?NewsID=19948&amp;LangID=E</w:t>
        </w:r>
      </w:hyperlink>
      <w:r w:rsidRPr="005B5FF3">
        <w:rPr>
          <w:rFonts w:ascii="MetaPro-Norm" w:hAnsi="MetaPro-Norm"/>
        </w:rPr>
        <w:t xml:space="preserve"> (accessed November 8, 2017); and UN Human Rights Council, Report of the Special Rapporteur on extreme poverty and human rights on his mission to Mauritania, March 8, 2017.</w:t>
      </w:r>
    </w:p>
  </w:footnote>
  <w:footnote w:id="4">
    <w:p w14:paraId="5C3A91B7"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Law 2001-054 of July 19, 2001 regarding the obligation to attend primary school (“</w:t>
      </w:r>
      <w:r w:rsidRPr="005B5FF3">
        <w:rPr>
          <w:rFonts w:ascii="MetaPro-Norm" w:hAnsi="MetaPro-Norm"/>
          <w:i/>
          <w:iCs/>
        </w:rPr>
        <w:t>Loi n° 2001-054 du 19 juillet 2001 portant obligation de l'enseignement fundamental</w:t>
      </w:r>
      <w:r w:rsidRPr="005B5FF3">
        <w:rPr>
          <w:rFonts w:ascii="MetaPro-Norm" w:hAnsi="MetaPro-Norm"/>
        </w:rPr>
        <w:t>”) made primary school education mandatory for all children aged 6-14 years old and free for children enrolled in public schools; See “Mauritania: Administrative Obstacles Keep Kids from School,” Human Rights Watch news release, March 29, 2018, </w:t>
      </w:r>
      <w:hyperlink r:id="rId5" w:history="1">
        <w:r w:rsidRPr="005B5FF3">
          <w:rPr>
            <w:rStyle w:val="Hyperlink"/>
            <w:rFonts w:ascii="MetaPro-Norm" w:hAnsi="MetaPro-Norm"/>
          </w:rPr>
          <w:t>https://www.hrw.org/news/2018/03/29/mauritania-administrative-obstacles-keep-kids-school</w:t>
        </w:r>
      </w:hyperlink>
    </w:p>
  </w:footnote>
  <w:footnote w:id="5">
    <w:p w14:paraId="4DF50AC6" w14:textId="176535AB"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Joint report by the Association of Women Heads of Households, Coalition of Mauritanian Educational Organisations, and the Global Initiatives for Economic, Social, and Cultural Rights, “Privatisation and Sale of Public School Lands in Mauritania,” August 2018, </w:t>
      </w:r>
      <w:hyperlink r:id="rId6" w:history="1">
        <w:r w:rsidRPr="005B5FF3">
          <w:rPr>
            <w:rStyle w:val="Hyperlink"/>
            <w:rFonts w:ascii="MetaPro-Norm" w:hAnsi="MetaPro-Norm"/>
          </w:rPr>
          <w:t>https://static1.squarespace.com/static/5a6e0958f6576ebde0e78c18/t/5bfc20354ae237e15d67ede1/1543249998205/Rapport_Droit_%E2%80%A1_l%27%C3%88ducation_et_privatisation_Mauritanie_CDE_-_juillet_2018_-_final+-+EN+v2.pdf</w:t>
        </w:r>
      </w:hyperlink>
      <w:r w:rsidRPr="005B5FF3">
        <w:rPr>
          <w:rFonts w:ascii="MetaPro-Norm" w:hAnsi="MetaPro-Norm"/>
        </w:rPr>
        <w:t xml:space="preserve">; also see Human Rights Watch report, “”Ethnicity, Discrimination, and Other Red Lines: Repression of Human Rights Defenders in Mauritania,” February 12, 2018, </w:t>
      </w:r>
      <w:hyperlink r:id="rId7" w:history="1">
        <w:r w:rsidRPr="005B5FF3">
          <w:rPr>
            <w:rStyle w:val="Hyperlink"/>
            <w:rFonts w:ascii="MetaPro-Norm" w:hAnsi="MetaPro-Norm"/>
          </w:rPr>
          <w:t>https://www.hrw.org/report/2018/02/12/ethnicity-discrimination-and-other-red-lines/repression-human-rights-defenders</w:t>
        </w:r>
      </w:hyperlink>
      <w:r w:rsidR="00A23676">
        <w:rPr>
          <w:rStyle w:val="Hyperlink"/>
          <w:rFonts w:ascii="MetaPro-Norm" w:hAnsi="MetaPro-Norm"/>
        </w:rPr>
        <w:t>.</w:t>
      </w:r>
    </w:p>
  </w:footnote>
  <w:footnote w:id="6">
    <w:p w14:paraId="4CAB19FB" w14:textId="2F56DB8E"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w:t>
      </w:r>
      <w:r w:rsidRPr="005B5FF3">
        <w:rPr>
          <w:rFonts w:ascii="MetaPro-Norm" w:hAnsi="MetaPro-Norm" w:cs="Calibri"/>
        </w:rPr>
        <w:t xml:space="preserve">“Unshackled Yet Far From Free, Former Slaves Struggle in Mauritania,” VOA News, March 4, 2019, </w:t>
      </w:r>
      <w:hyperlink r:id="rId8" w:history="1">
        <w:r w:rsidRPr="005B5FF3">
          <w:rPr>
            <w:rStyle w:val="Hyperlink"/>
            <w:rFonts w:ascii="MetaPro-Norm" w:hAnsi="MetaPro-Norm" w:cs="Calibri"/>
          </w:rPr>
          <w:t>https://www.voanews.com/africa/unshackled-yet-far-free-former-slaves-struggle-mauritania</w:t>
        </w:r>
      </w:hyperlink>
      <w:r w:rsidR="00DB797D" w:rsidRPr="005B5FF3">
        <w:rPr>
          <w:rStyle w:val="Hyperlink"/>
          <w:rFonts w:ascii="MetaPro-Norm" w:hAnsi="MetaPro-Norm" w:cs="Calibri"/>
        </w:rPr>
        <w:t>;</w:t>
      </w:r>
      <w:r w:rsidR="006C743F" w:rsidRPr="005B5FF3">
        <w:rPr>
          <w:rStyle w:val="Hyperlink"/>
          <w:rFonts w:ascii="MetaPro-Norm" w:hAnsi="MetaPro-Norm" w:cs="Calibri"/>
        </w:rPr>
        <w:t xml:space="preserve"> </w:t>
      </w:r>
      <w:r w:rsidR="006C743F" w:rsidRPr="005B5FF3">
        <w:rPr>
          <w:rFonts w:ascii="MetaPro-Norm" w:hAnsi="MetaPro-Norm"/>
        </w:rPr>
        <w:t xml:space="preserve">Amandla Thomas-Johnson, “‘It’s time for a change’: anti-slavery activist Biram seeks power in Mauritania election,” </w:t>
      </w:r>
      <w:r w:rsidR="006C743F" w:rsidRPr="005B5FF3">
        <w:rPr>
          <w:rFonts w:ascii="MetaPro-Norm" w:hAnsi="MetaPro-Norm"/>
          <w:i/>
          <w:iCs/>
        </w:rPr>
        <w:t>Middle East Eye</w:t>
      </w:r>
      <w:r w:rsidR="006C743F" w:rsidRPr="005B5FF3">
        <w:rPr>
          <w:rFonts w:ascii="MetaPro-Norm" w:hAnsi="MetaPro-Norm"/>
        </w:rPr>
        <w:t xml:space="preserve">, June 22, 2019, </w:t>
      </w:r>
      <w:hyperlink r:id="rId9" w:history="1">
        <w:r w:rsidR="006C743F" w:rsidRPr="005B5FF3">
          <w:rPr>
            <w:rStyle w:val="Hyperlink"/>
            <w:rFonts w:ascii="MetaPro-Norm" w:hAnsi="MetaPro-Norm"/>
          </w:rPr>
          <w:t>https://www.middleeasteye.net/news/its-time-change-anti-slavery-activist-biram-seeks-power-mauritania-election</w:t>
        </w:r>
      </w:hyperlink>
      <w:r w:rsidR="006C743F" w:rsidRPr="005B5FF3">
        <w:rPr>
          <w:rFonts w:ascii="MetaPro-Norm" w:hAnsi="MetaPro-Norm"/>
        </w:rPr>
        <w:t xml:space="preserve"> (accessed August 23, 2021); Joint Submission to the UN Committee of the UN Convention on the Rights of the Child on Mauritania, Unrepresented Nations and Peoples Organization and The Sahel Foundation,   September 2018, </w:t>
      </w:r>
      <w:hyperlink r:id="rId10" w:history="1">
        <w:r w:rsidR="006C743F" w:rsidRPr="005B5FF3">
          <w:rPr>
            <w:rStyle w:val="Hyperlink"/>
            <w:rFonts w:ascii="MetaPro-Norm" w:hAnsi="MetaPro-Norm"/>
          </w:rPr>
          <w:t>https://tbinternet.ohchr.org/Treaties/CRC/Shared%20Documents/MRT/INT_CRC_NGO_MRT_32030_E.docx</w:t>
        </w:r>
      </w:hyperlink>
      <w:r w:rsidR="00452B0D" w:rsidRPr="005B5FF3">
        <w:rPr>
          <w:rFonts w:ascii="MetaPro-Norm" w:hAnsi="MetaPro-Norm"/>
        </w:rPr>
        <w:t>.</w:t>
      </w:r>
    </w:p>
  </w:footnote>
  <w:footnote w:id="7">
    <w:p w14:paraId="5B109A08" w14:textId="3769D442"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UNICEF, “State of the World’s Children -  2019,” Table 10, page 229, </w:t>
      </w:r>
      <w:hyperlink r:id="rId11" w:history="1">
        <w:r w:rsidRPr="005B5FF3">
          <w:rPr>
            <w:rStyle w:val="Hyperlink"/>
            <w:rFonts w:ascii="MetaPro-Norm" w:hAnsi="MetaPro-Norm"/>
          </w:rPr>
          <w:t>https://www.unicef.org/media/63016/file/SOWC-2019.pdf</w:t>
        </w:r>
      </w:hyperlink>
    </w:p>
  </w:footnote>
  <w:footnote w:id="8">
    <w:p w14:paraId="26F21BAB"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Ibid.</w:t>
      </w:r>
    </w:p>
  </w:footnote>
  <w:footnote w:id="9">
    <w:p w14:paraId="311C4524"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Ibid.</w:t>
      </w:r>
    </w:p>
  </w:footnote>
  <w:footnote w:id="10">
    <w:p w14:paraId="24953DA3"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Ibid.</w:t>
      </w:r>
    </w:p>
  </w:footnote>
  <w:footnote w:id="11">
    <w:p w14:paraId="717BF1B6"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Mauritanian Ministry of Education, “Education Plan in Response to the Covid-19 Pandemic – Final Report,” May 2020, education.gov.mr/IMG/pdf/planripostecovid19.pdf</w:t>
      </w:r>
    </w:p>
  </w:footnote>
  <w:footnote w:id="12">
    <w:p w14:paraId="3AF4D485" w14:textId="77777777" w:rsidR="009450CF" w:rsidRDefault="009450CF" w:rsidP="009450CF">
      <w:pPr>
        <w:pStyle w:val="FootnoteText"/>
      </w:pPr>
      <w:r w:rsidRPr="005B5FF3">
        <w:rPr>
          <w:rStyle w:val="FootnoteReference"/>
          <w:rFonts w:ascii="MetaPro-Norm" w:hAnsi="MetaPro-Norm"/>
        </w:rPr>
        <w:footnoteRef/>
      </w:r>
      <w:r w:rsidRPr="005B5FF3">
        <w:rPr>
          <w:rFonts w:ascii="MetaPro-Norm" w:hAnsi="MetaPro-Norm"/>
        </w:rPr>
        <w:t xml:space="preserve"> Ibid; UNICEF report, “Mauritania Humanitarian Situation Report No. 3, Reporting Period 1 January to 30 June, 2021,” UNICEF, </w:t>
      </w:r>
      <w:hyperlink r:id="rId12" w:history="1">
        <w:r w:rsidRPr="005B5FF3">
          <w:rPr>
            <w:rStyle w:val="Hyperlink"/>
            <w:rFonts w:ascii="MetaPro-Norm" w:hAnsi="MetaPro-Norm"/>
          </w:rPr>
          <w:t>https://reliefweb.int/sites/reliefweb.int/files/resources/UNICEF%20Mauritania%20Humanitarian%20Situation%20Report%20No.3_Mid%20Year%20-%2026%20July%202021.pdf</w:t>
        </w:r>
      </w:hyperlink>
    </w:p>
  </w:footnote>
  <w:footnote w:id="13">
    <w:p w14:paraId="5D89C077"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DataReportal, “Digital 2021: Mauritania” February 12, 2021, </w:t>
      </w:r>
      <w:hyperlink r:id="rId13" w:history="1">
        <w:r w:rsidRPr="005B5FF3">
          <w:rPr>
            <w:rStyle w:val="Hyperlink"/>
            <w:rFonts w:ascii="MetaPro-Norm" w:hAnsi="MetaPro-Norm"/>
          </w:rPr>
          <w:t>https://datareportal.com/reports/digital-2021-mauritania</w:t>
        </w:r>
      </w:hyperlink>
      <w:r w:rsidRPr="005B5FF3">
        <w:rPr>
          <w:rFonts w:ascii="MetaPro-Norm" w:hAnsi="MetaPro-Norm"/>
        </w:rPr>
        <w:t xml:space="preserve"> (accessed August 20, 2021). </w:t>
      </w:r>
    </w:p>
  </w:footnote>
  <w:footnote w:id="14">
    <w:p w14:paraId="08A98062"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UNICEF report, “Mauritania Humanitarian Situation Report No. 3, Reporting Period 1 January to 30 June, 2021,” UNICEF, </w:t>
      </w:r>
      <w:hyperlink r:id="rId14" w:history="1">
        <w:r w:rsidRPr="005B5FF3">
          <w:rPr>
            <w:rStyle w:val="Hyperlink"/>
            <w:rFonts w:ascii="MetaPro-Norm" w:hAnsi="MetaPro-Norm"/>
          </w:rPr>
          <w:t>https://reliefweb.int/sites/reliefweb.int/files/resources/UNICEF%20Mauritania%20Humanitarian%20Situation%20Report%20No.3_Mid%20Year%20-%2026%20July%202021.pdf</w:t>
        </w:r>
      </w:hyperlink>
    </w:p>
  </w:footnote>
  <w:footnote w:id="15">
    <w:p w14:paraId="69AED956"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Mauritanian Ministry of Education, “Education Plan in Response to the Covid-19 Pandemic – Final Report,” May 2020, education.gov.mr/IMG/pdf/planripostecovid19.pdf</w:t>
      </w:r>
    </w:p>
  </w:footnote>
  <w:footnote w:id="16">
    <w:p w14:paraId="73D498BF"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Ibid. </w:t>
      </w:r>
    </w:p>
  </w:footnote>
  <w:footnote w:id="17">
    <w:p w14:paraId="74BA90B4"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Human Rights Watch report, “ ‘Years Don’t Wait for Them,’ Increased Inequalities in Children’s Right to Education Due to the Covid-19 Pandemic,” May 17, 2021, </w:t>
      </w:r>
      <w:hyperlink r:id="rId15" w:history="1">
        <w:r w:rsidRPr="005B5FF3">
          <w:rPr>
            <w:rStyle w:val="Hyperlink"/>
            <w:rFonts w:ascii="MetaPro-Norm" w:hAnsi="MetaPro-Norm"/>
          </w:rPr>
          <w:t>https://www.hrw.org/report/2021/05/17/years-dont-wait-them/increased-inequalities-childrens-right-education-due-covid</w:t>
        </w:r>
      </w:hyperlink>
      <w:r w:rsidRPr="005B5FF3">
        <w:rPr>
          <w:rFonts w:ascii="MetaPro-Norm" w:hAnsi="MetaPro-Norm"/>
        </w:rPr>
        <w:t xml:space="preserve"> </w:t>
      </w:r>
    </w:p>
  </w:footnote>
  <w:footnote w:id="18">
    <w:p w14:paraId="40313A09" w14:textId="33672378" w:rsidR="00BC5B60" w:rsidRDefault="00BC5B60">
      <w:pPr>
        <w:pStyle w:val="FootnoteText"/>
      </w:pPr>
      <w:r w:rsidRPr="005B5FF3">
        <w:rPr>
          <w:rStyle w:val="FootnoteReference"/>
          <w:rFonts w:ascii="MetaPro-Norm" w:hAnsi="MetaPro-Norm"/>
        </w:rPr>
        <w:footnoteRef/>
      </w:r>
      <w:r w:rsidRPr="005B5FF3">
        <w:rPr>
          <w:rFonts w:ascii="MetaPro-Norm" w:hAnsi="MetaPro-Norm"/>
        </w:rPr>
        <w:t xml:space="preserve"> Ibid.</w:t>
      </w:r>
      <w:r>
        <w:t xml:space="preserve"> </w:t>
      </w:r>
    </w:p>
  </w:footnote>
  <w:footnote w:id="19">
    <w:p w14:paraId="344E3FEE" w14:textId="215F5F7E"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Education Under Attack: 2020, The Global Coalition to Protect Education from Attack, 2020, </w:t>
      </w:r>
      <w:hyperlink r:id="rId16" w:history="1">
        <w:r w:rsidRPr="005B5FF3">
          <w:rPr>
            <w:rStyle w:val="Hyperlink"/>
            <w:rFonts w:ascii="MetaPro-Norm" w:hAnsi="MetaPro-Norm"/>
          </w:rPr>
          <w:t>https://eua2020.protectingeducation.org/</w:t>
        </w:r>
      </w:hyperlink>
      <w:r w:rsidR="00D75253">
        <w:rPr>
          <w:rStyle w:val="Hyperlink"/>
          <w:rFonts w:ascii="MetaPro-Norm" w:hAnsi="MetaPro-Norm"/>
        </w:rPr>
        <w:t>.</w:t>
      </w:r>
    </w:p>
  </w:footnote>
  <w:footnote w:id="20">
    <w:p w14:paraId="38F74EB9" w14:textId="77777777" w:rsidR="009450CF" w:rsidRPr="005B5FF3" w:rsidRDefault="009450CF" w:rsidP="009450CF">
      <w:pPr>
        <w:rPr>
          <w:rFonts w:ascii="MetaPro-Norm" w:hAnsi="MetaPro-Norm" w:cs="Calibri"/>
          <w:color w:val="000000" w:themeColor="text1"/>
          <w:sz w:val="20"/>
          <w:szCs w:val="20"/>
        </w:rPr>
      </w:pPr>
      <w:r w:rsidRPr="005B5FF3">
        <w:rPr>
          <w:rStyle w:val="FootnoteReference"/>
          <w:rFonts w:ascii="MetaPro-Norm" w:hAnsi="MetaPro-Norm" w:cs="Calibri"/>
          <w:color w:val="000000" w:themeColor="text1"/>
          <w:sz w:val="20"/>
          <w:szCs w:val="20"/>
        </w:rPr>
        <w:footnoteRef/>
      </w:r>
      <w:r w:rsidRPr="005B5FF3">
        <w:rPr>
          <w:rFonts w:ascii="MetaPro-Norm" w:hAnsi="MetaPro-Norm" w:cs="Calibri"/>
          <w:color w:val="000000" w:themeColor="text1"/>
          <w:sz w:val="20"/>
          <w:szCs w:val="20"/>
        </w:rPr>
        <w:t xml:space="preserve"> United Nations Infantry Battalion Manual, 2012, section 2.13, “Schools shall not be used by the military in their operations;” UN Department of Peacekeeping Operations, Department of Field Support and Department of Political Affairs, “Child Protection in UN Peace Operations (Policy),” June 2017.</w:t>
      </w:r>
    </w:p>
  </w:footnote>
  <w:footnote w:id="21">
    <w:p w14:paraId="0293F111"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UN Committee on the Elimination of Discrimination against Women, General Recommendation No. 30, Access to Education, U.N Doc. CEDAW/C/GC/30 (2013), para. 48.</w:t>
      </w:r>
    </w:p>
  </w:footnote>
  <w:footnote w:id="22">
    <w:p w14:paraId="0093D533"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Safe Schools Declaration, May 28, 2015, </w:t>
      </w:r>
      <w:hyperlink r:id="rId17" w:history="1">
        <w:r w:rsidRPr="005B5FF3">
          <w:rPr>
            <w:rStyle w:val="Hyperlink"/>
            <w:rFonts w:ascii="MetaPro-Norm" w:hAnsi="MetaPro-Norm"/>
          </w:rPr>
          <w:t>https://www.regjeringen.no/globalassets/departementene/ud/vedlegg/utvikling/safe_schools_declaration.pdf</w:t>
        </w:r>
      </w:hyperlink>
      <w:r w:rsidRPr="005B5FF3">
        <w:rPr>
          <w:rFonts w:ascii="MetaPro-Norm" w:hAnsi="MetaPro-Norm"/>
        </w:rPr>
        <w:t>; Guidelines for Protecting Schools and Universities from Military Use during Armed Conflict, March 18, 2014, </w:t>
      </w:r>
      <w:hyperlink r:id="rId18" w:history="1">
        <w:r w:rsidRPr="005B5FF3">
          <w:rPr>
            <w:rStyle w:val="Hyperlink"/>
            <w:rFonts w:ascii="MetaPro-Norm" w:hAnsi="MetaPro-Norm"/>
          </w:rPr>
          <w:t>http://protectingeducation.org/sites/default/files/documents/guidelines_en.pdf</w:t>
        </w:r>
      </w:hyperlink>
      <w:r w:rsidRPr="005B5FF3">
        <w:rPr>
          <w:rFonts w:ascii="MetaPro-Norm" w:hAnsi="MetaPro-Norm"/>
        </w:rPr>
        <w:t>.</w:t>
      </w:r>
    </w:p>
    <w:p w14:paraId="4266A599" w14:textId="77777777" w:rsidR="009450CF" w:rsidRDefault="009450CF" w:rsidP="009450CF">
      <w:pPr>
        <w:pStyle w:val="FootnoteText"/>
      </w:pPr>
    </w:p>
  </w:footnote>
  <w:footnote w:id="23">
    <w:p w14:paraId="681997C1" w14:textId="12981E65" w:rsidR="007873D8" w:rsidRDefault="007873D8">
      <w:pPr>
        <w:pStyle w:val="FootnoteText"/>
      </w:pPr>
      <w:r>
        <w:rPr>
          <w:rStyle w:val="FootnoteReference"/>
        </w:rPr>
        <w:footnoteRef/>
      </w:r>
      <w:r>
        <w:t xml:space="preserve"> </w:t>
      </w:r>
      <w:r w:rsidRPr="00D34D37">
        <w:rPr>
          <w:rFonts w:ascii="MetaPro-Norm" w:hAnsi="MetaPro-Norm"/>
        </w:rPr>
        <w:t>Human Rights Watch Report, “They Told Me to Keep Quiet: Obstacles to Justice and Remedy for Sexual Assault Survivors in Mauritania.”</w:t>
      </w:r>
    </w:p>
  </w:footnote>
  <w:footnote w:id="24">
    <w:p w14:paraId="76EBC586"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“Letter to President Mohamed Ould Ghazouani Re: Women’s Rights and Gender-Based Violence,” Human Rights Watch, October 15, 2019,  </w:t>
      </w:r>
      <w:hyperlink r:id="rId19" w:history="1">
        <w:r w:rsidRPr="005B5FF3">
          <w:rPr>
            <w:rStyle w:val="Hyperlink"/>
            <w:rFonts w:ascii="MetaPro-Norm" w:hAnsi="MetaPro-Norm"/>
          </w:rPr>
          <w:t>https://www.hrw.org/news/2019/10/15/letter-president-mohamed-ould-ghazouani</w:t>
        </w:r>
      </w:hyperlink>
    </w:p>
  </w:footnote>
  <w:footnote w:id="25">
    <w:p w14:paraId="4A29BBE1" w14:textId="715EFD7C"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Human Rights Watch Report, “They Told Me to Keep Quiet: Obstacles to Justice and Remedy for Sexual Assault Survivors in Mauritania,” September 5, 2018, </w:t>
      </w:r>
      <w:hyperlink r:id="rId20" w:history="1">
        <w:r w:rsidRPr="005B5FF3">
          <w:rPr>
            <w:rStyle w:val="Hyperlink"/>
            <w:rFonts w:ascii="MetaPro-Norm" w:hAnsi="MetaPro-Norm"/>
          </w:rPr>
          <w:t>https://www.hrw.org/report/2018/09/05/they-told-me-keep-quiet/obstacles-justice-and-remedy-sexual-assault-survivors</w:t>
        </w:r>
      </w:hyperlink>
      <w:r w:rsidR="008949C1" w:rsidRPr="005B5FF3">
        <w:rPr>
          <w:rFonts w:ascii="MetaPro-Norm" w:hAnsi="MetaPro-Norm"/>
        </w:rPr>
        <w:t>.</w:t>
      </w:r>
    </w:p>
  </w:footnote>
  <w:footnote w:id="26">
    <w:p w14:paraId="3E1986CC" w14:textId="7AA92973"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00DC0CDD">
        <w:rPr>
          <w:rFonts w:ascii="MetaPro-Norm" w:hAnsi="MetaPro-Norm"/>
        </w:rPr>
        <w:t xml:space="preserve"> Ibid.</w:t>
      </w:r>
    </w:p>
  </w:footnote>
  <w:footnote w:id="27">
    <w:p w14:paraId="745514B3" w14:textId="38D5939D"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w:t>
      </w:r>
      <w:r w:rsidR="00A22630">
        <w:rPr>
          <w:rFonts w:ascii="MetaPro-Norm" w:hAnsi="MetaPro-Norm"/>
        </w:rPr>
        <w:t>Ibid.</w:t>
      </w:r>
    </w:p>
  </w:footnote>
  <w:footnote w:id="28">
    <w:p w14:paraId="7F081A00"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General Code on Children’s Protection, arts. 79 and 80; Law on Reproductive Health, arts. 11 and 12.</w:t>
      </w:r>
    </w:p>
  </w:footnote>
  <w:footnote w:id="29">
    <w:p w14:paraId="74DA5F51"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Cetorelli et. al, “Female Genital Mutilation/Cutting in Mali and Mauritania: Understanding Trends and Evaluating Policies,” March 2020, available </w:t>
      </w:r>
      <w:hyperlink r:id="rId21" w:history="1">
        <w:r w:rsidRPr="005B5FF3">
          <w:rPr>
            <w:rStyle w:val="Hyperlink"/>
            <w:rFonts w:ascii="MetaPro-Norm" w:hAnsi="MetaPro-Norm"/>
          </w:rPr>
          <w:t>https://onlinelibrary.wiley.com/doi/full/10.1111/sifp.12112</w:t>
        </w:r>
      </w:hyperlink>
    </w:p>
  </w:footnote>
  <w:footnote w:id="30">
    <w:p w14:paraId="7887A739" w14:textId="77777777" w:rsidR="009450CF" w:rsidRDefault="009450CF" w:rsidP="009450CF">
      <w:pPr>
        <w:pStyle w:val="FootnoteText"/>
      </w:pPr>
      <w:r w:rsidRPr="005B5FF3">
        <w:rPr>
          <w:rStyle w:val="FootnoteReference"/>
          <w:rFonts w:ascii="MetaPro-Norm" w:hAnsi="MetaPro-Norm"/>
        </w:rPr>
        <w:footnoteRef/>
      </w:r>
      <w:r w:rsidRPr="005B5FF3">
        <w:rPr>
          <w:rFonts w:ascii="MetaPro-Norm" w:hAnsi="MetaPro-Norm"/>
        </w:rPr>
        <w:t xml:space="preserve"> Ibid.</w:t>
      </w:r>
    </w:p>
  </w:footnote>
  <w:footnote w:id="31">
    <w:p w14:paraId="07273F34" w14:textId="114AA9A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National Human Rights Commission, Annual Report 2016, p. 34. See also NHRC, Report on Women’s Rights 2017, p. 21. UNFPA-UNICEF Report, “Joint Programme on Female Genital Cutting: Accelerating Change, 2008-2012,” September 2013, </w:t>
      </w:r>
      <w:hyperlink r:id="rId22" w:history="1">
        <w:r w:rsidRPr="005B5FF3">
          <w:rPr>
            <w:rStyle w:val="Hyperlink"/>
            <w:rFonts w:ascii="MetaPro-Norm" w:hAnsi="MetaPro-Norm"/>
          </w:rPr>
          <w:t>https://www.unfpa.org/sites/default/files/admin-resource/FGM-report%2012_4_2013.pdf</w:t>
        </w:r>
      </w:hyperlink>
      <w:r w:rsidR="00F717EB">
        <w:rPr>
          <w:rStyle w:val="Hyperlink"/>
          <w:rFonts w:ascii="MetaPro-Norm" w:hAnsi="MetaPro-Norm"/>
        </w:rPr>
        <w:t>.</w:t>
      </w:r>
    </w:p>
  </w:footnote>
  <w:footnote w:id="32">
    <w:p w14:paraId="07B06D5C" w14:textId="785B34A5"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28 Too Many and Thomas Reuters Foundation Report, “Mauritania: The Law and FGM,” September 2018, </w:t>
      </w:r>
      <w:hyperlink r:id="rId23" w:history="1">
        <w:r w:rsidRPr="005B5FF3">
          <w:rPr>
            <w:rStyle w:val="Hyperlink"/>
            <w:rFonts w:ascii="MetaPro-Norm" w:hAnsi="MetaPro-Norm"/>
          </w:rPr>
          <w:t>https://www.orchidproject.org/wp-content/uploads/2019/02/mauritania_law_report_v1_september_2018.pdf</w:t>
        </w:r>
      </w:hyperlink>
      <w:r w:rsidR="00F717EB">
        <w:rPr>
          <w:rStyle w:val="Hyperlink"/>
          <w:rFonts w:ascii="MetaPro-Norm" w:hAnsi="MetaPro-Norm"/>
        </w:rPr>
        <w:t>.</w:t>
      </w:r>
    </w:p>
  </w:footnote>
  <w:footnote w:id="33">
    <w:p w14:paraId="16601022" w14:textId="77777777"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Freedom House Report, “Mauritania – Freedom in the World 2020,” </w:t>
      </w:r>
      <w:hyperlink r:id="rId24" w:history="1">
        <w:r w:rsidRPr="005B5FF3">
          <w:rPr>
            <w:rStyle w:val="Hyperlink"/>
            <w:rFonts w:ascii="MetaPro-Norm" w:hAnsi="MetaPro-Norm"/>
          </w:rPr>
          <w:t>https://freedomhouse.org/country/mauritania/freedom-world/2020</w:t>
        </w:r>
      </w:hyperlink>
      <w:r w:rsidRPr="005B5FF3">
        <w:rPr>
          <w:rFonts w:ascii="MetaPro-Norm" w:hAnsi="MetaPro-Norm"/>
        </w:rPr>
        <w:t> (accessed February 8, 2021).</w:t>
      </w:r>
    </w:p>
  </w:footnote>
  <w:footnote w:id="34">
    <w:p w14:paraId="7E57942E" w14:textId="5DFF9AFF"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UNICEF Factsheet, “The UNICEF Approach to the Elimination of Female Genital Mutilation,” October 2020, </w:t>
      </w:r>
      <w:hyperlink r:id="rId25" w:history="1">
        <w:r w:rsidRPr="005B5FF3">
          <w:rPr>
            <w:rStyle w:val="Hyperlink"/>
            <w:rFonts w:ascii="MetaPro-Norm" w:hAnsi="MetaPro-Norm"/>
          </w:rPr>
          <w:t>https://www.unicef.org/media/88751/file/FGM-Factsheet-2020.pdf</w:t>
        </w:r>
      </w:hyperlink>
      <w:r w:rsidR="00F717EB">
        <w:rPr>
          <w:rStyle w:val="Hyperlink"/>
          <w:rFonts w:ascii="MetaPro-Norm" w:hAnsi="MetaPro-Norm"/>
        </w:rPr>
        <w:t>.</w:t>
      </w:r>
    </w:p>
  </w:footnote>
  <w:footnote w:id="35">
    <w:p w14:paraId="00DCB2E2" w14:textId="31EA089F"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Human Rights Watch Report, “They Told Me to Keep Quiet: Obstacles to Justice and Remedy for Sexual Assault Survivors in Mauritania,” September 5, 2018, </w:t>
      </w:r>
      <w:hyperlink r:id="rId26" w:history="1">
        <w:r w:rsidRPr="005B5FF3">
          <w:rPr>
            <w:rStyle w:val="Hyperlink"/>
            <w:rFonts w:ascii="MetaPro-Norm" w:hAnsi="MetaPro-Norm"/>
          </w:rPr>
          <w:t>https://www.hrw.org/report/2018/09/05/they-told-me-keep-quiet/obstacles-justice-and-remedy-sexual-assault-survivors</w:t>
        </w:r>
      </w:hyperlink>
      <w:r w:rsidR="00F717EB">
        <w:rPr>
          <w:rStyle w:val="Hyperlink"/>
          <w:rFonts w:ascii="MetaPro-Norm" w:hAnsi="MetaPro-Norm"/>
        </w:rPr>
        <w:t>.</w:t>
      </w:r>
    </w:p>
  </w:footnote>
  <w:footnote w:id="36">
    <w:p w14:paraId="2DC7397B" w14:textId="77777777" w:rsidR="009450CF" w:rsidRDefault="009450CF" w:rsidP="009450CF">
      <w:pPr>
        <w:pStyle w:val="FootnoteText"/>
      </w:pPr>
      <w:r w:rsidRPr="005B5FF3">
        <w:rPr>
          <w:rStyle w:val="FootnoteReference"/>
          <w:rFonts w:ascii="MetaPro-Norm" w:hAnsi="MetaPro-Norm"/>
        </w:rPr>
        <w:footnoteRef/>
      </w:r>
      <w:r w:rsidRPr="005B5FF3">
        <w:rPr>
          <w:rFonts w:ascii="MetaPro-Norm" w:hAnsi="MetaPro-Norm"/>
        </w:rPr>
        <w:t xml:space="preserve"> Human Rights Watch news release, “UN: WHO Condemns ‘Virginity Tests,’” December 1, 2014, https://www.hrw.org/news/2014/12/02/un-who-condemns-virginity-tests.</w:t>
      </w:r>
    </w:p>
  </w:footnote>
  <w:footnote w:id="37">
    <w:p w14:paraId="4EF4F20F" w14:textId="77777777" w:rsidR="009450CF" w:rsidRPr="005B5FF3" w:rsidRDefault="009450CF" w:rsidP="009450CF">
      <w:pPr>
        <w:pStyle w:val="FootnoteText"/>
        <w:rPr>
          <w:rFonts w:ascii="MetaPro-Norm" w:hAnsi="MetaPro-Norm" w:cs="Calibri"/>
        </w:rPr>
      </w:pPr>
      <w:r w:rsidRPr="005B5FF3">
        <w:rPr>
          <w:rStyle w:val="FootnoteReference"/>
          <w:rFonts w:ascii="MetaPro-Norm" w:hAnsi="MetaPro-Norm" w:cs="Calibri"/>
        </w:rPr>
        <w:footnoteRef/>
      </w:r>
      <w:r w:rsidRPr="005B5FF3">
        <w:rPr>
          <w:rFonts w:ascii="MetaPro-Norm" w:hAnsi="MetaPro-Norm" w:cs="Calibri"/>
        </w:rPr>
        <w:t xml:space="preserve"> Global Slavery Index, “2018 Country Data – Mauritania,” </w:t>
      </w:r>
      <w:hyperlink r:id="rId27" w:history="1">
        <w:r w:rsidRPr="005B5FF3">
          <w:rPr>
            <w:rStyle w:val="Hyperlink"/>
            <w:rFonts w:ascii="MetaPro-Norm" w:hAnsi="MetaPro-Norm" w:cs="Calibri"/>
          </w:rPr>
          <w:t>https://www.globalslaveryindex.org/2018/data/country-data/mauritania/</w:t>
        </w:r>
      </w:hyperlink>
      <w:r w:rsidRPr="005B5FF3">
        <w:rPr>
          <w:rFonts w:ascii="MetaPro-Norm" w:hAnsi="MetaPro-Norm" w:cs="Calibri"/>
        </w:rPr>
        <w:t xml:space="preserve"> (accessed August 19, 2021).</w:t>
      </w:r>
    </w:p>
  </w:footnote>
  <w:footnote w:id="38">
    <w:p w14:paraId="25F70EA4" w14:textId="77777777" w:rsidR="009450CF" w:rsidRDefault="009450CF" w:rsidP="009450CF">
      <w:pPr>
        <w:pStyle w:val="FootnoteText"/>
      </w:pPr>
      <w:r w:rsidRPr="005B5FF3">
        <w:rPr>
          <w:rStyle w:val="FootnoteReference"/>
          <w:rFonts w:ascii="MetaPro-Norm" w:hAnsi="MetaPro-Norm"/>
        </w:rPr>
        <w:footnoteRef/>
      </w:r>
      <w:r w:rsidRPr="005B5FF3">
        <w:rPr>
          <w:rFonts w:ascii="MetaPro-Norm" w:hAnsi="MetaPro-Norm"/>
        </w:rPr>
        <w:t xml:space="preserve"> Human Rights Watch report, “”Ethnicity, Discrimination, and Other Red Lines: Repression of Human Rights Defenders in Mauritania,” February 12, 2018, </w:t>
      </w:r>
      <w:hyperlink r:id="rId28" w:history="1">
        <w:r w:rsidRPr="005B5FF3">
          <w:rPr>
            <w:rStyle w:val="Hyperlink"/>
            <w:rFonts w:ascii="MetaPro-Norm" w:hAnsi="MetaPro-Norm"/>
          </w:rPr>
          <w:t>https://www.hrw.org/report/2018/02/12/ethnicity-discrimination-and-other-red-lines/repression-human-rights-defenders</w:t>
        </w:r>
      </w:hyperlink>
      <w:r w:rsidRPr="005B5FF3">
        <w:rPr>
          <w:rFonts w:ascii="MetaPro-Norm" w:hAnsi="MetaPro-Norm"/>
        </w:rPr>
        <w:t xml:space="preserve">; </w:t>
      </w:r>
      <w:r w:rsidRPr="005B5FF3">
        <w:rPr>
          <w:rFonts w:ascii="MetaPro-Norm" w:hAnsi="MetaPro-Norm" w:cs="Calibri"/>
        </w:rPr>
        <w:t xml:space="preserve">Human Rights Watch news release, “Mauritania: Administrative Obstacles Keep Kids from School,” March 29, 2018, </w:t>
      </w:r>
      <w:hyperlink r:id="rId29" w:history="1">
        <w:r w:rsidRPr="005B5FF3">
          <w:rPr>
            <w:rStyle w:val="Hyperlink"/>
            <w:rFonts w:ascii="MetaPro-Norm" w:hAnsi="MetaPro-Norm" w:cs="Calibri"/>
          </w:rPr>
          <w:t>https://www.hrw.org/news/2018/03/29/mauritania-administrative-obstacles-keep-kids-school</w:t>
        </w:r>
      </w:hyperlink>
    </w:p>
  </w:footnote>
  <w:footnote w:id="39">
    <w:p w14:paraId="11F97C01" w14:textId="021EC24C" w:rsidR="009450CF" w:rsidRPr="005B5FF3" w:rsidRDefault="009450CF" w:rsidP="009450CF">
      <w:pPr>
        <w:pStyle w:val="FootnoteText"/>
        <w:rPr>
          <w:rFonts w:ascii="MetaPro-Norm" w:hAnsi="MetaPro-Norm"/>
        </w:rPr>
      </w:pPr>
      <w:r w:rsidRPr="005B5FF3">
        <w:rPr>
          <w:rStyle w:val="FootnoteReference"/>
          <w:rFonts w:ascii="MetaPro-Norm" w:hAnsi="MetaPro-Norm"/>
        </w:rPr>
        <w:footnoteRef/>
      </w:r>
      <w:r w:rsidRPr="005B5FF3">
        <w:rPr>
          <w:rFonts w:ascii="MetaPro-Norm" w:hAnsi="MetaPro-Norm"/>
        </w:rPr>
        <w:t xml:space="preserve"> OECD Factsheet, “Social Institutions and Gender Index – Mauritania,” 2019, </w:t>
      </w:r>
      <w:hyperlink r:id="rId30" w:history="1">
        <w:r w:rsidRPr="005B5FF3">
          <w:rPr>
            <w:rStyle w:val="Hyperlink"/>
            <w:rFonts w:ascii="MetaPro-Norm" w:hAnsi="MetaPro-Norm"/>
          </w:rPr>
          <w:t>https://www.genderindex.org/wp-content/uploads/files/datasheets/2019/MR.pdf</w:t>
        </w:r>
      </w:hyperlink>
      <w:r w:rsidR="003705EB">
        <w:rPr>
          <w:rStyle w:val="Hyperlink"/>
          <w:rFonts w:ascii="MetaPro-Norm" w:hAnsi="MetaPro-Norm"/>
        </w:rPr>
        <w:t>.</w:t>
      </w:r>
    </w:p>
  </w:footnote>
  <w:footnote w:id="40">
    <w:p w14:paraId="2B16DE59" w14:textId="77777777" w:rsidR="009450CF" w:rsidRPr="005B5FF3" w:rsidRDefault="009450CF" w:rsidP="009450CF">
      <w:pPr>
        <w:pStyle w:val="FootnoteText"/>
        <w:rPr>
          <w:rFonts w:ascii="MetaPro-Norm" w:hAnsi="MetaPro-Norm" w:cs="Calibri"/>
        </w:rPr>
      </w:pPr>
      <w:r w:rsidRPr="005B5FF3">
        <w:rPr>
          <w:rStyle w:val="FootnoteReference"/>
          <w:rFonts w:ascii="MetaPro-Norm" w:hAnsi="MetaPro-Norm" w:cs="Calibri"/>
        </w:rPr>
        <w:footnoteRef/>
      </w:r>
      <w:r w:rsidRPr="005B5FF3">
        <w:rPr>
          <w:rFonts w:ascii="MetaPro-Norm" w:hAnsi="MetaPro-Norm" w:cs="Calibri"/>
        </w:rPr>
        <w:t xml:space="preserve"> E Ann McDougall, “‘Life in Nouakchott is not true liberty, not at all’: living the legacies of slavery in Nouakchott, Mauritania,” Open Democracy, July 19, 2016, </w:t>
      </w:r>
      <w:hyperlink r:id="rId31" w:history="1">
        <w:r w:rsidRPr="005B5FF3">
          <w:rPr>
            <w:rStyle w:val="Hyperlink"/>
            <w:rFonts w:ascii="MetaPro-Norm" w:hAnsi="MetaPro-Norm" w:cs="Calibri"/>
          </w:rPr>
          <w:t>https://www.opendemocracy.net/en/beyond-trafficking-and-slavery/life-in-nouakchott-is-not-true-liberty-not-at-all-living-legacies-of-s/</w:t>
        </w:r>
      </w:hyperlink>
      <w:r w:rsidRPr="005B5FF3">
        <w:rPr>
          <w:rFonts w:ascii="MetaPro-Norm" w:hAnsi="MetaPro-Norm" w:cs="Calibri"/>
        </w:rPr>
        <w:t xml:space="preserve">; “Unshackled Yet Far From Free, Former Slaves Struggle in Mauritania,” VOA News, March 4, 2019, </w:t>
      </w:r>
      <w:hyperlink r:id="rId32" w:history="1">
        <w:r w:rsidRPr="005B5FF3">
          <w:rPr>
            <w:rStyle w:val="Hyperlink"/>
            <w:rFonts w:ascii="MetaPro-Norm" w:hAnsi="MetaPro-Norm" w:cs="Calibri"/>
          </w:rPr>
          <w:t>https://www.voanews.com/africa/unshackled-yet-far-free-former-slaves-struggle-mauritania</w:t>
        </w:r>
      </w:hyperlink>
      <w:r w:rsidRPr="005B5FF3">
        <w:rPr>
          <w:rFonts w:ascii="MetaPro-Norm" w:hAnsi="MetaPro-Norm" w:cs="Calibri"/>
        </w:rPr>
        <w:t xml:space="preserve">; “The Unspeakable Truth About Slavery in Mauritania,” </w:t>
      </w:r>
      <w:r w:rsidRPr="005B5FF3">
        <w:rPr>
          <w:rFonts w:ascii="MetaPro-Norm" w:hAnsi="MetaPro-Norm" w:cs="Calibri"/>
          <w:i/>
          <w:iCs/>
        </w:rPr>
        <w:t>The Guardian</w:t>
      </w:r>
      <w:r w:rsidRPr="005B5FF3">
        <w:rPr>
          <w:rFonts w:ascii="MetaPro-Norm" w:hAnsi="MetaPro-Norm" w:cs="Calibri"/>
        </w:rPr>
        <w:t xml:space="preserve">, June 8, 2018, </w:t>
      </w:r>
      <w:hyperlink r:id="rId33" w:history="1">
        <w:r w:rsidRPr="005B5FF3">
          <w:rPr>
            <w:rStyle w:val="Hyperlink"/>
            <w:rFonts w:ascii="MetaPro-Norm" w:hAnsi="MetaPro-Norm" w:cs="Calibri"/>
          </w:rPr>
          <w:t>https://www.theguardian.com/global-development/2018/jun/08/the-unspeakable-truth-about-slavery-in-mauritania</w:t>
        </w:r>
      </w:hyperlink>
      <w:r w:rsidRPr="005B5FF3">
        <w:rPr>
          <w:rFonts w:ascii="MetaPro-Norm" w:hAnsi="MetaPro-Norm" w:cs="Calibri"/>
        </w:rPr>
        <w:t xml:space="preserve"> (accessed August 20, 2021).</w:t>
      </w:r>
    </w:p>
  </w:footnote>
  <w:footnote w:id="41">
    <w:p w14:paraId="275CC7B6" w14:textId="77777777" w:rsidR="009450CF" w:rsidRPr="005B5FF3" w:rsidRDefault="009450CF" w:rsidP="009450CF">
      <w:pPr>
        <w:pStyle w:val="FootnoteText"/>
        <w:rPr>
          <w:rFonts w:ascii="MetaPro-Norm" w:hAnsi="MetaPro-Norm" w:cs="Calibri"/>
        </w:rPr>
      </w:pPr>
      <w:r w:rsidRPr="005B5FF3">
        <w:rPr>
          <w:rStyle w:val="FootnoteReference"/>
          <w:rFonts w:ascii="MetaPro-Norm" w:hAnsi="MetaPro-Norm" w:cs="Calibri"/>
        </w:rPr>
        <w:footnoteRef/>
      </w:r>
      <w:r w:rsidRPr="005B5FF3">
        <w:rPr>
          <w:rFonts w:ascii="MetaPro-Norm" w:hAnsi="MetaPro-Norm" w:cs="Calibri"/>
        </w:rPr>
        <w:t xml:space="preserve"> Human Rights Watch news release, “Mauritania: Administrative Obstacles Keep Kids from School,” March 29, 2018, </w:t>
      </w:r>
      <w:hyperlink r:id="rId34" w:history="1">
        <w:r w:rsidRPr="005B5FF3">
          <w:rPr>
            <w:rStyle w:val="Hyperlink"/>
            <w:rFonts w:ascii="MetaPro-Norm" w:hAnsi="MetaPro-Norm" w:cs="Calibri"/>
          </w:rPr>
          <w:t>https://www.hrw.org/news/2018/03/29/mauritania-administrative-obstacles-keep-kids-school</w:t>
        </w:r>
      </w:hyperlink>
      <w:r w:rsidRPr="005B5FF3">
        <w:rPr>
          <w:rFonts w:ascii="MetaPro-Norm" w:hAnsi="MetaPro-Norm" w:cs="Calibri"/>
        </w:rPr>
        <w:t xml:space="preserve">; “The Unspeakable Truth About Slavery in Mauritania,” </w:t>
      </w:r>
      <w:r w:rsidRPr="005B5FF3">
        <w:rPr>
          <w:rFonts w:ascii="MetaPro-Norm" w:hAnsi="MetaPro-Norm" w:cs="Calibri"/>
          <w:i/>
          <w:iCs/>
        </w:rPr>
        <w:t>The Guardian</w:t>
      </w:r>
      <w:r w:rsidRPr="005B5FF3">
        <w:rPr>
          <w:rFonts w:ascii="MetaPro-Norm" w:hAnsi="MetaPro-Norm" w:cs="Calibri"/>
        </w:rPr>
        <w:t xml:space="preserve">, June 8, 2018, </w:t>
      </w:r>
      <w:hyperlink r:id="rId35" w:history="1">
        <w:r w:rsidRPr="005B5FF3">
          <w:rPr>
            <w:rStyle w:val="Hyperlink"/>
            <w:rFonts w:ascii="MetaPro-Norm" w:hAnsi="MetaPro-Norm" w:cs="Calibri"/>
          </w:rPr>
          <w:t>https://www.theguardian.com/global-development/2018/jun/08/the-unspeakable-truth-about-slavery-in-mauritania</w:t>
        </w:r>
      </w:hyperlink>
      <w:r w:rsidRPr="005B5FF3">
        <w:rPr>
          <w:rFonts w:ascii="MetaPro-Norm" w:hAnsi="MetaPro-Norm" w:cs="Calibri"/>
        </w:rPr>
        <w:t xml:space="preserve"> (accessed August 20, 2021); “Mauritania, Unrepresented Nations and Peoples Organization, “Alternative Report Submitted to the UN Human Rights Committee at the 107</w:t>
      </w:r>
      <w:r w:rsidRPr="005B5FF3">
        <w:rPr>
          <w:rFonts w:ascii="MetaPro-Norm" w:hAnsi="MetaPro-Norm" w:cs="Calibri"/>
          <w:vertAlign w:val="superscript"/>
        </w:rPr>
        <w:t>th</w:t>
      </w:r>
      <w:r w:rsidRPr="005B5FF3">
        <w:rPr>
          <w:rFonts w:ascii="MetaPro-Norm" w:hAnsi="MetaPro-Norm" w:cs="Calibri"/>
        </w:rPr>
        <w:t xml:space="preserve"> Session during the Consideration of the 1</w:t>
      </w:r>
      <w:r w:rsidRPr="005B5FF3">
        <w:rPr>
          <w:rFonts w:ascii="MetaPro-Norm" w:hAnsi="MetaPro-Norm" w:cs="Calibri"/>
          <w:vertAlign w:val="superscript"/>
        </w:rPr>
        <w:t>st</w:t>
      </w:r>
      <w:r w:rsidRPr="005B5FF3">
        <w:rPr>
          <w:rFonts w:ascii="MetaPro-Norm" w:hAnsi="MetaPro-Norm" w:cs="Calibri"/>
        </w:rPr>
        <w:t xml:space="preserve"> Period Report of the Islamic Republic of Mauritania,” February 2013, </w:t>
      </w:r>
      <w:hyperlink r:id="rId36" w:history="1">
        <w:r w:rsidRPr="005B5FF3">
          <w:rPr>
            <w:rStyle w:val="Hyperlink"/>
            <w:rFonts w:ascii="MetaPro-Norm" w:hAnsi="MetaPro-Norm" w:cs="Calibri"/>
          </w:rPr>
          <w:t>https://tbinternet.ohchr.org/Treaties/CCPR/Shared%20Documents/MRT/INT_CCPR_NGO_MRT_14506_E.pdf</w:t>
        </w:r>
      </w:hyperlink>
      <w:r w:rsidRPr="005B5FF3">
        <w:rPr>
          <w:rFonts w:ascii="MetaPro-Norm" w:hAnsi="MetaPro-Norm" w:cs="Calibri"/>
        </w:rPr>
        <w:t xml:space="preserve"> </w:t>
      </w:r>
    </w:p>
  </w:footnote>
  <w:footnote w:id="42">
    <w:p w14:paraId="2D66609E" w14:textId="748CC45A" w:rsidR="009450CF" w:rsidRPr="00621863" w:rsidRDefault="009450CF" w:rsidP="009450CF">
      <w:pPr>
        <w:pStyle w:val="FootnoteText"/>
        <w:rPr>
          <w:rFonts w:ascii="Calibri" w:hAnsi="Calibri" w:cs="Calibri"/>
        </w:rPr>
      </w:pPr>
      <w:r w:rsidRPr="005B5FF3">
        <w:rPr>
          <w:rStyle w:val="FootnoteReference"/>
          <w:rFonts w:ascii="MetaPro-Norm" w:hAnsi="MetaPro-Norm" w:cs="Calibri"/>
        </w:rPr>
        <w:footnoteRef/>
      </w:r>
      <w:r w:rsidRPr="005B5FF3">
        <w:rPr>
          <w:rFonts w:ascii="MetaPro-Norm" w:hAnsi="MetaPro-Norm" w:cs="Calibri"/>
        </w:rPr>
        <w:t xml:space="preserve"> Human Rights Watch Submission to the Africa Regional Review on Implementation of the Global Compact for Safe, Orderly, and Regular Migration,  July 6, 2019, </w:t>
      </w:r>
      <w:hyperlink r:id="rId37" w:history="1">
        <w:r w:rsidRPr="005B5FF3">
          <w:rPr>
            <w:rStyle w:val="Hyperlink"/>
            <w:rFonts w:ascii="MetaPro-Norm" w:hAnsi="MetaPro-Norm" w:cs="Calibri"/>
          </w:rPr>
          <w:t>https://www.hrw.org/news/2021/07/06/human-rights-watch-submission-africa-regional-review-implementation-global-compact</w:t>
        </w:r>
      </w:hyperlink>
      <w:r w:rsidRPr="005B5FF3">
        <w:rPr>
          <w:rFonts w:ascii="MetaPro-Norm" w:hAnsi="MetaPro-Norm" w:cs="Calibri"/>
        </w:rPr>
        <w:t>.</w:t>
      </w:r>
    </w:p>
  </w:footnote>
  <w:footnote w:id="43">
    <w:p w14:paraId="4B955C86" w14:textId="57559420" w:rsidR="009450CF" w:rsidRPr="005B5FF3" w:rsidRDefault="009450CF" w:rsidP="009450CF">
      <w:pPr>
        <w:pStyle w:val="FootnoteText"/>
        <w:rPr>
          <w:rFonts w:ascii="MetaPro-Norm" w:hAnsi="MetaPro-Norm" w:cs="Calibri"/>
        </w:rPr>
      </w:pPr>
      <w:r w:rsidRPr="005B5FF3">
        <w:rPr>
          <w:rStyle w:val="FootnoteReference"/>
          <w:rFonts w:ascii="MetaPro-Norm" w:hAnsi="MetaPro-Norm" w:cs="Calibri"/>
        </w:rPr>
        <w:footnoteRef/>
      </w:r>
      <w:r w:rsidRPr="005B5FF3">
        <w:rPr>
          <w:rFonts w:ascii="MetaPro-Norm" w:hAnsi="MetaPro-Norm" w:cs="Calibri"/>
        </w:rPr>
        <w:t xml:space="preserve"> Human Rights Watch news release, “Spain: Respect Rights of People Arriving by Sea to Canary Islands,” November 11, 2020, </w:t>
      </w:r>
      <w:hyperlink r:id="rId38" w:history="1">
        <w:r w:rsidRPr="005B5FF3">
          <w:rPr>
            <w:rStyle w:val="Hyperlink"/>
            <w:rFonts w:ascii="MetaPro-Norm" w:hAnsi="MetaPro-Norm" w:cs="Calibri"/>
          </w:rPr>
          <w:t>https://www.hrw.org/news/2020/11/11/spain-respect-rights-people-arriving-sea-canary-islands</w:t>
        </w:r>
      </w:hyperlink>
      <w:r w:rsidR="00B54BD6" w:rsidRPr="005B5FF3">
        <w:rPr>
          <w:rFonts w:ascii="MetaPro-Norm" w:hAnsi="MetaPro-Norm" w:cs="Calibri"/>
        </w:rPr>
        <w:t>.</w:t>
      </w:r>
    </w:p>
  </w:footnote>
  <w:footnote w:id="44">
    <w:p w14:paraId="3C0B5353" w14:textId="09206AF7" w:rsidR="009450CF" w:rsidRPr="00621863" w:rsidRDefault="009450CF" w:rsidP="009450CF">
      <w:pPr>
        <w:pStyle w:val="FootnoteText"/>
        <w:rPr>
          <w:rFonts w:ascii="Calibri" w:hAnsi="Calibri" w:cs="Calibri"/>
        </w:rPr>
      </w:pPr>
      <w:r w:rsidRPr="005B5FF3">
        <w:rPr>
          <w:rStyle w:val="FootnoteReference"/>
          <w:rFonts w:ascii="MetaPro-Norm" w:hAnsi="MetaPro-Norm" w:cs="Calibri"/>
        </w:rPr>
        <w:footnoteRef/>
      </w:r>
      <w:r w:rsidRPr="005B5FF3">
        <w:rPr>
          <w:rFonts w:ascii="MetaPro-Norm" w:hAnsi="MetaPro-Norm" w:cs="Calibri"/>
        </w:rPr>
        <w:t xml:space="preserve"> UN Office of the High Commissioner for Human Rights, “Protecting the rights of migrants in irregular situations,” </w:t>
      </w:r>
      <w:hyperlink r:id="rId39" w:history="1">
        <w:r w:rsidRPr="005B5FF3">
          <w:rPr>
            <w:rStyle w:val="Hyperlink"/>
            <w:rFonts w:ascii="MetaPro-Norm" w:hAnsi="MetaPro-Norm" w:cs="Calibri"/>
          </w:rPr>
          <w:t>https://www.ohchr.org/Documents/Issues/Migration/GlobalCompactMigration/IrregularMigrants.pdf</w:t>
        </w:r>
      </w:hyperlink>
      <w:r w:rsidR="00971FCD">
        <w:rPr>
          <w:rFonts w:ascii="Calibri" w:hAnsi="Calibri" w:cs="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70DEF"/>
    <w:multiLevelType w:val="multilevel"/>
    <w:tmpl w:val="6746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A0743F"/>
    <w:multiLevelType w:val="multilevel"/>
    <w:tmpl w:val="C116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CC1368"/>
    <w:multiLevelType w:val="multilevel"/>
    <w:tmpl w:val="40543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8A2A3D"/>
    <w:multiLevelType w:val="multilevel"/>
    <w:tmpl w:val="AD088C6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4B2CE6"/>
    <w:multiLevelType w:val="hybridMultilevel"/>
    <w:tmpl w:val="58FAE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B13F87"/>
    <w:multiLevelType w:val="multilevel"/>
    <w:tmpl w:val="C8C6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AE275D"/>
    <w:multiLevelType w:val="multilevel"/>
    <w:tmpl w:val="C39CF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E13229"/>
    <w:multiLevelType w:val="multilevel"/>
    <w:tmpl w:val="0356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F54B32"/>
    <w:multiLevelType w:val="multilevel"/>
    <w:tmpl w:val="1BD8A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0637BC"/>
    <w:multiLevelType w:val="multilevel"/>
    <w:tmpl w:val="C60C30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59017E"/>
    <w:multiLevelType w:val="multilevel"/>
    <w:tmpl w:val="AD088C6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41185B"/>
    <w:multiLevelType w:val="multilevel"/>
    <w:tmpl w:val="03E2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DF0382"/>
    <w:multiLevelType w:val="multilevel"/>
    <w:tmpl w:val="90B2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C00825"/>
    <w:multiLevelType w:val="multilevel"/>
    <w:tmpl w:val="AD088C6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4542F9"/>
    <w:multiLevelType w:val="multilevel"/>
    <w:tmpl w:val="1C6E1E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2814A4"/>
    <w:multiLevelType w:val="multilevel"/>
    <w:tmpl w:val="1182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23D23AA"/>
    <w:multiLevelType w:val="multilevel"/>
    <w:tmpl w:val="F536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A6320E"/>
    <w:multiLevelType w:val="multilevel"/>
    <w:tmpl w:val="E0B2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A74729"/>
    <w:multiLevelType w:val="multilevel"/>
    <w:tmpl w:val="05363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A02AED"/>
    <w:multiLevelType w:val="multilevel"/>
    <w:tmpl w:val="1BF02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3B1552D"/>
    <w:multiLevelType w:val="multilevel"/>
    <w:tmpl w:val="E1FC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86709C8"/>
    <w:multiLevelType w:val="multilevel"/>
    <w:tmpl w:val="0360B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A866D74"/>
    <w:multiLevelType w:val="multilevel"/>
    <w:tmpl w:val="9864C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0F8329D"/>
    <w:multiLevelType w:val="multilevel"/>
    <w:tmpl w:val="D8BE6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F2334B"/>
    <w:multiLevelType w:val="multilevel"/>
    <w:tmpl w:val="08D2A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50A420E"/>
    <w:multiLevelType w:val="multilevel"/>
    <w:tmpl w:val="AD088C6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18"/>
  </w:num>
  <w:num w:numId="3">
    <w:abstractNumId w:val="9"/>
  </w:num>
  <w:num w:numId="4">
    <w:abstractNumId w:val="19"/>
  </w:num>
  <w:num w:numId="5">
    <w:abstractNumId w:val="4"/>
  </w:num>
  <w:num w:numId="6">
    <w:abstractNumId w:val="16"/>
  </w:num>
  <w:num w:numId="7">
    <w:abstractNumId w:val="24"/>
  </w:num>
  <w:num w:numId="8">
    <w:abstractNumId w:val="5"/>
  </w:num>
  <w:num w:numId="9">
    <w:abstractNumId w:val="0"/>
  </w:num>
  <w:num w:numId="10">
    <w:abstractNumId w:val="14"/>
  </w:num>
  <w:num w:numId="11">
    <w:abstractNumId w:val="6"/>
  </w:num>
  <w:num w:numId="12">
    <w:abstractNumId w:val="17"/>
  </w:num>
  <w:num w:numId="13">
    <w:abstractNumId w:val="25"/>
  </w:num>
  <w:num w:numId="14">
    <w:abstractNumId w:val="22"/>
  </w:num>
  <w:num w:numId="15">
    <w:abstractNumId w:val="1"/>
  </w:num>
  <w:num w:numId="16">
    <w:abstractNumId w:val="20"/>
  </w:num>
  <w:num w:numId="17">
    <w:abstractNumId w:val="13"/>
  </w:num>
  <w:num w:numId="18">
    <w:abstractNumId w:val="10"/>
  </w:num>
  <w:num w:numId="19">
    <w:abstractNumId w:val="15"/>
  </w:num>
  <w:num w:numId="20">
    <w:abstractNumId w:val="8"/>
  </w:num>
  <w:num w:numId="21">
    <w:abstractNumId w:val="2"/>
  </w:num>
  <w:num w:numId="22">
    <w:abstractNumId w:val="3"/>
  </w:num>
  <w:num w:numId="23">
    <w:abstractNumId w:val="7"/>
  </w:num>
  <w:num w:numId="24">
    <w:abstractNumId w:val="12"/>
  </w:num>
  <w:num w:numId="25">
    <w:abstractNumId w:val="21"/>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8E9"/>
    <w:rsid w:val="00011A7F"/>
    <w:rsid w:val="00022FD5"/>
    <w:rsid w:val="00024911"/>
    <w:rsid w:val="0004052C"/>
    <w:rsid w:val="000441CC"/>
    <w:rsid w:val="00045195"/>
    <w:rsid w:val="00053F83"/>
    <w:rsid w:val="00063DAE"/>
    <w:rsid w:val="0007462A"/>
    <w:rsid w:val="000911A4"/>
    <w:rsid w:val="000A70BB"/>
    <w:rsid w:val="000B172F"/>
    <w:rsid w:val="000B6E5C"/>
    <w:rsid w:val="000B770F"/>
    <w:rsid w:val="000D1155"/>
    <w:rsid w:val="000F178E"/>
    <w:rsid w:val="000F271F"/>
    <w:rsid w:val="000F628D"/>
    <w:rsid w:val="00100478"/>
    <w:rsid w:val="00104EB5"/>
    <w:rsid w:val="00120446"/>
    <w:rsid w:val="001210FC"/>
    <w:rsid w:val="00123A30"/>
    <w:rsid w:val="001348E4"/>
    <w:rsid w:val="00137953"/>
    <w:rsid w:val="001430A4"/>
    <w:rsid w:val="00143AE8"/>
    <w:rsid w:val="00152B8D"/>
    <w:rsid w:val="00157096"/>
    <w:rsid w:val="001653A4"/>
    <w:rsid w:val="00171BB7"/>
    <w:rsid w:val="001B10FF"/>
    <w:rsid w:val="001B2124"/>
    <w:rsid w:val="001C7AD6"/>
    <w:rsid w:val="001E0C5C"/>
    <w:rsid w:val="001E658D"/>
    <w:rsid w:val="001F0A47"/>
    <w:rsid w:val="001F0BAB"/>
    <w:rsid w:val="001F45FD"/>
    <w:rsid w:val="00200401"/>
    <w:rsid w:val="00214131"/>
    <w:rsid w:val="002171DE"/>
    <w:rsid w:val="0024022E"/>
    <w:rsid w:val="0026069D"/>
    <w:rsid w:val="00261441"/>
    <w:rsid w:val="00264F94"/>
    <w:rsid w:val="002704BE"/>
    <w:rsid w:val="002709DB"/>
    <w:rsid w:val="00270E28"/>
    <w:rsid w:val="00273B34"/>
    <w:rsid w:val="002823BD"/>
    <w:rsid w:val="0028379A"/>
    <w:rsid w:val="00293E58"/>
    <w:rsid w:val="002974A5"/>
    <w:rsid w:val="002A442E"/>
    <w:rsid w:val="002B53FF"/>
    <w:rsid w:val="002D440C"/>
    <w:rsid w:val="002E393E"/>
    <w:rsid w:val="002F447E"/>
    <w:rsid w:val="002F6375"/>
    <w:rsid w:val="0030280A"/>
    <w:rsid w:val="00306E1E"/>
    <w:rsid w:val="00306E70"/>
    <w:rsid w:val="00327AEE"/>
    <w:rsid w:val="003428EC"/>
    <w:rsid w:val="00344791"/>
    <w:rsid w:val="0035537E"/>
    <w:rsid w:val="00357593"/>
    <w:rsid w:val="003593FE"/>
    <w:rsid w:val="003658ED"/>
    <w:rsid w:val="00366D18"/>
    <w:rsid w:val="00367DF3"/>
    <w:rsid w:val="003705EB"/>
    <w:rsid w:val="00370D28"/>
    <w:rsid w:val="00371C57"/>
    <w:rsid w:val="00376898"/>
    <w:rsid w:val="003834E9"/>
    <w:rsid w:val="003963BD"/>
    <w:rsid w:val="003A18A9"/>
    <w:rsid w:val="003A3384"/>
    <w:rsid w:val="003A3ABC"/>
    <w:rsid w:val="003A5A42"/>
    <w:rsid w:val="003C5C92"/>
    <w:rsid w:val="003D63DC"/>
    <w:rsid w:val="003E5678"/>
    <w:rsid w:val="003E7FB7"/>
    <w:rsid w:val="004100CF"/>
    <w:rsid w:val="00412CF5"/>
    <w:rsid w:val="00414202"/>
    <w:rsid w:val="00427269"/>
    <w:rsid w:val="00442ADA"/>
    <w:rsid w:val="0044345E"/>
    <w:rsid w:val="0045168C"/>
    <w:rsid w:val="00452B0D"/>
    <w:rsid w:val="00462A15"/>
    <w:rsid w:val="00462B45"/>
    <w:rsid w:val="00463BF3"/>
    <w:rsid w:val="00464D83"/>
    <w:rsid w:val="00487F15"/>
    <w:rsid w:val="004B0BD5"/>
    <w:rsid w:val="004B1D5E"/>
    <w:rsid w:val="004B7EF6"/>
    <w:rsid w:val="004C075F"/>
    <w:rsid w:val="004D6349"/>
    <w:rsid w:val="004E0C7A"/>
    <w:rsid w:val="004E6AAB"/>
    <w:rsid w:val="004E7E24"/>
    <w:rsid w:val="004F0AF4"/>
    <w:rsid w:val="004F21B1"/>
    <w:rsid w:val="00500226"/>
    <w:rsid w:val="00507257"/>
    <w:rsid w:val="0052228C"/>
    <w:rsid w:val="00526830"/>
    <w:rsid w:val="00526DA9"/>
    <w:rsid w:val="00531896"/>
    <w:rsid w:val="00532430"/>
    <w:rsid w:val="00536DA6"/>
    <w:rsid w:val="00544A7A"/>
    <w:rsid w:val="005460C5"/>
    <w:rsid w:val="0055423C"/>
    <w:rsid w:val="00555652"/>
    <w:rsid w:val="00555D56"/>
    <w:rsid w:val="00570AF4"/>
    <w:rsid w:val="0057610C"/>
    <w:rsid w:val="005A302D"/>
    <w:rsid w:val="005A3BD3"/>
    <w:rsid w:val="005B5FF3"/>
    <w:rsid w:val="005C085E"/>
    <w:rsid w:val="005C43DD"/>
    <w:rsid w:val="005E12C2"/>
    <w:rsid w:val="005E46B2"/>
    <w:rsid w:val="005E4E0F"/>
    <w:rsid w:val="005F65DD"/>
    <w:rsid w:val="005F69F6"/>
    <w:rsid w:val="006001A7"/>
    <w:rsid w:val="00610931"/>
    <w:rsid w:val="00617EB7"/>
    <w:rsid w:val="00621863"/>
    <w:rsid w:val="00625A30"/>
    <w:rsid w:val="00630546"/>
    <w:rsid w:val="00632BC4"/>
    <w:rsid w:val="006345D7"/>
    <w:rsid w:val="0063794C"/>
    <w:rsid w:val="00643BB6"/>
    <w:rsid w:val="00657DA9"/>
    <w:rsid w:val="00661B5B"/>
    <w:rsid w:val="00671F66"/>
    <w:rsid w:val="00681333"/>
    <w:rsid w:val="006841E5"/>
    <w:rsid w:val="0069653A"/>
    <w:rsid w:val="00697BD5"/>
    <w:rsid w:val="006A3CC2"/>
    <w:rsid w:val="006A62B0"/>
    <w:rsid w:val="006B135E"/>
    <w:rsid w:val="006C12C8"/>
    <w:rsid w:val="006C566E"/>
    <w:rsid w:val="006C62E0"/>
    <w:rsid w:val="006C743F"/>
    <w:rsid w:val="006D5076"/>
    <w:rsid w:val="006E1757"/>
    <w:rsid w:val="006E40ED"/>
    <w:rsid w:val="006F1187"/>
    <w:rsid w:val="006F5504"/>
    <w:rsid w:val="006F67D0"/>
    <w:rsid w:val="00702490"/>
    <w:rsid w:val="007079A7"/>
    <w:rsid w:val="00725250"/>
    <w:rsid w:val="0072D038"/>
    <w:rsid w:val="007310EF"/>
    <w:rsid w:val="00741979"/>
    <w:rsid w:val="00744AF0"/>
    <w:rsid w:val="00745224"/>
    <w:rsid w:val="007479C7"/>
    <w:rsid w:val="00750DF2"/>
    <w:rsid w:val="0078515C"/>
    <w:rsid w:val="007851F2"/>
    <w:rsid w:val="00785B9A"/>
    <w:rsid w:val="00785E11"/>
    <w:rsid w:val="007873D8"/>
    <w:rsid w:val="007A634F"/>
    <w:rsid w:val="007C6860"/>
    <w:rsid w:val="007D0361"/>
    <w:rsid w:val="007D31D2"/>
    <w:rsid w:val="007D705F"/>
    <w:rsid w:val="007E5EBE"/>
    <w:rsid w:val="007F210F"/>
    <w:rsid w:val="007F6FDF"/>
    <w:rsid w:val="007F795A"/>
    <w:rsid w:val="00801F3A"/>
    <w:rsid w:val="0082282A"/>
    <w:rsid w:val="00822856"/>
    <w:rsid w:val="00822897"/>
    <w:rsid w:val="008231B7"/>
    <w:rsid w:val="00825C79"/>
    <w:rsid w:val="00830C7F"/>
    <w:rsid w:val="008321A0"/>
    <w:rsid w:val="008332EF"/>
    <w:rsid w:val="00833F38"/>
    <w:rsid w:val="00836196"/>
    <w:rsid w:val="00845698"/>
    <w:rsid w:val="00846B04"/>
    <w:rsid w:val="00857D2D"/>
    <w:rsid w:val="00862641"/>
    <w:rsid w:val="00875FE3"/>
    <w:rsid w:val="008949C1"/>
    <w:rsid w:val="008957F3"/>
    <w:rsid w:val="00896FA1"/>
    <w:rsid w:val="008A20C9"/>
    <w:rsid w:val="008A759F"/>
    <w:rsid w:val="008B0DF0"/>
    <w:rsid w:val="008B3EB2"/>
    <w:rsid w:val="008B7BDA"/>
    <w:rsid w:val="008C3481"/>
    <w:rsid w:val="008E1093"/>
    <w:rsid w:val="008E3AA9"/>
    <w:rsid w:val="008F0DBE"/>
    <w:rsid w:val="008F6BFB"/>
    <w:rsid w:val="009152D5"/>
    <w:rsid w:val="00940C49"/>
    <w:rsid w:val="009450CF"/>
    <w:rsid w:val="00960549"/>
    <w:rsid w:val="009624D5"/>
    <w:rsid w:val="00967653"/>
    <w:rsid w:val="00971FCD"/>
    <w:rsid w:val="0099757A"/>
    <w:rsid w:val="009A5912"/>
    <w:rsid w:val="009A6713"/>
    <w:rsid w:val="009B360F"/>
    <w:rsid w:val="009C5FC6"/>
    <w:rsid w:val="009C7AED"/>
    <w:rsid w:val="009D2DF5"/>
    <w:rsid w:val="009E4B2C"/>
    <w:rsid w:val="009E6F92"/>
    <w:rsid w:val="009F2A7A"/>
    <w:rsid w:val="009F5704"/>
    <w:rsid w:val="009F5E43"/>
    <w:rsid w:val="00A070F9"/>
    <w:rsid w:val="00A07AB8"/>
    <w:rsid w:val="00A10023"/>
    <w:rsid w:val="00A13626"/>
    <w:rsid w:val="00A13F62"/>
    <w:rsid w:val="00A179CD"/>
    <w:rsid w:val="00A20AE1"/>
    <w:rsid w:val="00A22630"/>
    <w:rsid w:val="00A23676"/>
    <w:rsid w:val="00A25645"/>
    <w:rsid w:val="00A30309"/>
    <w:rsid w:val="00A34040"/>
    <w:rsid w:val="00A34F82"/>
    <w:rsid w:val="00A40EBE"/>
    <w:rsid w:val="00A47BA2"/>
    <w:rsid w:val="00A5043C"/>
    <w:rsid w:val="00A5511E"/>
    <w:rsid w:val="00A56636"/>
    <w:rsid w:val="00A63C90"/>
    <w:rsid w:val="00A72413"/>
    <w:rsid w:val="00A76100"/>
    <w:rsid w:val="00A80F9A"/>
    <w:rsid w:val="00A81CD4"/>
    <w:rsid w:val="00A904AE"/>
    <w:rsid w:val="00AA0660"/>
    <w:rsid w:val="00AB00DD"/>
    <w:rsid w:val="00AB2B83"/>
    <w:rsid w:val="00AB4DCE"/>
    <w:rsid w:val="00AC2D4A"/>
    <w:rsid w:val="00AC5CC0"/>
    <w:rsid w:val="00AC6229"/>
    <w:rsid w:val="00AE4FF3"/>
    <w:rsid w:val="00AF5D95"/>
    <w:rsid w:val="00B0369A"/>
    <w:rsid w:val="00B1320B"/>
    <w:rsid w:val="00B135E8"/>
    <w:rsid w:val="00B168B4"/>
    <w:rsid w:val="00B34752"/>
    <w:rsid w:val="00B4749B"/>
    <w:rsid w:val="00B47D17"/>
    <w:rsid w:val="00B54BD6"/>
    <w:rsid w:val="00B577FF"/>
    <w:rsid w:val="00B76C8E"/>
    <w:rsid w:val="00B93F3A"/>
    <w:rsid w:val="00B944C6"/>
    <w:rsid w:val="00BB3BEF"/>
    <w:rsid w:val="00BB651E"/>
    <w:rsid w:val="00BC5B60"/>
    <w:rsid w:val="00BC6C40"/>
    <w:rsid w:val="00BD10FD"/>
    <w:rsid w:val="00BD183C"/>
    <w:rsid w:val="00BD4DB5"/>
    <w:rsid w:val="00BE18A1"/>
    <w:rsid w:val="00BE3123"/>
    <w:rsid w:val="00BF685F"/>
    <w:rsid w:val="00C030F3"/>
    <w:rsid w:val="00C03E02"/>
    <w:rsid w:val="00C07A1F"/>
    <w:rsid w:val="00C1498F"/>
    <w:rsid w:val="00C16B19"/>
    <w:rsid w:val="00C42AF8"/>
    <w:rsid w:val="00C453AD"/>
    <w:rsid w:val="00C4747F"/>
    <w:rsid w:val="00C51F09"/>
    <w:rsid w:val="00C523B6"/>
    <w:rsid w:val="00C549BB"/>
    <w:rsid w:val="00C6328B"/>
    <w:rsid w:val="00C66AAB"/>
    <w:rsid w:val="00C836E0"/>
    <w:rsid w:val="00C8499E"/>
    <w:rsid w:val="00C84F61"/>
    <w:rsid w:val="00CA0D5A"/>
    <w:rsid w:val="00CA2127"/>
    <w:rsid w:val="00CB3A2D"/>
    <w:rsid w:val="00CB651A"/>
    <w:rsid w:val="00CB7858"/>
    <w:rsid w:val="00CC09CF"/>
    <w:rsid w:val="00CC12C6"/>
    <w:rsid w:val="00CC3D8D"/>
    <w:rsid w:val="00CD5405"/>
    <w:rsid w:val="00CD6519"/>
    <w:rsid w:val="00CE33C7"/>
    <w:rsid w:val="00D00860"/>
    <w:rsid w:val="00D027C3"/>
    <w:rsid w:val="00D0733D"/>
    <w:rsid w:val="00D07B3A"/>
    <w:rsid w:val="00D14454"/>
    <w:rsid w:val="00D15E98"/>
    <w:rsid w:val="00D47C54"/>
    <w:rsid w:val="00D75253"/>
    <w:rsid w:val="00D77C72"/>
    <w:rsid w:val="00D80DF1"/>
    <w:rsid w:val="00D86631"/>
    <w:rsid w:val="00DA157C"/>
    <w:rsid w:val="00DA362A"/>
    <w:rsid w:val="00DB398C"/>
    <w:rsid w:val="00DB596E"/>
    <w:rsid w:val="00DB797D"/>
    <w:rsid w:val="00DC0098"/>
    <w:rsid w:val="00DC0CDD"/>
    <w:rsid w:val="00DC32E4"/>
    <w:rsid w:val="00DC352B"/>
    <w:rsid w:val="00DD0A1C"/>
    <w:rsid w:val="00DF5141"/>
    <w:rsid w:val="00DF5FAB"/>
    <w:rsid w:val="00E100A1"/>
    <w:rsid w:val="00E15033"/>
    <w:rsid w:val="00E40496"/>
    <w:rsid w:val="00E40D20"/>
    <w:rsid w:val="00E46551"/>
    <w:rsid w:val="00E52770"/>
    <w:rsid w:val="00E570CB"/>
    <w:rsid w:val="00E60897"/>
    <w:rsid w:val="00E65A6E"/>
    <w:rsid w:val="00E70391"/>
    <w:rsid w:val="00E74E6A"/>
    <w:rsid w:val="00E75D1A"/>
    <w:rsid w:val="00E76735"/>
    <w:rsid w:val="00E76836"/>
    <w:rsid w:val="00E81B55"/>
    <w:rsid w:val="00E8291B"/>
    <w:rsid w:val="00E85A50"/>
    <w:rsid w:val="00E879A1"/>
    <w:rsid w:val="00E97A1A"/>
    <w:rsid w:val="00EB36F3"/>
    <w:rsid w:val="00EC06A0"/>
    <w:rsid w:val="00EC06E5"/>
    <w:rsid w:val="00EC3996"/>
    <w:rsid w:val="00EC4415"/>
    <w:rsid w:val="00ED0917"/>
    <w:rsid w:val="00EE3187"/>
    <w:rsid w:val="00EE38E9"/>
    <w:rsid w:val="00EE7249"/>
    <w:rsid w:val="00EF583A"/>
    <w:rsid w:val="00F0282C"/>
    <w:rsid w:val="00F122BA"/>
    <w:rsid w:val="00F13ED9"/>
    <w:rsid w:val="00F16A98"/>
    <w:rsid w:val="00F17850"/>
    <w:rsid w:val="00F330F2"/>
    <w:rsid w:val="00F36E63"/>
    <w:rsid w:val="00F40648"/>
    <w:rsid w:val="00F42BAA"/>
    <w:rsid w:val="00F54975"/>
    <w:rsid w:val="00F55800"/>
    <w:rsid w:val="00F717EB"/>
    <w:rsid w:val="00F743F4"/>
    <w:rsid w:val="00F83C0C"/>
    <w:rsid w:val="00F96930"/>
    <w:rsid w:val="00FA17BF"/>
    <w:rsid w:val="00FA6408"/>
    <w:rsid w:val="00FA7658"/>
    <w:rsid w:val="00FB7979"/>
    <w:rsid w:val="00FC1C26"/>
    <w:rsid w:val="00FC1E85"/>
    <w:rsid w:val="00FC6399"/>
    <w:rsid w:val="00FD158E"/>
    <w:rsid w:val="00FE6B4E"/>
    <w:rsid w:val="00FF1634"/>
    <w:rsid w:val="010970F9"/>
    <w:rsid w:val="01288CA8"/>
    <w:rsid w:val="01C3B6F3"/>
    <w:rsid w:val="027BD56E"/>
    <w:rsid w:val="02CDDE26"/>
    <w:rsid w:val="02E94018"/>
    <w:rsid w:val="033CF60C"/>
    <w:rsid w:val="034909E9"/>
    <w:rsid w:val="03822591"/>
    <w:rsid w:val="03BFA7E0"/>
    <w:rsid w:val="03E7AD34"/>
    <w:rsid w:val="04254F10"/>
    <w:rsid w:val="04CCB1C2"/>
    <w:rsid w:val="05359DFC"/>
    <w:rsid w:val="0587E0FA"/>
    <w:rsid w:val="064192D0"/>
    <w:rsid w:val="065580E4"/>
    <w:rsid w:val="0671BE45"/>
    <w:rsid w:val="06D3FE13"/>
    <w:rsid w:val="07E67778"/>
    <w:rsid w:val="0805B10F"/>
    <w:rsid w:val="08A5C143"/>
    <w:rsid w:val="08E8442C"/>
    <w:rsid w:val="09060993"/>
    <w:rsid w:val="0925BDB5"/>
    <w:rsid w:val="098A7263"/>
    <w:rsid w:val="098B644D"/>
    <w:rsid w:val="0A281D17"/>
    <w:rsid w:val="0AAF2BB6"/>
    <w:rsid w:val="0AB0533F"/>
    <w:rsid w:val="0AB24B7D"/>
    <w:rsid w:val="0AC5C826"/>
    <w:rsid w:val="0B59E9CE"/>
    <w:rsid w:val="0BA41537"/>
    <w:rsid w:val="0BE15171"/>
    <w:rsid w:val="0C0079CB"/>
    <w:rsid w:val="0C17D010"/>
    <w:rsid w:val="0D1CCDDA"/>
    <w:rsid w:val="0D7D0827"/>
    <w:rsid w:val="0DA2981D"/>
    <w:rsid w:val="0DF60B28"/>
    <w:rsid w:val="0E2C59ED"/>
    <w:rsid w:val="0EEFE02B"/>
    <w:rsid w:val="0F3946B2"/>
    <w:rsid w:val="0FBA1B1F"/>
    <w:rsid w:val="0FE1076B"/>
    <w:rsid w:val="10720AD4"/>
    <w:rsid w:val="10B4F565"/>
    <w:rsid w:val="10DB6722"/>
    <w:rsid w:val="1207A9FC"/>
    <w:rsid w:val="125B2E52"/>
    <w:rsid w:val="12A41916"/>
    <w:rsid w:val="135C4F55"/>
    <w:rsid w:val="13C5EFEA"/>
    <w:rsid w:val="150F2EB6"/>
    <w:rsid w:val="15183C93"/>
    <w:rsid w:val="151E9173"/>
    <w:rsid w:val="155664ED"/>
    <w:rsid w:val="15B09ADE"/>
    <w:rsid w:val="15C88485"/>
    <w:rsid w:val="16574F6E"/>
    <w:rsid w:val="16A7845B"/>
    <w:rsid w:val="16BEAF46"/>
    <w:rsid w:val="17355D26"/>
    <w:rsid w:val="185A7FA7"/>
    <w:rsid w:val="1896F293"/>
    <w:rsid w:val="189A2D05"/>
    <w:rsid w:val="1912DF11"/>
    <w:rsid w:val="192BA2C7"/>
    <w:rsid w:val="19322A3B"/>
    <w:rsid w:val="1945C1E4"/>
    <w:rsid w:val="19A51F1C"/>
    <w:rsid w:val="1A22F7F1"/>
    <w:rsid w:val="1A2548AC"/>
    <w:rsid w:val="1A9D6C21"/>
    <w:rsid w:val="1B0B3B27"/>
    <w:rsid w:val="1B1510AD"/>
    <w:rsid w:val="1BA08D4F"/>
    <w:rsid w:val="1C1E211F"/>
    <w:rsid w:val="1C432AC0"/>
    <w:rsid w:val="1C973177"/>
    <w:rsid w:val="1CC39C6A"/>
    <w:rsid w:val="1CDC3576"/>
    <w:rsid w:val="1E5FB4B2"/>
    <w:rsid w:val="1E68B62E"/>
    <w:rsid w:val="1ED8B261"/>
    <w:rsid w:val="1F71E2A2"/>
    <w:rsid w:val="1F974C20"/>
    <w:rsid w:val="1FC487CE"/>
    <w:rsid w:val="2003DF5E"/>
    <w:rsid w:val="207F79CE"/>
    <w:rsid w:val="2118E174"/>
    <w:rsid w:val="218C7AE4"/>
    <w:rsid w:val="21D5D5C8"/>
    <w:rsid w:val="2226CF96"/>
    <w:rsid w:val="229564DE"/>
    <w:rsid w:val="22A2805D"/>
    <w:rsid w:val="22B53A9C"/>
    <w:rsid w:val="22E1302E"/>
    <w:rsid w:val="232B45D0"/>
    <w:rsid w:val="23A51FD4"/>
    <w:rsid w:val="23F01E54"/>
    <w:rsid w:val="24017A19"/>
    <w:rsid w:val="24282C86"/>
    <w:rsid w:val="247AA2AF"/>
    <w:rsid w:val="24D875B4"/>
    <w:rsid w:val="25CDB5CE"/>
    <w:rsid w:val="261EC53D"/>
    <w:rsid w:val="26CACEBA"/>
    <w:rsid w:val="27382FA4"/>
    <w:rsid w:val="2748D8E7"/>
    <w:rsid w:val="27717658"/>
    <w:rsid w:val="27A545F6"/>
    <w:rsid w:val="2809AEBF"/>
    <w:rsid w:val="2914D3A7"/>
    <w:rsid w:val="29310C64"/>
    <w:rsid w:val="2A8EBA3F"/>
    <w:rsid w:val="2A9E91CE"/>
    <w:rsid w:val="2AB0A408"/>
    <w:rsid w:val="2AD3B12E"/>
    <w:rsid w:val="2B68B8FA"/>
    <w:rsid w:val="2BFF63B4"/>
    <w:rsid w:val="2CE62492"/>
    <w:rsid w:val="2D1A4A12"/>
    <w:rsid w:val="2D5CD9BC"/>
    <w:rsid w:val="2D81812E"/>
    <w:rsid w:val="2E166F9B"/>
    <w:rsid w:val="2E2F16BA"/>
    <w:rsid w:val="2E6BA2D9"/>
    <w:rsid w:val="2E9D6319"/>
    <w:rsid w:val="2F260B02"/>
    <w:rsid w:val="2F90391C"/>
    <w:rsid w:val="302D7A0F"/>
    <w:rsid w:val="305A5D0C"/>
    <w:rsid w:val="30C0DF16"/>
    <w:rsid w:val="30C54D38"/>
    <w:rsid w:val="31451E0A"/>
    <w:rsid w:val="314E460B"/>
    <w:rsid w:val="316AD1AD"/>
    <w:rsid w:val="32212238"/>
    <w:rsid w:val="323D60CE"/>
    <w:rsid w:val="330EC4A9"/>
    <w:rsid w:val="343E8729"/>
    <w:rsid w:val="344B23AE"/>
    <w:rsid w:val="347E13F2"/>
    <w:rsid w:val="34BCC7DC"/>
    <w:rsid w:val="3530879E"/>
    <w:rsid w:val="3547D367"/>
    <w:rsid w:val="35600741"/>
    <w:rsid w:val="35C89040"/>
    <w:rsid w:val="37729A1C"/>
    <w:rsid w:val="3801A289"/>
    <w:rsid w:val="3A09B554"/>
    <w:rsid w:val="3A756C4A"/>
    <w:rsid w:val="3AA3E1EA"/>
    <w:rsid w:val="3AA6371E"/>
    <w:rsid w:val="3BADFF37"/>
    <w:rsid w:val="3BE38C38"/>
    <w:rsid w:val="3C87C7BC"/>
    <w:rsid w:val="3CC0B684"/>
    <w:rsid w:val="3CD9351D"/>
    <w:rsid w:val="3CFCF69F"/>
    <w:rsid w:val="3D8187A8"/>
    <w:rsid w:val="3D9D5072"/>
    <w:rsid w:val="3ECA5657"/>
    <w:rsid w:val="3ED6CD83"/>
    <w:rsid w:val="3F4A885C"/>
    <w:rsid w:val="40809E49"/>
    <w:rsid w:val="419D393A"/>
    <w:rsid w:val="41AAC257"/>
    <w:rsid w:val="420DD6CD"/>
    <w:rsid w:val="422B5FE0"/>
    <w:rsid w:val="428764D4"/>
    <w:rsid w:val="42888CAA"/>
    <w:rsid w:val="438686C4"/>
    <w:rsid w:val="43CD51CA"/>
    <w:rsid w:val="43E3F5FA"/>
    <w:rsid w:val="449DBB84"/>
    <w:rsid w:val="44DD4F1D"/>
    <w:rsid w:val="45BD8AFF"/>
    <w:rsid w:val="465EC9A6"/>
    <w:rsid w:val="4696BE47"/>
    <w:rsid w:val="473100E3"/>
    <w:rsid w:val="47A91418"/>
    <w:rsid w:val="4A373B13"/>
    <w:rsid w:val="4A696501"/>
    <w:rsid w:val="4A85805F"/>
    <w:rsid w:val="4AA55371"/>
    <w:rsid w:val="4CA7E48E"/>
    <w:rsid w:val="4CC93720"/>
    <w:rsid w:val="4CE7661E"/>
    <w:rsid w:val="4D19948E"/>
    <w:rsid w:val="4D6786C2"/>
    <w:rsid w:val="4D7C5806"/>
    <w:rsid w:val="4E39BBE7"/>
    <w:rsid w:val="4E686502"/>
    <w:rsid w:val="4EE3454B"/>
    <w:rsid w:val="4FBE282C"/>
    <w:rsid w:val="4FC9E9C3"/>
    <w:rsid w:val="525AF7D8"/>
    <w:rsid w:val="529A9A9F"/>
    <w:rsid w:val="52B72123"/>
    <w:rsid w:val="52F84463"/>
    <w:rsid w:val="532D230B"/>
    <w:rsid w:val="53625B3F"/>
    <w:rsid w:val="5381FC26"/>
    <w:rsid w:val="53CCB603"/>
    <w:rsid w:val="54670F18"/>
    <w:rsid w:val="546850DE"/>
    <w:rsid w:val="54B2F673"/>
    <w:rsid w:val="55143766"/>
    <w:rsid w:val="556655FE"/>
    <w:rsid w:val="55B5E8BB"/>
    <w:rsid w:val="55B613E3"/>
    <w:rsid w:val="55DB8039"/>
    <w:rsid w:val="561EBA40"/>
    <w:rsid w:val="5653BF02"/>
    <w:rsid w:val="5686B6CA"/>
    <w:rsid w:val="56A1BE28"/>
    <w:rsid w:val="573C957A"/>
    <w:rsid w:val="57E88BB3"/>
    <w:rsid w:val="58FE02AD"/>
    <w:rsid w:val="598B5FC4"/>
    <w:rsid w:val="5A546ED6"/>
    <w:rsid w:val="5AC4B023"/>
    <w:rsid w:val="5B18F66C"/>
    <w:rsid w:val="5B269477"/>
    <w:rsid w:val="5B292863"/>
    <w:rsid w:val="5B792006"/>
    <w:rsid w:val="5BED08C6"/>
    <w:rsid w:val="5C001A49"/>
    <w:rsid w:val="5C0A010E"/>
    <w:rsid w:val="5CA6085E"/>
    <w:rsid w:val="5D1F7D92"/>
    <w:rsid w:val="5D270FE9"/>
    <w:rsid w:val="5DF5F7F1"/>
    <w:rsid w:val="5EADE846"/>
    <w:rsid w:val="5F70D2F7"/>
    <w:rsid w:val="5FF54473"/>
    <w:rsid w:val="600A2769"/>
    <w:rsid w:val="601384FB"/>
    <w:rsid w:val="618F6DF9"/>
    <w:rsid w:val="6239DA35"/>
    <w:rsid w:val="629C9E63"/>
    <w:rsid w:val="62A0AFEF"/>
    <w:rsid w:val="62B47477"/>
    <w:rsid w:val="6304B785"/>
    <w:rsid w:val="63104191"/>
    <w:rsid w:val="649FBCB1"/>
    <w:rsid w:val="64CC7762"/>
    <w:rsid w:val="64CD4822"/>
    <w:rsid w:val="64F1AE5D"/>
    <w:rsid w:val="651AF5E5"/>
    <w:rsid w:val="65256154"/>
    <w:rsid w:val="65D3A7AD"/>
    <w:rsid w:val="65DF2CFF"/>
    <w:rsid w:val="6652E57E"/>
    <w:rsid w:val="6744B033"/>
    <w:rsid w:val="6747B934"/>
    <w:rsid w:val="679378A7"/>
    <w:rsid w:val="68CBF8D4"/>
    <w:rsid w:val="69AB5319"/>
    <w:rsid w:val="69E109BD"/>
    <w:rsid w:val="6A21E8A0"/>
    <w:rsid w:val="6A9DF868"/>
    <w:rsid w:val="6B330DC6"/>
    <w:rsid w:val="6B78176A"/>
    <w:rsid w:val="6C931DFE"/>
    <w:rsid w:val="6CA9FA93"/>
    <w:rsid w:val="6D3B2B6C"/>
    <w:rsid w:val="6D7B6B70"/>
    <w:rsid w:val="6D854C3E"/>
    <w:rsid w:val="6DB3BEE6"/>
    <w:rsid w:val="6E2556C6"/>
    <w:rsid w:val="6E306269"/>
    <w:rsid w:val="6F44616F"/>
    <w:rsid w:val="6FF4B7F7"/>
    <w:rsid w:val="705D7EDB"/>
    <w:rsid w:val="7121BDD3"/>
    <w:rsid w:val="715EB05F"/>
    <w:rsid w:val="71CAB285"/>
    <w:rsid w:val="71FC2A32"/>
    <w:rsid w:val="72AE9AAA"/>
    <w:rsid w:val="735F6BF1"/>
    <w:rsid w:val="73ABC0D6"/>
    <w:rsid w:val="73C9A2D8"/>
    <w:rsid w:val="74121F78"/>
    <w:rsid w:val="744917AE"/>
    <w:rsid w:val="7461CD00"/>
    <w:rsid w:val="748E2AEB"/>
    <w:rsid w:val="74A558E3"/>
    <w:rsid w:val="74F3805F"/>
    <w:rsid w:val="75BA0B6E"/>
    <w:rsid w:val="75E9576A"/>
    <w:rsid w:val="760676FD"/>
    <w:rsid w:val="761C8A75"/>
    <w:rsid w:val="77124A73"/>
    <w:rsid w:val="771648F4"/>
    <w:rsid w:val="7727AF5D"/>
    <w:rsid w:val="77539D7C"/>
    <w:rsid w:val="776B1524"/>
    <w:rsid w:val="79408037"/>
    <w:rsid w:val="7945D274"/>
    <w:rsid w:val="79CA2A23"/>
    <w:rsid w:val="79D611D9"/>
    <w:rsid w:val="7A819DBC"/>
    <w:rsid w:val="7A8FBA1A"/>
    <w:rsid w:val="7AE1A2D5"/>
    <w:rsid w:val="7B08A9F7"/>
    <w:rsid w:val="7C9F46C1"/>
    <w:rsid w:val="7E80C26D"/>
    <w:rsid w:val="7E8A8103"/>
    <w:rsid w:val="7EC03559"/>
    <w:rsid w:val="7F0F1CA4"/>
    <w:rsid w:val="7F547251"/>
    <w:rsid w:val="7F6DA097"/>
    <w:rsid w:val="7FA49BBF"/>
    <w:rsid w:val="7FBB9FBD"/>
    <w:rsid w:val="7FE091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879CF7"/>
  <w15:chartTrackingRefBased/>
  <w15:docId w15:val="{34B03B2A-BF21-40E5-B18F-CAF5C162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375"/>
    <w:rPr>
      <w:rFonts w:ascii="Times New Roman" w:eastAsia="Times New Roman" w:hAnsi="Times New Roman" w:cs="Times New Roman"/>
    </w:rPr>
  </w:style>
  <w:style w:type="paragraph" w:styleId="Heading1">
    <w:name w:val="heading 1"/>
    <w:basedOn w:val="Normal"/>
    <w:next w:val="Normal"/>
    <w:link w:val="Heading1Char"/>
    <w:uiPriority w:val="9"/>
    <w:qFormat/>
    <w:rsid w:val="0068133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E38E9"/>
    <w:rPr>
      <w:b/>
      <w:bCs/>
    </w:rPr>
  </w:style>
  <w:style w:type="paragraph" w:styleId="NormalWeb">
    <w:name w:val="Normal (Web)"/>
    <w:basedOn w:val="Normal"/>
    <w:uiPriority w:val="99"/>
    <w:unhideWhenUsed/>
    <w:rsid w:val="00EE38E9"/>
    <w:pPr>
      <w:spacing w:before="100" w:beforeAutospacing="1" w:after="100" w:afterAutospacing="1"/>
    </w:pPr>
  </w:style>
  <w:style w:type="paragraph" w:styleId="NoSpacing">
    <w:name w:val="No Spacing"/>
    <w:uiPriority w:val="1"/>
    <w:qFormat/>
    <w:rsid w:val="004B1D5E"/>
    <w:pPr>
      <w:suppressAutoHyphens/>
    </w:pPr>
    <w:rPr>
      <w:rFonts w:cs="Times New Roman"/>
      <w:sz w:val="22"/>
      <w:szCs w:val="22"/>
      <w:lang w:val="en-GB"/>
    </w:rPr>
  </w:style>
  <w:style w:type="paragraph" w:styleId="ListParagraph">
    <w:name w:val="List Paragraph"/>
    <w:basedOn w:val="Normal"/>
    <w:uiPriority w:val="34"/>
    <w:qFormat/>
    <w:rsid w:val="001653A4"/>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E570CB"/>
    <w:rPr>
      <w:color w:val="0563C1" w:themeColor="hyperlink"/>
      <w:u w:val="single"/>
    </w:rPr>
  </w:style>
  <w:style w:type="character" w:customStyle="1" w:styleId="UnresolvedMention">
    <w:name w:val="Unresolved Mention"/>
    <w:basedOn w:val="DefaultParagraphFont"/>
    <w:uiPriority w:val="99"/>
    <w:unhideWhenUsed/>
    <w:rsid w:val="00E570CB"/>
    <w:rPr>
      <w:color w:val="605E5C"/>
      <w:shd w:val="clear" w:color="auto" w:fill="E1DFDD"/>
    </w:rPr>
  </w:style>
  <w:style w:type="character" w:styleId="CommentReference">
    <w:name w:val="annotation reference"/>
    <w:basedOn w:val="DefaultParagraphFont"/>
    <w:uiPriority w:val="99"/>
    <w:semiHidden/>
    <w:unhideWhenUsed/>
    <w:rsid w:val="00E570CB"/>
    <w:rPr>
      <w:sz w:val="16"/>
      <w:szCs w:val="16"/>
    </w:rPr>
  </w:style>
  <w:style w:type="paragraph" w:styleId="CommentText">
    <w:name w:val="annotation text"/>
    <w:basedOn w:val="Normal"/>
    <w:link w:val="CommentTextChar"/>
    <w:uiPriority w:val="99"/>
    <w:unhideWhenUsed/>
    <w:rsid w:val="00E570CB"/>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E570CB"/>
    <w:rPr>
      <w:sz w:val="20"/>
      <w:szCs w:val="20"/>
    </w:rPr>
  </w:style>
  <w:style w:type="paragraph" w:styleId="CommentSubject">
    <w:name w:val="annotation subject"/>
    <w:basedOn w:val="CommentText"/>
    <w:next w:val="CommentText"/>
    <w:link w:val="CommentSubjectChar"/>
    <w:uiPriority w:val="99"/>
    <w:semiHidden/>
    <w:unhideWhenUsed/>
    <w:rsid w:val="00E570CB"/>
    <w:rPr>
      <w:b/>
      <w:bCs/>
    </w:rPr>
  </w:style>
  <w:style w:type="character" w:customStyle="1" w:styleId="CommentSubjectChar">
    <w:name w:val="Comment Subject Char"/>
    <w:basedOn w:val="CommentTextChar"/>
    <w:link w:val="CommentSubject"/>
    <w:uiPriority w:val="99"/>
    <w:semiHidden/>
    <w:rsid w:val="00E570CB"/>
    <w:rPr>
      <w:b/>
      <w:bCs/>
      <w:sz w:val="20"/>
      <w:szCs w:val="20"/>
    </w:rPr>
  </w:style>
  <w:style w:type="paragraph" w:styleId="FootnoteText">
    <w:name w:val="footnote text"/>
    <w:aliases w:val="Char Char,Char,fn,5_G"/>
    <w:basedOn w:val="Normal"/>
    <w:link w:val="FootnoteTextChar"/>
    <w:uiPriority w:val="99"/>
    <w:unhideWhenUsed/>
    <w:rsid w:val="00BE18A1"/>
    <w:rPr>
      <w:rFonts w:asciiTheme="minorHAnsi" w:eastAsiaTheme="minorHAnsi" w:hAnsiTheme="minorHAnsi" w:cstheme="minorBidi"/>
      <w:sz w:val="20"/>
      <w:szCs w:val="20"/>
    </w:rPr>
  </w:style>
  <w:style w:type="character" w:customStyle="1" w:styleId="FootnoteTextChar">
    <w:name w:val="Footnote Text Char"/>
    <w:aliases w:val="Char Char Char,Char Char1,fn Char,5_G Char"/>
    <w:basedOn w:val="DefaultParagraphFont"/>
    <w:link w:val="FootnoteText"/>
    <w:uiPriority w:val="99"/>
    <w:rsid w:val="00BE18A1"/>
    <w:rPr>
      <w:sz w:val="20"/>
      <w:szCs w:val="20"/>
    </w:rPr>
  </w:style>
  <w:style w:type="character" w:styleId="FootnoteReference">
    <w:name w:val="footnote reference"/>
    <w:aliases w:val="4_G"/>
    <w:basedOn w:val="DefaultParagraphFont"/>
    <w:uiPriority w:val="99"/>
    <w:unhideWhenUsed/>
    <w:qFormat/>
    <w:rsid w:val="00BE18A1"/>
    <w:rPr>
      <w:vertAlign w:val="superscript"/>
    </w:rPr>
  </w:style>
  <w:style w:type="character" w:styleId="FollowedHyperlink">
    <w:name w:val="FollowedHyperlink"/>
    <w:basedOn w:val="DefaultParagraphFont"/>
    <w:uiPriority w:val="99"/>
    <w:semiHidden/>
    <w:unhideWhenUsed/>
    <w:rsid w:val="002D440C"/>
    <w:rPr>
      <w:color w:val="954F72" w:themeColor="followedHyperlink"/>
      <w:u w:val="single"/>
    </w:rPr>
  </w:style>
  <w:style w:type="character" w:styleId="Emphasis">
    <w:name w:val="Emphasis"/>
    <w:basedOn w:val="DefaultParagraphFont"/>
    <w:uiPriority w:val="20"/>
    <w:qFormat/>
    <w:rsid w:val="0028379A"/>
    <w:rPr>
      <w:i/>
      <w:iCs/>
    </w:rPr>
  </w:style>
  <w:style w:type="character" w:customStyle="1" w:styleId="Heading1Char">
    <w:name w:val="Heading 1 Char"/>
    <w:basedOn w:val="DefaultParagraphFont"/>
    <w:link w:val="Heading1"/>
    <w:uiPriority w:val="9"/>
    <w:rsid w:val="0068133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75D1A"/>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E75D1A"/>
  </w:style>
  <w:style w:type="paragraph" w:styleId="Footer">
    <w:name w:val="footer"/>
    <w:basedOn w:val="Normal"/>
    <w:link w:val="FooterChar"/>
    <w:uiPriority w:val="99"/>
    <w:unhideWhenUsed/>
    <w:rsid w:val="00E75D1A"/>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E75D1A"/>
  </w:style>
  <w:style w:type="character" w:styleId="PageNumber">
    <w:name w:val="page number"/>
    <w:basedOn w:val="DefaultParagraphFont"/>
    <w:uiPriority w:val="99"/>
    <w:semiHidden/>
    <w:unhideWhenUsed/>
    <w:rsid w:val="00E75D1A"/>
  </w:style>
  <w:style w:type="paragraph" w:customStyle="1" w:styleId="paragraph">
    <w:name w:val="paragraph"/>
    <w:basedOn w:val="Normal"/>
    <w:rsid w:val="008C3481"/>
    <w:pPr>
      <w:spacing w:before="100" w:beforeAutospacing="1" w:after="100" w:afterAutospacing="1"/>
    </w:pPr>
  </w:style>
  <w:style w:type="character" w:customStyle="1" w:styleId="normaltextrun">
    <w:name w:val="normaltextrun"/>
    <w:basedOn w:val="DefaultParagraphFont"/>
    <w:rsid w:val="008C3481"/>
  </w:style>
  <w:style w:type="character" w:customStyle="1" w:styleId="eop">
    <w:name w:val="eop"/>
    <w:basedOn w:val="DefaultParagraphFont"/>
    <w:rsid w:val="00F17850"/>
  </w:style>
  <w:style w:type="character" w:customStyle="1" w:styleId="Mention">
    <w:name w:val="Mention"/>
    <w:basedOn w:val="DefaultParagraphFont"/>
    <w:uiPriority w:val="99"/>
    <w:unhideWhenUsed/>
    <w:rsid w:val="00A47BA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49610">
      <w:bodyDiv w:val="1"/>
      <w:marLeft w:val="0"/>
      <w:marRight w:val="0"/>
      <w:marTop w:val="0"/>
      <w:marBottom w:val="0"/>
      <w:divBdr>
        <w:top w:val="none" w:sz="0" w:space="0" w:color="auto"/>
        <w:left w:val="none" w:sz="0" w:space="0" w:color="auto"/>
        <w:bottom w:val="none" w:sz="0" w:space="0" w:color="auto"/>
        <w:right w:val="none" w:sz="0" w:space="0" w:color="auto"/>
      </w:divBdr>
    </w:div>
    <w:div w:id="19090063">
      <w:bodyDiv w:val="1"/>
      <w:marLeft w:val="0"/>
      <w:marRight w:val="0"/>
      <w:marTop w:val="0"/>
      <w:marBottom w:val="0"/>
      <w:divBdr>
        <w:top w:val="none" w:sz="0" w:space="0" w:color="auto"/>
        <w:left w:val="none" w:sz="0" w:space="0" w:color="auto"/>
        <w:bottom w:val="none" w:sz="0" w:space="0" w:color="auto"/>
        <w:right w:val="none" w:sz="0" w:space="0" w:color="auto"/>
      </w:divBdr>
    </w:div>
    <w:div w:id="51586458">
      <w:bodyDiv w:val="1"/>
      <w:marLeft w:val="0"/>
      <w:marRight w:val="0"/>
      <w:marTop w:val="0"/>
      <w:marBottom w:val="0"/>
      <w:divBdr>
        <w:top w:val="none" w:sz="0" w:space="0" w:color="auto"/>
        <w:left w:val="none" w:sz="0" w:space="0" w:color="auto"/>
        <w:bottom w:val="none" w:sz="0" w:space="0" w:color="auto"/>
        <w:right w:val="none" w:sz="0" w:space="0" w:color="auto"/>
      </w:divBdr>
    </w:div>
    <w:div w:id="63069031">
      <w:bodyDiv w:val="1"/>
      <w:marLeft w:val="0"/>
      <w:marRight w:val="0"/>
      <w:marTop w:val="0"/>
      <w:marBottom w:val="0"/>
      <w:divBdr>
        <w:top w:val="none" w:sz="0" w:space="0" w:color="auto"/>
        <w:left w:val="none" w:sz="0" w:space="0" w:color="auto"/>
        <w:bottom w:val="none" w:sz="0" w:space="0" w:color="auto"/>
        <w:right w:val="none" w:sz="0" w:space="0" w:color="auto"/>
      </w:divBdr>
    </w:div>
    <w:div w:id="69086685">
      <w:bodyDiv w:val="1"/>
      <w:marLeft w:val="0"/>
      <w:marRight w:val="0"/>
      <w:marTop w:val="0"/>
      <w:marBottom w:val="0"/>
      <w:divBdr>
        <w:top w:val="none" w:sz="0" w:space="0" w:color="auto"/>
        <w:left w:val="none" w:sz="0" w:space="0" w:color="auto"/>
        <w:bottom w:val="none" w:sz="0" w:space="0" w:color="auto"/>
        <w:right w:val="none" w:sz="0" w:space="0" w:color="auto"/>
      </w:divBdr>
    </w:div>
    <w:div w:id="110176667">
      <w:bodyDiv w:val="1"/>
      <w:marLeft w:val="0"/>
      <w:marRight w:val="0"/>
      <w:marTop w:val="0"/>
      <w:marBottom w:val="0"/>
      <w:divBdr>
        <w:top w:val="none" w:sz="0" w:space="0" w:color="auto"/>
        <w:left w:val="none" w:sz="0" w:space="0" w:color="auto"/>
        <w:bottom w:val="none" w:sz="0" w:space="0" w:color="auto"/>
        <w:right w:val="none" w:sz="0" w:space="0" w:color="auto"/>
      </w:divBdr>
    </w:div>
    <w:div w:id="167525302">
      <w:bodyDiv w:val="1"/>
      <w:marLeft w:val="0"/>
      <w:marRight w:val="0"/>
      <w:marTop w:val="0"/>
      <w:marBottom w:val="0"/>
      <w:divBdr>
        <w:top w:val="none" w:sz="0" w:space="0" w:color="auto"/>
        <w:left w:val="none" w:sz="0" w:space="0" w:color="auto"/>
        <w:bottom w:val="none" w:sz="0" w:space="0" w:color="auto"/>
        <w:right w:val="none" w:sz="0" w:space="0" w:color="auto"/>
      </w:divBdr>
    </w:div>
    <w:div w:id="201602806">
      <w:bodyDiv w:val="1"/>
      <w:marLeft w:val="0"/>
      <w:marRight w:val="0"/>
      <w:marTop w:val="0"/>
      <w:marBottom w:val="0"/>
      <w:divBdr>
        <w:top w:val="none" w:sz="0" w:space="0" w:color="auto"/>
        <w:left w:val="none" w:sz="0" w:space="0" w:color="auto"/>
        <w:bottom w:val="none" w:sz="0" w:space="0" w:color="auto"/>
        <w:right w:val="none" w:sz="0" w:space="0" w:color="auto"/>
      </w:divBdr>
    </w:div>
    <w:div w:id="209995945">
      <w:bodyDiv w:val="1"/>
      <w:marLeft w:val="0"/>
      <w:marRight w:val="0"/>
      <w:marTop w:val="0"/>
      <w:marBottom w:val="0"/>
      <w:divBdr>
        <w:top w:val="none" w:sz="0" w:space="0" w:color="auto"/>
        <w:left w:val="none" w:sz="0" w:space="0" w:color="auto"/>
        <w:bottom w:val="none" w:sz="0" w:space="0" w:color="auto"/>
        <w:right w:val="none" w:sz="0" w:space="0" w:color="auto"/>
      </w:divBdr>
    </w:div>
    <w:div w:id="212811433">
      <w:bodyDiv w:val="1"/>
      <w:marLeft w:val="0"/>
      <w:marRight w:val="0"/>
      <w:marTop w:val="0"/>
      <w:marBottom w:val="0"/>
      <w:divBdr>
        <w:top w:val="none" w:sz="0" w:space="0" w:color="auto"/>
        <w:left w:val="none" w:sz="0" w:space="0" w:color="auto"/>
        <w:bottom w:val="none" w:sz="0" w:space="0" w:color="auto"/>
        <w:right w:val="none" w:sz="0" w:space="0" w:color="auto"/>
      </w:divBdr>
    </w:div>
    <w:div w:id="228540857">
      <w:bodyDiv w:val="1"/>
      <w:marLeft w:val="0"/>
      <w:marRight w:val="0"/>
      <w:marTop w:val="0"/>
      <w:marBottom w:val="0"/>
      <w:divBdr>
        <w:top w:val="none" w:sz="0" w:space="0" w:color="auto"/>
        <w:left w:val="none" w:sz="0" w:space="0" w:color="auto"/>
        <w:bottom w:val="none" w:sz="0" w:space="0" w:color="auto"/>
        <w:right w:val="none" w:sz="0" w:space="0" w:color="auto"/>
      </w:divBdr>
    </w:div>
    <w:div w:id="235282011">
      <w:bodyDiv w:val="1"/>
      <w:marLeft w:val="0"/>
      <w:marRight w:val="0"/>
      <w:marTop w:val="0"/>
      <w:marBottom w:val="0"/>
      <w:divBdr>
        <w:top w:val="none" w:sz="0" w:space="0" w:color="auto"/>
        <w:left w:val="none" w:sz="0" w:space="0" w:color="auto"/>
        <w:bottom w:val="none" w:sz="0" w:space="0" w:color="auto"/>
        <w:right w:val="none" w:sz="0" w:space="0" w:color="auto"/>
      </w:divBdr>
    </w:div>
    <w:div w:id="239826027">
      <w:bodyDiv w:val="1"/>
      <w:marLeft w:val="0"/>
      <w:marRight w:val="0"/>
      <w:marTop w:val="0"/>
      <w:marBottom w:val="0"/>
      <w:divBdr>
        <w:top w:val="none" w:sz="0" w:space="0" w:color="auto"/>
        <w:left w:val="none" w:sz="0" w:space="0" w:color="auto"/>
        <w:bottom w:val="none" w:sz="0" w:space="0" w:color="auto"/>
        <w:right w:val="none" w:sz="0" w:space="0" w:color="auto"/>
      </w:divBdr>
    </w:div>
    <w:div w:id="267740534">
      <w:bodyDiv w:val="1"/>
      <w:marLeft w:val="0"/>
      <w:marRight w:val="0"/>
      <w:marTop w:val="0"/>
      <w:marBottom w:val="0"/>
      <w:divBdr>
        <w:top w:val="none" w:sz="0" w:space="0" w:color="auto"/>
        <w:left w:val="none" w:sz="0" w:space="0" w:color="auto"/>
        <w:bottom w:val="none" w:sz="0" w:space="0" w:color="auto"/>
        <w:right w:val="none" w:sz="0" w:space="0" w:color="auto"/>
      </w:divBdr>
    </w:div>
    <w:div w:id="272443650">
      <w:bodyDiv w:val="1"/>
      <w:marLeft w:val="0"/>
      <w:marRight w:val="0"/>
      <w:marTop w:val="0"/>
      <w:marBottom w:val="0"/>
      <w:divBdr>
        <w:top w:val="none" w:sz="0" w:space="0" w:color="auto"/>
        <w:left w:val="none" w:sz="0" w:space="0" w:color="auto"/>
        <w:bottom w:val="none" w:sz="0" w:space="0" w:color="auto"/>
        <w:right w:val="none" w:sz="0" w:space="0" w:color="auto"/>
      </w:divBdr>
    </w:div>
    <w:div w:id="308828580">
      <w:bodyDiv w:val="1"/>
      <w:marLeft w:val="0"/>
      <w:marRight w:val="0"/>
      <w:marTop w:val="0"/>
      <w:marBottom w:val="0"/>
      <w:divBdr>
        <w:top w:val="none" w:sz="0" w:space="0" w:color="auto"/>
        <w:left w:val="none" w:sz="0" w:space="0" w:color="auto"/>
        <w:bottom w:val="none" w:sz="0" w:space="0" w:color="auto"/>
        <w:right w:val="none" w:sz="0" w:space="0" w:color="auto"/>
      </w:divBdr>
    </w:div>
    <w:div w:id="345788234">
      <w:bodyDiv w:val="1"/>
      <w:marLeft w:val="0"/>
      <w:marRight w:val="0"/>
      <w:marTop w:val="0"/>
      <w:marBottom w:val="0"/>
      <w:divBdr>
        <w:top w:val="none" w:sz="0" w:space="0" w:color="auto"/>
        <w:left w:val="none" w:sz="0" w:space="0" w:color="auto"/>
        <w:bottom w:val="none" w:sz="0" w:space="0" w:color="auto"/>
        <w:right w:val="none" w:sz="0" w:space="0" w:color="auto"/>
      </w:divBdr>
    </w:div>
    <w:div w:id="378747716">
      <w:bodyDiv w:val="1"/>
      <w:marLeft w:val="0"/>
      <w:marRight w:val="0"/>
      <w:marTop w:val="0"/>
      <w:marBottom w:val="0"/>
      <w:divBdr>
        <w:top w:val="none" w:sz="0" w:space="0" w:color="auto"/>
        <w:left w:val="none" w:sz="0" w:space="0" w:color="auto"/>
        <w:bottom w:val="none" w:sz="0" w:space="0" w:color="auto"/>
        <w:right w:val="none" w:sz="0" w:space="0" w:color="auto"/>
      </w:divBdr>
    </w:div>
    <w:div w:id="387536811">
      <w:bodyDiv w:val="1"/>
      <w:marLeft w:val="0"/>
      <w:marRight w:val="0"/>
      <w:marTop w:val="0"/>
      <w:marBottom w:val="0"/>
      <w:divBdr>
        <w:top w:val="none" w:sz="0" w:space="0" w:color="auto"/>
        <w:left w:val="none" w:sz="0" w:space="0" w:color="auto"/>
        <w:bottom w:val="none" w:sz="0" w:space="0" w:color="auto"/>
        <w:right w:val="none" w:sz="0" w:space="0" w:color="auto"/>
      </w:divBdr>
    </w:div>
    <w:div w:id="400256841">
      <w:bodyDiv w:val="1"/>
      <w:marLeft w:val="0"/>
      <w:marRight w:val="0"/>
      <w:marTop w:val="0"/>
      <w:marBottom w:val="0"/>
      <w:divBdr>
        <w:top w:val="none" w:sz="0" w:space="0" w:color="auto"/>
        <w:left w:val="none" w:sz="0" w:space="0" w:color="auto"/>
        <w:bottom w:val="none" w:sz="0" w:space="0" w:color="auto"/>
        <w:right w:val="none" w:sz="0" w:space="0" w:color="auto"/>
      </w:divBdr>
    </w:div>
    <w:div w:id="404104948">
      <w:bodyDiv w:val="1"/>
      <w:marLeft w:val="0"/>
      <w:marRight w:val="0"/>
      <w:marTop w:val="0"/>
      <w:marBottom w:val="0"/>
      <w:divBdr>
        <w:top w:val="none" w:sz="0" w:space="0" w:color="auto"/>
        <w:left w:val="none" w:sz="0" w:space="0" w:color="auto"/>
        <w:bottom w:val="none" w:sz="0" w:space="0" w:color="auto"/>
        <w:right w:val="none" w:sz="0" w:space="0" w:color="auto"/>
      </w:divBdr>
    </w:div>
    <w:div w:id="410809771">
      <w:bodyDiv w:val="1"/>
      <w:marLeft w:val="0"/>
      <w:marRight w:val="0"/>
      <w:marTop w:val="0"/>
      <w:marBottom w:val="0"/>
      <w:divBdr>
        <w:top w:val="none" w:sz="0" w:space="0" w:color="auto"/>
        <w:left w:val="none" w:sz="0" w:space="0" w:color="auto"/>
        <w:bottom w:val="none" w:sz="0" w:space="0" w:color="auto"/>
        <w:right w:val="none" w:sz="0" w:space="0" w:color="auto"/>
      </w:divBdr>
    </w:div>
    <w:div w:id="423915677">
      <w:bodyDiv w:val="1"/>
      <w:marLeft w:val="0"/>
      <w:marRight w:val="0"/>
      <w:marTop w:val="0"/>
      <w:marBottom w:val="0"/>
      <w:divBdr>
        <w:top w:val="none" w:sz="0" w:space="0" w:color="auto"/>
        <w:left w:val="none" w:sz="0" w:space="0" w:color="auto"/>
        <w:bottom w:val="none" w:sz="0" w:space="0" w:color="auto"/>
        <w:right w:val="none" w:sz="0" w:space="0" w:color="auto"/>
      </w:divBdr>
    </w:div>
    <w:div w:id="448166594">
      <w:bodyDiv w:val="1"/>
      <w:marLeft w:val="0"/>
      <w:marRight w:val="0"/>
      <w:marTop w:val="0"/>
      <w:marBottom w:val="0"/>
      <w:divBdr>
        <w:top w:val="none" w:sz="0" w:space="0" w:color="auto"/>
        <w:left w:val="none" w:sz="0" w:space="0" w:color="auto"/>
        <w:bottom w:val="none" w:sz="0" w:space="0" w:color="auto"/>
        <w:right w:val="none" w:sz="0" w:space="0" w:color="auto"/>
      </w:divBdr>
    </w:div>
    <w:div w:id="460542803">
      <w:bodyDiv w:val="1"/>
      <w:marLeft w:val="0"/>
      <w:marRight w:val="0"/>
      <w:marTop w:val="0"/>
      <w:marBottom w:val="0"/>
      <w:divBdr>
        <w:top w:val="none" w:sz="0" w:space="0" w:color="auto"/>
        <w:left w:val="none" w:sz="0" w:space="0" w:color="auto"/>
        <w:bottom w:val="none" w:sz="0" w:space="0" w:color="auto"/>
        <w:right w:val="none" w:sz="0" w:space="0" w:color="auto"/>
      </w:divBdr>
    </w:div>
    <w:div w:id="462307389">
      <w:bodyDiv w:val="1"/>
      <w:marLeft w:val="0"/>
      <w:marRight w:val="0"/>
      <w:marTop w:val="0"/>
      <w:marBottom w:val="0"/>
      <w:divBdr>
        <w:top w:val="none" w:sz="0" w:space="0" w:color="auto"/>
        <w:left w:val="none" w:sz="0" w:space="0" w:color="auto"/>
        <w:bottom w:val="none" w:sz="0" w:space="0" w:color="auto"/>
        <w:right w:val="none" w:sz="0" w:space="0" w:color="auto"/>
      </w:divBdr>
    </w:div>
    <w:div w:id="478619787">
      <w:bodyDiv w:val="1"/>
      <w:marLeft w:val="0"/>
      <w:marRight w:val="0"/>
      <w:marTop w:val="0"/>
      <w:marBottom w:val="0"/>
      <w:divBdr>
        <w:top w:val="none" w:sz="0" w:space="0" w:color="auto"/>
        <w:left w:val="none" w:sz="0" w:space="0" w:color="auto"/>
        <w:bottom w:val="none" w:sz="0" w:space="0" w:color="auto"/>
        <w:right w:val="none" w:sz="0" w:space="0" w:color="auto"/>
      </w:divBdr>
    </w:div>
    <w:div w:id="542209115">
      <w:bodyDiv w:val="1"/>
      <w:marLeft w:val="0"/>
      <w:marRight w:val="0"/>
      <w:marTop w:val="0"/>
      <w:marBottom w:val="0"/>
      <w:divBdr>
        <w:top w:val="none" w:sz="0" w:space="0" w:color="auto"/>
        <w:left w:val="none" w:sz="0" w:space="0" w:color="auto"/>
        <w:bottom w:val="none" w:sz="0" w:space="0" w:color="auto"/>
        <w:right w:val="none" w:sz="0" w:space="0" w:color="auto"/>
      </w:divBdr>
    </w:div>
    <w:div w:id="542520966">
      <w:bodyDiv w:val="1"/>
      <w:marLeft w:val="0"/>
      <w:marRight w:val="0"/>
      <w:marTop w:val="0"/>
      <w:marBottom w:val="0"/>
      <w:divBdr>
        <w:top w:val="none" w:sz="0" w:space="0" w:color="auto"/>
        <w:left w:val="none" w:sz="0" w:space="0" w:color="auto"/>
        <w:bottom w:val="none" w:sz="0" w:space="0" w:color="auto"/>
        <w:right w:val="none" w:sz="0" w:space="0" w:color="auto"/>
      </w:divBdr>
    </w:div>
    <w:div w:id="551314124">
      <w:bodyDiv w:val="1"/>
      <w:marLeft w:val="0"/>
      <w:marRight w:val="0"/>
      <w:marTop w:val="0"/>
      <w:marBottom w:val="0"/>
      <w:divBdr>
        <w:top w:val="none" w:sz="0" w:space="0" w:color="auto"/>
        <w:left w:val="none" w:sz="0" w:space="0" w:color="auto"/>
        <w:bottom w:val="none" w:sz="0" w:space="0" w:color="auto"/>
        <w:right w:val="none" w:sz="0" w:space="0" w:color="auto"/>
      </w:divBdr>
    </w:div>
    <w:div w:id="553470239">
      <w:bodyDiv w:val="1"/>
      <w:marLeft w:val="0"/>
      <w:marRight w:val="0"/>
      <w:marTop w:val="0"/>
      <w:marBottom w:val="0"/>
      <w:divBdr>
        <w:top w:val="none" w:sz="0" w:space="0" w:color="auto"/>
        <w:left w:val="none" w:sz="0" w:space="0" w:color="auto"/>
        <w:bottom w:val="none" w:sz="0" w:space="0" w:color="auto"/>
        <w:right w:val="none" w:sz="0" w:space="0" w:color="auto"/>
      </w:divBdr>
    </w:div>
    <w:div w:id="586766677">
      <w:bodyDiv w:val="1"/>
      <w:marLeft w:val="0"/>
      <w:marRight w:val="0"/>
      <w:marTop w:val="0"/>
      <w:marBottom w:val="0"/>
      <w:divBdr>
        <w:top w:val="none" w:sz="0" w:space="0" w:color="auto"/>
        <w:left w:val="none" w:sz="0" w:space="0" w:color="auto"/>
        <w:bottom w:val="none" w:sz="0" w:space="0" w:color="auto"/>
        <w:right w:val="none" w:sz="0" w:space="0" w:color="auto"/>
      </w:divBdr>
    </w:div>
    <w:div w:id="589001641">
      <w:bodyDiv w:val="1"/>
      <w:marLeft w:val="0"/>
      <w:marRight w:val="0"/>
      <w:marTop w:val="0"/>
      <w:marBottom w:val="0"/>
      <w:divBdr>
        <w:top w:val="none" w:sz="0" w:space="0" w:color="auto"/>
        <w:left w:val="none" w:sz="0" w:space="0" w:color="auto"/>
        <w:bottom w:val="none" w:sz="0" w:space="0" w:color="auto"/>
        <w:right w:val="none" w:sz="0" w:space="0" w:color="auto"/>
      </w:divBdr>
    </w:div>
    <w:div w:id="621300245">
      <w:bodyDiv w:val="1"/>
      <w:marLeft w:val="0"/>
      <w:marRight w:val="0"/>
      <w:marTop w:val="0"/>
      <w:marBottom w:val="0"/>
      <w:divBdr>
        <w:top w:val="none" w:sz="0" w:space="0" w:color="auto"/>
        <w:left w:val="none" w:sz="0" w:space="0" w:color="auto"/>
        <w:bottom w:val="none" w:sz="0" w:space="0" w:color="auto"/>
        <w:right w:val="none" w:sz="0" w:space="0" w:color="auto"/>
      </w:divBdr>
    </w:div>
    <w:div w:id="652024662">
      <w:bodyDiv w:val="1"/>
      <w:marLeft w:val="0"/>
      <w:marRight w:val="0"/>
      <w:marTop w:val="0"/>
      <w:marBottom w:val="0"/>
      <w:divBdr>
        <w:top w:val="none" w:sz="0" w:space="0" w:color="auto"/>
        <w:left w:val="none" w:sz="0" w:space="0" w:color="auto"/>
        <w:bottom w:val="none" w:sz="0" w:space="0" w:color="auto"/>
        <w:right w:val="none" w:sz="0" w:space="0" w:color="auto"/>
      </w:divBdr>
    </w:div>
    <w:div w:id="697193902">
      <w:bodyDiv w:val="1"/>
      <w:marLeft w:val="0"/>
      <w:marRight w:val="0"/>
      <w:marTop w:val="0"/>
      <w:marBottom w:val="0"/>
      <w:divBdr>
        <w:top w:val="none" w:sz="0" w:space="0" w:color="auto"/>
        <w:left w:val="none" w:sz="0" w:space="0" w:color="auto"/>
        <w:bottom w:val="none" w:sz="0" w:space="0" w:color="auto"/>
        <w:right w:val="none" w:sz="0" w:space="0" w:color="auto"/>
      </w:divBdr>
    </w:div>
    <w:div w:id="705720157">
      <w:bodyDiv w:val="1"/>
      <w:marLeft w:val="0"/>
      <w:marRight w:val="0"/>
      <w:marTop w:val="0"/>
      <w:marBottom w:val="0"/>
      <w:divBdr>
        <w:top w:val="none" w:sz="0" w:space="0" w:color="auto"/>
        <w:left w:val="none" w:sz="0" w:space="0" w:color="auto"/>
        <w:bottom w:val="none" w:sz="0" w:space="0" w:color="auto"/>
        <w:right w:val="none" w:sz="0" w:space="0" w:color="auto"/>
      </w:divBdr>
    </w:div>
    <w:div w:id="729500809">
      <w:bodyDiv w:val="1"/>
      <w:marLeft w:val="0"/>
      <w:marRight w:val="0"/>
      <w:marTop w:val="0"/>
      <w:marBottom w:val="0"/>
      <w:divBdr>
        <w:top w:val="none" w:sz="0" w:space="0" w:color="auto"/>
        <w:left w:val="none" w:sz="0" w:space="0" w:color="auto"/>
        <w:bottom w:val="none" w:sz="0" w:space="0" w:color="auto"/>
        <w:right w:val="none" w:sz="0" w:space="0" w:color="auto"/>
      </w:divBdr>
    </w:div>
    <w:div w:id="752045407">
      <w:bodyDiv w:val="1"/>
      <w:marLeft w:val="0"/>
      <w:marRight w:val="0"/>
      <w:marTop w:val="0"/>
      <w:marBottom w:val="0"/>
      <w:divBdr>
        <w:top w:val="none" w:sz="0" w:space="0" w:color="auto"/>
        <w:left w:val="none" w:sz="0" w:space="0" w:color="auto"/>
        <w:bottom w:val="none" w:sz="0" w:space="0" w:color="auto"/>
        <w:right w:val="none" w:sz="0" w:space="0" w:color="auto"/>
      </w:divBdr>
    </w:div>
    <w:div w:id="784273352">
      <w:bodyDiv w:val="1"/>
      <w:marLeft w:val="0"/>
      <w:marRight w:val="0"/>
      <w:marTop w:val="0"/>
      <w:marBottom w:val="0"/>
      <w:divBdr>
        <w:top w:val="none" w:sz="0" w:space="0" w:color="auto"/>
        <w:left w:val="none" w:sz="0" w:space="0" w:color="auto"/>
        <w:bottom w:val="none" w:sz="0" w:space="0" w:color="auto"/>
        <w:right w:val="none" w:sz="0" w:space="0" w:color="auto"/>
      </w:divBdr>
    </w:div>
    <w:div w:id="809445639">
      <w:bodyDiv w:val="1"/>
      <w:marLeft w:val="0"/>
      <w:marRight w:val="0"/>
      <w:marTop w:val="0"/>
      <w:marBottom w:val="0"/>
      <w:divBdr>
        <w:top w:val="none" w:sz="0" w:space="0" w:color="auto"/>
        <w:left w:val="none" w:sz="0" w:space="0" w:color="auto"/>
        <w:bottom w:val="none" w:sz="0" w:space="0" w:color="auto"/>
        <w:right w:val="none" w:sz="0" w:space="0" w:color="auto"/>
      </w:divBdr>
    </w:div>
    <w:div w:id="858203285">
      <w:bodyDiv w:val="1"/>
      <w:marLeft w:val="0"/>
      <w:marRight w:val="0"/>
      <w:marTop w:val="0"/>
      <w:marBottom w:val="0"/>
      <w:divBdr>
        <w:top w:val="none" w:sz="0" w:space="0" w:color="auto"/>
        <w:left w:val="none" w:sz="0" w:space="0" w:color="auto"/>
        <w:bottom w:val="none" w:sz="0" w:space="0" w:color="auto"/>
        <w:right w:val="none" w:sz="0" w:space="0" w:color="auto"/>
      </w:divBdr>
    </w:div>
    <w:div w:id="863204088">
      <w:bodyDiv w:val="1"/>
      <w:marLeft w:val="0"/>
      <w:marRight w:val="0"/>
      <w:marTop w:val="0"/>
      <w:marBottom w:val="0"/>
      <w:divBdr>
        <w:top w:val="none" w:sz="0" w:space="0" w:color="auto"/>
        <w:left w:val="none" w:sz="0" w:space="0" w:color="auto"/>
        <w:bottom w:val="none" w:sz="0" w:space="0" w:color="auto"/>
        <w:right w:val="none" w:sz="0" w:space="0" w:color="auto"/>
      </w:divBdr>
    </w:div>
    <w:div w:id="878903370">
      <w:bodyDiv w:val="1"/>
      <w:marLeft w:val="0"/>
      <w:marRight w:val="0"/>
      <w:marTop w:val="0"/>
      <w:marBottom w:val="0"/>
      <w:divBdr>
        <w:top w:val="none" w:sz="0" w:space="0" w:color="auto"/>
        <w:left w:val="none" w:sz="0" w:space="0" w:color="auto"/>
        <w:bottom w:val="none" w:sz="0" w:space="0" w:color="auto"/>
        <w:right w:val="none" w:sz="0" w:space="0" w:color="auto"/>
      </w:divBdr>
    </w:div>
    <w:div w:id="902983094">
      <w:bodyDiv w:val="1"/>
      <w:marLeft w:val="0"/>
      <w:marRight w:val="0"/>
      <w:marTop w:val="0"/>
      <w:marBottom w:val="0"/>
      <w:divBdr>
        <w:top w:val="none" w:sz="0" w:space="0" w:color="auto"/>
        <w:left w:val="none" w:sz="0" w:space="0" w:color="auto"/>
        <w:bottom w:val="none" w:sz="0" w:space="0" w:color="auto"/>
        <w:right w:val="none" w:sz="0" w:space="0" w:color="auto"/>
      </w:divBdr>
    </w:div>
    <w:div w:id="911042613">
      <w:bodyDiv w:val="1"/>
      <w:marLeft w:val="0"/>
      <w:marRight w:val="0"/>
      <w:marTop w:val="0"/>
      <w:marBottom w:val="0"/>
      <w:divBdr>
        <w:top w:val="none" w:sz="0" w:space="0" w:color="auto"/>
        <w:left w:val="none" w:sz="0" w:space="0" w:color="auto"/>
        <w:bottom w:val="none" w:sz="0" w:space="0" w:color="auto"/>
        <w:right w:val="none" w:sz="0" w:space="0" w:color="auto"/>
      </w:divBdr>
    </w:div>
    <w:div w:id="922880680">
      <w:bodyDiv w:val="1"/>
      <w:marLeft w:val="0"/>
      <w:marRight w:val="0"/>
      <w:marTop w:val="0"/>
      <w:marBottom w:val="0"/>
      <w:divBdr>
        <w:top w:val="none" w:sz="0" w:space="0" w:color="auto"/>
        <w:left w:val="none" w:sz="0" w:space="0" w:color="auto"/>
        <w:bottom w:val="none" w:sz="0" w:space="0" w:color="auto"/>
        <w:right w:val="none" w:sz="0" w:space="0" w:color="auto"/>
      </w:divBdr>
    </w:div>
    <w:div w:id="924844236">
      <w:bodyDiv w:val="1"/>
      <w:marLeft w:val="0"/>
      <w:marRight w:val="0"/>
      <w:marTop w:val="0"/>
      <w:marBottom w:val="0"/>
      <w:divBdr>
        <w:top w:val="none" w:sz="0" w:space="0" w:color="auto"/>
        <w:left w:val="none" w:sz="0" w:space="0" w:color="auto"/>
        <w:bottom w:val="none" w:sz="0" w:space="0" w:color="auto"/>
        <w:right w:val="none" w:sz="0" w:space="0" w:color="auto"/>
      </w:divBdr>
    </w:div>
    <w:div w:id="949318588">
      <w:bodyDiv w:val="1"/>
      <w:marLeft w:val="0"/>
      <w:marRight w:val="0"/>
      <w:marTop w:val="0"/>
      <w:marBottom w:val="0"/>
      <w:divBdr>
        <w:top w:val="none" w:sz="0" w:space="0" w:color="auto"/>
        <w:left w:val="none" w:sz="0" w:space="0" w:color="auto"/>
        <w:bottom w:val="none" w:sz="0" w:space="0" w:color="auto"/>
        <w:right w:val="none" w:sz="0" w:space="0" w:color="auto"/>
      </w:divBdr>
    </w:div>
    <w:div w:id="970554100">
      <w:bodyDiv w:val="1"/>
      <w:marLeft w:val="0"/>
      <w:marRight w:val="0"/>
      <w:marTop w:val="0"/>
      <w:marBottom w:val="0"/>
      <w:divBdr>
        <w:top w:val="none" w:sz="0" w:space="0" w:color="auto"/>
        <w:left w:val="none" w:sz="0" w:space="0" w:color="auto"/>
        <w:bottom w:val="none" w:sz="0" w:space="0" w:color="auto"/>
        <w:right w:val="none" w:sz="0" w:space="0" w:color="auto"/>
      </w:divBdr>
    </w:div>
    <w:div w:id="1051198458">
      <w:bodyDiv w:val="1"/>
      <w:marLeft w:val="0"/>
      <w:marRight w:val="0"/>
      <w:marTop w:val="0"/>
      <w:marBottom w:val="0"/>
      <w:divBdr>
        <w:top w:val="none" w:sz="0" w:space="0" w:color="auto"/>
        <w:left w:val="none" w:sz="0" w:space="0" w:color="auto"/>
        <w:bottom w:val="none" w:sz="0" w:space="0" w:color="auto"/>
        <w:right w:val="none" w:sz="0" w:space="0" w:color="auto"/>
      </w:divBdr>
    </w:div>
    <w:div w:id="1055354421">
      <w:bodyDiv w:val="1"/>
      <w:marLeft w:val="0"/>
      <w:marRight w:val="0"/>
      <w:marTop w:val="0"/>
      <w:marBottom w:val="0"/>
      <w:divBdr>
        <w:top w:val="none" w:sz="0" w:space="0" w:color="auto"/>
        <w:left w:val="none" w:sz="0" w:space="0" w:color="auto"/>
        <w:bottom w:val="none" w:sz="0" w:space="0" w:color="auto"/>
        <w:right w:val="none" w:sz="0" w:space="0" w:color="auto"/>
      </w:divBdr>
    </w:div>
    <w:div w:id="1092971394">
      <w:bodyDiv w:val="1"/>
      <w:marLeft w:val="0"/>
      <w:marRight w:val="0"/>
      <w:marTop w:val="0"/>
      <w:marBottom w:val="0"/>
      <w:divBdr>
        <w:top w:val="none" w:sz="0" w:space="0" w:color="auto"/>
        <w:left w:val="none" w:sz="0" w:space="0" w:color="auto"/>
        <w:bottom w:val="none" w:sz="0" w:space="0" w:color="auto"/>
        <w:right w:val="none" w:sz="0" w:space="0" w:color="auto"/>
      </w:divBdr>
    </w:div>
    <w:div w:id="1106077610">
      <w:bodyDiv w:val="1"/>
      <w:marLeft w:val="0"/>
      <w:marRight w:val="0"/>
      <w:marTop w:val="0"/>
      <w:marBottom w:val="0"/>
      <w:divBdr>
        <w:top w:val="none" w:sz="0" w:space="0" w:color="auto"/>
        <w:left w:val="none" w:sz="0" w:space="0" w:color="auto"/>
        <w:bottom w:val="none" w:sz="0" w:space="0" w:color="auto"/>
        <w:right w:val="none" w:sz="0" w:space="0" w:color="auto"/>
      </w:divBdr>
      <w:divsChild>
        <w:div w:id="716705481">
          <w:marLeft w:val="0"/>
          <w:marRight w:val="0"/>
          <w:marTop w:val="0"/>
          <w:marBottom w:val="0"/>
          <w:divBdr>
            <w:top w:val="single" w:sz="2" w:space="0" w:color="auto"/>
            <w:left w:val="single" w:sz="2" w:space="0" w:color="auto"/>
            <w:bottom w:val="single" w:sz="2" w:space="0" w:color="auto"/>
            <w:right w:val="single" w:sz="2" w:space="0" w:color="auto"/>
          </w:divBdr>
        </w:div>
        <w:div w:id="851648476">
          <w:marLeft w:val="0"/>
          <w:marRight w:val="0"/>
          <w:marTop w:val="0"/>
          <w:marBottom w:val="0"/>
          <w:divBdr>
            <w:top w:val="single" w:sz="2" w:space="0" w:color="auto"/>
            <w:left w:val="single" w:sz="2" w:space="0" w:color="auto"/>
            <w:bottom w:val="single" w:sz="2" w:space="0" w:color="auto"/>
            <w:right w:val="single" w:sz="2" w:space="0" w:color="auto"/>
          </w:divBdr>
        </w:div>
      </w:divsChild>
    </w:div>
    <w:div w:id="1153260466">
      <w:bodyDiv w:val="1"/>
      <w:marLeft w:val="0"/>
      <w:marRight w:val="0"/>
      <w:marTop w:val="0"/>
      <w:marBottom w:val="0"/>
      <w:divBdr>
        <w:top w:val="none" w:sz="0" w:space="0" w:color="auto"/>
        <w:left w:val="none" w:sz="0" w:space="0" w:color="auto"/>
        <w:bottom w:val="none" w:sz="0" w:space="0" w:color="auto"/>
        <w:right w:val="none" w:sz="0" w:space="0" w:color="auto"/>
      </w:divBdr>
    </w:div>
    <w:div w:id="1173182193">
      <w:bodyDiv w:val="1"/>
      <w:marLeft w:val="0"/>
      <w:marRight w:val="0"/>
      <w:marTop w:val="0"/>
      <w:marBottom w:val="0"/>
      <w:divBdr>
        <w:top w:val="none" w:sz="0" w:space="0" w:color="auto"/>
        <w:left w:val="none" w:sz="0" w:space="0" w:color="auto"/>
        <w:bottom w:val="none" w:sz="0" w:space="0" w:color="auto"/>
        <w:right w:val="none" w:sz="0" w:space="0" w:color="auto"/>
      </w:divBdr>
    </w:div>
    <w:div w:id="1256205726">
      <w:bodyDiv w:val="1"/>
      <w:marLeft w:val="0"/>
      <w:marRight w:val="0"/>
      <w:marTop w:val="0"/>
      <w:marBottom w:val="0"/>
      <w:divBdr>
        <w:top w:val="none" w:sz="0" w:space="0" w:color="auto"/>
        <w:left w:val="none" w:sz="0" w:space="0" w:color="auto"/>
        <w:bottom w:val="none" w:sz="0" w:space="0" w:color="auto"/>
        <w:right w:val="none" w:sz="0" w:space="0" w:color="auto"/>
      </w:divBdr>
    </w:div>
    <w:div w:id="1282689092">
      <w:bodyDiv w:val="1"/>
      <w:marLeft w:val="0"/>
      <w:marRight w:val="0"/>
      <w:marTop w:val="0"/>
      <w:marBottom w:val="0"/>
      <w:divBdr>
        <w:top w:val="none" w:sz="0" w:space="0" w:color="auto"/>
        <w:left w:val="none" w:sz="0" w:space="0" w:color="auto"/>
        <w:bottom w:val="none" w:sz="0" w:space="0" w:color="auto"/>
        <w:right w:val="none" w:sz="0" w:space="0" w:color="auto"/>
      </w:divBdr>
    </w:div>
    <w:div w:id="1298413066">
      <w:bodyDiv w:val="1"/>
      <w:marLeft w:val="0"/>
      <w:marRight w:val="0"/>
      <w:marTop w:val="0"/>
      <w:marBottom w:val="0"/>
      <w:divBdr>
        <w:top w:val="none" w:sz="0" w:space="0" w:color="auto"/>
        <w:left w:val="none" w:sz="0" w:space="0" w:color="auto"/>
        <w:bottom w:val="none" w:sz="0" w:space="0" w:color="auto"/>
        <w:right w:val="none" w:sz="0" w:space="0" w:color="auto"/>
      </w:divBdr>
    </w:div>
    <w:div w:id="1300378599">
      <w:bodyDiv w:val="1"/>
      <w:marLeft w:val="0"/>
      <w:marRight w:val="0"/>
      <w:marTop w:val="0"/>
      <w:marBottom w:val="0"/>
      <w:divBdr>
        <w:top w:val="none" w:sz="0" w:space="0" w:color="auto"/>
        <w:left w:val="none" w:sz="0" w:space="0" w:color="auto"/>
        <w:bottom w:val="none" w:sz="0" w:space="0" w:color="auto"/>
        <w:right w:val="none" w:sz="0" w:space="0" w:color="auto"/>
      </w:divBdr>
    </w:div>
    <w:div w:id="1380786917">
      <w:bodyDiv w:val="1"/>
      <w:marLeft w:val="0"/>
      <w:marRight w:val="0"/>
      <w:marTop w:val="0"/>
      <w:marBottom w:val="0"/>
      <w:divBdr>
        <w:top w:val="none" w:sz="0" w:space="0" w:color="auto"/>
        <w:left w:val="none" w:sz="0" w:space="0" w:color="auto"/>
        <w:bottom w:val="none" w:sz="0" w:space="0" w:color="auto"/>
        <w:right w:val="none" w:sz="0" w:space="0" w:color="auto"/>
      </w:divBdr>
      <w:divsChild>
        <w:div w:id="1854831760">
          <w:marLeft w:val="330"/>
          <w:marRight w:val="330"/>
          <w:marTop w:val="0"/>
          <w:marBottom w:val="300"/>
          <w:divBdr>
            <w:top w:val="none" w:sz="0" w:space="0" w:color="auto"/>
            <w:left w:val="none" w:sz="0" w:space="0" w:color="auto"/>
            <w:bottom w:val="none" w:sz="0" w:space="0" w:color="auto"/>
            <w:right w:val="none" w:sz="0" w:space="0" w:color="auto"/>
          </w:divBdr>
        </w:div>
      </w:divsChild>
    </w:div>
    <w:div w:id="1399396816">
      <w:bodyDiv w:val="1"/>
      <w:marLeft w:val="0"/>
      <w:marRight w:val="0"/>
      <w:marTop w:val="0"/>
      <w:marBottom w:val="0"/>
      <w:divBdr>
        <w:top w:val="none" w:sz="0" w:space="0" w:color="auto"/>
        <w:left w:val="none" w:sz="0" w:space="0" w:color="auto"/>
        <w:bottom w:val="none" w:sz="0" w:space="0" w:color="auto"/>
        <w:right w:val="none" w:sz="0" w:space="0" w:color="auto"/>
      </w:divBdr>
    </w:div>
    <w:div w:id="1405881901">
      <w:bodyDiv w:val="1"/>
      <w:marLeft w:val="0"/>
      <w:marRight w:val="0"/>
      <w:marTop w:val="0"/>
      <w:marBottom w:val="0"/>
      <w:divBdr>
        <w:top w:val="none" w:sz="0" w:space="0" w:color="auto"/>
        <w:left w:val="none" w:sz="0" w:space="0" w:color="auto"/>
        <w:bottom w:val="none" w:sz="0" w:space="0" w:color="auto"/>
        <w:right w:val="none" w:sz="0" w:space="0" w:color="auto"/>
      </w:divBdr>
    </w:div>
    <w:div w:id="1412386955">
      <w:bodyDiv w:val="1"/>
      <w:marLeft w:val="0"/>
      <w:marRight w:val="0"/>
      <w:marTop w:val="0"/>
      <w:marBottom w:val="0"/>
      <w:divBdr>
        <w:top w:val="none" w:sz="0" w:space="0" w:color="auto"/>
        <w:left w:val="none" w:sz="0" w:space="0" w:color="auto"/>
        <w:bottom w:val="none" w:sz="0" w:space="0" w:color="auto"/>
        <w:right w:val="none" w:sz="0" w:space="0" w:color="auto"/>
      </w:divBdr>
    </w:div>
    <w:div w:id="1419207686">
      <w:bodyDiv w:val="1"/>
      <w:marLeft w:val="0"/>
      <w:marRight w:val="0"/>
      <w:marTop w:val="0"/>
      <w:marBottom w:val="0"/>
      <w:divBdr>
        <w:top w:val="none" w:sz="0" w:space="0" w:color="auto"/>
        <w:left w:val="none" w:sz="0" w:space="0" w:color="auto"/>
        <w:bottom w:val="none" w:sz="0" w:space="0" w:color="auto"/>
        <w:right w:val="none" w:sz="0" w:space="0" w:color="auto"/>
      </w:divBdr>
    </w:div>
    <w:div w:id="1421947996">
      <w:bodyDiv w:val="1"/>
      <w:marLeft w:val="0"/>
      <w:marRight w:val="0"/>
      <w:marTop w:val="0"/>
      <w:marBottom w:val="0"/>
      <w:divBdr>
        <w:top w:val="none" w:sz="0" w:space="0" w:color="auto"/>
        <w:left w:val="none" w:sz="0" w:space="0" w:color="auto"/>
        <w:bottom w:val="none" w:sz="0" w:space="0" w:color="auto"/>
        <w:right w:val="none" w:sz="0" w:space="0" w:color="auto"/>
      </w:divBdr>
    </w:div>
    <w:div w:id="1441290878">
      <w:bodyDiv w:val="1"/>
      <w:marLeft w:val="0"/>
      <w:marRight w:val="0"/>
      <w:marTop w:val="0"/>
      <w:marBottom w:val="0"/>
      <w:divBdr>
        <w:top w:val="none" w:sz="0" w:space="0" w:color="auto"/>
        <w:left w:val="none" w:sz="0" w:space="0" w:color="auto"/>
        <w:bottom w:val="none" w:sz="0" w:space="0" w:color="auto"/>
        <w:right w:val="none" w:sz="0" w:space="0" w:color="auto"/>
      </w:divBdr>
    </w:div>
    <w:div w:id="1454251829">
      <w:bodyDiv w:val="1"/>
      <w:marLeft w:val="0"/>
      <w:marRight w:val="0"/>
      <w:marTop w:val="0"/>
      <w:marBottom w:val="0"/>
      <w:divBdr>
        <w:top w:val="none" w:sz="0" w:space="0" w:color="auto"/>
        <w:left w:val="none" w:sz="0" w:space="0" w:color="auto"/>
        <w:bottom w:val="none" w:sz="0" w:space="0" w:color="auto"/>
        <w:right w:val="none" w:sz="0" w:space="0" w:color="auto"/>
      </w:divBdr>
    </w:div>
    <w:div w:id="1470703862">
      <w:bodyDiv w:val="1"/>
      <w:marLeft w:val="0"/>
      <w:marRight w:val="0"/>
      <w:marTop w:val="0"/>
      <w:marBottom w:val="0"/>
      <w:divBdr>
        <w:top w:val="none" w:sz="0" w:space="0" w:color="auto"/>
        <w:left w:val="none" w:sz="0" w:space="0" w:color="auto"/>
        <w:bottom w:val="none" w:sz="0" w:space="0" w:color="auto"/>
        <w:right w:val="none" w:sz="0" w:space="0" w:color="auto"/>
      </w:divBdr>
    </w:div>
    <w:div w:id="1495492390">
      <w:bodyDiv w:val="1"/>
      <w:marLeft w:val="0"/>
      <w:marRight w:val="0"/>
      <w:marTop w:val="0"/>
      <w:marBottom w:val="0"/>
      <w:divBdr>
        <w:top w:val="none" w:sz="0" w:space="0" w:color="auto"/>
        <w:left w:val="none" w:sz="0" w:space="0" w:color="auto"/>
        <w:bottom w:val="none" w:sz="0" w:space="0" w:color="auto"/>
        <w:right w:val="none" w:sz="0" w:space="0" w:color="auto"/>
      </w:divBdr>
    </w:div>
    <w:div w:id="1511407549">
      <w:bodyDiv w:val="1"/>
      <w:marLeft w:val="0"/>
      <w:marRight w:val="0"/>
      <w:marTop w:val="0"/>
      <w:marBottom w:val="0"/>
      <w:divBdr>
        <w:top w:val="none" w:sz="0" w:space="0" w:color="auto"/>
        <w:left w:val="none" w:sz="0" w:space="0" w:color="auto"/>
        <w:bottom w:val="none" w:sz="0" w:space="0" w:color="auto"/>
        <w:right w:val="none" w:sz="0" w:space="0" w:color="auto"/>
      </w:divBdr>
    </w:div>
    <w:div w:id="1514614450">
      <w:bodyDiv w:val="1"/>
      <w:marLeft w:val="0"/>
      <w:marRight w:val="0"/>
      <w:marTop w:val="0"/>
      <w:marBottom w:val="0"/>
      <w:divBdr>
        <w:top w:val="none" w:sz="0" w:space="0" w:color="auto"/>
        <w:left w:val="none" w:sz="0" w:space="0" w:color="auto"/>
        <w:bottom w:val="none" w:sz="0" w:space="0" w:color="auto"/>
        <w:right w:val="none" w:sz="0" w:space="0" w:color="auto"/>
      </w:divBdr>
    </w:div>
    <w:div w:id="1523399451">
      <w:bodyDiv w:val="1"/>
      <w:marLeft w:val="0"/>
      <w:marRight w:val="0"/>
      <w:marTop w:val="0"/>
      <w:marBottom w:val="0"/>
      <w:divBdr>
        <w:top w:val="none" w:sz="0" w:space="0" w:color="auto"/>
        <w:left w:val="none" w:sz="0" w:space="0" w:color="auto"/>
        <w:bottom w:val="none" w:sz="0" w:space="0" w:color="auto"/>
        <w:right w:val="none" w:sz="0" w:space="0" w:color="auto"/>
      </w:divBdr>
    </w:div>
    <w:div w:id="1529028277">
      <w:bodyDiv w:val="1"/>
      <w:marLeft w:val="0"/>
      <w:marRight w:val="0"/>
      <w:marTop w:val="0"/>
      <w:marBottom w:val="0"/>
      <w:divBdr>
        <w:top w:val="none" w:sz="0" w:space="0" w:color="auto"/>
        <w:left w:val="none" w:sz="0" w:space="0" w:color="auto"/>
        <w:bottom w:val="none" w:sz="0" w:space="0" w:color="auto"/>
        <w:right w:val="none" w:sz="0" w:space="0" w:color="auto"/>
      </w:divBdr>
    </w:div>
    <w:div w:id="1530218587">
      <w:bodyDiv w:val="1"/>
      <w:marLeft w:val="0"/>
      <w:marRight w:val="0"/>
      <w:marTop w:val="0"/>
      <w:marBottom w:val="0"/>
      <w:divBdr>
        <w:top w:val="none" w:sz="0" w:space="0" w:color="auto"/>
        <w:left w:val="none" w:sz="0" w:space="0" w:color="auto"/>
        <w:bottom w:val="none" w:sz="0" w:space="0" w:color="auto"/>
        <w:right w:val="none" w:sz="0" w:space="0" w:color="auto"/>
      </w:divBdr>
    </w:div>
    <w:div w:id="1531260213">
      <w:bodyDiv w:val="1"/>
      <w:marLeft w:val="0"/>
      <w:marRight w:val="0"/>
      <w:marTop w:val="0"/>
      <w:marBottom w:val="0"/>
      <w:divBdr>
        <w:top w:val="none" w:sz="0" w:space="0" w:color="auto"/>
        <w:left w:val="none" w:sz="0" w:space="0" w:color="auto"/>
        <w:bottom w:val="none" w:sz="0" w:space="0" w:color="auto"/>
        <w:right w:val="none" w:sz="0" w:space="0" w:color="auto"/>
      </w:divBdr>
    </w:div>
    <w:div w:id="1532718976">
      <w:bodyDiv w:val="1"/>
      <w:marLeft w:val="0"/>
      <w:marRight w:val="0"/>
      <w:marTop w:val="0"/>
      <w:marBottom w:val="0"/>
      <w:divBdr>
        <w:top w:val="none" w:sz="0" w:space="0" w:color="auto"/>
        <w:left w:val="none" w:sz="0" w:space="0" w:color="auto"/>
        <w:bottom w:val="none" w:sz="0" w:space="0" w:color="auto"/>
        <w:right w:val="none" w:sz="0" w:space="0" w:color="auto"/>
      </w:divBdr>
    </w:div>
    <w:div w:id="1572546765">
      <w:bodyDiv w:val="1"/>
      <w:marLeft w:val="0"/>
      <w:marRight w:val="0"/>
      <w:marTop w:val="0"/>
      <w:marBottom w:val="0"/>
      <w:divBdr>
        <w:top w:val="none" w:sz="0" w:space="0" w:color="auto"/>
        <w:left w:val="none" w:sz="0" w:space="0" w:color="auto"/>
        <w:bottom w:val="none" w:sz="0" w:space="0" w:color="auto"/>
        <w:right w:val="none" w:sz="0" w:space="0" w:color="auto"/>
      </w:divBdr>
    </w:div>
    <w:div w:id="1639216782">
      <w:bodyDiv w:val="1"/>
      <w:marLeft w:val="0"/>
      <w:marRight w:val="0"/>
      <w:marTop w:val="0"/>
      <w:marBottom w:val="0"/>
      <w:divBdr>
        <w:top w:val="none" w:sz="0" w:space="0" w:color="auto"/>
        <w:left w:val="none" w:sz="0" w:space="0" w:color="auto"/>
        <w:bottom w:val="none" w:sz="0" w:space="0" w:color="auto"/>
        <w:right w:val="none" w:sz="0" w:space="0" w:color="auto"/>
      </w:divBdr>
    </w:div>
    <w:div w:id="1734039212">
      <w:bodyDiv w:val="1"/>
      <w:marLeft w:val="0"/>
      <w:marRight w:val="0"/>
      <w:marTop w:val="0"/>
      <w:marBottom w:val="0"/>
      <w:divBdr>
        <w:top w:val="none" w:sz="0" w:space="0" w:color="auto"/>
        <w:left w:val="none" w:sz="0" w:space="0" w:color="auto"/>
        <w:bottom w:val="none" w:sz="0" w:space="0" w:color="auto"/>
        <w:right w:val="none" w:sz="0" w:space="0" w:color="auto"/>
      </w:divBdr>
    </w:div>
    <w:div w:id="1744185498">
      <w:bodyDiv w:val="1"/>
      <w:marLeft w:val="0"/>
      <w:marRight w:val="0"/>
      <w:marTop w:val="0"/>
      <w:marBottom w:val="0"/>
      <w:divBdr>
        <w:top w:val="none" w:sz="0" w:space="0" w:color="auto"/>
        <w:left w:val="none" w:sz="0" w:space="0" w:color="auto"/>
        <w:bottom w:val="none" w:sz="0" w:space="0" w:color="auto"/>
        <w:right w:val="none" w:sz="0" w:space="0" w:color="auto"/>
      </w:divBdr>
    </w:div>
    <w:div w:id="1815368299">
      <w:bodyDiv w:val="1"/>
      <w:marLeft w:val="0"/>
      <w:marRight w:val="0"/>
      <w:marTop w:val="0"/>
      <w:marBottom w:val="0"/>
      <w:divBdr>
        <w:top w:val="none" w:sz="0" w:space="0" w:color="auto"/>
        <w:left w:val="none" w:sz="0" w:space="0" w:color="auto"/>
        <w:bottom w:val="none" w:sz="0" w:space="0" w:color="auto"/>
        <w:right w:val="none" w:sz="0" w:space="0" w:color="auto"/>
      </w:divBdr>
    </w:div>
    <w:div w:id="1825077356">
      <w:bodyDiv w:val="1"/>
      <w:marLeft w:val="0"/>
      <w:marRight w:val="0"/>
      <w:marTop w:val="0"/>
      <w:marBottom w:val="0"/>
      <w:divBdr>
        <w:top w:val="none" w:sz="0" w:space="0" w:color="auto"/>
        <w:left w:val="none" w:sz="0" w:space="0" w:color="auto"/>
        <w:bottom w:val="none" w:sz="0" w:space="0" w:color="auto"/>
        <w:right w:val="none" w:sz="0" w:space="0" w:color="auto"/>
      </w:divBdr>
    </w:div>
    <w:div w:id="1838376764">
      <w:bodyDiv w:val="1"/>
      <w:marLeft w:val="0"/>
      <w:marRight w:val="0"/>
      <w:marTop w:val="0"/>
      <w:marBottom w:val="0"/>
      <w:divBdr>
        <w:top w:val="none" w:sz="0" w:space="0" w:color="auto"/>
        <w:left w:val="none" w:sz="0" w:space="0" w:color="auto"/>
        <w:bottom w:val="none" w:sz="0" w:space="0" w:color="auto"/>
        <w:right w:val="none" w:sz="0" w:space="0" w:color="auto"/>
      </w:divBdr>
    </w:div>
    <w:div w:id="2045323402">
      <w:bodyDiv w:val="1"/>
      <w:marLeft w:val="0"/>
      <w:marRight w:val="0"/>
      <w:marTop w:val="0"/>
      <w:marBottom w:val="0"/>
      <w:divBdr>
        <w:top w:val="none" w:sz="0" w:space="0" w:color="auto"/>
        <w:left w:val="none" w:sz="0" w:space="0" w:color="auto"/>
        <w:bottom w:val="none" w:sz="0" w:space="0" w:color="auto"/>
        <w:right w:val="none" w:sz="0" w:space="0" w:color="auto"/>
      </w:divBdr>
    </w:div>
    <w:div w:id="2045518492">
      <w:bodyDiv w:val="1"/>
      <w:marLeft w:val="0"/>
      <w:marRight w:val="0"/>
      <w:marTop w:val="0"/>
      <w:marBottom w:val="0"/>
      <w:divBdr>
        <w:top w:val="none" w:sz="0" w:space="0" w:color="auto"/>
        <w:left w:val="none" w:sz="0" w:space="0" w:color="auto"/>
        <w:bottom w:val="none" w:sz="0" w:space="0" w:color="auto"/>
        <w:right w:val="none" w:sz="0" w:space="0" w:color="auto"/>
      </w:divBdr>
    </w:div>
    <w:div w:id="2063366095">
      <w:bodyDiv w:val="1"/>
      <w:marLeft w:val="0"/>
      <w:marRight w:val="0"/>
      <w:marTop w:val="0"/>
      <w:marBottom w:val="0"/>
      <w:divBdr>
        <w:top w:val="none" w:sz="0" w:space="0" w:color="auto"/>
        <w:left w:val="none" w:sz="0" w:space="0" w:color="auto"/>
        <w:bottom w:val="none" w:sz="0" w:space="0" w:color="auto"/>
        <w:right w:val="none" w:sz="0" w:space="0" w:color="auto"/>
      </w:divBdr>
    </w:div>
    <w:div w:id="2068019880">
      <w:bodyDiv w:val="1"/>
      <w:marLeft w:val="0"/>
      <w:marRight w:val="0"/>
      <w:marTop w:val="0"/>
      <w:marBottom w:val="0"/>
      <w:divBdr>
        <w:top w:val="none" w:sz="0" w:space="0" w:color="auto"/>
        <w:left w:val="none" w:sz="0" w:space="0" w:color="auto"/>
        <w:bottom w:val="none" w:sz="0" w:space="0" w:color="auto"/>
        <w:right w:val="none" w:sz="0" w:space="0" w:color="auto"/>
      </w:divBdr>
    </w:div>
    <w:div w:id="2087919762">
      <w:bodyDiv w:val="1"/>
      <w:marLeft w:val="0"/>
      <w:marRight w:val="0"/>
      <w:marTop w:val="0"/>
      <w:marBottom w:val="0"/>
      <w:divBdr>
        <w:top w:val="none" w:sz="0" w:space="0" w:color="auto"/>
        <w:left w:val="none" w:sz="0" w:space="0" w:color="auto"/>
        <w:bottom w:val="none" w:sz="0" w:space="0" w:color="auto"/>
        <w:right w:val="none" w:sz="0" w:space="0" w:color="auto"/>
      </w:divBdr>
    </w:div>
    <w:div w:id="2138446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voanews.com/africa/unshackled-yet-far-free-former-slaves-struggle-mauritania" TargetMode="External"/><Relationship Id="rId13" Type="http://schemas.openxmlformats.org/officeDocument/2006/relationships/hyperlink" Target="https://datareportal.com/reports/digital-2021-mauritania" TargetMode="External"/><Relationship Id="rId18" Type="http://schemas.openxmlformats.org/officeDocument/2006/relationships/hyperlink" Target="http://protectingeducation.org/sites/default/files/documents/guidelines_en.pdf" TargetMode="External"/><Relationship Id="rId26" Type="http://schemas.openxmlformats.org/officeDocument/2006/relationships/hyperlink" Target="https://www.hrw.org/report/2018/09/05/they-told-me-keep-quiet/obstacles-justice-and-remedy-sexual-assault-survivors" TargetMode="External"/><Relationship Id="rId39" Type="http://schemas.openxmlformats.org/officeDocument/2006/relationships/hyperlink" Target="https://www.ohchr.org/Documents/Issues/Migration/GlobalCompactMigration/IrregularMigrants.pdf" TargetMode="External"/><Relationship Id="rId3" Type="http://schemas.openxmlformats.org/officeDocument/2006/relationships/hyperlink" Target="https://www.opensocietyfoundations.org/voices/fear-and-statelessness-mauritania" TargetMode="External"/><Relationship Id="rId21" Type="http://schemas.openxmlformats.org/officeDocument/2006/relationships/hyperlink" Target="https://onlinelibrary.wiley.com/doi/full/10.1111/sifp.12112" TargetMode="External"/><Relationship Id="rId34" Type="http://schemas.openxmlformats.org/officeDocument/2006/relationships/hyperlink" Target="https://www.hrw.org/news/2018/03/29/mauritania-administrative-obstacles-keep-kids-school" TargetMode="External"/><Relationship Id="rId7" Type="http://schemas.openxmlformats.org/officeDocument/2006/relationships/hyperlink" Target="https://www.hrw.org/report/2018/02/12/ethnicity-discrimination-and-other-red-lines/repression-human-rights-defenders" TargetMode="External"/><Relationship Id="rId12" Type="http://schemas.openxmlformats.org/officeDocument/2006/relationships/hyperlink" Target="https://reliefweb.int/sites/reliefweb.int/files/resources/UNICEF%20Mauritania%20Humanitarian%20Situation%20Report%20No.3_Mid%20Year%20-%2026%20July%202021.pdf" TargetMode="External"/><Relationship Id="rId17" Type="http://schemas.openxmlformats.org/officeDocument/2006/relationships/hyperlink" Target="https://www.regjeringen.no/globalassets/departementene/ud/vedlegg/utvikling/safe_schools_declaration.pdf" TargetMode="External"/><Relationship Id="rId25" Type="http://schemas.openxmlformats.org/officeDocument/2006/relationships/hyperlink" Target="https://www.unicef.org/media/88751/file/FGM-Factsheet-2020.pdf" TargetMode="External"/><Relationship Id="rId33" Type="http://schemas.openxmlformats.org/officeDocument/2006/relationships/hyperlink" Target="https://www.theguardian.com/global-development/2018/jun/08/the-unspeakable-truth-about-slavery-in-mauritania" TargetMode="External"/><Relationship Id="rId38" Type="http://schemas.openxmlformats.org/officeDocument/2006/relationships/hyperlink" Target="https://www.hrw.org/news/2020/11/11/spain-respect-rights-people-arriving-sea-canary-islands" TargetMode="External"/><Relationship Id="rId2" Type="http://schemas.openxmlformats.org/officeDocument/2006/relationships/hyperlink" Target="https://www.hrw.org/news/2018/06/05/submission-human-rights-watch-united-nations-committee-rights-child-concerning" TargetMode="External"/><Relationship Id="rId16" Type="http://schemas.openxmlformats.org/officeDocument/2006/relationships/hyperlink" Target="https://eua2020.protectingeducation.org/" TargetMode="External"/><Relationship Id="rId20" Type="http://schemas.openxmlformats.org/officeDocument/2006/relationships/hyperlink" Target="https://www.hrw.org/report/2018/09/05/they-told-me-keep-quiet/obstacles-justice-and-remedy-sexual-assault-survivors" TargetMode="External"/><Relationship Id="rId29" Type="http://schemas.openxmlformats.org/officeDocument/2006/relationships/hyperlink" Target="https://www.hrw.org/news/2018/03/29/mauritania-administrative-obstacles-keep-kids-school" TargetMode="External"/><Relationship Id="rId1" Type="http://schemas.openxmlformats.org/officeDocument/2006/relationships/hyperlink" Target="https://www.hrw.org/news/2018/03/29/mauritania-administrative-obstacles-keep-kids-school" TargetMode="External"/><Relationship Id="rId6" Type="http://schemas.openxmlformats.org/officeDocument/2006/relationships/hyperlink" Target="https://static1.squarespace.com/static/5a6e0958f6576ebde0e78c18/t/5bfc20354ae237e15d67ede1/1543249998205/Rapport_Droit_%E2%80%A1_l%27%C3%88ducation_et_privatisation_Mauritanie_CDE_-_juillet_2018_-_final+-+EN+v2.pdf" TargetMode="External"/><Relationship Id="rId11" Type="http://schemas.openxmlformats.org/officeDocument/2006/relationships/hyperlink" Target="https://www.unicef.org/media/63016/file/SOWC-2019.pdf" TargetMode="External"/><Relationship Id="rId24" Type="http://schemas.openxmlformats.org/officeDocument/2006/relationships/hyperlink" Target="https://freedomhouse.org/country/mauritania/freedom-world/2020" TargetMode="External"/><Relationship Id="rId32" Type="http://schemas.openxmlformats.org/officeDocument/2006/relationships/hyperlink" Target="https://www.voanews.com/africa/unshackled-yet-far-free-former-slaves-struggle-mauritania" TargetMode="External"/><Relationship Id="rId37" Type="http://schemas.openxmlformats.org/officeDocument/2006/relationships/hyperlink" Target="https://www.hrw.org/news/2021/07/06/human-rights-watch-submission-africa-regional-review-implementation-global-compact" TargetMode="External"/><Relationship Id="rId5" Type="http://schemas.openxmlformats.org/officeDocument/2006/relationships/hyperlink" Target="https://www.hrw.org/news/2018/03/29/mauritania-administrative-obstacles-keep-kids-school" TargetMode="External"/><Relationship Id="rId15" Type="http://schemas.openxmlformats.org/officeDocument/2006/relationships/hyperlink" Target="https://www.hrw.org/report/2021/05/17/years-dont-wait-them/increased-inequalities-childrens-right-education-due-covid" TargetMode="External"/><Relationship Id="rId23" Type="http://schemas.openxmlformats.org/officeDocument/2006/relationships/hyperlink" Target="https://www.orchidproject.org/wp-content/uploads/2019/02/mauritania_law_report_v1_september_2018.pdf" TargetMode="External"/><Relationship Id="rId28" Type="http://schemas.openxmlformats.org/officeDocument/2006/relationships/hyperlink" Target="https://www.hrw.org/report/2018/02/12/ethnicity-discrimination-and-other-red-lines/repression-human-rights-defenders" TargetMode="External"/><Relationship Id="rId36" Type="http://schemas.openxmlformats.org/officeDocument/2006/relationships/hyperlink" Target="https://tbinternet.ohchr.org/Treaties/CCPR/Shared%20Documents/MRT/INT_CCPR_NGO_MRT_14506_E.pdf" TargetMode="External"/><Relationship Id="rId10" Type="http://schemas.openxmlformats.org/officeDocument/2006/relationships/hyperlink" Target="https://tbinternet.ohchr.org/Treaties/CRC/Shared%20Documents/MRT/INT_CRC_NGO_MRT_32030_E.docx" TargetMode="External"/><Relationship Id="rId19" Type="http://schemas.openxmlformats.org/officeDocument/2006/relationships/hyperlink" Target="https://www.hrw.org/news/2019/10/15/letter-president-mohamed-ould-ghazouani" TargetMode="External"/><Relationship Id="rId31" Type="http://schemas.openxmlformats.org/officeDocument/2006/relationships/hyperlink" Target="https://www.opendemocracy.net/en/beyond-trafficking-and-slavery/life-in-nouakchott-is-not-true-liberty-not-at-all-living-legacies-of-s/" TargetMode="External"/><Relationship Id="rId4" Type="http://schemas.openxmlformats.org/officeDocument/2006/relationships/hyperlink" Target="http://www.ohchr.org/EN/NewsEvents/Pages/DisplayNews.aspx?NewsID=19948&amp;LangID=E" TargetMode="External"/><Relationship Id="rId9" Type="http://schemas.openxmlformats.org/officeDocument/2006/relationships/hyperlink" Target="https://www.middleeasteye.net/news/its-time-change-anti-slavery-activist-biram-seeks-power-mauritania-election" TargetMode="External"/><Relationship Id="rId14" Type="http://schemas.openxmlformats.org/officeDocument/2006/relationships/hyperlink" Target="https://reliefweb.int/sites/reliefweb.int/files/resources/UNICEF%20Mauritania%20Humanitarian%20Situation%20Report%20No.3_Mid%20Year%20-%2026%20July%202021.pdf" TargetMode="External"/><Relationship Id="rId22" Type="http://schemas.openxmlformats.org/officeDocument/2006/relationships/hyperlink" Target="https://www.unfpa.org/sites/default/files/admin-resource/FGM-report%2012_4_2013.pdf" TargetMode="External"/><Relationship Id="rId27" Type="http://schemas.openxmlformats.org/officeDocument/2006/relationships/hyperlink" Target="https://www.globalslaveryindex.org/2018/data/country-data/mauritania/" TargetMode="External"/><Relationship Id="rId30" Type="http://schemas.openxmlformats.org/officeDocument/2006/relationships/hyperlink" Target="https://www.genderindex.org/wp-content/uploads/files/datasheets/2019/MR.pdf" TargetMode="External"/><Relationship Id="rId35" Type="http://schemas.openxmlformats.org/officeDocument/2006/relationships/hyperlink" Target="https://www.theguardian.com/global-development/2018/jun/08/the-unspeakable-truth-about-slavery-in-maurita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657041-C8F8-4EBA-A9E0-41FED935BE00}"/>
</file>

<file path=customXml/itemProps2.xml><?xml version="1.0" encoding="utf-8"?>
<ds:datastoreItem xmlns:ds="http://schemas.openxmlformats.org/officeDocument/2006/customXml" ds:itemID="{4A2C67CA-A44D-4157-A5C2-0930DFE57156}"/>
</file>

<file path=customXml/itemProps3.xml><?xml version="1.0" encoding="utf-8"?>
<ds:datastoreItem xmlns:ds="http://schemas.openxmlformats.org/officeDocument/2006/customXml" ds:itemID="{ACF98217-A486-470D-BDF3-5C08E6A2FA8A}"/>
</file>

<file path=docProps/app.xml><?xml version="1.0" encoding="utf-8"?>
<Properties xmlns="http://schemas.openxmlformats.org/officeDocument/2006/extended-properties" xmlns:vt="http://schemas.openxmlformats.org/officeDocument/2006/docPropsVTypes">
  <Template>Normal.dotm</Template>
  <TotalTime>1</TotalTime>
  <Pages>9</Pages>
  <Words>2443</Words>
  <Characters>13966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16377</CharactersWithSpaces>
  <SharedDoc>false</SharedDoc>
  <HLinks>
    <vt:vector size="270" baseType="variant">
      <vt:variant>
        <vt:i4>852056</vt:i4>
      </vt:variant>
      <vt:variant>
        <vt:i4>117</vt:i4>
      </vt:variant>
      <vt:variant>
        <vt:i4>0</vt:i4>
      </vt:variant>
      <vt:variant>
        <vt:i4>5</vt:i4>
      </vt:variant>
      <vt:variant>
        <vt:lpwstr>https://www.ohchr.org/Documents/Issues/Migration/GlobalCompactMigration/IrregularMigrants.pdf</vt:lpwstr>
      </vt:variant>
      <vt:variant>
        <vt:lpwstr/>
      </vt:variant>
      <vt:variant>
        <vt:i4>4128866</vt:i4>
      </vt:variant>
      <vt:variant>
        <vt:i4>114</vt:i4>
      </vt:variant>
      <vt:variant>
        <vt:i4>0</vt:i4>
      </vt:variant>
      <vt:variant>
        <vt:i4>5</vt:i4>
      </vt:variant>
      <vt:variant>
        <vt:lpwstr>https://www.hrw.org/news/2020/11/11/spain-respect-rights-people-arriving-sea-canary-islands</vt:lpwstr>
      </vt:variant>
      <vt:variant>
        <vt:lpwstr/>
      </vt:variant>
      <vt:variant>
        <vt:i4>3145838</vt:i4>
      </vt:variant>
      <vt:variant>
        <vt:i4>111</vt:i4>
      </vt:variant>
      <vt:variant>
        <vt:i4>0</vt:i4>
      </vt:variant>
      <vt:variant>
        <vt:i4>5</vt:i4>
      </vt:variant>
      <vt:variant>
        <vt:lpwstr>https://www.hrw.org/news/2021/07/06/human-rights-watch-submission-africa-regional-review-implementation-global-compact</vt:lpwstr>
      </vt:variant>
      <vt:variant>
        <vt:lpwstr/>
      </vt:variant>
      <vt:variant>
        <vt:i4>8192019</vt:i4>
      </vt:variant>
      <vt:variant>
        <vt:i4>108</vt:i4>
      </vt:variant>
      <vt:variant>
        <vt:i4>0</vt:i4>
      </vt:variant>
      <vt:variant>
        <vt:i4>5</vt:i4>
      </vt:variant>
      <vt:variant>
        <vt:lpwstr>https://tbinternet.ohchr.org/Treaties/CCPR/Shared Documents/MRT/INT_CCPR_NGO_MRT_14506_E.pdf</vt:lpwstr>
      </vt:variant>
      <vt:variant>
        <vt:lpwstr/>
      </vt:variant>
      <vt:variant>
        <vt:i4>5308434</vt:i4>
      </vt:variant>
      <vt:variant>
        <vt:i4>105</vt:i4>
      </vt:variant>
      <vt:variant>
        <vt:i4>0</vt:i4>
      </vt:variant>
      <vt:variant>
        <vt:i4>5</vt:i4>
      </vt:variant>
      <vt:variant>
        <vt:lpwstr>https://www.theguardian.com/global-development/2018/jun/08/the-unspeakable-truth-about-slavery-in-mauritania</vt:lpwstr>
      </vt:variant>
      <vt:variant>
        <vt:lpwstr/>
      </vt:variant>
      <vt:variant>
        <vt:i4>1245257</vt:i4>
      </vt:variant>
      <vt:variant>
        <vt:i4>102</vt:i4>
      </vt:variant>
      <vt:variant>
        <vt:i4>0</vt:i4>
      </vt:variant>
      <vt:variant>
        <vt:i4>5</vt:i4>
      </vt:variant>
      <vt:variant>
        <vt:lpwstr>https://www.hrw.org/news/2018/03/29/mauritania-administrative-obstacles-keep-kids-school</vt:lpwstr>
      </vt:variant>
      <vt:variant>
        <vt:lpwstr/>
      </vt:variant>
      <vt:variant>
        <vt:i4>5308434</vt:i4>
      </vt:variant>
      <vt:variant>
        <vt:i4>99</vt:i4>
      </vt:variant>
      <vt:variant>
        <vt:i4>0</vt:i4>
      </vt:variant>
      <vt:variant>
        <vt:i4>5</vt:i4>
      </vt:variant>
      <vt:variant>
        <vt:lpwstr>https://www.theguardian.com/global-development/2018/jun/08/the-unspeakable-truth-about-slavery-in-mauritania</vt:lpwstr>
      </vt:variant>
      <vt:variant>
        <vt:lpwstr/>
      </vt:variant>
      <vt:variant>
        <vt:i4>1245210</vt:i4>
      </vt:variant>
      <vt:variant>
        <vt:i4>96</vt:i4>
      </vt:variant>
      <vt:variant>
        <vt:i4>0</vt:i4>
      </vt:variant>
      <vt:variant>
        <vt:i4>5</vt:i4>
      </vt:variant>
      <vt:variant>
        <vt:lpwstr>https://www.voanews.com/africa/unshackled-yet-far-free-former-slaves-struggle-mauritania</vt:lpwstr>
      </vt:variant>
      <vt:variant>
        <vt:lpwstr/>
      </vt:variant>
      <vt:variant>
        <vt:i4>2162741</vt:i4>
      </vt:variant>
      <vt:variant>
        <vt:i4>93</vt:i4>
      </vt:variant>
      <vt:variant>
        <vt:i4>0</vt:i4>
      </vt:variant>
      <vt:variant>
        <vt:i4>5</vt:i4>
      </vt:variant>
      <vt:variant>
        <vt:lpwstr>https://www.opendemocracy.net/en/beyond-trafficking-and-slavery/life-in-nouakchott-is-not-true-liberty-not-at-all-living-legacies-of-s/</vt:lpwstr>
      </vt:variant>
      <vt:variant>
        <vt:lpwstr/>
      </vt:variant>
      <vt:variant>
        <vt:i4>3014774</vt:i4>
      </vt:variant>
      <vt:variant>
        <vt:i4>90</vt:i4>
      </vt:variant>
      <vt:variant>
        <vt:i4>0</vt:i4>
      </vt:variant>
      <vt:variant>
        <vt:i4>5</vt:i4>
      </vt:variant>
      <vt:variant>
        <vt:lpwstr>https://www.genderindex.org/wp-content/uploads/files/datasheets/2019/MR.pdf</vt:lpwstr>
      </vt:variant>
      <vt:variant>
        <vt:lpwstr/>
      </vt:variant>
      <vt:variant>
        <vt:i4>1245257</vt:i4>
      </vt:variant>
      <vt:variant>
        <vt:i4>87</vt:i4>
      </vt:variant>
      <vt:variant>
        <vt:i4>0</vt:i4>
      </vt:variant>
      <vt:variant>
        <vt:i4>5</vt:i4>
      </vt:variant>
      <vt:variant>
        <vt:lpwstr>https://www.hrw.org/news/2018/03/29/mauritania-administrative-obstacles-keep-kids-school</vt:lpwstr>
      </vt:variant>
      <vt:variant>
        <vt:lpwstr/>
      </vt:variant>
      <vt:variant>
        <vt:i4>720975</vt:i4>
      </vt:variant>
      <vt:variant>
        <vt:i4>84</vt:i4>
      </vt:variant>
      <vt:variant>
        <vt:i4>0</vt:i4>
      </vt:variant>
      <vt:variant>
        <vt:i4>5</vt:i4>
      </vt:variant>
      <vt:variant>
        <vt:lpwstr>https://www.hrw.org/report/2018/02/12/ethnicity-discrimination-and-other-red-lines/repression-human-rights-defenders</vt:lpwstr>
      </vt:variant>
      <vt:variant>
        <vt:lpwstr/>
      </vt:variant>
      <vt:variant>
        <vt:i4>6225999</vt:i4>
      </vt:variant>
      <vt:variant>
        <vt:i4>81</vt:i4>
      </vt:variant>
      <vt:variant>
        <vt:i4>0</vt:i4>
      </vt:variant>
      <vt:variant>
        <vt:i4>5</vt:i4>
      </vt:variant>
      <vt:variant>
        <vt:lpwstr>https://www.globalslaveryindex.org/2018/data/country-data/mauritania/</vt:lpwstr>
      </vt:variant>
      <vt:variant>
        <vt:lpwstr/>
      </vt:variant>
      <vt:variant>
        <vt:i4>3866728</vt:i4>
      </vt:variant>
      <vt:variant>
        <vt:i4>78</vt:i4>
      </vt:variant>
      <vt:variant>
        <vt:i4>0</vt:i4>
      </vt:variant>
      <vt:variant>
        <vt:i4>5</vt:i4>
      </vt:variant>
      <vt:variant>
        <vt:lpwstr>https://www.hrw.org/report/2018/09/05/they-told-me-keep-quiet/obstacles-justice-and-remedy-sexual-assault-survivors</vt:lpwstr>
      </vt:variant>
      <vt:variant>
        <vt:lpwstr/>
      </vt:variant>
      <vt:variant>
        <vt:i4>3211361</vt:i4>
      </vt:variant>
      <vt:variant>
        <vt:i4>75</vt:i4>
      </vt:variant>
      <vt:variant>
        <vt:i4>0</vt:i4>
      </vt:variant>
      <vt:variant>
        <vt:i4>5</vt:i4>
      </vt:variant>
      <vt:variant>
        <vt:lpwstr>https://www.unicef.org/media/88751/file/FGM-Factsheet-2020.pdf</vt:lpwstr>
      </vt:variant>
      <vt:variant>
        <vt:lpwstr/>
      </vt:variant>
      <vt:variant>
        <vt:i4>2949242</vt:i4>
      </vt:variant>
      <vt:variant>
        <vt:i4>72</vt:i4>
      </vt:variant>
      <vt:variant>
        <vt:i4>0</vt:i4>
      </vt:variant>
      <vt:variant>
        <vt:i4>5</vt:i4>
      </vt:variant>
      <vt:variant>
        <vt:lpwstr>https://freedomhouse.org/country/mauritania/freedom-world/2020</vt:lpwstr>
      </vt:variant>
      <vt:variant>
        <vt:lpwstr/>
      </vt:variant>
      <vt:variant>
        <vt:i4>5242931</vt:i4>
      </vt:variant>
      <vt:variant>
        <vt:i4>69</vt:i4>
      </vt:variant>
      <vt:variant>
        <vt:i4>0</vt:i4>
      </vt:variant>
      <vt:variant>
        <vt:i4>5</vt:i4>
      </vt:variant>
      <vt:variant>
        <vt:lpwstr>https://www.orchidproject.org/wp-content/uploads/2019/02/mauritania_law_report_v1_september_2018.pdf</vt:lpwstr>
      </vt:variant>
      <vt:variant>
        <vt:lpwstr/>
      </vt:variant>
      <vt:variant>
        <vt:i4>4915224</vt:i4>
      </vt:variant>
      <vt:variant>
        <vt:i4>66</vt:i4>
      </vt:variant>
      <vt:variant>
        <vt:i4>0</vt:i4>
      </vt:variant>
      <vt:variant>
        <vt:i4>5</vt:i4>
      </vt:variant>
      <vt:variant>
        <vt:lpwstr>https://www.unfpa.org/sites/default/files/admin-resource/FGM-report 12_4_2013.pdf</vt:lpwstr>
      </vt:variant>
      <vt:variant>
        <vt:lpwstr/>
      </vt:variant>
      <vt:variant>
        <vt:i4>2621561</vt:i4>
      </vt:variant>
      <vt:variant>
        <vt:i4>63</vt:i4>
      </vt:variant>
      <vt:variant>
        <vt:i4>0</vt:i4>
      </vt:variant>
      <vt:variant>
        <vt:i4>5</vt:i4>
      </vt:variant>
      <vt:variant>
        <vt:lpwstr>https://onlinelibrary.wiley.com/doi/full/10.1111/sifp.12112</vt:lpwstr>
      </vt:variant>
      <vt:variant>
        <vt:lpwstr/>
      </vt:variant>
      <vt:variant>
        <vt:i4>3866728</vt:i4>
      </vt:variant>
      <vt:variant>
        <vt:i4>60</vt:i4>
      </vt:variant>
      <vt:variant>
        <vt:i4>0</vt:i4>
      </vt:variant>
      <vt:variant>
        <vt:i4>5</vt:i4>
      </vt:variant>
      <vt:variant>
        <vt:lpwstr>https://www.hrw.org/report/2018/09/05/they-told-me-keep-quiet/obstacles-justice-and-remedy-sexual-assault-survivors</vt:lpwstr>
      </vt:variant>
      <vt:variant>
        <vt:lpwstr/>
      </vt:variant>
      <vt:variant>
        <vt:i4>7864426</vt:i4>
      </vt:variant>
      <vt:variant>
        <vt:i4>57</vt:i4>
      </vt:variant>
      <vt:variant>
        <vt:i4>0</vt:i4>
      </vt:variant>
      <vt:variant>
        <vt:i4>5</vt:i4>
      </vt:variant>
      <vt:variant>
        <vt:lpwstr>https://www.hrw.org/news/2019/10/15/letter-president-mohamed-ould-ghazouani</vt:lpwstr>
      </vt:variant>
      <vt:variant>
        <vt:lpwstr/>
      </vt:variant>
      <vt:variant>
        <vt:i4>786465</vt:i4>
      </vt:variant>
      <vt:variant>
        <vt:i4>54</vt:i4>
      </vt:variant>
      <vt:variant>
        <vt:i4>0</vt:i4>
      </vt:variant>
      <vt:variant>
        <vt:i4>5</vt:i4>
      </vt:variant>
      <vt:variant>
        <vt:lpwstr>http://protectingeducation.org/sites/default/files/documents/guidelines_en.pdf</vt:lpwstr>
      </vt:variant>
      <vt:variant>
        <vt:lpwstr/>
      </vt:variant>
      <vt:variant>
        <vt:i4>1179656</vt:i4>
      </vt:variant>
      <vt:variant>
        <vt:i4>51</vt:i4>
      </vt:variant>
      <vt:variant>
        <vt:i4>0</vt:i4>
      </vt:variant>
      <vt:variant>
        <vt:i4>5</vt:i4>
      </vt:variant>
      <vt:variant>
        <vt:lpwstr>https://www.regjeringen.no/globalassets/departementene/ud/vedlegg/utvikling/safe_schools_declaration.pdf</vt:lpwstr>
      </vt:variant>
      <vt:variant>
        <vt:lpwstr/>
      </vt:variant>
      <vt:variant>
        <vt:i4>5111898</vt:i4>
      </vt:variant>
      <vt:variant>
        <vt:i4>48</vt:i4>
      </vt:variant>
      <vt:variant>
        <vt:i4>0</vt:i4>
      </vt:variant>
      <vt:variant>
        <vt:i4>5</vt:i4>
      </vt:variant>
      <vt:variant>
        <vt:lpwstr>https://eua2020.protectingeducation.org/</vt:lpwstr>
      </vt:variant>
      <vt:variant>
        <vt:lpwstr/>
      </vt:variant>
      <vt:variant>
        <vt:i4>196613</vt:i4>
      </vt:variant>
      <vt:variant>
        <vt:i4>45</vt:i4>
      </vt:variant>
      <vt:variant>
        <vt:i4>0</vt:i4>
      </vt:variant>
      <vt:variant>
        <vt:i4>5</vt:i4>
      </vt:variant>
      <vt:variant>
        <vt:lpwstr>https://www.hrw.org/report/2021/05/17/years-dont-wait-them/increased-inequalities-childrens-right-education-due-covid</vt:lpwstr>
      </vt:variant>
      <vt:variant>
        <vt:lpwstr/>
      </vt:variant>
      <vt:variant>
        <vt:i4>7733291</vt:i4>
      </vt:variant>
      <vt:variant>
        <vt:i4>42</vt:i4>
      </vt:variant>
      <vt:variant>
        <vt:i4>0</vt:i4>
      </vt:variant>
      <vt:variant>
        <vt:i4>5</vt:i4>
      </vt:variant>
      <vt:variant>
        <vt:lpwstr>https://www.aa.com.tr/en/africa/mauritania-begins-covid-19-vaccination-campaign/2189322</vt:lpwstr>
      </vt:variant>
      <vt:variant>
        <vt:lpwstr/>
      </vt:variant>
      <vt:variant>
        <vt:i4>7405653</vt:i4>
      </vt:variant>
      <vt:variant>
        <vt:i4>39</vt:i4>
      </vt:variant>
      <vt:variant>
        <vt:i4>0</vt:i4>
      </vt:variant>
      <vt:variant>
        <vt:i4>5</vt:i4>
      </vt:variant>
      <vt:variant>
        <vt:lpwstr>https://reliefweb.int/sites/reliefweb.int/files/resources/UNICEF Mauritania Humanitarian Situation Report No.3_Mid Year - 26 July 2021.pdf</vt:lpwstr>
      </vt:variant>
      <vt:variant>
        <vt:lpwstr/>
      </vt:variant>
      <vt:variant>
        <vt:i4>5242954</vt:i4>
      </vt:variant>
      <vt:variant>
        <vt:i4>36</vt:i4>
      </vt:variant>
      <vt:variant>
        <vt:i4>0</vt:i4>
      </vt:variant>
      <vt:variant>
        <vt:i4>5</vt:i4>
      </vt:variant>
      <vt:variant>
        <vt:lpwstr>https://datareportal.com/reports/digital-2021-mauritania</vt:lpwstr>
      </vt:variant>
      <vt:variant>
        <vt:lpwstr/>
      </vt:variant>
      <vt:variant>
        <vt:i4>7405653</vt:i4>
      </vt:variant>
      <vt:variant>
        <vt:i4>33</vt:i4>
      </vt:variant>
      <vt:variant>
        <vt:i4>0</vt:i4>
      </vt:variant>
      <vt:variant>
        <vt:i4>5</vt:i4>
      </vt:variant>
      <vt:variant>
        <vt:lpwstr>https://reliefweb.int/sites/reliefweb.int/files/resources/UNICEF Mauritania Humanitarian Situation Report No.3_Mid Year - 26 July 2021.pdf</vt:lpwstr>
      </vt:variant>
      <vt:variant>
        <vt:lpwstr/>
      </vt:variant>
      <vt:variant>
        <vt:i4>1245208</vt:i4>
      </vt:variant>
      <vt:variant>
        <vt:i4>30</vt:i4>
      </vt:variant>
      <vt:variant>
        <vt:i4>0</vt:i4>
      </vt:variant>
      <vt:variant>
        <vt:i4>5</vt:i4>
      </vt:variant>
      <vt:variant>
        <vt:lpwstr>https://www.unicef.org/media/63016/file/SOWC-2019.pdf</vt:lpwstr>
      </vt:variant>
      <vt:variant>
        <vt:lpwstr/>
      </vt:variant>
      <vt:variant>
        <vt:i4>2228306</vt:i4>
      </vt:variant>
      <vt:variant>
        <vt:i4>27</vt:i4>
      </vt:variant>
      <vt:variant>
        <vt:i4>0</vt:i4>
      </vt:variant>
      <vt:variant>
        <vt:i4>5</vt:i4>
      </vt:variant>
      <vt:variant>
        <vt:lpwstr>https://tbinternet.ohchr.org/Treaties/CRC/Shared Documents/MRT/INT_CRC_NGO_MRT_32030_E.docx</vt:lpwstr>
      </vt:variant>
      <vt:variant>
        <vt:lpwstr/>
      </vt:variant>
      <vt:variant>
        <vt:i4>2621540</vt:i4>
      </vt:variant>
      <vt:variant>
        <vt:i4>24</vt:i4>
      </vt:variant>
      <vt:variant>
        <vt:i4>0</vt:i4>
      </vt:variant>
      <vt:variant>
        <vt:i4>5</vt:i4>
      </vt:variant>
      <vt:variant>
        <vt:lpwstr>https://www.middleeasteye.net/news/its-time-change-anti-slavery-activist-biram-seeks-power-mauritania-election</vt:lpwstr>
      </vt:variant>
      <vt:variant>
        <vt:lpwstr/>
      </vt:variant>
      <vt:variant>
        <vt:i4>1245210</vt:i4>
      </vt:variant>
      <vt:variant>
        <vt:i4>21</vt:i4>
      </vt:variant>
      <vt:variant>
        <vt:i4>0</vt:i4>
      </vt:variant>
      <vt:variant>
        <vt:i4>5</vt:i4>
      </vt:variant>
      <vt:variant>
        <vt:lpwstr>https://www.voanews.com/africa/unshackled-yet-far-free-former-slaves-struggle-mauritania</vt:lpwstr>
      </vt:variant>
      <vt:variant>
        <vt:lpwstr/>
      </vt:variant>
      <vt:variant>
        <vt:i4>720975</vt:i4>
      </vt:variant>
      <vt:variant>
        <vt:i4>18</vt:i4>
      </vt:variant>
      <vt:variant>
        <vt:i4>0</vt:i4>
      </vt:variant>
      <vt:variant>
        <vt:i4>5</vt:i4>
      </vt:variant>
      <vt:variant>
        <vt:lpwstr>https://www.hrw.org/report/2018/02/12/ethnicity-discrimination-and-other-red-lines/repression-human-rights-defenders</vt:lpwstr>
      </vt:variant>
      <vt:variant>
        <vt:lpwstr/>
      </vt:variant>
      <vt:variant>
        <vt:i4>5373978</vt:i4>
      </vt:variant>
      <vt:variant>
        <vt:i4>15</vt:i4>
      </vt:variant>
      <vt:variant>
        <vt:i4>0</vt:i4>
      </vt:variant>
      <vt:variant>
        <vt:i4>5</vt:i4>
      </vt:variant>
      <vt:variant>
        <vt:lpwstr>https://static1.squarespace.com/static/5a6e0958f6576ebde0e78c18/t/5bfc20354ae237e15d67ede1/1543249998205/Rapport_Droit_%E2%80%A1_l%27%C3%88ducation_et_privatisation_Mauritanie_CDE_-_juillet_2018_-_final+-+EN+v2.pdf</vt:lpwstr>
      </vt:variant>
      <vt:variant>
        <vt:lpwstr/>
      </vt:variant>
      <vt:variant>
        <vt:i4>1245257</vt:i4>
      </vt:variant>
      <vt:variant>
        <vt:i4>12</vt:i4>
      </vt:variant>
      <vt:variant>
        <vt:i4>0</vt:i4>
      </vt:variant>
      <vt:variant>
        <vt:i4>5</vt:i4>
      </vt:variant>
      <vt:variant>
        <vt:lpwstr>https://www.hrw.org/news/2018/03/29/mauritania-administrative-obstacles-keep-kids-school</vt:lpwstr>
      </vt:variant>
      <vt:variant>
        <vt:lpwstr/>
      </vt:variant>
      <vt:variant>
        <vt:i4>2097252</vt:i4>
      </vt:variant>
      <vt:variant>
        <vt:i4>9</vt:i4>
      </vt:variant>
      <vt:variant>
        <vt:i4>0</vt:i4>
      </vt:variant>
      <vt:variant>
        <vt:i4>5</vt:i4>
      </vt:variant>
      <vt:variant>
        <vt:lpwstr>http://www.ohchr.org/EN/NewsEvents/Pages/DisplayNews.aspx?NewsID=19948&amp;LangID=E</vt:lpwstr>
      </vt:variant>
      <vt:variant>
        <vt:lpwstr/>
      </vt:variant>
      <vt:variant>
        <vt:i4>7995490</vt:i4>
      </vt:variant>
      <vt:variant>
        <vt:i4>6</vt:i4>
      </vt:variant>
      <vt:variant>
        <vt:i4>0</vt:i4>
      </vt:variant>
      <vt:variant>
        <vt:i4>5</vt:i4>
      </vt:variant>
      <vt:variant>
        <vt:lpwstr>https://www.opensocietyfoundations.org/voices/fear-and-statelessness-mauritania</vt:lpwstr>
      </vt:variant>
      <vt:variant>
        <vt:lpwstr/>
      </vt:variant>
      <vt:variant>
        <vt:i4>2424959</vt:i4>
      </vt:variant>
      <vt:variant>
        <vt:i4>3</vt:i4>
      </vt:variant>
      <vt:variant>
        <vt:i4>0</vt:i4>
      </vt:variant>
      <vt:variant>
        <vt:i4>5</vt:i4>
      </vt:variant>
      <vt:variant>
        <vt:lpwstr>https://www.hrw.org/news/2018/06/05/submission-human-rights-watch-united-nations-committee-rights-child-concerning</vt:lpwstr>
      </vt:variant>
      <vt:variant>
        <vt:lpwstr/>
      </vt:variant>
      <vt:variant>
        <vt:i4>1245257</vt:i4>
      </vt:variant>
      <vt:variant>
        <vt:i4>0</vt:i4>
      </vt:variant>
      <vt:variant>
        <vt:i4>0</vt:i4>
      </vt:variant>
      <vt:variant>
        <vt:i4>5</vt:i4>
      </vt:variant>
      <vt:variant>
        <vt:lpwstr>https://www.hrw.org/news/2018/03/29/mauritania-administrative-obstacles-keep-kids-school</vt:lpwstr>
      </vt:variant>
      <vt:variant>
        <vt:lpwstr/>
      </vt:variant>
      <vt:variant>
        <vt:i4>8126550</vt:i4>
      </vt:variant>
      <vt:variant>
        <vt:i4>12</vt:i4>
      </vt:variant>
      <vt:variant>
        <vt:i4>0</vt:i4>
      </vt:variant>
      <vt:variant>
        <vt:i4>5</vt:i4>
      </vt:variant>
      <vt:variant>
        <vt:lpwstr>mailto:vanesvb@hrw.org</vt:lpwstr>
      </vt:variant>
      <vt:variant>
        <vt:lpwstr/>
      </vt:variant>
      <vt:variant>
        <vt:i4>8061000</vt:i4>
      </vt:variant>
      <vt:variant>
        <vt:i4>9</vt:i4>
      </vt:variant>
      <vt:variant>
        <vt:i4>0</vt:i4>
      </vt:variant>
      <vt:variant>
        <vt:i4>5</vt:i4>
      </vt:variant>
      <vt:variant>
        <vt:lpwstr>mailto:elgamaa@hrw.org</vt:lpwstr>
      </vt:variant>
      <vt:variant>
        <vt:lpwstr/>
      </vt:variant>
      <vt:variant>
        <vt:i4>8126550</vt:i4>
      </vt:variant>
      <vt:variant>
        <vt:i4>6</vt:i4>
      </vt:variant>
      <vt:variant>
        <vt:i4>0</vt:i4>
      </vt:variant>
      <vt:variant>
        <vt:i4>5</vt:i4>
      </vt:variant>
      <vt:variant>
        <vt:lpwstr>mailto:vanesvb@hrw.org</vt:lpwstr>
      </vt:variant>
      <vt:variant>
        <vt:lpwstr/>
      </vt:variant>
      <vt:variant>
        <vt:i4>8126550</vt:i4>
      </vt:variant>
      <vt:variant>
        <vt:i4>3</vt:i4>
      </vt:variant>
      <vt:variant>
        <vt:i4>0</vt:i4>
      </vt:variant>
      <vt:variant>
        <vt:i4>5</vt:i4>
      </vt:variant>
      <vt:variant>
        <vt:lpwstr>mailto:vanesvb@hrw.org</vt:lpwstr>
      </vt:variant>
      <vt:variant>
        <vt:lpwstr/>
      </vt:variant>
      <vt:variant>
        <vt:i4>3604567</vt:i4>
      </vt:variant>
      <vt:variant>
        <vt:i4>0</vt:i4>
      </vt:variant>
      <vt:variant>
        <vt:i4>0</vt:i4>
      </vt:variant>
      <vt:variant>
        <vt:i4>5</vt:i4>
      </vt:variant>
      <vt:variant>
        <vt:lpwstr>https://www.hrw.org/report/2018/02/12/ethnicity-discrimination-and-other-red-lines/repression-human-rights-defenders</vt:lpwstr>
      </vt:variant>
      <vt:variant>
        <vt:lpwstr>_ftn34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Elgamal</dc:creator>
  <cp:keywords/>
  <dc:description/>
  <cp:lastModifiedBy>REYNAUD Céline</cp:lastModifiedBy>
  <cp:revision>2</cp:revision>
  <dcterms:created xsi:type="dcterms:W3CDTF">2021-08-31T20:16:00Z</dcterms:created>
  <dcterms:modified xsi:type="dcterms:W3CDTF">2021-08-31T20:16:00Z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