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01E297" w14:textId="77777777" w:rsidR="00133A42" w:rsidRPr="00176257" w:rsidRDefault="00000000" w:rsidP="00176257">
      <w:pPr>
        <w:spacing w:after="120"/>
        <w:ind w:left="-426" w:right="-330"/>
        <w:jc w:val="center"/>
        <w:rPr>
          <w:color w:val="auto"/>
        </w:rPr>
      </w:pPr>
      <w:r w:rsidRPr="00176257">
        <w:rPr>
          <w:b/>
          <w:bCs/>
          <w:color w:val="auto"/>
        </w:rPr>
        <w:t>Alternative report to the Committee on the Elimination of Racial Discrimination on India's combined twentieth and twenty-first periodic reports</w:t>
      </w:r>
    </w:p>
    <w:p w14:paraId="475E7839" w14:textId="77777777" w:rsidR="00133A42" w:rsidRPr="00176257" w:rsidRDefault="00000000" w:rsidP="00176257">
      <w:pPr>
        <w:spacing w:before="120" w:after="120"/>
        <w:ind w:left="-426" w:right="-330"/>
        <w:jc w:val="center"/>
        <w:rPr>
          <w:color w:val="auto"/>
        </w:rPr>
      </w:pPr>
      <w:r w:rsidRPr="00176257">
        <w:rPr>
          <w:color w:val="auto"/>
        </w:rPr>
        <w:t>118th session (10–25 August 2026)</w:t>
      </w:r>
    </w:p>
    <w:p w14:paraId="0E36F37C" w14:textId="77777777" w:rsidR="00133A42" w:rsidRPr="00176257" w:rsidRDefault="00000000" w:rsidP="00176257">
      <w:pPr>
        <w:spacing w:before="240" w:after="120"/>
        <w:ind w:left="-426" w:right="-330"/>
        <w:jc w:val="center"/>
        <w:rPr>
          <w:color w:val="auto"/>
          <w:sz w:val="20"/>
          <w:szCs w:val="20"/>
        </w:rPr>
      </w:pPr>
      <w:r w:rsidRPr="00176257">
        <w:rPr>
          <w:b/>
          <w:bCs/>
          <w:color w:val="auto"/>
          <w:sz w:val="20"/>
          <w:szCs w:val="20"/>
        </w:rPr>
        <w:t>Submitted by:</w:t>
      </w:r>
    </w:p>
    <w:p w14:paraId="6D27882D" w14:textId="77777777" w:rsidR="00133A42" w:rsidRPr="00176257" w:rsidRDefault="00000000" w:rsidP="00176257">
      <w:pPr>
        <w:spacing w:before="120" w:after="120"/>
        <w:ind w:left="-426" w:right="-330"/>
        <w:jc w:val="center"/>
        <w:rPr>
          <w:color w:val="auto"/>
          <w:sz w:val="20"/>
          <w:szCs w:val="20"/>
        </w:rPr>
      </w:pPr>
      <w:r w:rsidRPr="00176257">
        <w:rPr>
          <w:color w:val="auto"/>
          <w:sz w:val="20"/>
          <w:szCs w:val="20"/>
        </w:rPr>
        <w:t>Dalit Human Rights Defenders Network (</w:t>
      </w:r>
      <w:proofErr w:type="spellStart"/>
      <w:r w:rsidRPr="00176257">
        <w:rPr>
          <w:color w:val="auto"/>
          <w:sz w:val="20"/>
          <w:szCs w:val="20"/>
        </w:rPr>
        <w:t>DHRDNet</w:t>
      </w:r>
      <w:proofErr w:type="spellEnd"/>
      <w:r w:rsidRPr="00176257">
        <w:rPr>
          <w:color w:val="auto"/>
          <w:sz w:val="20"/>
          <w:szCs w:val="20"/>
        </w:rPr>
        <w:t>)</w:t>
      </w:r>
      <w:r w:rsidRPr="00176257">
        <w:rPr>
          <w:rStyle w:val="FootnoteReference"/>
          <w:color w:val="auto"/>
          <w:sz w:val="20"/>
          <w:szCs w:val="20"/>
        </w:rPr>
        <w:footnoteReference w:id="1"/>
      </w:r>
      <w:r w:rsidRPr="00176257">
        <w:rPr>
          <w:color w:val="auto"/>
          <w:sz w:val="20"/>
          <w:szCs w:val="20"/>
        </w:rPr>
        <w:br/>
        <w:t>Indian Alliance Paris (IAP)</w:t>
      </w:r>
      <w:r w:rsidRPr="00176257">
        <w:rPr>
          <w:rStyle w:val="FootnoteReference"/>
          <w:color w:val="auto"/>
          <w:sz w:val="20"/>
          <w:szCs w:val="20"/>
        </w:rPr>
        <w:footnoteReference w:id="2"/>
      </w:r>
      <w:r w:rsidRPr="00176257">
        <w:rPr>
          <w:color w:val="auto"/>
          <w:sz w:val="20"/>
          <w:szCs w:val="20"/>
        </w:rPr>
        <w:br/>
        <w:t>International Solidarity for Academic Freedom in India (</w:t>
      </w:r>
      <w:proofErr w:type="spellStart"/>
      <w:r w:rsidRPr="00176257">
        <w:rPr>
          <w:color w:val="auto"/>
          <w:sz w:val="20"/>
          <w:szCs w:val="20"/>
        </w:rPr>
        <w:t>InSAF</w:t>
      </w:r>
      <w:proofErr w:type="spellEnd"/>
      <w:r w:rsidRPr="00176257">
        <w:rPr>
          <w:color w:val="auto"/>
          <w:sz w:val="20"/>
          <w:szCs w:val="20"/>
        </w:rPr>
        <w:t xml:space="preserve"> India)</w:t>
      </w:r>
      <w:r w:rsidRPr="00176257">
        <w:rPr>
          <w:rStyle w:val="FootnoteReference"/>
          <w:color w:val="auto"/>
          <w:sz w:val="20"/>
          <w:szCs w:val="20"/>
        </w:rPr>
        <w:footnoteReference w:id="3"/>
      </w:r>
      <w:r w:rsidRPr="00176257">
        <w:rPr>
          <w:color w:val="auto"/>
          <w:sz w:val="20"/>
          <w:szCs w:val="20"/>
        </w:rPr>
        <w:br/>
        <w:t>National Council of Women Leaders (NCWL)</w:t>
      </w:r>
      <w:r w:rsidRPr="00176257">
        <w:rPr>
          <w:rStyle w:val="FootnoteReference"/>
          <w:color w:val="auto"/>
          <w:sz w:val="20"/>
          <w:szCs w:val="20"/>
        </w:rPr>
        <w:footnoteReference w:id="4"/>
      </w:r>
      <w:r w:rsidRPr="00176257">
        <w:rPr>
          <w:color w:val="auto"/>
          <w:sz w:val="20"/>
          <w:szCs w:val="20"/>
        </w:rPr>
        <w:br/>
        <w:t>South Asia Justice Campaign (SAJC)</w:t>
      </w:r>
      <w:r w:rsidRPr="00176257">
        <w:rPr>
          <w:rStyle w:val="FootnoteReference"/>
          <w:color w:val="auto"/>
          <w:sz w:val="20"/>
          <w:szCs w:val="20"/>
        </w:rPr>
        <w:footnoteReference w:id="5"/>
      </w:r>
      <w:r w:rsidRPr="00176257">
        <w:rPr>
          <w:color w:val="auto"/>
          <w:sz w:val="20"/>
          <w:szCs w:val="20"/>
        </w:rPr>
        <w:br/>
        <w:t>International Federation for Human Rights (FIDH)</w:t>
      </w:r>
      <w:r w:rsidRPr="00176257">
        <w:rPr>
          <w:rStyle w:val="FootnoteReference"/>
          <w:color w:val="auto"/>
          <w:sz w:val="20"/>
          <w:szCs w:val="20"/>
        </w:rPr>
        <w:footnoteReference w:id="6"/>
      </w:r>
      <w:r w:rsidRPr="00176257">
        <w:rPr>
          <w:color w:val="auto"/>
          <w:sz w:val="20"/>
          <w:szCs w:val="20"/>
        </w:rPr>
        <w:br/>
      </w:r>
      <w:proofErr w:type="spellStart"/>
      <w:r w:rsidRPr="00176257">
        <w:rPr>
          <w:color w:val="auto"/>
          <w:sz w:val="20"/>
          <w:szCs w:val="20"/>
        </w:rPr>
        <w:t>Bagaicha</w:t>
      </w:r>
      <w:proofErr w:type="spellEnd"/>
      <w:r w:rsidRPr="00176257">
        <w:rPr>
          <w:color w:val="auto"/>
          <w:sz w:val="20"/>
          <w:szCs w:val="20"/>
        </w:rPr>
        <w:t xml:space="preserve"> Social Institute</w:t>
      </w:r>
      <w:r w:rsidRPr="00176257">
        <w:rPr>
          <w:rStyle w:val="FootnoteReference"/>
          <w:color w:val="auto"/>
          <w:sz w:val="20"/>
          <w:szCs w:val="20"/>
        </w:rPr>
        <w:footnoteReference w:id="7"/>
      </w:r>
    </w:p>
    <w:p w14:paraId="20A02607" w14:textId="1B26DDD9" w:rsidR="00133A42" w:rsidRPr="00176257" w:rsidRDefault="00000000" w:rsidP="00176257">
      <w:pPr>
        <w:spacing w:before="120" w:after="120"/>
        <w:ind w:left="-426" w:right="-330"/>
        <w:jc w:val="center"/>
        <w:rPr>
          <w:color w:val="auto"/>
          <w:sz w:val="20"/>
          <w:szCs w:val="20"/>
        </w:rPr>
      </w:pPr>
      <w:r w:rsidRPr="00176257">
        <w:rPr>
          <w:color w:val="auto"/>
          <w:sz w:val="20"/>
          <w:szCs w:val="20"/>
        </w:rPr>
        <w:t xml:space="preserve">Contact: </w:t>
      </w:r>
      <w:hyperlink r:id="rId7" w:history="1">
        <w:r w:rsidR="00882268" w:rsidRPr="00176257">
          <w:rPr>
            <w:rStyle w:val="Hyperlink"/>
            <w:color w:val="auto"/>
            <w:sz w:val="20"/>
            <w:szCs w:val="20"/>
          </w:rPr>
          <w:t>southasiajusticecampaign@protonmail.com</w:t>
        </w:r>
      </w:hyperlink>
      <w:r w:rsidR="00176257">
        <w:rPr>
          <w:color w:val="auto"/>
        </w:rPr>
        <w:t xml:space="preserve">  </w:t>
      </w:r>
      <w:r w:rsidR="00882268" w:rsidRPr="00176257">
        <w:rPr>
          <w:color w:val="auto"/>
          <w:sz w:val="20"/>
          <w:szCs w:val="20"/>
        </w:rPr>
        <w:t xml:space="preserve"> </w:t>
      </w:r>
    </w:p>
    <w:p w14:paraId="3ADFA1CD" w14:textId="77777777" w:rsidR="00133A42" w:rsidRPr="00176257" w:rsidRDefault="00000000" w:rsidP="00176257">
      <w:pPr>
        <w:spacing w:before="120" w:after="120"/>
        <w:ind w:left="-426" w:right="-330"/>
        <w:jc w:val="both"/>
        <w:rPr>
          <w:color w:val="auto"/>
        </w:rPr>
      </w:pPr>
      <w:r w:rsidRPr="00176257">
        <w:rPr>
          <w:color w:val="auto"/>
        </w:rPr>
        <w:t>1. The undersigned coalition of organisations submits this alternative report to aid the Committee's consideration of India's combined twentieth and twenty-first periodic reports at the 118th session (10–25 August 2026). The coalition comprises Indian, diaspora-based and international civil society and human rights organisations. India was last reviewed by the Committee in 2007.</w:t>
      </w:r>
    </w:p>
    <w:p w14:paraId="304F0559" w14:textId="77777777" w:rsidR="00133A42" w:rsidRPr="00176257" w:rsidRDefault="00000000" w:rsidP="00176257">
      <w:pPr>
        <w:spacing w:before="120" w:after="120"/>
        <w:ind w:left="-426" w:right="-330"/>
        <w:jc w:val="both"/>
        <w:rPr>
          <w:color w:val="auto"/>
        </w:rPr>
      </w:pPr>
      <w:r w:rsidRPr="00176257">
        <w:rPr>
          <w:color w:val="auto"/>
        </w:rPr>
        <w:t>2. India's combined periodic report, due on 4 January 2010, was submitted thirteen years late. India has not made a declaration under Article 14 of the Convention accepting individual communications. The Committee's 2007 recommendations remain largely unimplemented, and on several issues the situation has worsened. The Committee has addressed multiple communications to India under the early warning and urgent action procedure (EWUAP) in recent years—on Bengali-speaking Muslims in Assam State, tribal and forest-dwelling Indigenous Peoples, including the Indigenous Adivasi peoples in Chhattisgarh State, and Rohingya refugees—but India has not engaged substantively with any of them.</w:t>
      </w:r>
    </w:p>
    <w:p w14:paraId="628CF2EF" w14:textId="77777777" w:rsidR="00133A42" w:rsidRPr="00176257" w:rsidRDefault="00000000" w:rsidP="00176257">
      <w:pPr>
        <w:spacing w:before="120" w:after="120"/>
        <w:ind w:left="-426" w:right="-330"/>
        <w:jc w:val="both"/>
        <w:rPr>
          <w:color w:val="auto"/>
        </w:rPr>
      </w:pPr>
      <w:r w:rsidRPr="00176257">
        <w:rPr>
          <w:color w:val="auto"/>
        </w:rPr>
        <w:t>3. This submission assesses India's compliance with the Convention with respect to Dalits (caste-discriminated communities), Adivasi peoples, and ethno-religious groups, especially Indian Muslims. The Committee has long recognised that Dalits and Adivasis fall within the scope of the Convention, on grounds of descent and ethnic-origin respectively. Recently the Committee has also recognised ethno-religious groups, including Bengali-speaking Muslims and Kashmiri Muslims, as falling within ICERD's scope. The submitting organisations argue that this scope should be expanded to include other religious minority communities in India, especially Muslims in specific geographies who face discrimination on grounds falling within Article 1 of the Convention. The submission draws on government data, UN reports, and independent civil society documentation. It is organised following the structure of the Committee's List of Themes published on 16 June 2026.</w:t>
      </w:r>
      <w:r w:rsidRPr="00176257">
        <w:rPr>
          <w:rStyle w:val="FootnoteReference"/>
          <w:color w:val="auto"/>
        </w:rPr>
        <w:footnoteReference w:id="8"/>
      </w:r>
      <w:r w:rsidRPr="00176257">
        <w:rPr>
          <w:color w:val="auto"/>
        </w:rPr>
        <w:t xml:space="preserve"> A list of recommendations is provided at the end, for the Committee's kind consideration.</w:t>
      </w:r>
    </w:p>
    <w:p w14:paraId="54509F3A" w14:textId="77777777" w:rsidR="00133A42" w:rsidRPr="00176257" w:rsidRDefault="00000000" w:rsidP="00176257">
      <w:pPr>
        <w:spacing w:before="240" w:after="120"/>
        <w:ind w:left="-426" w:right="-330"/>
        <w:rPr>
          <w:color w:val="auto"/>
        </w:rPr>
      </w:pPr>
      <w:r w:rsidRPr="00176257">
        <w:rPr>
          <w:b/>
          <w:bCs/>
          <w:color w:val="auto"/>
        </w:rPr>
        <w:t>I. Definition of racial discrimination</w:t>
      </w:r>
    </w:p>
    <w:p w14:paraId="33F95D32" w14:textId="77777777" w:rsidR="00133A42" w:rsidRPr="00176257" w:rsidRDefault="00000000" w:rsidP="00176257">
      <w:pPr>
        <w:spacing w:before="120" w:after="120"/>
        <w:ind w:left="-426" w:right="-330"/>
        <w:jc w:val="both"/>
        <w:rPr>
          <w:color w:val="auto"/>
        </w:rPr>
      </w:pPr>
      <w:r w:rsidRPr="00176257">
        <w:rPr>
          <w:color w:val="auto"/>
        </w:rPr>
        <w:t>4. The Committee has established that caste-based discrimination constitutes descent-based discrimination under Article 1, affirming this in General Recommendation No. 29 (2002), the 2007 concluding observations on India (hereinafter "2007 COs") (para. 8), and the List of Issues Prior to Reporting (hereinafter "</w:t>
      </w:r>
      <w:proofErr w:type="spellStart"/>
      <w:r w:rsidRPr="00176257">
        <w:rPr>
          <w:color w:val="auto"/>
        </w:rPr>
        <w:t>LoIPR</w:t>
      </w:r>
      <w:proofErr w:type="spellEnd"/>
      <w:r w:rsidRPr="00176257">
        <w:rPr>
          <w:color w:val="auto"/>
        </w:rPr>
        <w:t xml:space="preserve">") (para. 4). The </w:t>
      </w:r>
      <w:proofErr w:type="spellStart"/>
      <w:r w:rsidRPr="00176257">
        <w:rPr>
          <w:color w:val="auto"/>
        </w:rPr>
        <w:t>LoIPR</w:t>
      </w:r>
      <w:proofErr w:type="spellEnd"/>
      <w:r w:rsidRPr="00176257">
        <w:rPr>
          <w:color w:val="auto"/>
        </w:rPr>
        <w:t xml:space="preserve"> requested India to provide information showing the extent to which its legal framework prohibits racial discrimination in line with this definition. India's State Party Report (hereinafter "SPR") does not answer this question, instead reiterating that "caste cannot be equated with race or covered within descent," that information </w:t>
      </w:r>
      <w:r w:rsidRPr="00176257">
        <w:rPr>
          <w:color w:val="auto"/>
        </w:rPr>
        <w:lastRenderedPageBreak/>
        <w:t>on Scheduled Castes and Scheduled Tribes</w:t>
      </w:r>
      <w:r w:rsidRPr="00176257">
        <w:rPr>
          <w:rStyle w:val="FootnoteReference"/>
          <w:color w:val="auto"/>
        </w:rPr>
        <w:footnoteReference w:id="9"/>
      </w:r>
      <w:r w:rsidRPr="00176257">
        <w:rPr>
          <w:color w:val="auto"/>
        </w:rPr>
        <w:t xml:space="preserve"> is provided "purely in a spirit of transparency and out of courtesy" (para. 2), and that the Committee "ignored the Convention's drafting history" (para. 3). India thus enters the present review maintaining that it has no Convention obligation to report on caste-based discrimination.</w:t>
      </w:r>
    </w:p>
    <w:p w14:paraId="00791AF0" w14:textId="77777777" w:rsidR="00133A42" w:rsidRPr="00176257" w:rsidRDefault="00000000" w:rsidP="00176257">
      <w:pPr>
        <w:spacing w:before="120" w:after="120"/>
        <w:ind w:left="-426" w:right="-330"/>
        <w:jc w:val="both"/>
        <w:rPr>
          <w:color w:val="auto"/>
        </w:rPr>
      </w:pPr>
      <w:r w:rsidRPr="00176257">
        <w:rPr>
          <w:color w:val="auto"/>
        </w:rPr>
        <w:t xml:space="preserve">5. Similarly, the Committee noted in the 2007 COs (para. 10) that India does not recognise its Indigenous Peoples as distinct groups entitled to special protection under the Convention, and recommended formal recognition with reference to General Recommendation No. 23. The </w:t>
      </w:r>
      <w:proofErr w:type="spellStart"/>
      <w:r w:rsidRPr="00176257">
        <w:rPr>
          <w:color w:val="auto"/>
        </w:rPr>
        <w:t>LoIPR</w:t>
      </w:r>
      <w:proofErr w:type="spellEnd"/>
      <w:r w:rsidRPr="00176257">
        <w:rPr>
          <w:color w:val="auto"/>
        </w:rPr>
        <w:t xml:space="preserve"> (para. 5) reiterated the request. The SPR does not address recognition, instead providing scheduling criteria, welfare allocations, and programme descriptions for Scheduled Tribes (paras. 21–27) without engaging with General Recommendation No. 23.</w:t>
      </w:r>
      <w:r w:rsidRPr="00176257">
        <w:rPr>
          <w:rStyle w:val="FootnoteReference"/>
          <w:color w:val="auto"/>
        </w:rPr>
        <w:footnoteReference w:id="10"/>
      </w:r>
      <w:r w:rsidRPr="00176257">
        <w:rPr>
          <w:color w:val="auto"/>
        </w:rPr>
        <w:t xml:space="preserve"> India maintains that Scheduled Tribe members are "of the same racial and ethnic origin as other Indians" (SPR, para. 2) against longstanding historical and cultural evidence to the contrary.</w:t>
      </w:r>
    </w:p>
    <w:p w14:paraId="410B1F83" w14:textId="77777777" w:rsidR="00133A42" w:rsidRPr="00176257" w:rsidRDefault="00000000" w:rsidP="00176257">
      <w:pPr>
        <w:spacing w:before="120" w:after="120"/>
        <w:ind w:left="-426" w:right="-330"/>
        <w:jc w:val="both"/>
        <w:rPr>
          <w:color w:val="auto"/>
        </w:rPr>
      </w:pPr>
      <w:r w:rsidRPr="00176257">
        <w:rPr>
          <w:color w:val="auto"/>
        </w:rPr>
        <w:t>6. The submitting organisations contend that the systematic targeting of India's over 200 million Muslims – especially in specific geographies such as the States of Gujarat, Madhya Pradesh, Uttar Pradesh, Uttarakhand and West Bengal among others - also constitutes racial discrimination within the meaning of Article 1(1). The Committee has already characterised the treatment of specific Muslim communities in India as engaging the Convention's grounds: Bengali-speaking Muslims in Assam State on grounds of descent, ethno-religious and ethnic origin—with linguistic identity used as an identifying marker in the targeting—Rohingya refugees on grounds of national origin and ethnic origin, and Kashmiri Muslims on grounds of ethnic or national origin.</w:t>
      </w:r>
      <w:r w:rsidRPr="00176257">
        <w:rPr>
          <w:rStyle w:val="FootnoteReference"/>
          <w:color w:val="auto"/>
        </w:rPr>
        <w:footnoteReference w:id="11"/>
      </w:r>
      <w:r w:rsidRPr="00176257">
        <w:rPr>
          <w:color w:val="auto"/>
        </w:rPr>
        <w:t xml:space="preserve"> The same racialisation operates against India's Muslims in the identified geographies. The principle that a group's subjective construction as racially distinct suffices to trigger Convention protection—regardless of objective biological criteria—is well established in international criminal law jurisprudence.</w:t>
      </w:r>
      <w:r w:rsidRPr="00176257">
        <w:rPr>
          <w:rStyle w:val="FootnoteReference"/>
          <w:color w:val="auto"/>
        </w:rPr>
        <w:footnoteReference w:id="12"/>
      </w:r>
      <w:r w:rsidRPr="00176257">
        <w:rPr>
          <w:color w:val="auto"/>
        </w:rPr>
        <w:t xml:space="preserve"> The Hindu nationalist ideology promoted by the ruling Bharatiya Janata Party (BJP) has effectively constructed Muslims as a descent-based outsider group through imputed foreign ancestry, appearance-based markers, and spatial targeting.</w:t>
      </w:r>
      <w:r w:rsidRPr="00176257">
        <w:rPr>
          <w:rStyle w:val="FootnoteReference"/>
          <w:color w:val="auto"/>
        </w:rPr>
        <w:footnoteReference w:id="13"/>
      </w:r>
      <w:r w:rsidRPr="00176257">
        <w:rPr>
          <w:color w:val="auto"/>
        </w:rPr>
        <w:t xml:space="preserve"> General Recommendation No. 32 affirms that discrimination on grounds of religion in combination with a listed ground falls within the Convention's scope (para. 7), and General Recommendation No. 35 identifies Islamophobia as a form of racist hate speech within the Convention's remit (para. 6).</w:t>
      </w:r>
      <w:r w:rsidRPr="00176257">
        <w:rPr>
          <w:rStyle w:val="FootnoteReference"/>
          <w:color w:val="auto"/>
        </w:rPr>
        <w:footnoteReference w:id="14"/>
      </w:r>
    </w:p>
    <w:p w14:paraId="62C4B284" w14:textId="77777777" w:rsidR="00133A42" w:rsidRPr="00176257" w:rsidRDefault="00000000" w:rsidP="00176257">
      <w:pPr>
        <w:spacing w:before="120" w:after="120"/>
        <w:ind w:left="-426" w:right="-330"/>
        <w:jc w:val="both"/>
        <w:rPr>
          <w:color w:val="auto"/>
        </w:rPr>
      </w:pPr>
      <w:r w:rsidRPr="00176257">
        <w:rPr>
          <w:b/>
          <w:bCs/>
          <w:color w:val="auto"/>
        </w:rPr>
        <w:lastRenderedPageBreak/>
        <w:t>II. Statistics</w:t>
      </w:r>
      <w:r w:rsidRPr="00176257">
        <w:rPr>
          <w:rStyle w:val="FootnoteReference"/>
          <w:color w:val="auto"/>
        </w:rPr>
        <w:footnoteReference w:id="15"/>
      </w:r>
    </w:p>
    <w:p w14:paraId="2F0153A9" w14:textId="77777777" w:rsidR="00133A42" w:rsidRPr="00176257" w:rsidRDefault="00000000" w:rsidP="00176257">
      <w:pPr>
        <w:spacing w:before="120" w:after="120"/>
        <w:ind w:left="-426" w:right="-330"/>
        <w:jc w:val="both"/>
        <w:rPr>
          <w:color w:val="auto"/>
        </w:rPr>
      </w:pPr>
      <w:r w:rsidRPr="00176257">
        <w:rPr>
          <w:color w:val="auto"/>
        </w:rPr>
        <w:t>7. India's SPR relies entirely on the 2011 Census. The decennial Census due in 2021 was repeatedly deferred, the first such interruption in 150 years of census operations.</w:t>
      </w:r>
      <w:r w:rsidRPr="00176257">
        <w:rPr>
          <w:rStyle w:val="FootnoteReference"/>
          <w:color w:val="auto"/>
        </w:rPr>
        <w:footnoteReference w:id="16"/>
      </w:r>
      <w:r w:rsidRPr="00176257">
        <w:rPr>
          <w:color w:val="auto"/>
        </w:rPr>
        <w:t xml:space="preserve"> The exercise is finally underway, with provisional totals expected by mid-2027, but disaggregated data has historically taken years to publish.</w:t>
      </w:r>
      <w:r w:rsidRPr="00176257">
        <w:rPr>
          <w:rStyle w:val="FootnoteReference"/>
          <w:color w:val="auto"/>
        </w:rPr>
        <w:footnoteReference w:id="17"/>
      </w:r>
      <w:r w:rsidRPr="00176257">
        <w:rPr>
          <w:color w:val="auto"/>
        </w:rPr>
        <w:t xml:space="preserve"> The Census does not include a question on race or ethnic origin. With no census conducted since 2011, welfare programmes, national surveys, and the application of protective legislation have lacked a current population baseline.</w:t>
      </w:r>
      <w:r w:rsidRPr="00176257">
        <w:rPr>
          <w:rStyle w:val="FootnoteReference"/>
          <w:color w:val="auto"/>
        </w:rPr>
        <w:footnoteReference w:id="18"/>
      </w:r>
      <w:r w:rsidRPr="00176257">
        <w:rPr>
          <w:color w:val="auto"/>
        </w:rPr>
        <w:t xml:space="preserve"> Scheduled Caste status is restricted to adherents of Hinduism, Sikhism and Buddhism, rendering Muslim and Christian Dalits invisible in caste-disaggregated statistics, and periodic official data are not adequately disaggregated by religious or ethnic group.</w:t>
      </w:r>
      <w:r w:rsidRPr="00176257">
        <w:rPr>
          <w:rStyle w:val="FootnoteReference"/>
          <w:color w:val="auto"/>
        </w:rPr>
        <w:footnoteReference w:id="19"/>
      </w:r>
      <w:r w:rsidRPr="00176257">
        <w:rPr>
          <w:color w:val="auto"/>
        </w:rPr>
        <w:t xml:space="preserve"> Specific data, where available, is provided in the relevant sections below.</w:t>
      </w:r>
    </w:p>
    <w:p w14:paraId="60F34ED6" w14:textId="77777777" w:rsidR="00133A42" w:rsidRPr="00176257" w:rsidRDefault="00000000" w:rsidP="00176257">
      <w:pPr>
        <w:spacing w:before="120" w:after="120"/>
        <w:ind w:left="-426" w:right="-330"/>
        <w:jc w:val="both"/>
        <w:rPr>
          <w:color w:val="auto"/>
        </w:rPr>
      </w:pPr>
      <w:r w:rsidRPr="00176257">
        <w:rPr>
          <w:b/>
          <w:bCs/>
          <w:color w:val="auto"/>
        </w:rPr>
        <w:t>III. The Convention in domestic law and the institutional and policy framework for its implementation (arts. 2, 3, 4, 5 and 6)</w:t>
      </w:r>
      <w:r w:rsidRPr="00176257">
        <w:rPr>
          <w:rStyle w:val="FootnoteReference"/>
          <w:color w:val="auto"/>
        </w:rPr>
        <w:footnoteReference w:id="20"/>
      </w:r>
    </w:p>
    <w:p w14:paraId="71245CC7" w14:textId="10C66F5A" w:rsidR="00133A42" w:rsidRPr="00176257" w:rsidRDefault="00000000" w:rsidP="00176257">
      <w:pPr>
        <w:spacing w:before="120" w:after="120"/>
        <w:ind w:left="-426" w:right="-330"/>
        <w:jc w:val="both"/>
        <w:rPr>
          <w:color w:val="auto"/>
        </w:rPr>
      </w:pPr>
      <w:r w:rsidRPr="00176257">
        <w:rPr>
          <w:color w:val="auto"/>
        </w:rPr>
        <w:t>8. Asked to demonstrate that its legal framework prohibits racial discrimination on all grounds in Article 1 (</w:t>
      </w:r>
      <w:proofErr w:type="spellStart"/>
      <w:r w:rsidRPr="00176257">
        <w:rPr>
          <w:color w:val="auto"/>
        </w:rPr>
        <w:t>LoIPR</w:t>
      </w:r>
      <w:proofErr w:type="spellEnd"/>
      <w:r w:rsidRPr="00176257">
        <w:rPr>
          <w:color w:val="auto"/>
        </w:rPr>
        <w:t>, para. 4), India's SPR (paras. 28–37) lists protections for Scheduled Castes and Scheduled Tribes—the Protection of Civil Rights Act 1955, the Prevention of Atrocities Act 1989 (</w:t>
      </w:r>
      <w:proofErr w:type="spellStart"/>
      <w:r w:rsidRPr="00176257">
        <w:rPr>
          <w:color w:val="auto"/>
        </w:rPr>
        <w:t>PoA</w:t>
      </w:r>
      <w:proofErr w:type="spellEnd"/>
      <w:r w:rsidRPr="00176257">
        <w:rPr>
          <w:color w:val="auto"/>
        </w:rPr>
        <w:t>), welfare schemes, and budgetary allocations. India has enacted group-specific statutes for Scheduled Castes and Scheduled Tribes, women, persons with disabilities, and transgender persons, but no comparable statutory protection exists for religious minorities, linguistic minorities, or non-citizens.</w:t>
      </w:r>
      <w:r w:rsidRPr="00176257">
        <w:rPr>
          <w:rStyle w:val="FootnoteReference"/>
          <w:color w:val="auto"/>
        </w:rPr>
        <w:footnoteReference w:id="21"/>
      </w:r>
      <w:r w:rsidRPr="00176257">
        <w:rPr>
          <w:color w:val="auto"/>
        </w:rPr>
        <w:t xml:space="preserve"> The </w:t>
      </w:r>
      <w:proofErr w:type="spellStart"/>
      <w:r w:rsidRPr="00176257">
        <w:rPr>
          <w:color w:val="auto"/>
        </w:rPr>
        <w:t>PoA</w:t>
      </w:r>
      <w:proofErr w:type="spellEnd"/>
      <w:r w:rsidRPr="00176257">
        <w:rPr>
          <w:color w:val="auto"/>
        </w:rPr>
        <w:t>—the strongest instrument in the existing patchwork—covers only criminal atrocities and provides no civil remedy for discrimination in housing, employment, education, or services.</w:t>
      </w:r>
      <w:r w:rsidRPr="00176257">
        <w:rPr>
          <w:rStyle w:val="FootnoteReference"/>
          <w:color w:val="auto"/>
        </w:rPr>
        <w:footnoteReference w:id="22"/>
      </w:r>
      <w:r w:rsidRPr="00176257">
        <w:rPr>
          <w:color w:val="auto"/>
        </w:rPr>
        <w:t xml:space="preserve"> In 2018, the Supreme Court imposed a requirement for preliminary inquiries before complaints could be registered, and a legislative amendment was needed the same year to undo the damage (the restored protections were upheld in 2020).</w:t>
      </w:r>
      <w:r w:rsidRPr="00176257">
        <w:rPr>
          <w:rStyle w:val="FootnoteReference"/>
          <w:color w:val="auto"/>
        </w:rPr>
        <w:footnoteReference w:id="23"/>
      </w:r>
      <w:r w:rsidRPr="00176257">
        <w:rPr>
          <w:color w:val="auto"/>
        </w:rPr>
        <w:t xml:space="preserve"> Successive governments have declined to propose comprehensive anti-discrimination legislation. The only initiative—the Anti-Discrimination and Equality Bill 2016, a private member's bill</w:t>
      </w:r>
      <w:r w:rsidR="004E5B62" w:rsidRPr="00176257">
        <w:rPr>
          <w:color w:val="auto"/>
        </w:rPr>
        <w:t xml:space="preserve"> introduced by an opposition parliamentarian</w:t>
      </w:r>
      <w:r w:rsidRPr="00176257">
        <w:rPr>
          <w:color w:val="auto"/>
        </w:rPr>
        <w:t>—lapsed without debate.</w:t>
      </w:r>
      <w:r w:rsidRPr="00176257">
        <w:rPr>
          <w:rStyle w:val="FootnoteReference"/>
          <w:color w:val="auto"/>
        </w:rPr>
        <w:footnoteReference w:id="24"/>
      </w:r>
      <w:r w:rsidRPr="00176257">
        <w:rPr>
          <w:color w:val="auto"/>
        </w:rPr>
        <w:t xml:space="preserve"> At its 2024 review of India, the UN Human Rights Committee (</w:t>
      </w:r>
      <w:proofErr w:type="spellStart"/>
      <w:r w:rsidRPr="00176257">
        <w:rPr>
          <w:color w:val="auto"/>
        </w:rPr>
        <w:t>HRCtee</w:t>
      </w:r>
      <w:proofErr w:type="spellEnd"/>
      <w:r w:rsidRPr="00176257">
        <w:rPr>
          <w:color w:val="auto"/>
        </w:rPr>
        <w:t>) found "the absence of a comprehensive anti-discrimination law that provides full and effective protection" and recommended that India adopt legislation prohibiting direct and indirect discrimination in both the public and private sectors (CCPR/C/IND/CO/4, paras. 13–14).</w:t>
      </w:r>
      <w:r w:rsidRPr="00176257">
        <w:rPr>
          <w:rStyle w:val="FootnoteReference"/>
          <w:color w:val="auto"/>
        </w:rPr>
        <w:footnoteReference w:id="25"/>
      </w:r>
    </w:p>
    <w:p w14:paraId="1B0833DC" w14:textId="0EEC1CE0" w:rsidR="00133A42" w:rsidRPr="00176257" w:rsidRDefault="00000000" w:rsidP="00176257">
      <w:pPr>
        <w:spacing w:before="120" w:after="120"/>
        <w:ind w:left="-426" w:right="-330"/>
        <w:jc w:val="both"/>
        <w:rPr>
          <w:color w:val="auto"/>
        </w:rPr>
      </w:pPr>
      <w:r w:rsidRPr="00176257">
        <w:rPr>
          <w:color w:val="auto"/>
        </w:rPr>
        <w:t xml:space="preserve">9. India's SPR (paras. 51–52) does not address the Committee's recommendation to repeal the Armed Forces (Special Powers) Act (AFSPA) 1958 (2007 COs, para. 12; </w:t>
      </w:r>
      <w:proofErr w:type="spellStart"/>
      <w:r w:rsidRPr="00176257">
        <w:rPr>
          <w:color w:val="auto"/>
        </w:rPr>
        <w:t>LoIPR</w:t>
      </w:r>
      <w:proofErr w:type="spellEnd"/>
      <w:r w:rsidRPr="00176257">
        <w:rPr>
          <w:color w:val="auto"/>
        </w:rPr>
        <w:t xml:space="preserve">, para. 9), describing the Act instead as "not directed against any particular group" and citing partial, localised withdrawals as progress. Under the AFSPA, members of the armed forces have—as the Committee noted—"wide powers to search and arrest suspects without a warrant or to use force against persons or property" and may not be prosecuted without prior </w:t>
      </w:r>
      <w:r w:rsidRPr="00176257">
        <w:rPr>
          <w:color w:val="auto"/>
        </w:rPr>
        <w:lastRenderedPageBreak/>
        <w:t>government authorisation.</w:t>
      </w:r>
      <w:r w:rsidRPr="00176257">
        <w:rPr>
          <w:rStyle w:val="FootnoteReference"/>
          <w:color w:val="auto"/>
        </w:rPr>
        <w:footnoteReference w:id="26"/>
      </w:r>
      <w:r w:rsidRPr="00176257">
        <w:rPr>
          <w:color w:val="auto"/>
        </w:rPr>
        <w:t xml:space="preserve"> At the time of writing, the AFSPA remains in force across most of the State of Manipur, parts of the States of Nagaland, Arunachal Pradesh, and Assam, and the entire Union Territory of Jammu and Kashmir—areas predominantly home to Indigenous Peoples and ethno-religious minorities addressed in this submission. In March 2026, six Special Procedures mandate holders called for AFSPA's repeal. India characterised the communication as reflecting "pre-conceived hostility towards India's sovereignty", but did not make any effort to address the concerns raised.</w:t>
      </w:r>
      <w:r w:rsidRPr="00176257">
        <w:rPr>
          <w:rStyle w:val="FootnoteReference"/>
          <w:color w:val="auto"/>
        </w:rPr>
        <w:footnoteReference w:id="27"/>
      </w:r>
      <w:r w:rsidRPr="00176257">
        <w:rPr>
          <w:color w:val="auto"/>
        </w:rPr>
        <w:t xml:space="preserve"> In the State of Manipur, where the AFSPA remains in force, over 250 persons have been killed and more than 60,000 displaced in ethnic violence between the majority Meitei community and the </w:t>
      </w:r>
      <w:r w:rsidR="004E5B62" w:rsidRPr="00176257">
        <w:rPr>
          <w:color w:val="auto"/>
        </w:rPr>
        <w:t xml:space="preserve">predominantly Christian </w:t>
      </w:r>
      <w:r w:rsidRPr="00176257">
        <w:rPr>
          <w:color w:val="auto"/>
        </w:rPr>
        <w:t>Kuki-Zo Scheduled Tribes since May 2023.</w:t>
      </w:r>
      <w:r w:rsidRPr="00176257">
        <w:rPr>
          <w:rStyle w:val="FootnoteReference"/>
          <w:color w:val="auto"/>
        </w:rPr>
        <w:footnoteReference w:id="28"/>
      </w:r>
      <w:r w:rsidRPr="00176257">
        <w:rPr>
          <w:color w:val="auto"/>
        </w:rPr>
        <w:t xml:space="preserve"> Three years on, not a single conviction for murder, rape, or arson has been secured, and the government-appointed Commission of Inquiry has had its mandate extended four times without producing findings. In June 2026, Amnesty International described the situation as a "deepening human rights crisis" characterised by the authorities' "ongoing failure to protect people from escalating ethnic violence."</w:t>
      </w:r>
      <w:r w:rsidRPr="00176257">
        <w:rPr>
          <w:rStyle w:val="FootnoteReference"/>
          <w:color w:val="auto"/>
        </w:rPr>
        <w:footnoteReference w:id="29"/>
      </w:r>
    </w:p>
    <w:p w14:paraId="24BA3240" w14:textId="77777777" w:rsidR="00133A42" w:rsidRPr="00176257" w:rsidRDefault="00000000" w:rsidP="00176257">
      <w:pPr>
        <w:spacing w:before="120" w:after="120"/>
        <w:ind w:left="-426" w:right="-330"/>
        <w:jc w:val="both"/>
        <w:rPr>
          <w:color w:val="auto"/>
        </w:rPr>
      </w:pPr>
      <w:r w:rsidRPr="00176257">
        <w:rPr>
          <w:color w:val="auto"/>
        </w:rPr>
        <w:t>10. Asked how its legal provisions are applied against concrete allegations of racist hate speech (</w:t>
      </w:r>
      <w:proofErr w:type="spellStart"/>
      <w:r w:rsidRPr="00176257">
        <w:rPr>
          <w:color w:val="auto"/>
        </w:rPr>
        <w:t>LoIPR</w:t>
      </w:r>
      <w:proofErr w:type="spellEnd"/>
      <w:r w:rsidRPr="00176257">
        <w:rPr>
          <w:color w:val="auto"/>
        </w:rPr>
        <w:t>, para. 13), India's SPR (para. 60) describes statutory provisions and judicial directions by the Supreme Court but contains no information on their application against rampant hate speech targeting Muslims and other religious minorities —including online—and does not address hate speech by senior public officials.</w:t>
      </w:r>
      <w:r w:rsidRPr="00176257">
        <w:rPr>
          <w:rStyle w:val="FootnoteReference"/>
          <w:color w:val="auto"/>
        </w:rPr>
        <w:footnoteReference w:id="30"/>
      </w:r>
      <w:r w:rsidRPr="00176257">
        <w:rPr>
          <w:color w:val="auto"/>
        </w:rPr>
        <w:t xml:space="preserve"> The SPR cites the Supreme Court's 2023 direction in Shaheen Abdullah requiring authorities to take </w:t>
      </w:r>
      <w:proofErr w:type="spellStart"/>
      <w:r w:rsidRPr="00176257">
        <w:rPr>
          <w:color w:val="auto"/>
        </w:rPr>
        <w:t>suo</w:t>
      </w:r>
      <w:proofErr w:type="spellEnd"/>
      <w:r w:rsidRPr="00176257">
        <w:rPr>
          <w:color w:val="auto"/>
        </w:rPr>
        <w:t xml:space="preserve"> motu action against hate speech. In 2026, the same Court declined to hear petitions against officials named for anti-Muslim hate speech, dismissed cases against leaders whose rhetoric preceded anti-Muslim violence, and abandoned implementation of its own hate speech framework.</w:t>
      </w:r>
      <w:r w:rsidRPr="00176257">
        <w:rPr>
          <w:rStyle w:val="FootnoteReference"/>
          <w:color w:val="auto"/>
        </w:rPr>
        <w:footnoteReference w:id="31"/>
      </w:r>
      <w:r w:rsidRPr="00176257">
        <w:rPr>
          <w:color w:val="auto"/>
        </w:rPr>
        <w:t xml:space="preserve"> The </w:t>
      </w:r>
      <w:proofErr w:type="spellStart"/>
      <w:r w:rsidRPr="00176257">
        <w:rPr>
          <w:color w:val="auto"/>
        </w:rPr>
        <w:t>HRCtee</w:t>
      </w:r>
      <w:proofErr w:type="spellEnd"/>
      <w:r w:rsidRPr="00176257">
        <w:rPr>
          <w:color w:val="auto"/>
        </w:rPr>
        <w:t>, at its 2024 review of India, expressed concern about "public officials engaging in hate speech and inciting public violence against religious minorities" and recommended that India investigate and prosecute those.</w:t>
      </w:r>
      <w:r w:rsidRPr="00176257">
        <w:rPr>
          <w:rStyle w:val="FootnoteReference"/>
          <w:color w:val="auto"/>
        </w:rPr>
        <w:footnoteReference w:id="32"/>
      </w:r>
      <w:r w:rsidRPr="00176257">
        <w:rPr>
          <w:color w:val="auto"/>
        </w:rPr>
        <w:t xml:space="preserve"> In September 2024, a Special Procedures allegation letter highlighted anti-Muslim rhetoric by senior officials including the Prime Minister and Home Minister, finding it likely to lead to "further hostility, discrimination and potentially violence against Muslims." India is not known to have responded substantively.</w:t>
      </w:r>
      <w:r w:rsidRPr="00176257">
        <w:rPr>
          <w:rStyle w:val="FootnoteReference"/>
          <w:color w:val="auto"/>
        </w:rPr>
        <w:footnoteReference w:id="33"/>
      </w:r>
      <w:r w:rsidRPr="00176257">
        <w:rPr>
          <w:color w:val="auto"/>
        </w:rPr>
        <w:t xml:space="preserve"> The Committee itself, in its January 2026 EWUAP follow-up letter, regretted the lack of information on hate speech and incitement to violence targeting Bengali-speaking Muslims and requested information on measures to combat racist hate speech.</w:t>
      </w:r>
      <w:r w:rsidRPr="00176257">
        <w:rPr>
          <w:rStyle w:val="FootnoteReference"/>
          <w:color w:val="auto"/>
        </w:rPr>
        <w:footnoteReference w:id="34"/>
      </w:r>
      <w:r w:rsidRPr="00176257">
        <w:rPr>
          <w:color w:val="auto"/>
        </w:rPr>
        <w:t xml:space="preserve"> Independent legal experts have found that the statements of the Chief Minister of Assam State, Himanta Biswa Sarma—who has publicly declared that his "job" is to make Bengali-speaking Muslims "suffer"—appear to be preparing the ground for ethnic cleansing.</w:t>
      </w:r>
      <w:r w:rsidRPr="00176257">
        <w:rPr>
          <w:rStyle w:val="FootnoteReference"/>
          <w:color w:val="auto"/>
        </w:rPr>
        <w:footnoteReference w:id="35"/>
      </w:r>
      <w:r w:rsidRPr="00176257">
        <w:rPr>
          <w:color w:val="auto"/>
        </w:rPr>
        <w:t xml:space="preserve"> The Chief Minister of West Bengal State, </w:t>
      </w:r>
      <w:proofErr w:type="spellStart"/>
      <w:r w:rsidRPr="00176257">
        <w:rPr>
          <w:color w:val="auto"/>
        </w:rPr>
        <w:t>Suvendu</w:t>
      </w:r>
      <w:proofErr w:type="spellEnd"/>
      <w:r w:rsidRPr="00176257">
        <w:rPr>
          <w:color w:val="auto"/>
        </w:rPr>
        <w:t xml:space="preserve"> Adhikari, has similarly called for India's Hindus to teach Muslims a "Gaza-like lesson" and publicly advocated the social boycott and segregation of Muslims.</w:t>
      </w:r>
      <w:r w:rsidRPr="00176257">
        <w:rPr>
          <w:color w:val="auto"/>
          <w:vertAlign w:val="superscript"/>
        </w:rPr>
        <w:t>35</w:t>
      </w:r>
      <w:r w:rsidRPr="00176257">
        <w:rPr>
          <w:color w:val="auto"/>
        </w:rPr>
        <w:t xml:space="preserve"> Under Article 4(b), India is required to declare illegal and prohibit organisations which promote and incite racial discrimination. The Rashtriya Swayamsevak Sangh (RSS), the ideological parent organisation of the ruling BJP, has for decades systematically promoted an ideology constructing Muslims as a civilisational threat requiring subordination or exclusion.</w:t>
      </w:r>
      <w:r w:rsidRPr="00176257">
        <w:rPr>
          <w:rStyle w:val="FootnoteReference"/>
          <w:color w:val="auto"/>
        </w:rPr>
        <w:footnoteReference w:id="36"/>
      </w:r>
      <w:r w:rsidRPr="00176257">
        <w:rPr>
          <w:color w:val="auto"/>
        </w:rPr>
        <w:t xml:space="preserve"> RSS cadres and affiliates occupy positions across government and public institutions, and its </w:t>
      </w:r>
      <w:r w:rsidRPr="00176257">
        <w:rPr>
          <w:color w:val="auto"/>
        </w:rPr>
        <w:lastRenderedPageBreak/>
        <w:t>ideological positions on citizenship, religious conversion, and personal law have been translated into government policy. India has taken no steps to act against it.</w:t>
      </w:r>
    </w:p>
    <w:p w14:paraId="162684FD" w14:textId="77777777" w:rsidR="00133A42" w:rsidRPr="00176257" w:rsidRDefault="00000000" w:rsidP="00176257">
      <w:pPr>
        <w:spacing w:before="120" w:after="120"/>
        <w:ind w:left="-426" w:right="-330"/>
        <w:jc w:val="both"/>
        <w:rPr>
          <w:color w:val="auto"/>
        </w:rPr>
      </w:pPr>
      <w:r w:rsidRPr="00176257">
        <w:rPr>
          <w:color w:val="auto"/>
        </w:rPr>
        <w:t>11. Asked what measures had been taken to enforce the Protection of Civil Rights Act 1955 (PCR Act) and effectively punish acts of untouchability (</w:t>
      </w:r>
      <w:proofErr w:type="spellStart"/>
      <w:r w:rsidRPr="00176257">
        <w:rPr>
          <w:color w:val="auto"/>
        </w:rPr>
        <w:t>LoIPR</w:t>
      </w:r>
      <w:proofErr w:type="spellEnd"/>
      <w:r w:rsidRPr="00176257">
        <w:rPr>
          <w:color w:val="auto"/>
        </w:rPr>
        <w:t>, para. 12, following up 2007 COs, para. 13), India's SPR (paras. 56–59) describes constitutional provisions, institutional mechanisms, and budgetary allocations but provides no data on enforcement outcomes. The Government of India's annual report to Parliament under the PCR Act recorded 13 cases registered in 2022, with one conviction out of 31 disposals and over 97 per cent of cases pending.</w:t>
      </w:r>
      <w:r w:rsidRPr="00176257">
        <w:rPr>
          <w:rStyle w:val="FootnoteReference"/>
          <w:color w:val="auto"/>
        </w:rPr>
        <w:footnoteReference w:id="37"/>
      </w:r>
      <w:r w:rsidRPr="00176257">
        <w:rPr>
          <w:color w:val="auto"/>
        </w:rPr>
        <w:t xml:space="preserve"> A statutory mechanism under the PCR Act for identifying areas where untouchability is prevalent has never been activated by any State or union territory. The Committee noted (2007 COs, para. 6) that the Indian Prime Minister had in December 2006 described untouchability as comparable to apartheid in South Africa.</w:t>
      </w:r>
    </w:p>
    <w:p w14:paraId="5EC8992D" w14:textId="77777777" w:rsidR="00133A42" w:rsidRPr="00176257" w:rsidRDefault="00000000" w:rsidP="00176257">
      <w:pPr>
        <w:spacing w:before="120" w:after="120"/>
        <w:ind w:left="-426" w:right="-330"/>
        <w:jc w:val="both"/>
        <w:rPr>
          <w:color w:val="auto"/>
        </w:rPr>
      </w:pPr>
      <w:r w:rsidRPr="00176257">
        <w:rPr>
          <w:color w:val="auto"/>
        </w:rPr>
        <w:t>12. India's SPR (para. 53) claims the National Human Rights Commission (NHRC) was "further strengthened and made more compatible with the Paris Principles" through the 2019 Amendment Act. In April 2025, the Sub-Committee on Accreditation (SCA) of the Global Alliance of National Human Rights Institutions (GANHRI) recommended the downgrade of the NHRC from 'A' to 'B' status, following three successive deferrals. While the SCA reiterated its recommendation in late 2025, the final review—and likely formalization of the downgrade—has been deferred to November 2026.</w:t>
      </w:r>
      <w:r w:rsidRPr="00176257">
        <w:rPr>
          <w:rStyle w:val="FootnoteReference"/>
          <w:color w:val="auto"/>
        </w:rPr>
        <w:footnoteReference w:id="38"/>
      </w:r>
      <w:r w:rsidRPr="00176257">
        <w:rPr>
          <w:color w:val="auto"/>
        </w:rPr>
        <w:t xml:space="preserve"> The NHRC's independence was also questioned by the </w:t>
      </w:r>
      <w:proofErr w:type="spellStart"/>
      <w:r w:rsidRPr="00176257">
        <w:rPr>
          <w:color w:val="auto"/>
        </w:rPr>
        <w:t>HRCtee</w:t>
      </w:r>
      <w:proofErr w:type="spellEnd"/>
      <w:r w:rsidRPr="00176257">
        <w:rPr>
          <w:color w:val="auto"/>
        </w:rPr>
        <w:t xml:space="preserve"> (CCPR/C/IND/CO/4, paras. 9–10) at its 2024 review of India.</w:t>
      </w:r>
      <w:r w:rsidRPr="00176257">
        <w:rPr>
          <w:rStyle w:val="FootnoteReference"/>
          <w:color w:val="auto"/>
        </w:rPr>
        <w:footnoteReference w:id="39"/>
      </w:r>
      <w:r w:rsidRPr="00176257">
        <w:rPr>
          <w:color w:val="auto"/>
        </w:rPr>
        <w:t xml:space="preserve"> The SPR is silent on the National Commission for Minorities (NCM).</w:t>
      </w:r>
      <w:r w:rsidRPr="00176257">
        <w:rPr>
          <w:rStyle w:val="FootnoteReference"/>
          <w:color w:val="auto"/>
        </w:rPr>
        <w:footnoteReference w:id="40"/>
      </w:r>
      <w:r w:rsidRPr="00176257">
        <w:rPr>
          <w:color w:val="auto"/>
        </w:rPr>
        <w:t xml:space="preserve"> All seven positions on the NCM have been vacant since April 2025, rendering the body mandated to safeguard the rights of India's religious and linguistic minorities entirely non-functioning. The Equal Opportunities Commission recommended by the Sachar Committee in 2006 to address discrimination in employment, housing, and education has not been established, despite Cabinet approval of a draft Bill in February 2014.</w:t>
      </w:r>
      <w:r w:rsidRPr="00176257">
        <w:rPr>
          <w:rStyle w:val="FootnoteReference"/>
          <w:color w:val="auto"/>
        </w:rPr>
        <w:footnoteReference w:id="41"/>
      </w:r>
      <w:r w:rsidRPr="00176257">
        <w:rPr>
          <w:color w:val="auto"/>
        </w:rPr>
        <w:t xml:space="preserve"> Civic space for organisations monitoring discrimination has been sharply constricted through the misuse of the Foreign Contribution (Regulation) Act 2010 (FCRA), the Prevention of Money Laundering Act 2002, and the Unlawful Activities (Prevention) Act 1967, which have been used to cancel foreign funding licences and to investigate and prosecute staff at organisations monitoring discrimination against marginalised groups.</w:t>
      </w:r>
      <w:r w:rsidRPr="00176257">
        <w:rPr>
          <w:rStyle w:val="FootnoteReference"/>
          <w:color w:val="auto"/>
        </w:rPr>
        <w:footnoteReference w:id="42"/>
      </w:r>
      <w:r w:rsidRPr="00176257">
        <w:rPr>
          <w:color w:val="auto"/>
        </w:rPr>
        <w:t xml:space="preserve"> The </w:t>
      </w:r>
      <w:proofErr w:type="spellStart"/>
      <w:r w:rsidRPr="00176257">
        <w:rPr>
          <w:color w:val="auto"/>
        </w:rPr>
        <w:t>HRCtee</w:t>
      </w:r>
      <w:proofErr w:type="spellEnd"/>
      <w:r w:rsidRPr="00176257">
        <w:rPr>
          <w:color w:val="auto"/>
        </w:rPr>
        <w:t xml:space="preserve"> found that the FCRA was being "used to target non-governmental organizations critical of the Government and to silence dissenting voices," with more than 20,600 organisations losing their licences between 2011 and 2021.</w:t>
      </w:r>
      <w:r w:rsidRPr="00176257">
        <w:rPr>
          <w:rStyle w:val="FootnoteReference"/>
          <w:color w:val="auto"/>
        </w:rPr>
        <w:footnoteReference w:id="43"/>
      </w:r>
      <w:r w:rsidRPr="00176257">
        <w:rPr>
          <w:color w:val="auto"/>
        </w:rPr>
        <w:t xml:space="preserve"> These restrictions impede the ability of civil society organisations to cooperate with international human rights mechanisms, including this Committee.</w:t>
      </w:r>
    </w:p>
    <w:p w14:paraId="50A94730" w14:textId="77777777" w:rsidR="00133A42" w:rsidRPr="00176257" w:rsidRDefault="00000000" w:rsidP="00176257">
      <w:pPr>
        <w:spacing w:before="120" w:after="120"/>
        <w:ind w:left="-426" w:right="-330"/>
        <w:jc w:val="both"/>
        <w:rPr>
          <w:color w:val="auto"/>
        </w:rPr>
      </w:pPr>
      <w:r w:rsidRPr="00176257">
        <w:rPr>
          <w:color w:val="auto"/>
        </w:rPr>
        <w:t xml:space="preserve">13. On extrajudicial killings and torture by law enforcement agencies—including the "fake encounters" raised in the </w:t>
      </w:r>
      <w:proofErr w:type="spellStart"/>
      <w:r w:rsidRPr="00176257">
        <w:rPr>
          <w:color w:val="auto"/>
        </w:rPr>
        <w:t>LoIPR</w:t>
      </w:r>
      <w:proofErr w:type="spellEnd"/>
      <w:r w:rsidRPr="00176257">
        <w:rPr>
          <w:color w:val="auto"/>
        </w:rPr>
        <w:t xml:space="preserve"> (para. 15) and </w:t>
      </w:r>
      <w:proofErr w:type="spellStart"/>
      <w:r w:rsidRPr="00176257">
        <w:rPr>
          <w:color w:val="auto"/>
        </w:rPr>
        <w:t>LoT</w:t>
      </w:r>
      <w:proofErr w:type="spellEnd"/>
      <w:r w:rsidRPr="00176257">
        <w:rPr>
          <w:color w:val="auto"/>
        </w:rPr>
        <w:t xml:space="preserve"> (para. 23)—India's SPR (para. 66) responds with generic assurances that security forces act "in good faith" and cites Supreme Court judgments establishing that armed forces personnel may be criminally prosecuted, but provides no data on investigations, prosecutions, or disciplinary measures. India committed to ratifying the Convention against Torture in 1997 but has not done so, and the new criminal code does not include a specific offence of torture. The </w:t>
      </w:r>
      <w:proofErr w:type="spellStart"/>
      <w:r w:rsidRPr="00176257">
        <w:rPr>
          <w:color w:val="auto"/>
        </w:rPr>
        <w:t>HRCtee</w:t>
      </w:r>
      <w:proofErr w:type="spellEnd"/>
      <w:r w:rsidRPr="00176257">
        <w:rPr>
          <w:color w:val="auto"/>
        </w:rPr>
        <w:t xml:space="preserve"> noted 324 custodial deaths between 2019 and 2022, reports of torture, and cases of rape of detainees by police officers—particularly members of minorities (CCPR/C/IND/CO/4, paras. 33–34).</w:t>
      </w:r>
    </w:p>
    <w:p w14:paraId="091CCF3D" w14:textId="77777777" w:rsidR="00133A42" w:rsidRPr="00176257" w:rsidRDefault="00000000" w:rsidP="00176257">
      <w:pPr>
        <w:spacing w:before="120" w:after="120"/>
        <w:ind w:left="-426" w:right="-330"/>
        <w:jc w:val="both"/>
        <w:rPr>
          <w:color w:val="auto"/>
        </w:rPr>
      </w:pPr>
      <w:r w:rsidRPr="00176257">
        <w:rPr>
          <w:color w:val="auto"/>
        </w:rPr>
        <w:lastRenderedPageBreak/>
        <w:t xml:space="preserve">14. Asked for data on complaints, convictions, and remedies for victims of caste-based violence (2007 COs, para. 26; </w:t>
      </w:r>
      <w:proofErr w:type="spellStart"/>
      <w:r w:rsidRPr="00176257">
        <w:rPr>
          <w:color w:val="auto"/>
        </w:rPr>
        <w:t>LoIPR</w:t>
      </w:r>
      <w:proofErr w:type="spellEnd"/>
      <w:r w:rsidRPr="00176257">
        <w:rPr>
          <w:color w:val="auto"/>
        </w:rPr>
        <w:t>, paras. 27–28), India's SPR (para. 148) deflects responsibility to its constituent States, asserting that offences against Scheduled Castes and Scheduled Tribes fall within State-level jurisdiction and that States are "primarily responsible for prevention, detection, registration, investigation and prosecution."</w:t>
      </w:r>
      <w:r w:rsidRPr="00176257">
        <w:rPr>
          <w:rStyle w:val="FootnoteReference"/>
          <w:color w:val="auto"/>
        </w:rPr>
        <w:footnoteReference w:id="44"/>
      </w:r>
      <w:r w:rsidRPr="00176257">
        <w:rPr>
          <w:color w:val="auto"/>
        </w:rPr>
        <w:t xml:space="preserve"> The SPR (para. 151) asserts that such crimes "are diligently investigated, prosecuted and in applicable cases access to effective relief and rehabilitation is provided." Its data contradicts this (see para. 22 below).</w:t>
      </w:r>
      <w:r w:rsidRPr="00176257">
        <w:rPr>
          <w:rStyle w:val="FootnoteReference"/>
          <w:color w:val="auto"/>
        </w:rPr>
        <w:footnoteReference w:id="45"/>
      </w:r>
      <w:r w:rsidRPr="00176257">
        <w:rPr>
          <w:color w:val="auto"/>
        </w:rPr>
        <w:t xml:space="preserve"> A further 52,173 cases were closed by police without reaching court, on grounds the SPR categorises as "Final Report false" and "insufficient evidence."</w:t>
      </w:r>
      <w:r w:rsidRPr="00176257">
        <w:rPr>
          <w:rStyle w:val="FootnoteReference"/>
          <w:color w:val="auto"/>
        </w:rPr>
        <w:footnoteReference w:id="46"/>
      </w:r>
      <w:r w:rsidRPr="00176257">
        <w:rPr>
          <w:color w:val="auto"/>
        </w:rPr>
        <w:t xml:space="preserve"> The SPR provides no data on remedies or compensation actually provided to victims, no data on witness protection, and no response to the </w:t>
      </w:r>
      <w:proofErr w:type="spellStart"/>
      <w:r w:rsidRPr="00176257">
        <w:rPr>
          <w:color w:val="auto"/>
        </w:rPr>
        <w:t>LoIPR's</w:t>
      </w:r>
      <w:proofErr w:type="spellEnd"/>
      <w:r w:rsidRPr="00176257">
        <w:rPr>
          <w:color w:val="auto"/>
        </w:rPr>
        <w:t xml:space="preserve"> question on barriers to reporting. The </w:t>
      </w:r>
      <w:proofErr w:type="spellStart"/>
      <w:r w:rsidRPr="00176257">
        <w:rPr>
          <w:color w:val="auto"/>
        </w:rPr>
        <w:t>HRCtee</w:t>
      </w:r>
      <w:proofErr w:type="spellEnd"/>
      <w:r w:rsidRPr="00176257">
        <w:rPr>
          <w:color w:val="auto"/>
        </w:rPr>
        <w:t xml:space="preserve"> identified the same systemic failures—delayed registration, inadequate investigations, lengthy trials, and non-compliance with the statutory 60-day case-disposal requirement—and found that mandatory prior government authorisation for the prosecution of members of the security and armed forces "creates a climate of widespread impunity."</w:t>
      </w:r>
      <w:r w:rsidRPr="00176257">
        <w:rPr>
          <w:rStyle w:val="FootnoteReference"/>
          <w:color w:val="auto"/>
        </w:rPr>
        <w:footnoteReference w:id="47"/>
      </w:r>
      <w:r w:rsidRPr="00176257">
        <w:rPr>
          <w:color w:val="auto"/>
        </w:rPr>
        <w:t xml:space="preserve"> The constitutional commissions for Scheduled Castes and Scheduled Tribes—the bodies mandated to receive complaints and monitor protective legislation—can only make non-binding recommendations and have no enforcement powers, and the NCST functioned with fewer than half its authorised posts, as of 2023.</w:t>
      </w:r>
      <w:r w:rsidRPr="00176257">
        <w:rPr>
          <w:rStyle w:val="FootnoteReference"/>
          <w:color w:val="auto"/>
        </w:rPr>
        <w:footnoteReference w:id="48"/>
      </w:r>
      <w:r w:rsidRPr="00176257">
        <w:rPr>
          <w:color w:val="auto"/>
        </w:rPr>
        <w:t xml:space="preserve"> The downgrading of the NHRC, vacancies at the NCM (see para. 12), and India's non-declaration under Article 14 (see para. 2) further limit avenues of redress.</w:t>
      </w:r>
    </w:p>
    <w:p w14:paraId="3146FF9F" w14:textId="77777777" w:rsidR="00133A42" w:rsidRPr="00176257" w:rsidRDefault="00000000" w:rsidP="00176257">
      <w:pPr>
        <w:spacing w:before="120" w:after="120"/>
        <w:ind w:left="-426" w:right="-330"/>
        <w:jc w:val="both"/>
        <w:rPr>
          <w:color w:val="auto"/>
        </w:rPr>
      </w:pPr>
      <w:r w:rsidRPr="00176257">
        <w:rPr>
          <w:b/>
          <w:bCs/>
          <w:color w:val="auto"/>
        </w:rPr>
        <w:t>IV. Situation of ethnic and ethno-religious groups and Indigenous Peoples (arts. 2 and 5)</w:t>
      </w:r>
      <w:r w:rsidRPr="00176257">
        <w:rPr>
          <w:rStyle w:val="FootnoteReference"/>
          <w:color w:val="auto"/>
        </w:rPr>
        <w:footnoteReference w:id="49"/>
      </w:r>
    </w:p>
    <w:p w14:paraId="0BC953E7" w14:textId="77777777" w:rsidR="00133A42" w:rsidRPr="00176257" w:rsidRDefault="00000000" w:rsidP="00176257">
      <w:pPr>
        <w:spacing w:before="120" w:after="120"/>
        <w:ind w:left="-426" w:right="-330"/>
        <w:jc w:val="both"/>
        <w:rPr>
          <w:color w:val="auto"/>
        </w:rPr>
      </w:pPr>
      <w:r w:rsidRPr="00176257">
        <w:rPr>
          <w:b/>
          <w:bCs/>
          <w:color w:val="auto"/>
        </w:rPr>
        <w:t>(a) Adivasis</w:t>
      </w:r>
      <w:r w:rsidRPr="00176257">
        <w:rPr>
          <w:rStyle w:val="FootnoteReference"/>
          <w:color w:val="auto"/>
        </w:rPr>
        <w:footnoteReference w:id="50"/>
      </w:r>
    </w:p>
    <w:p w14:paraId="45A46FED" w14:textId="77777777" w:rsidR="00133A42" w:rsidRPr="00176257" w:rsidRDefault="00000000" w:rsidP="00176257">
      <w:pPr>
        <w:spacing w:before="120" w:after="120"/>
        <w:ind w:left="-426" w:right="-330"/>
        <w:jc w:val="both"/>
        <w:rPr>
          <w:color w:val="auto"/>
        </w:rPr>
      </w:pPr>
      <w:r w:rsidRPr="00176257">
        <w:rPr>
          <w:color w:val="auto"/>
        </w:rPr>
        <w:t>15. India's SPR (paras. 21, 26) lists five ethnographic criteria for determining Scheduled Tribe membership; religion is not among them.</w:t>
      </w:r>
      <w:r w:rsidRPr="00176257">
        <w:rPr>
          <w:rStyle w:val="FootnoteReference"/>
          <w:color w:val="auto"/>
        </w:rPr>
        <w:footnoteReference w:id="51"/>
      </w:r>
      <w:r w:rsidRPr="00176257">
        <w:rPr>
          <w:color w:val="auto"/>
        </w:rPr>
        <w:t xml:space="preserve"> Unlike the Scheduled Caste category discussed in paragraph 21 below, no religion criterion has historically applied to Scheduled Tribes. The Committee recommended in 2007 (para. 21) that India restore affirmative action eligibility for all members of Scheduled Castes and Scheduled Tribes who convert to another religion. The SPR (para. 48) addresses only the Scheduled Caste component and is silent on Scheduled Tribes. Further, the SPR does not address the systematic efforts by majoritarian Hindu groups such as the Vishwa Hindu Parishad (VHP), an affiliate of the Rashtriya Swayamsevak Sangh (RSS) and the </w:t>
      </w:r>
      <w:proofErr w:type="spellStart"/>
      <w:r w:rsidRPr="00176257">
        <w:rPr>
          <w:color w:val="auto"/>
        </w:rPr>
        <w:t>Vanvasi</w:t>
      </w:r>
      <w:proofErr w:type="spellEnd"/>
      <w:r w:rsidRPr="00176257">
        <w:rPr>
          <w:color w:val="auto"/>
        </w:rPr>
        <w:t xml:space="preserve"> Kalyan </w:t>
      </w:r>
      <w:proofErr w:type="spellStart"/>
      <w:r w:rsidRPr="00176257">
        <w:rPr>
          <w:color w:val="auto"/>
        </w:rPr>
        <w:t>Kendras</w:t>
      </w:r>
      <w:proofErr w:type="spellEnd"/>
      <w:r w:rsidRPr="00176257">
        <w:rPr>
          <w:color w:val="auto"/>
        </w:rPr>
        <w:t xml:space="preserve"> that are run by the RSS,</w:t>
      </w:r>
      <w:r w:rsidRPr="00176257">
        <w:rPr>
          <w:rStyle w:val="FootnoteReference"/>
          <w:color w:val="auto"/>
        </w:rPr>
        <w:footnoteReference w:id="52"/>
      </w:r>
      <w:r w:rsidRPr="00176257">
        <w:rPr>
          <w:color w:val="auto"/>
        </w:rPr>
        <w:t xml:space="preserve"> to </w:t>
      </w:r>
      <w:proofErr w:type="spellStart"/>
      <w:r w:rsidRPr="00176257">
        <w:rPr>
          <w:color w:val="auto"/>
        </w:rPr>
        <w:t>weaponise</w:t>
      </w:r>
      <w:proofErr w:type="spellEnd"/>
      <w:r w:rsidRPr="00176257">
        <w:rPr>
          <w:color w:val="auto"/>
        </w:rPr>
        <w:t xml:space="preserve"> official recognition of religion as a basis for delisting Indigenous Peoples from their existing Scheduled Tribe status. Adivasis generally follow distinctive spiritual practices and nature worship (Sarna), and some have adopted other religions.</w:t>
      </w:r>
      <w:r w:rsidRPr="00176257">
        <w:rPr>
          <w:rStyle w:val="FootnoteReference"/>
          <w:color w:val="auto"/>
        </w:rPr>
        <w:footnoteReference w:id="53"/>
      </w:r>
      <w:r w:rsidRPr="00176257">
        <w:rPr>
          <w:color w:val="auto"/>
        </w:rPr>
        <w:t xml:space="preserve"> The RSS, along with the VHP and the </w:t>
      </w:r>
      <w:proofErr w:type="spellStart"/>
      <w:r w:rsidRPr="00176257">
        <w:rPr>
          <w:color w:val="auto"/>
        </w:rPr>
        <w:t>Vanvasi</w:t>
      </w:r>
      <w:proofErr w:type="spellEnd"/>
      <w:r w:rsidRPr="00176257">
        <w:rPr>
          <w:color w:val="auto"/>
        </w:rPr>
        <w:t xml:space="preserve"> Kalyan Kendra, insist on labelling Adivasis as '</w:t>
      </w:r>
      <w:proofErr w:type="spellStart"/>
      <w:r w:rsidRPr="00176257">
        <w:rPr>
          <w:color w:val="auto"/>
        </w:rPr>
        <w:t>Vanvasis</w:t>
      </w:r>
      <w:proofErr w:type="spellEnd"/>
      <w:r w:rsidRPr="00176257">
        <w:rPr>
          <w:color w:val="auto"/>
        </w:rPr>
        <w:t>' by claiming they are Hindus who had 'voluntarily' decided to relocate to forests (vans).</w:t>
      </w:r>
      <w:r w:rsidRPr="00176257">
        <w:rPr>
          <w:rStyle w:val="FootnoteReference"/>
          <w:color w:val="auto"/>
        </w:rPr>
        <w:footnoteReference w:id="54"/>
      </w:r>
      <w:r w:rsidRPr="00176257">
        <w:rPr>
          <w:color w:val="auto"/>
        </w:rPr>
        <w:t xml:space="preserve"> The VHP opposes the demand of Adivasi groups under the Sarna Code movement </w:t>
      </w:r>
      <w:r w:rsidRPr="00176257">
        <w:rPr>
          <w:color w:val="auto"/>
        </w:rPr>
        <w:lastRenderedPageBreak/>
        <w:t>for inclusion of the Sarna faith in India's officially recognised religions, and advocates linking Scheduled Tribe status to religion with the proviso that Adivasis who choose to follow Christianity or Islam are not eligible for Scheduled Tribe status. These claims are refuted by Adivasi and civil society groups, who warn that linking religion to Scheduled Tribe status would reduce Scheduled Tribe numbers in Scheduled Areas and ultimately lead to their delisting.</w:t>
      </w:r>
      <w:r w:rsidRPr="00176257">
        <w:rPr>
          <w:rStyle w:val="FootnoteReference"/>
          <w:color w:val="auto"/>
        </w:rPr>
        <w:footnoteReference w:id="55"/>
      </w:r>
      <w:r w:rsidRPr="00176257">
        <w:rPr>
          <w:color w:val="auto"/>
        </w:rPr>
        <w:t xml:space="preserve"> These developments are likely to impact Adivasi political representation through loss of reservation quotas and make Adivasi regions more vulnerable to forced land acquisition for extractive industries and other industrial projects.</w:t>
      </w:r>
    </w:p>
    <w:p w14:paraId="5066BAFA" w14:textId="77777777" w:rsidR="00133A42" w:rsidRPr="00176257" w:rsidRDefault="00000000" w:rsidP="00176257">
      <w:pPr>
        <w:spacing w:before="120" w:after="120"/>
        <w:ind w:left="-426" w:right="-330"/>
        <w:jc w:val="both"/>
        <w:rPr>
          <w:color w:val="auto"/>
        </w:rPr>
      </w:pPr>
      <w:r w:rsidRPr="00176257">
        <w:rPr>
          <w:color w:val="auto"/>
        </w:rPr>
        <w:t>16. Asked what measures it had taken on tribal land ownership, Forest Rights Act 2006 (FRA) safeguards, and free, prior and informed consent for projects on Indigenous lands (</w:t>
      </w:r>
      <w:proofErr w:type="spellStart"/>
      <w:r w:rsidRPr="00176257">
        <w:rPr>
          <w:color w:val="auto"/>
        </w:rPr>
        <w:t>LoIPR</w:t>
      </w:r>
      <w:proofErr w:type="spellEnd"/>
      <w:r w:rsidRPr="00176257">
        <w:rPr>
          <w:color w:val="auto"/>
        </w:rPr>
        <w:t>, para. 21, following up 2007 COs, paras. 19–20), India's SPR (paras. 104–108) responds entirely in legislative terms, listing the FRA, the Provisions of the Panchayats (Extension to Scheduled Areas) Act 1996 (PESA), and constitutional provisions without a single figure on implementation outcomes or any account of whether consent has been secured.</w:t>
      </w:r>
      <w:r w:rsidRPr="00176257">
        <w:rPr>
          <w:rStyle w:val="FootnoteReference"/>
          <w:color w:val="auto"/>
        </w:rPr>
        <w:footnoteReference w:id="56"/>
      </w:r>
      <w:r w:rsidRPr="00176257">
        <w:rPr>
          <w:color w:val="auto"/>
        </w:rPr>
        <w:t xml:space="preserve"> Both the FRA and PESA, which require community consent before land is transferred for development, remain inadequately implemented.</w:t>
      </w:r>
      <w:r w:rsidRPr="00176257">
        <w:rPr>
          <w:rStyle w:val="FootnoteReference"/>
          <w:color w:val="auto"/>
        </w:rPr>
        <w:footnoteReference w:id="57"/>
      </w:r>
      <w:r w:rsidRPr="00176257">
        <w:rPr>
          <w:color w:val="auto"/>
        </w:rPr>
        <w:t xml:space="preserve"> The Forest Conservation Rules 2022 removed the requirement, established under the 2003 Rules, that the District Collector obtain the consent of each Gram Sabha before in-principle approval of forest land diversion, relegating FRA compliance to a post-approval formality.</w:t>
      </w:r>
      <w:r w:rsidRPr="00176257">
        <w:rPr>
          <w:rStyle w:val="FootnoteReference"/>
          <w:color w:val="auto"/>
        </w:rPr>
        <w:footnoteReference w:id="58"/>
      </w:r>
      <w:r w:rsidRPr="00176257">
        <w:rPr>
          <w:color w:val="auto"/>
        </w:rPr>
        <w:t xml:space="preserve"> The Forest Conservation Amendment Act 2023 has further weakened protections by exempting projects in districts classified as affected by "left-wing extremism" from prior forest clearance—precisely the most mineral-rich and Adivasi-populated regions.</w:t>
      </w:r>
      <w:r w:rsidRPr="00176257">
        <w:rPr>
          <w:rStyle w:val="FootnoteReference"/>
          <w:color w:val="auto"/>
        </w:rPr>
        <w:footnoteReference w:id="59"/>
      </w:r>
      <w:r w:rsidRPr="00176257">
        <w:rPr>
          <w:color w:val="auto"/>
        </w:rPr>
        <w:t xml:space="preserve"> In these regions, counter-insurgency operations—addressed in their security dimension in para. 17—function simultaneously as territorial control and resource appropriation, a policy described as "clear, build, hold," subjecting communities to what researchers have termed "developmental violence."</w:t>
      </w:r>
      <w:r w:rsidRPr="00176257">
        <w:rPr>
          <w:rStyle w:val="FootnoteReference"/>
          <w:color w:val="auto"/>
        </w:rPr>
        <w:footnoteReference w:id="60"/>
      </w:r>
      <w:r w:rsidRPr="00176257">
        <w:rPr>
          <w:color w:val="auto"/>
        </w:rPr>
        <w:t xml:space="preserve"> In its January 2026 EWUAP letter on Bastar, the Committee cited mining permits granted without the consent required by domestic law and the repression of Indigenous environmental and human rights defenders.</w:t>
      </w:r>
      <w:r w:rsidRPr="00176257">
        <w:rPr>
          <w:rStyle w:val="FootnoteReference"/>
          <w:color w:val="auto"/>
        </w:rPr>
        <w:footnoteReference w:id="61"/>
      </w:r>
      <w:r w:rsidRPr="00176257">
        <w:rPr>
          <w:color w:val="auto"/>
        </w:rPr>
        <w:t xml:space="preserve"> In October 2024, the Chhattisgarh State government declared the </w:t>
      </w:r>
      <w:proofErr w:type="spellStart"/>
      <w:r w:rsidRPr="00176257">
        <w:rPr>
          <w:color w:val="auto"/>
        </w:rPr>
        <w:t>Moolwasi</w:t>
      </w:r>
      <w:proofErr w:type="spellEnd"/>
      <w:r w:rsidRPr="00176257">
        <w:rPr>
          <w:color w:val="auto"/>
        </w:rPr>
        <w:t xml:space="preserve"> Bachao Manch (MBM)—the largest grassroots platform opposing displacement in Bastar—an "unlawful organisation," framing Indigenous resistance as "instigation of the general public" against the state's "vision of development."</w:t>
      </w:r>
      <w:r w:rsidRPr="00176257">
        <w:rPr>
          <w:rStyle w:val="FootnoteReference"/>
          <w:color w:val="auto"/>
        </w:rPr>
        <w:footnoteReference w:id="62"/>
      </w:r>
      <w:r w:rsidRPr="00176257">
        <w:rPr>
          <w:color w:val="auto"/>
        </w:rPr>
        <w:t xml:space="preserve"> Although the ban officially expired after one year, it remains in place de facto with the majority of the youth Adivasi leadership of MBM and other similar movements being imprisoned under various sections of the Indian Penal Code and/or draconian anti-terrorist legislation. The </w:t>
      </w:r>
      <w:proofErr w:type="spellStart"/>
      <w:r w:rsidRPr="00176257">
        <w:rPr>
          <w:color w:val="auto"/>
        </w:rPr>
        <w:t>HRCtee</w:t>
      </w:r>
      <w:proofErr w:type="spellEnd"/>
      <w:r w:rsidRPr="00176257">
        <w:rPr>
          <w:color w:val="auto"/>
        </w:rPr>
        <w:t xml:space="preserve">, at its 2024 review of India, found that the rights of Indigenous Peoples "are often </w:t>
      </w:r>
      <w:r w:rsidRPr="00176257">
        <w:rPr>
          <w:color w:val="auto"/>
        </w:rPr>
        <w:lastRenderedPageBreak/>
        <w:t>threatened by development projects and the activities of extractive and other industries, without proper consultation" (CCPR/C/IND/CO/4, paras. 59–60).</w:t>
      </w:r>
      <w:r w:rsidRPr="00176257">
        <w:rPr>
          <w:rStyle w:val="FootnoteReference"/>
          <w:color w:val="auto"/>
        </w:rPr>
        <w:footnoteReference w:id="63"/>
      </w:r>
    </w:p>
    <w:p w14:paraId="101FE788" w14:textId="77777777" w:rsidR="00133A42" w:rsidRPr="00176257" w:rsidRDefault="00000000" w:rsidP="00176257">
      <w:pPr>
        <w:spacing w:before="120" w:after="120"/>
        <w:ind w:left="-426" w:right="-330"/>
        <w:jc w:val="both"/>
        <w:rPr>
          <w:color w:val="auto"/>
        </w:rPr>
      </w:pPr>
      <w:r w:rsidRPr="00176257">
        <w:rPr>
          <w:color w:val="auto"/>
        </w:rPr>
        <w:t>17. Since India submitted its report, state violence has escalated dramatically in the central and central-eastern Adivasi regions, particularly in Bastar division, Chhattisgarh State.</w:t>
      </w:r>
      <w:r w:rsidRPr="00176257">
        <w:rPr>
          <w:rStyle w:val="FootnoteReference"/>
          <w:color w:val="auto"/>
        </w:rPr>
        <w:footnoteReference w:id="64"/>
      </w:r>
      <w:r w:rsidRPr="00176257">
        <w:rPr>
          <w:color w:val="auto"/>
        </w:rPr>
        <w:t xml:space="preserve"> Since January 2024, the Chhattisgarh police and various units of the Central Armed Police Forces (CAPF) have operated under an informal reward-for-killings mechanism, formally codified on 28 March 2025 through the state's revised Surrender and Rehabilitation Policy. By offering financial payments for every person "captured (dead or alive)" and additional bonuses for "recoveries of weapons," the state has incentivised extrajudicial actions, with a 985 per cent increase in the number of people killed between 2023 and 2024. As per the Bastar Police's 2025 year-end report, a total of 217 people were killed in 2024 and 256 in 2025 in the counter-insurgency operations.</w:t>
      </w:r>
      <w:r w:rsidRPr="00176257">
        <w:rPr>
          <w:rStyle w:val="FootnoteReference"/>
          <w:color w:val="auto"/>
        </w:rPr>
        <w:footnoteReference w:id="65"/>
      </w:r>
      <w:r w:rsidRPr="00176257">
        <w:rPr>
          <w:color w:val="auto"/>
        </w:rPr>
        <w:t xml:space="preserve"> The Committee itself, in its January 2026 EWUAP letter, expressed concern at reports that at least 500 Adivasi peoples, including civilians, had been killed in these operations, and cited reports of financial rewards for law enforcement officials following operations involving killings.</w:t>
      </w:r>
      <w:r w:rsidRPr="00176257">
        <w:rPr>
          <w:rStyle w:val="FootnoteReference"/>
          <w:color w:val="auto"/>
        </w:rPr>
        <w:footnoteReference w:id="66"/>
      </w:r>
      <w:r w:rsidRPr="00176257">
        <w:rPr>
          <w:color w:val="auto"/>
        </w:rPr>
        <w:t xml:space="preserve"> The state is also making permanent about 400 of the security camps as "welfare hubs" for housing schools, health facilities, police units, and forest-produce processing hubs. This work has been operational since 15 February 2024 under the Chhattisgarh Government's "</w:t>
      </w:r>
      <w:proofErr w:type="spellStart"/>
      <w:r w:rsidRPr="00176257">
        <w:rPr>
          <w:color w:val="auto"/>
        </w:rPr>
        <w:t>Niyad</w:t>
      </w:r>
      <w:proofErr w:type="spellEnd"/>
      <w:r w:rsidRPr="00176257">
        <w:rPr>
          <w:color w:val="auto"/>
        </w:rPr>
        <w:t xml:space="preserve"> </w:t>
      </w:r>
      <w:proofErr w:type="spellStart"/>
      <w:r w:rsidRPr="00176257">
        <w:rPr>
          <w:color w:val="auto"/>
        </w:rPr>
        <w:t>Nellanar</w:t>
      </w:r>
      <w:proofErr w:type="spellEnd"/>
      <w:r w:rsidRPr="00176257">
        <w:rPr>
          <w:color w:val="auto"/>
        </w:rPr>
        <w:t>" scheme.</w:t>
      </w:r>
      <w:r w:rsidRPr="00176257">
        <w:rPr>
          <w:rStyle w:val="FootnoteReference"/>
          <w:color w:val="auto"/>
        </w:rPr>
        <w:footnoteReference w:id="67"/>
      </w:r>
    </w:p>
    <w:p w14:paraId="330216A9" w14:textId="77777777" w:rsidR="00133A42" w:rsidRPr="00176257" w:rsidRDefault="00000000" w:rsidP="00176257">
      <w:pPr>
        <w:spacing w:before="120" w:after="120"/>
        <w:ind w:left="-426" w:right="-330"/>
        <w:jc w:val="both"/>
        <w:rPr>
          <w:color w:val="auto"/>
        </w:rPr>
      </w:pPr>
      <w:r w:rsidRPr="00176257">
        <w:rPr>
          <w:color w:val="auto"/>
        </w:rPr>
        <w:t xml:space="preserve">18. In Adivasi regions such as Bastar division in Chhattisgarh State and </w:t>
      </w:r>
      <w:proofErr w:type="spellStart"/>
      <w:r w:rsidRPr="00176257">
        <w:rPr>
          <w:color w:val="auto"/>
        </w:rPr>
        <w:t>Gadchiroli</w:t>
      </w:r>
      <w:proofErr w:type="spellEnd"/>
      <w:r w:rsidRPr="00176257">
        <w:rPr>
          <w:color w:val="auto"/>
        </w:rPr>
        <w:t xml:space="preserve"> district in Maharashtra State, the criminal justice system—from investigation to adjudication—functions as an extension of the counterinsurgency apparatus, with no accountability for acts of violence committed by the state (see para. 17 above).</w:t>
      </w:r>
      <w:r w:rsidRPr="00176257">
        <w:rPr>
          <w:rStyle w:val="FootnoteReference"/>
          <w:color w:val="auto"/>
        </w:rPr>
        <w:footnoteReference w:id="68"/>
      </w:r>
      <w:r w:rsidRPr="00176257">
        <w:rPr>
          <w:color w:val="auto"/>
        </w:rPr>
        <w:t xml:space="preserve"> Under NHRC guidelines, every death resulting from police action must be reported to the Commission within 48 hours, and a magisterial inquiry completed within three months.</w:t>
      </w:r>
      <w:r w:rsidRPr="00176257">
        <w:rPr>
          <w:rStyle w:val="FootnoteReference"/>
          <w:color w:val="auto"/>
        </w:rPr>
        <w:footnoteReference w:id="69"/>
      </w:r>
      <w:r w:rsidRPr="00176257">
        <w:rPr>
          <w:color w:val="auto"/>
        </w:rPr>
        <w:t xml:space="preserve"> In practice, because a presumption of guilt is placed on the deceased, inquiries are perfunctory and rely exclusively on the reports of the same security forces or state police involved in the killings. When the NHRC has acknowledged extrajudicial executions, its response has been limited to token recommendations for compensation. In none of the documented instances of state-inflicted sexual violence since the Salwa </w:t>
      </w:r>
      <w:proofErr w:type="spellStart"/>
      <w:r w:rsidRPr="00176257">
        <w:rPr>
          <w:color w:val="auto"/>
        </w:rPr>
        <w:t>Judum</w:t>
      </w:r>
      <w:proofErr w:type="spellEnd"/>
      <w:r w:rsidRPr="00176257">
        <w:rPr>
          <w:color w:val="auto"/>
        </w:rPr>
        <w:t xml:space="preserve"> era (2005–2011) has any perpetrator from the state forces been identified, arrested, or prosecuted—including in cases where the NHRC and the National Commission for Scheduled Tribes confirmed that sexual violence had occurred.</w:t>
      </w:r>
      <w:r w:rsidRPr="00176257">
        <w:rPr>
          <w:rStyle w:val="FootnoteReference"/>
          <w:color w:val="auto"/>
        </w:rPr>
        <w:footnoteReference w:id="70"/>
      </w:r>
      <w:r w:rsidRPr="00176257">
        <w:rPr>
          <w:color w:val="auto"/>
        </w:rPr>
        <w:t xml:space="preserve"> Routine 'area domination exercises' and 'search operations' conducted by security forces frequently result in mass arrests from weekly markets, villages, and forest paths, often without warrants, witnesses, or credible evidence.</w:t>
      </w:r>
      <w:r w:rsidRPr="00176257">
        <w:rPr>
          <w:rStyle w:val="FootnoteReference"/>
          <w:color w:val="auto"/>
        </w:rPr>
        <w:footnoteReference w:id="71"/>
      </w:r>
      <w:r w:rsidRPr="00176257">
        <w:rPr>
          <w:color w:val="auto"/>
        </w:rPr>
        <w:t xml:space="preserve"> The tactic of re-arresting individuals in new cases as they become eligible for release is used to keep Indigenous Peoples' human </w:t>
      </w:r>
      <w:r w:rsidRPr="00176257">
        <w:rPr>
          <w:color w:val="auto"/>
        </w:rPr>
        <w:lastRenderedPageBreak/>
        <w:t>rights defenders in detention without trial. Trials frequently extend over several years. In the overwhelming majority of cases, proceedings end in acquittal due to the prosecution's failure to establish guilt (see para. 22 below).</w:t>
      </w:r>
      <w:r w:rsidRPr="00176257">
        <w:rPr>
          <w:rStyle w:val="FootnoteReference"/>
          <w:color w:val="auto"/>
        </w:rPr>
        <w:footnoteReference w:id="72"/>
      </w:r>
      <w:r w:rsidRPr="00176257">
        <w:rPr>
          <w:color w:val="auto"/>
        </w:rPr>
        <w:t xml:space="preserve"> Father Stan Swamy, a founder of the Adivasi anti-displacement movement in Jharkhand State, was arrested under the Unlawful Activities (Prevention) Act (UAPA) and died in judicial custody in July 2021. The Working Group on Arbitrary Detention found his detention arbitrary.</w:t>
      </w:r>
      <w:r w:rsidRPr="00176257">
        <w:rPr>
          <w:rStyle w:val="FootnoteReference"/>
          <w:color w:val="auto"/>
        </w:rPr>
        <w:footnoteReference w:id="73"/>
      </w:r>
    </w:p>
    <w:p w14:paraId="722C2B75" w14:textId="77777777" w:rsidR="00133A42" w:rsidRPr="00176257" w:rsidRDefault="00000000" w:rsidP="00176257">
      <w:pPr>
        <w:spacing w:before="120" w:after="120"/>
        <w:ind w:left="-426" w:right="-330"/>
        <w:jc w:val="both"/>
        <w:rPr>
          <w:color w:val="auto"/>
        </w:rPr>
      </w:pPr>
      <w:r w:rsidRPr="00176257">
        <w:rPr>
          <w:color w:val="auto"/>
        </w:rPr>
        <w:t>19. India's mainstream education policies and pedagogical approaches construct the Adivasi as 'inferior' and enforce a restrictive and assimilationist form of education for Adivasi children, in particular through residential 'factory' schools.</w:t>
      </w:r>
      <w:r w:rsidRPr="00176257">
        <w:rPr>
          <w:rStyle w:val="FootnoteReference"/>
          <w:color w:val="auto"/>
        </w:rPr>
        <w:footnoteReference w:id="74"/>
      </w:r>
      <w:r w:rsidRPr="00176257">
        <w:rPr>
          <w:color w:val="auto"/>
        </w:rPr>
        <w:t xml:space="preserve"> Although there is a high enrolment rate (67.74 per cent) of Adivasi children for starting schooling, there is also a high drop-out rate (70.88 per cent) at the primary school level, leading to low literacy rates and loss of sense of identity in the adult population. There is negligible use of Adivasi languages as a medium of instruction in schools even at the primary stage of education. Such cultural and linguistic erasure is directly linked to extractive interests: mining corporations fund residential schools in mineral-rich Adivasi regions, and the curricula sever children's connection to land-based identity, weakening community resistance to displacement.</w:t>
      </w:r>
      <w:r w:rsidRPr="00176257">
        <w:rPr>
          <w:rStyle w:val="FootnoteReference"/>
          <w:color w:val="auto"/>
        </w:rPr>
        <w:footnoteReference w:id="75"/>
      </w:r>
    </w:p>
    <w:p w14:paraId="238C0E15" w14:textId="77777777" w:rsidR="00133A42" w:rsidRPr="00176257" w:rsidRDefault="00000000" w:rsidP="00176257">
      <w:pPr>
        <w:spacing w:before="120" w:after="120"/>
        <w:ind w:left="-426" w:right="-330"/>
        <w:jc w:val="both"/>
        <w:rPr>
          <w:color w:val="auto"/>
        </w:rPr>
      </w:pPr>
      <w:r w:rsidRPr="00176257">
        <w:rPr>
          <w:color w:val="auto"/>
        </w:rPr>
        <w:t>20. The Committee raised concerns about the Great Nicobar Island project in its May 2026 EWUAP letter.</w:t>
      </w:r>
      <w:r w:rsidRPr="00176257">
        <w:rPr>
          <w:rStyle w:val="FootnoteReference"/>
          <w:color w:val="auto"/>
        </w:rPr>
        <w:footnoteReference w:id="76"/>
      </w:r>
      <w:r w:rsidRPr="00176257">
        <w:rPr>
          <w:color w:val="auto"/>
        </w:rPr>
        <w:t xml:space="preserve"> The project is a large-scale infrastructure development that would bring an estimated 600,000 settlers to an island home to approximately 300 Shompen, a Particularly Vulnerable Tribal Group.</w:t>
      </w:r>
      <w:r w:rsidRPr="00176257">
        <w:rPr>
          <w:rStyle w:val="FootnoteReference"/>
          <w:color w:val="auto"/>
        </w:rPr>
        <w:footnoteReference w:id="77"/>
      </w:r>
      <w:r w:rsidRPr="00176257">
        <w:rPr>
          <w:color w:val="auto"/>
        </w:rPr>
        <w:t xml:space="preserve"> India's SPR makes no mention of the project or of the Shompen. The project's environmental impact assessment—prepared for the government corporation behind the development—warned of a "risk of extinction" from disease exposure upon contact. Environmental clearance was granted nonetheless.</w:t>
      </w:r>
      <w:r w:rsidRPr="00176257">
        <w:rPr>
          <w:rStyle w:val="FootnoteReference"/>
          <w:color w:val="auto"/>
        </w:rPr>
        <w:footnoteReference w:id="78"/>
      </w:r>
      <w:r w:rsidRPr="00176257">
        <w:rPr>
          <w:color w:val="auto"/>
        </w:rPr>
        <w:t xml:space="preserve"> On 7 February 2024, an open letter from thirty-nine genocide scholars across thirteen countries told the Indian President the project would amount to "a death sentence for the Shompen."</w:t>
      </w:r>
      <w:r w:rsidRPr="00176257">
        <w:rPr>
          <w:rStyle w:val="FootnoteReference"/>
          <w:color w:val="auto"/>
        </w:rPr>
        <w:footnoteReference w:id="79"/>
      </w:r>
      <w:r w:rsidRPr="00176257">
        <w:rPr>
          <w:color w:val="auto"/>
        </w:rPr>
        <w:t xml:space="preserve"> Consent was purportedly obtained on the community's behalf by a government welfare body that had no contact with them. Proceedings before the Calcutta High Court have since revealed that the village assembly meetings relied upon to certify consent recorded attendance of 2 to 15 per cent—below the 50 per cent quorum required under the Forest Rights Act.</w:t>
      </w:r>
      <w:r w:rsidRPr="00176257">
        <w:rPr>
          <w:rStyle w:val="FootnoteReference"/>
          <w:color w:val="auto"/>
        </w:rPr>
        <w:footnoteReference w:id="80"/>
      </w:r>
      <w:r w:rsidRPr="00176257">
        <w:rPr>
          <w:color w:val="auto"/>
        </w:rPr>
        <w:t xml:space="preserve"> Despite these findings, the project is advancing: the civil-military airport component was cleared in June 2026. Public interest litigations alleging Forest Rights Act violations remain pending before the Calcutta High Court, which in May 2026 upheld their maintainability, noting that the affected tribal population is "very vulnerable."</w:t>
      </w:r>
      <w:r w:rsidRPr="00176257">
        <w:rPr>
          <w:rStyle w:val="FootnoteReference"/>
          <w:color w:val="auto"/>
        </w:rPr>
        <w:footnoteReference w:id="81"/>
      </w:r>
    </w:p>
    <w:p w14:paraId="4F0508BB" w14:textId="77777777" w:rsidR="00133A42" w:rsidRPr="00176257" w:rsidRDefault="00000000" w:rsidP="00176257">
      <w:pPr>
        <w:spacing w:before="120" w:after="120"/>
        <w:ind w:left="-426" w:right="-330"/>
        <w:jc w:val="both"/>
        <w:rPr>
          <w:color w:val="auto"/>
        </w:rPr>
      </w:pPr>
      <w:r w:rsidRPr="00176257">
        <w:rPr>
          <w:b/>
          <w:bCs/>
          <w:color w:val="auto"/>
        </w:rPr>
        <w:t>(b) Dalits</w:t>
      </w:r>
      <w:r w:rsidRPr="00176257">
        <w:rPr>
          <w:rStyle w:val="FootnoteReference"/>
          <w:color w:val="auto"/>
        </w:rPr>
        <w:footnoteReference w:id="82"/>
      </w:r>
    </w:p>
    <w:p w14:paraId="0F2CC441" w14:textId="77777777" w:rsidR="00133A42" w:rsidRPr="00176257" w:rsidRDefault="00000000" w:rsidP="00176257">
      <w:pPr>
        <w:spacing w:before="120" w:after="120"/>
        <w:ind w:left="-426" w:right="-330"/>
        <w:jc w:val="both"/>
        <w:rPr>
          <w:color w:val="auto"/>
        </w:rPr>
      </w:pPr>
      <w:r w:rsidRPr="00176257">
        <w:rPr>
          <w:color w:val="auto"/>
        </w:rPr>
        <w:t xml:space="preserve">21. Asked what steps had been taken to restore affirmative action eligibility for Scheduled Caste members who convert to another religion (2007 COs, para. 21; </w:t>
      </w:r>
      <w:proofErr w:type="spellStart"/>
      <w:r w:rsidRPr="00176257">
        <w:rPr>
          <w:color w:val="auto"/>
        </w:rPr>
        <w:t>LoIPR</w:t>
      </w:r>
      <w:proofErr w:type="spellEnd"/>
      <w:r w:rsidRPr="00176257">
        <w:rPr>
          <w:color w:val="auto"/>
        </w:rPr>
        <w:t xml:space="preserve">, para. 7), India's SPR (para. 48) provides no information, </w:t>
      </w:r>
      <w:r w:rsidRPr="00176257">
        <w:rPr>
          <w:color w:val="auto"/>
        </w:rPr>
        <w:lastRenderedPageBreak/>
        <w:t>characterising the question as "currently sub-judice."</w:t>
      </w:r>
      <w:r w:rsidRPr="00176257">
        <w:rPr>
          <w:rStyle w:val="FootnoteReference"/>
          <w:color w:val="auto"/>
        </w:rPr>
        <w:footnoteReference w:id="83"/>
      </w:r>
      <w:r w:rsidRPr="00176257">
        <w:rPr>
          <w:color w:val="auto"/>
        </w:rPr>
        <w:t xml:space="preserve"> Under the Constitution (Scheduled Castes) Order 1950, persons professing a religion other than Hinduism, Sikhism, or Buddhism are excluded from Scheduled Caste designation—despite experiencing the same descent-based discrimination. The "sub-judice" characterisation obscures the Government of India's active opposition: it has filed affidavits in the Supreme Court opposing extension, arguing that caste-based discrimination "does not exist within Abrahamic religions."</w:t>
      </w:r>
      <w:r w:rsidRPr="00176257">
        <w:rPr>
          <w:rStyle w:val="FootnoteReference"/>
          <w:color w:val="auto"/>
        </w:rPr>
        <w:footnoteReference w:id="84"/>
      </w:r>
      <w:r w:rsidRPr="00176257">
        <w:rPr>
          <w:color w:val="auto"/>
        </w:rPr>
        <w:t xml:space="preserve"> The exclusion strips Dalit Muslims and Dalit Christians of </w:t>
      </w:r>
      <w:proofErr w:type="spellStart"/>
      <w:r w:rsidRPr="00176257">
        <w:rPr>
          <w:color w:val="auto"/>
        </w:rPr>
        <w:t>PoA</w:t>
      </w:r>
      <w:proofErr w:type="spellEnd"/>
      <w:r w:rsidRPr="00176257">
        <w:rPr>
          <w:color w:val="auto"/>
        </w:rPr>
        <w:t xml:space="preserve"> protections and excludes them from the affirmative action framework—legislative reservations, public employment quotas, educational seats, and welfare schemes—available to other Scheduled Castes. In March 2026, the Supreme Court ruled in a separate criminal appeal that conversion results in the immediate and complete loss of Scheduled Caste status and </w:t>
      </w:r>
      <w:proofErr w:type="spellStart"/>
      <w:r w:rsidRPr="00176257">
        <w:rPr>
          <w:color w:val="auto"/>
        </w:rPr>
        <w:t>PoA</w:t>
      </w:r>
      <w:proofErr w:type="spellEnd"/>
      <w:r w:rsidRPr="00176257">
        <w:rPr>
          <w:color w:val="auto"/>
        </w:rPr>
        <w:t xml:space="preserve"> protections.</w:t>
      </w:r>
      <w:r w:rsidRPr="00176257">
        <w:rPr>
          <w:rStyle w:val="FootnoteReference"/>
          <w:color w:val="auto"/>
        </w:rPr>
        <w:footnoteReference w:id="85"/>
      </w:r>
      <w:r w:rsidRPr="00176257">
        <w:rPr>
          <w:color w:val="auto"/>
        </w:rPr>
        <w:t xml:space="preserve"> The constitutional challenge to the 1950 Order has been pending for over twenty years. A government commission recommended removing the religion restriction in 2007. No government has acted on it. A second commission (constituted in October 2022) received multiple extensions, with its latest deadline set for June 2026—nearly four years after establishment.</w:t>
      </w:r>
      <w:r w:rsidRPr="00176257">
        <w:rPr>
          <w:rStyle w:val="FootnoteReference"/>
          <w:color w:val="auto"/>
        </w:rPr>
        <w:footnoteReference w:id="86"/>
      </w:r>
    </w:p>
    <w:p w14:paraId="4371AEAE" w14:textId="77777777" w:rsidR="00133A42" w:rsidRPr="00176257" w:rsidRDefault="00000000" w:rsidP="00176257">
      <w:pPr>
        <w:spacing w:before="120" w:after="120"/>
        <w:ind w:left="-426" w:right="-330"/>
        <w:jc w:val="both"/>
        <w:rPr>
          <w:color w:val="auto"/>
        </w:rPr>
      </w:pPr>
      <w:r w:rsidRPr="00176257">
        <w:rPr>
          <w:color w:val="auto"/>
        </w:rPr>
        <w:t xml:space="preserve">22. Asked what steps it had taken to prevent extrajudicial killings, sexual violence by security forces, and violence against Dalit and tribal women (2007 COs, paras. 14–15, 26; </w:t>
      </w:r>
      <w:proofErr w:type="spellStart"/>
      <w:r w:rsidRPr="00176257">
        <w:rPr>
          <w:color w:val="auto"/>
        </w:rPr>
        <w:t>LoIPR</w:t>
      </w:r>
      <w:proofErr w:type="spellEnd"/>
      <w:r w:rsidRPr="00176257">
        <w:rPr>
          <w:color w:val="auto"/>
        </w:rPr>
        <w:t xml:space="preserve">, paras. 15–16), India's SPR (paras. 149–150) provides figures only for 2021—50,900 cases of crimes against Scheduled Castes and 8,802 against Scheduled Tribes—and does not address the systemic barriers to justice that the Committee identified. It does not respond to the </w:t>
      </w:r>
      <w:proofErr w:type="spellStart"/>
      <w:r w:rsidRPr="00176257">
        <w:rPr>
          <w:color w:val="auto"/>
        </w:rPr>
        <w:t>LoIPR's</w:t>
      </w:r>
      <w:proofErr w:type="spellEnd"/>
      <w:r w:rsidRPr="00176257">
        <w:rPr>
          <w:color w:val="auto"/>
        </w:rPr>
        <w:t xml:space="preserve"> questions on extrajudicial killings or sexual violence. The SPR (para. 151) asserts that crimes against these communities "are diligently investigated, prosecuted and\... access to effective relief and rehabilitation is provided." The SPR's data contradicts this: of 264,698 cases pending in courts, only 10,223 were disposed of, with fewer than 36 per cent resulting in conviction.</w:t>
      </w:r>
      <w:r w:rsidRPr="00176257">
        <w:rPr>
          <w:rStyle w:val="FootnoteReference"/>
          <w:color w:val="auto"/>
        </w:rPr>
        <w:footnoteReference w:id="87"/>
      </w:r>
      <w:r w:rsidRPr="00176257">
        <w:rPr>
          <w:color w:val="auto"/>
        </w:rPr>
        <w:t xml:space="preserve"> In 2023, the National Crime Records Bureau recorded 57,789 cases of crimes against Scheduled Castes and 12,960 against Scheduled Tribes—the latter a 28.8 per cent increase over 2022—with over 93 per cent of cases pending at year end.</w:t>
      </w:r>
      <w:r w:rsidRPr="00176257">
        <w:rPr>
          <w:rStyle w:val="FootnoteReference"/>
          <w:color w:val="auto"/>
        </w:rPr>
        <w:footnoteReference w:id="88"/>
      </w:r>
      <w:r w:rsidRPr="00176257">
        <w:rPr>
          <w:color w:val="auto"/>
        </w:rPr>
        <w:t xml:space="preserve"> Civil society monitors recorded 29 instances of caste-based sexual violence in the first half of 2025.</w:t>
      </w:r>
      <w:r w:rsidRPr="00176257">
        <w:rPr>
          <w:rStyle w:val="FootnoteReference"/>
          <w:color w:val="auto"/>
        </w:rPr>
        <w:footnoteReference w:id="89"/>
      </w:r>
      <w:r w:rsidRPr="00176257">
        <w:rPr>
          <w:color w:val="auto"/>
        </w:rPr>
        <w:t xml:space="preserve"> The </w:t>
      </w:r>
      <w:proofErr w:type="spellStart"/>
      <w:r w:rsidRPr="00176257">
        <w:rPr>
          <w:color w:val="auto"/>
        </w:rPr>
        <w:t>HRCtee</w:t>
      </w:r>
      <w:proofErr w:type="spellEnd"/>
      <w:r w:rsidRPr="00176257">
        <w:rPr>
          <w:color w:val="auto"/>
        </w:rPr>
        <w:t>, at its 2024 review of India, identified the same systemic failures the Committee raised in 2007: "the delayed registration of first information reports, inadequate police investigations, lengthy trials and non-compliance with the 60-day case-disposal requirement."</w:t>
      </w:r>
      <w:r w:rsidRPr="00176257">
        <w:rPr>
          <w:rStyle w:val="FootnoteReference"/>
          <w:color w:val="auto"/>
        </w:rPr>
        <w:footnoteReference w:id="90"/>
      </w:r>
    </w:p>
    <w:p w14:paraId="7B472478" w14:textId="77777777" w:rsidR="00133A42" w:rsidRPr="00176257" w:rsidRDefault="00000000" w:rsidP="00176257">
      <w:pPr>
        <w:spacing w:before="120" w:after="120"/>
        <w:ind w:left="-426" w:right="-330"/>
        <w:jc w:val="both"/>
        <w:rPr>
          <w:color w:val="auto"/>
        </w:rPr>
      </w:pPr>
      <w:r w:rsidRPr="00176257">
        <w:rPr>
          <w:color w:val="auto"/>
        </w:rPr>
        <w:t xml:space="preserve">23. India's SPR (paras. 72–86) responds to the </w:t>
      </w:r>
      <w:proofErr w:type="spellStart"/>
      <w:r w:rsidRPr="00176257">
        <w:rPr>
          <w:color w:val="auto"/>
        </w:rPr>
        <w:t>LoIPR's</w:t>
      </w:r>
      <w:proofErr w:type="spellEnd"/>
      <w:r w:rsidRPr="00176257">
        <w:rPr>
          <w:color w:val="auto"/>
        </w:rPr>
        <w:t xml:space="preserve"> questions on sexual violence against Dalit and tribal women (para. 16) with fifteen paragraphs of legislative and institutional measures, none disaggregated by caste.</w:t>
      </w:r>
      <w:r w:rsidRPr="00176257">
        <w:rPr>
          <w:rStyle w:val="FootnoteReference"/>
          <w:color w:val="auto"/>
        </w:rPr>
        <w:footnoteReference w:id="91"/>
      </w:r>
      <w:r w:rsidRPr="00176257">
        <w:rPr>
          <w:color w:val="auto"/>
        </w:rPr>
        <w:t xml:space="preserve"> National crime statistics for 2024, the latest year for which official data is available, recorded 4,262 cases of rape against Scheduled Caste women and 1,268 against Scheduled Tribe women.</w:t>
      </w:r>
      <w:r w:rsidRPr="00176257">
        <w:rPr>
          <w:rStyle w:val="FootnoteReference"/>
          <w:color w:val="auto"/>
        </w:rPr>
        <w:footnoteReference w:id="92"/>
      </w:r>
      <w:r w:rsidRPr="00176257">
        <w:rPr>
          <w:color w:val="auto"/>
        </w:rPr>
        <w:t xml:space="preserve"> A September 2024 joint communication from seven Special Procedures mandate holders described sexual violence against Dalit women as reaching "crisis levels," "inseparable from... caste" discrimination. India is not known to have responded </w:t>
      </w:r>
      <w:r w:rsidRPr="00176257">
        <w:rPr>
          <w:color w:val="auto"/>
        </w:rPr>
        <w:lastRenderedPageBreak/>
        <w:t>substantively.</w:t>
      </w:r>
      <w:r w:rsidRPr="00176257">
        <w:rPr>
          <w:rStyle w:val="FootnoteReference"/>
          <w:color w:val="auto"/>
        </w:rPr>
        <w:footnoteReference w:id="93"/>
      </w:r>
      <w:r w:rsidRPr="00176257">
        <w:rPr>
          <w:color w:val="auto"/>
        </w:rPr>
        <w:t xml:space="preserve"> The SPR cites the Supreme Court's direction for intersectional analysis of caste-and-gender violence (Patan Jamal Vali, 2021) but does not report on its implementation. The safe houses the Court ordered for inter-caste couples in every district remain largely non-existent.</w:t>
      </w:r>
      <w:r w:rsidRPr="00176257">
        <w:rPr>
          <w:rStyle w:val="FootnoteReference"/>
          <w:color w:val="auto"/>
        </w:rPr>
        <w:footnoteReference w:id="94"/>
      </w:r>
    </w:p>
    <w:p w14:paraId="734F18EF" w14:textId="77777777" w:rsidR="00133A42" w:rsidRPr="00176257" w:rsidRDefault="00000000" w:rsidP="00176257">
      <w:pPr>
        <w:spacing w:before="120" w:after="120"/>
        <w:ind w:left="-426" w:right="-330"/>
        <w:jc w:val="both"/>
        <w:rPr>
          <w:color w:val="auto"/>
        </w:rPr>
      </w:pPr>
      <w:r w:rsidRPr="00176257">
        <w:rPr>
          <w:color w:val="auto"/>
        </w:rPr>
        <w:t xml:space="preserve">24. Asked what steps it had taken to end the exploitative labour to which Dalits are subjected and to prevent the employment of manual scavengers by State and local governments (2007 COs, para. 23; </w:t>
      </w:r>
      <w:proofErr w:type="spellStart"/>
      <w:r w:rsidRPr="00176257">
        <w:rPr>
          <w:color w:val="auto"/>
        </w:rPr>
        <w:t>LoIPR</w:t>
      </w:r>
      <w:proofErr w:type="spellEnd"/>
      <w:r w:rsidRPr="00176257">
        <w:rPr>
          <w:color w:val="auto"/>
        </w:rPr>
        <w:t>, para. 23), India's SPR (paras. 110–122) describes legislative and institutional measures but, while acknowledging that deaths occur during sewer and septic tank cleaning (para. 118), provides no death toll, no enforcement data, and no account of the scale of bonded labour.</w:t>
      </w:r>
      <w:r w:rsidRPr="00176257">
        <w:rPr>
          <w:rStyle w:val="FootnoteReference"/>
          <w:color w:val="auto"/>
        </w:rPr>
        <w:footnoteReference w:id="95"/>
      </w:r>
      <w:r w:rsidRPr="00176257">
        <w:rPr>
          <w:color w:val="auto"/>
        </w:rPr>
        <w:t xml:space="preserve"> At least 1,289 workers have died in manual scavenging since 1993, with 52 deaths recorded in 2024 alone, and India's national crime statistics contain no record of any offence under the prohibiting legislation since its enactment.</w:t>
      </w:r>
      <w:r w:rsidRPr="00176257">
        <w:rPr>
          <w:rStyle w:val="FootnoteReference"/>
          <w:color w:val="auto"/>
        </w:rPr>
        <w:footnoteReference w:id="96"/>
      </w:r>
      <w:r w:rsidRPr="00176257">
        <w:rPr>
          <w:color w:val="auto"/>
        </w:rPr>
        <w:t xml:space="preserve"> On bonded labour, the SPR reports the rehabilitation of only 2,650 persons in three years (para. 111)—against a parliamentary acknowledgment of 18.4 million bonded labourers nationally, of whom fewer than 300,000 have been rehabilitated since 1978, less than 2 per cent.</w:t>
      </w:r>
      <w:r w:rsidRPr="00176257">
        <w:rPr>
          <w:rStyle w:val="FootnoteReference"/>
          <w:color w:val="auto"/>
        </w:rPr>
        <w:footnoteReference w:id="97"/>
      </w:r>
      <w:r w:rsidRPr="00176257">
        <w:rPr>
          <w:color w:val="auto"/>
        </w:rPr>
        <w:t xml:space="preserve"> The rehabilitation budget was cut by 75 per cent between 2022–23 and 2023–24, and surveys of rescued workers have found that 63 per cent were Dalits.</w:t>
      </w:r>
      <w:r w:rsidRPr="00176257">
        <w:rPr>
          <w:rStyle w:val="FootnoteReference"/>
          <w:color w:val="auto"/>
        </w:rPr>
        <w:footnoteReference w:id="98"/>
      </w:r>
      <w:r w:rsidRPr="00176257">
        <w:rPr>
          <w:color w:val="auto"/>
        </w:rPr>
        <w:t xml:space="preserve"> The </w:t>
      </w:r>
      <w:proofErr w:type="spellStart"/>
      <w:r w:rsidRPr="00176257">
        <w:rPr>
          <w:color w:val="auto"/>
        </w:rPr>
        <w:t>HRCtee</w:t>
      </w:r>
      <w:proofErr w:type="spellEnd"/>
      <w:r w:rsidRPr="00176257">
        <w:rPr>
          <w:color w:val="auto"/>
        </w:rPr>
        <w:t>, at its 2024 review of India, found that the manual scavenging prohibition "is not effectively enforced and the practice continues to be employed in several regions, including by local governments" (para. 15), and recommended implementation "in particular regarding local governments and municipalities" (para. 16).</w:t>
      </w:r>
      <w:r w:rsidRPr="00176257">
        <w:rPr>
          <w:rStyle w:val="FootnoteReference"/>
          <w:color w:val="auto"/>
        </w:rPr>
        <w:footnoteReference w:id="99"/>
      </w:r>
    </w:p>
    <w:p w14:paraId="3C7C8714" w14:textId="77777777" w:rsidR="00133A42" w:rsidRPr="00176257" w:rsidRDefault="00000000" w:rsidP="00176257">
      <w:pPr>
        <w:spacing w:before="120" w:after="120"/>
        <w:ind w:left="-426" w:right="-330"/>
        <w:jc w:val="both"/>
        <w:rPr>
          <w:color w:val="auto"/>
        </w:rPr>
      </w:pPr>
      <w:r w:rsidRPr="00176257">
        <w:rPr>
          <w:color w:val="auto"/>
        </w:rPr>
        <w:t xml:space="preserve">25. India's SPR (para. 87), responding to the </w:t>
      </w:r>
      <w:proofErr w:type="spellStart"/>
      <w:r w:rsidRPr="00176257">
        <w:rPr>
          <w:color w:val="auto"/>
        </w:rPr>
        <w:t>LoIPR's</w:t>
      </w:r>
      <w:proofErr w:type="spellEnd"/>
      <w:r w:rsidRPr="00176257">
        <w:rPr>
          <w:color w:val="auto"/>
        </w:rPr>
        <w:t xml:space="preserve"> questions on birth registration and identity documents (para. 17), provides only national aggregate data—a 92.7 per cent registration rate—without disaggregation by caste, ethnicity, or religion.</w:t>
      </w:r>
      <w:r w:rsidRPr="00176257">
        <w:rPr>
          <w:rStyle w:val="FootnoteReference"/>
          <w:color w:val="auto"/>
        </w:rPr>
        <w:footnoteReference w:id="100"/>
      </w:r>
      <w:r w:rsidRPr="00176257">
        <w:rPr>
          <w:color w:val="auto"/>
        </w:rPr>
        <w:t xml:space="preserve"> The SPR does not address identity documents despite Aadhaar—India's biometric identity system—having become a de facto prerequisite for access to food rations, pensions, and employment guarantee wages.</w:t>
      </w:r>
      <w:r w:rsidRPr="00176257">
        <w:rPr>
          <w:rStyle w:val="FootnoteReference"/>
          <w:color w:val="auto"/>
        </w:rPr>
        <w:footnoteReference w:id="101"/>
      </w:r>
      <w:r w:rsidRPr="00176257">
        <w:rPr>
          <w:color w:val="auto"/>
        </w:rPr>
        <w:t xml:space="preserve"> Civil society organisations documented at least 25 hunger-related deaths linked to Aadhaar-based welfare denial between 2017 and 2019; authentication failures continue, with a 31 per cent biometric failure rate recorded among pensioners in Rajasthan State in early 2025.</w:t>
      </w:r>
      <w:r w:rsidRPr="00176257">
        <w:rPr>
          <w:rStyle w:val="FootnoteReference"/>
          <w:color w:val="auto"/>
        </w:rPr>
        <w:footnoteReference w:id="102"/>
      </w:r>
      <w:r w:rsidRPr="00176257">
        <w:rPr>
          <w:color w:val="auto"/>
        </w:rPr>
        <w:t xml:space="preserve"> In Assam State, the biometrics of at least 935,000 people were locked during the National Register of Citizens process, cutting off access to welfare schemes for years (para. 33 below).</w:t>
      </w:r>
      <w:r w:rsidRPr="00176257">
        <w:rPr>
          <w:rStyle w:val="FootnoteReference"/>
          <w:color w:val="auto"/>
        </w:rPr>
        <w:footnoteReference w:id="103"/>
      </w:r>
    </w:p>
    <w:p w14:paraId="1056E6A8" w14:textId="77777777" w:rsidR="00133A42" w:rsidRPr="00176257" w:rsidRDefault="00000000" w:rsidP="00176257">
      <w:pPr>
        <w:spacing w:before="120" w:after="120"/>
        <w:ind w:left="-426" w:right="-330"/>
        <w:jc w:val="both"/>
        <w:rPr>
          <w:color w:val="auto"/>
        </w:rPr>
      </w:pPr>
      <w:r w:rsidRPr="00176257">
        <w:rPr>
          <w:b/>
          <w:bCs/>
          <w:color w:val="auto"/>
        </w:rPr>
        <w:lastRenderedPageBreak/>
        <w:t>(c) Muslims</w:t>
      </w:r>
      <w:r w:rsidRPr="00176257">
        <w:rPr>
          <w:rStyle w:val="FootnoteReference"/>
          <w:color w:val="auto"/>
        </w:rPr>
        <w:footnoteReference w:id="104"/>
      </w:r>
    </w:p>
    <w:p w14:paraId="70DB6D15" w14:textId="77777777" w:rsidR="00133A42" w:rsidRPr="00176257" w:rsidRDefault="00000000" w:rsidP="00176257">
      <w:pPr>
        <w:spacing w:before="120" w:after="120"/>
        <w:ind w:left="-426" w:right="-330"/>
        <w:jc w:val="both"/>
        <w:rPr>
          <w:color w:val="auto"/>
        </w:rPr>
      </w:pPr>
      <w:r w:rsidRPr="00176257">
        <w:rPr>
          <w:color w:val="auto"/>
        </w:rPr>
        <w:t>26. The Committee has characterised the treatment of Bengali-speaking Muslims in Assam State as racial discrimination "based on descent, ethno-religious and ethnic origin" under its early warning and urgent action procedure, and has requested India to provide information on the situation during the dialogue on its combined reports.</w:t>
      </w:r>
      <w:r w:rsidRPr="00176257">
        <w:rPr>
          <w:rStyle w:val="FootnoteReference"/>
          <w:color w:val="auto"/>
        </w:rPr>
        <w:footnoteReference w:id="105"/>
      </w:r>
      <w:r w:rsidRPr="00176257">
        <w:rPr>
          <w:color w:val="auto"/>
        </w:rPr>
        <w:t xml:space="preserve"> In March 2026, a panel of independent international experts found reasonable basis to believe that the systematic stripping of citizenship, legality, and residence from Bengali-speaking Muslims in Assam State amounts to apartheid as a crime against humanity—inhumane acts committed within an institutionalised regime of systematic oppression and domination by one racial group over another.</w:t>
      </w:r>
      <w:r w:rsidRPr="00176257">
        <w:rPr>
          <w:rStyle w:val="FootnoteReference"/>
          <w:color w:val="auto"/>
        </w:rPr>
        <w:footnoteReference w:id="106"/>
      </w:r>
      <w:r w:rsidRPr="00176257">
        <w:rPr>
          <w:color w:val="auto"/>
        </w:rPr>
        <w:t xml:space="preserve"> The components of this regime, according to the experts, include deprivation of citizenship and electoral disenfranchisement, exclusion from public services, forced evictions and mass expulsions, bans on inter-faith land sales, the selective repeal of Muslim personal law, and the closure and conversion of Islamic educational institutions.</w:t>
      </w:r>
      <w:r w:rsidRPr="00176257">
        <w:rPr>
          <w:rStyle w:val="FootnoteReference"/>
          <w:color w:val="auto"/>
        </w:rPr>
        <w:footnoteReference w:id="107"/>
      </w:r>
    </w:p>
    <w:p w14:paraId="2CF4A55B" w14:textId="77777777" w:rsidR="00133A42" w:rsidRPr="00176257" w:rsidRDefault="00000000" w:rsidP="00176257">
      <w:pPr>
        <w:spacing w:before="120" w:after="120"/>
        <w:ind w:left="-426" w:right="-330"/>
        <w:jc w:val="both"/>
        <w:rPr>
          <w:color w:val="auto"/>
        </w:rPr>
      </w:pPr>
      <w:r w:rsidRPr="00176257">
        <w:rPr>
          <w:color w:val="auto"/>
        </w:rPr>
        <w:t xml:space="preserve">27. The </w:t>
      </w:r>
      <w:proofErr w:type="spellStart"/>
      <w:r w:rsidRPr="00176257">
        <w:rPr>
          <w:color w:val="auto"/>
        </w:rPr>
        <w:t>LoT</w:t>
      </w:r>
      <w:proofErr w:type="spellEnd"/>
      <w:r w:rsidRPr="00176257">
        <w:rPr>
          <w:color w:val="auto"/>
        </w:rPr>
        <w:t xml:space="preserve"> (para. 13) asks about the right to adequate housing for ethno-religious groups. India's SPR (paras. 56–59) does not address the residential segregation of Muslims. A February 2026 study of 1.5 million Indian neighbourhoods found that both Muslim and Scheduled Caste segregation is high by global standards and only slightly lower than Black-White segregation in the United States, with Muslim and Scheduled Caste neighbourhoods receiving markedly fewer public facilities, from schools and clinics to piped water and sewerage.</w:t>
      </w:r>
      <w:r w:rsidRPr="00176257">
        <w:rPr>
          <w:rStyle w:val="FootnoteReference"/>
          <w:color w:val="auto"/>
        </w:rPr>
        <w:footnoteReference w:id="108"/>
      </w:r>
      <w:r w:rsidRPr="00176257">
        <w:rPr>
          <w:color w:val="auto"/>
        </w:rPr>
        <w:t xml:space="preserve"> Since India submitted its SPR report, two States have moved to codify residential segregation in law. In March 2026, Rajasthan State passed a law allowing authorities to block property sales in areas classified as "disturbed" on grounds of "improper clustering" and "demographic imbalance"—terms widely criticised as institutionalising residential segregation of Muslims.</w:t>
      </w:r>
      <w:r w:rsidRPr="00176257">
        <w:rPr>
          <w:rStyle w:val="FootnoteReference"/>
          <w:color w:val="auto"/>
        </w:rPr>
        <w:footnoteReference w:id="109"/>
      </w:r>
      <w:r w:rsidRPr="00176257">
        <w:rPr>
          <w:color w:val="auto"/>
        </w:rPr>
        <w:t xml:space="preserve"> Gujarat State, where similar legislation has operated since 1991, expanded its Disturbed Areas Act the same month, granting officials the power to seize property and allowing any resident to challenge a transaction to which they are not a party.</w:t>
      </w:r>
      <w:r w:rsidRPr="00176257">
        <w:rPr>
          <w:rStyle w:val="FootnoteReference"/>
          <w:color w:val="auto"/>
        </w:rPr>
        <w:footnoteReference w:id="110"/>
      </w:r>
      <w:r w:rsidRPr="00176257">
        <w:rPr>
          <w:color w:val="auto"/>
        </w:rPr>
        <w:t xml:space="preserve"> Segregation extends to livelihoods: at least twenty States have enacted cattle slaughter bans that have devastated Muslim-dominated meat and leather trades, with an estimated 2.5 million jobs at risk, and municipal authorities and Hindu extremist non-state actors have forced Muslim vendors out of markets and public spaces through evictions and organised economic boycott campaigns.</w:t>
      </w:r>
      <w:r w:rsidRPr="00176257">
        <w:rPr>
          <w:rStyle w:val="FootnoteReference"/>
          <w:color w:val="auto"/>
        </w:rPr>
        <w:footnoteReference w:id="111"/>
      </w:r>
      <w:r w:rsidRPr="00176257">
        <w:rPr>
          <w:rStyle w:val="FootnoteReference"/>
          <w:color w:val="auto"/>
        </w:rPr>
        <w:footnoteReference w:id="112"/>
      </w:r>
      <w:r w:rsidRPr="00176257">
        <w:rPr>
          <w:color w:val="auto"/>
        </w:rPr>
        <w:t xml:space="preserve"> The targeting of Islamic educational institutions, addressed in para. 35 below, further entrenches segregation in education.</w:t>
      </w:r>
    </w:p>
    <w:p w14:paraId="40786F19" w14:textId="77777777" w:rsidR="00133A42" w:rsidRPr="00176257" w:rsidRDefault="00000000" w:rsidP="00176257">
      <w:pPr>
        <w:spacing w:before="120" w:after="120"/>
        <w:ind w:left="-426" w:right="-330"/>
        <w:jc w:val="both"/>
        <w:rPr>
          <w:color w:val="auto"/>
        </w:rPr>
      </w:pPr>
      <w:r w:rsidRPr="00176257">
        <w:rPr>
          <w:color w:val="auto"/>
        </w:rPr>
        <w:t>28. In its May 2025 EWUAP communication, the Committee expressed concern about "legislative steps taken towards a more restrictive and discriminatory approach against Bengali-speaking Muslims, particularly in relation to their right to marriage and choice of spouse."</w:t>
      </w:r>
      <w:r w:rsidRPr="00176257">
        <w:rPr>
          <w:rStyle w:val="FootnoteReference"/>
          <w:color w:val="auto"/>
        </w:rPr>
        <w:footnoteReference w:id="113"/>
      </w:r>
      <w:r w:rsidRPr="00176257">
        <w:rPr>
          <w:color w:val="auto"/>
        </w:rPr>
        <w:t xml:space="preserve"> The measures prompting the Committee's concern included Assam State's repeal of its 89-year-old Muslim marriage registration law and its replacement with a statute transferring registration from </w:t>
      </w:r>
      <w:proofErr w:type="spellStart"/>
      <w:r w:rsidRPr="00176257">
        <w:rPr>
          <w:color w:val="auto"/>
        </w:rPr>
        <w:t>qazis</w:t>
      </w:r>
      <w:proofErr w:type="spellEnd"/>
      <w:r w:rsidRPr="00176257">
        <w:rPr>
          <w:color w:val="auto"/>
        </w:rPr>
        <w:t>—community-appointed officials who had registered Muslim marriages since 1935—to government officers, and a requirement since 2020 that couples disclose their religion to the state before marriage.</w:t>
      </w:r>
      <w:r w:rsidRPr="00176257">
        <w:rPr>
          <w:rStyle w:val="FootnoteReference"/>
          <w:color w:val="auto"/>
        </w:rPr>
        <w:footnoteReference w:id="114"/>
      </w:r>
      <w:r w:rsidRPr="00176257">
        <w:rPr>
          <w:color w:val="auto"/>
        </w:rPr>
        <w:t xml:space="preserve"> Assam State subsequently enacted the Prohibition of Polygamy Act in November </w:t>
      </w:r>
      <w:r w:rsidRPr="00176257">
        <w:rPr>
          <w:color w:val="auto"/>
        </w:rPr>
        <w:lastRenderedPageBreak/>
        <w:t xml:space="preserve">2025, imposing up to ten years' imprisonment and extending criminal liability to any priest or </w:t>
      </w:r>
      <w:proofErr w:type="spellStart"/>
      <w:r w:rsidRPr="00176257">
        <w:rPr>
          <w:color w:val="auto"/>
        </w:rPr>
        <w:t>qazi</w:t>
      </w:r>
      <w:proofErr w:type="spellEnd"/>
      <w:r w:rsidRPr="00176257">
        <w:rPr>
          <w:color w:val="auto"/>
        </w:rPr>
        <w:t xml:space="preserve"> who facilitates a second marriage and to village heads and family members, while exempting Scheduled Tribes.</w:t>
      </w:r>
      <w:r w:rsidRPr="00176257">
        <w:rPr>
          <w:rStyle w:val="FootnoteReference"/>
          <w:color w:val="auto"/>
        </w:rPr>
        <w:footnoteReference w:id="115"/>
      </w:r>
      <w:r w:rsidRPr="00176257">
        <w:rPr>
          <w:color w:val="auto"/>
        </w:rPr>
        <w:t xml:space="preserve"> Separately, Uttarakhand State implemented a Uniform Civil Code in January 2025, and Gujarat State (March 2026) and Assam State (May 2026) have passed equivalent legislation—each overriding Muslim personal law on marriage, divorce, and inheritance while exempting Scheduled Tribes—undermining the claim to uniformity and reinforcing that the legislation targets Muslim communities specifically—and Gujarat State has introduced marriage registration rules requiring notification of blood relatives before registration, justified by its Deputy Chief Minister as a safeguard against "love jihad," an unfounded conspiracy theory alleging that Muslim men target Hindu women for conversion through marriage.</w:t>
      </w:r>
      <w:r w:rsidRPr="00176257">
        <w:rPr>
          <w:rStyle w:val="FootnoteReference"/>
          <w:color w:val="auto"/>
        </w:rPr>
        <w:footnoteReference w:id="116"/>
      </w:r>
    </w:p>
    <w:p w14:paraId="674AE028" w14:textId="77777777" w:rsidR="00133A42" w:rsidRPr="00176257" w:rsidRDefault="00000000" w:rsidP="00176257">
      <w:pPr>
        <w:spacing w:before="120" w:after="120"/>
        <w:ind w:left="-426" w:right="-330"/>
        <w:jc w:val="both"/>
        <w:rPr>
          <w:color w:val="auto"/>
        </w:rPr>
      </w:pPr>
      <w:r w:rsidRPr="00176257">
        <w:rPr>
          <w:color w:val="auto"/>
        </w:rPr>
        <w:t xml:space="preserve">29. The Committee also requests information on measures to guarantee, inter alia, the rights to freedom of thought, conscience and religion and to own property for members of ethno-religious groups (List of Themes, para. 13). State-level laws criminalising religious conversion have existed in India since the 1960s, originally targeting Christian </w:t>
      </w:r>
      <w:proofErr w:type="spellStart"/>
      <w:r w:rsidRPr="00176257">
        <w:rPr>
          <w:color w:val="auto"/>
        </w:rPr>
        <w:t>proselytism</w:t>
      </w:r>
      <w:proofErr w:type="spellEnd"/>
      <w:r w:rsidRPr="00176257">
        <w:rPr>
          <w:color w:val="auto"/>
        </w:rPr>
        <w:t>. Since 2014, States governed by the BJP have enacted a new generation of such legislation, now active in at least thirteen States.</w:t>
      </w:r>
      <w:r w:rsidRPr="00176257">
        <w:rPr>
          <w:rStyle w:val="FootnoteReference"/>
          <w:color w:val="auto"/>
        </w:rPr>
        <w:footnoteReference w:id="117"/>
      </w:r>
      <w:r w:rsidRPr="00176257">
        <w:rPr>
          <w:color w:val="auto"/>
        </w:rPr>
        <w:t xml:space="preserve"> These laws criminalise conversions relating to marriage and are routinely invoked against interfaith marriages involving Muslim men and Hindu women, marketed as measures against the "love jihad" conspiracy theory. Several explicitly exempt reconversion to a person's "immediate previous religion," meaning that a Muslim man whose Hindu partner converts to Islam faces prosecution for inducement, but no offence arises when a Muslim converts to Hinduism.</w:t>
      </w:r>
      <w:r w:rsidRPr="00176257">
        <w:rPr>
          <w:rStyle w:val="FootnoteReference"/>
          <w:color w:val="auto"/>
        </w:rPr>
        <w:footnoteReference w:id="118"/>
      </w:r>
      <w:r w:rsidRPr="00176257">
        <w:rPr>
          <w:color w:val="auto"/>
        </w:rPr>
        <w:t xml:space="preserve"> Recent legislation has further escalated penalties: the Rajasthan Religious Conversion Prohibition Act (2025) and the Chhattisgarh Freedom of Religion Act (2026) prescribe life imprisonment and property demolition on the basis of third-party allegations.</w:t>
      </w:r>
      <w:r w:rsidRPr="00176257">
        <w:rPr>
          <w:rStyle w:val="FootnoteReference"/>
          <w:color w:val="auto"/>
        </w:rPr>
        <w:footnoteReference w:id="119"/>
      </w:r>
      <w:r w:rsidRPr="00176257">
        <w:rPr>
          <w:color w:val="auto"/>
        </w:rPr>
        <w:t xml:space="preserve"> Three Special Rapporteurs warned that these laws are "likely to be used as a tool of persecution" generating "an atmosphere of fear among religious minorities," yet the Supreme Court has not ruled on consolidated constitutional challenges.</w:t>
      </w:r>
      <w:r w:rsidRPr="00176257">
        <w:rPr>
          <w:rStyle w:val="FootnoteReference"/>
          <w:color w:val="auto"/>
        </w:rPr>
        <w:footnoteReference w:id="120"/>
      </w:r>
      <w:r w:rsidRPr="00176257">
        <w:rPr>
          <w:color w:val="auto"/>
        </w:rPr>
        <w:t xml:space="preserve"> At the central level, the Waqf (Amendment) Act, 2025, places Muslim charitable endowments covering some 600,000 acres under what two Special Rapporteurs have termed "heightened state control and reduced autonomy."</w:t>
      </w:r>
      <w:r w:rsidRPr="00176257">
        <w:rPr>
          <w:rStyle w:val="FootnoteReference"/>
          <w:color w:val="auto"/>
        </w:rPr>
        <w:footnoteReference w:id="121"/>
      </w:r>
      <w:r w:rsidRPr="00176257">
        <w:rPr>
          <w:color w:val="auto"/>
        </w:rPr>
        <w:t xml:space="preserve"> The Act abolishes the "waqf by user" doctrine that protected mosques and graveyards in continuous community use—a model of discriminatory state interference not applied to other religious communities.</w:t>
      </w:r>
    </w:p>
    <w:p w14:paraId="3E8642B6" w14:textId="77777777" w:rsidR="00133A42" w:rsidRPr="00176257" w:rsidRDefault="00000000" w:rsidP="00176257">
      <w:pPr>
        <w:spacing w:before="120" w:after="120"/>
        <w:ind w:left="-426" w:right="-330"/>
        <w:jc w:val="both"/>
        <w:rPr>
          <w:color w:val="auto"/>
        </w:rPr>
      </w:pPr>
      <w:r w:rsidRPr="00176257">
        <w:rPr>
          <w:color w:val="auto"/>
        </w:rPr>
        <w:t xml:space="preserve">30. The </w:t>
      </w:r>
      <w:proofErr w:type="spellStart"/>
      <w:r w:rsidRPr="00176257">
        <w:rPr>
          <w:color w:val="auto"/>
        </w:rPr>
        <w:t>LoT</w:t>
      </w:r>
      <w:proofErr w:type="spellEnd"/>
      <w:r w:rsidRPr="00176257">
        <w:rPr>
          <w:color w:val="auto"/>
        </w:rPr>
        <w:t xml:space="preserve"> (para. 8) asks what measures India has taken to ensure law enforcement officers do not engage in racial profiling. Across multiple States, independent experts have documented extrajudicial killings, punitive demolitions, and forced evictions disproportionately targeting Muslims.</w:t>
      </w:r>
      <w:r w:rsidRPr="00176257">
        <w:rPr>
          <w:rStyle w:val="FootnoteReference"/>
          <w:color w:val="auto"/>
        </w:rPr>
        <w:footnoteReference w:id="122"/>
      </w:r>
      <w:r w:rsidRPr="00176257">
        <w:rPr>
          <w:color w:val="auto"/>
        </w:rPr>
        <w:t xml:space="preserve"> In Assam State—where, as noted previously, the Committee has addressed the security of Bengali-speaking Muslims through its EWUAP communications—at least 83 people were killed and more than 180 injured in police "encounter" shootings between May 2021 and January 2024, with Bengali-speaking Muslims comprising 54 per cent of those killed or injured despite constituting 34 per cent of the state's population.</w:t>
      </w:r>
      <w:r w:rsidRPr="00176257">
        <w:rPr>
          <w:rStyle w:val="FootnoteReference"/>
          <w:color w:val="auto"/>
        </w:rPr>
        <w:footnoteReference w:id="123"/>
      </w:r>
      <w:r w:rsidRPr="00176257">
        <w:rPr>
          <w:color w:val="auto"/>
        </w:rPr>
        <w:t xml:space="preserve"> In Uttar Pradesh State, police have conducted over 16,000 "encounter" operations since 2017, resulting in over 260 deaths, with Muslims comprising approximately 32 per cent of those killed—vastly more than the community's 20 per cent share of the state's </w:t>
      </w:r>
      <w:r w:rsidRPr="00176257">
        <w:rPr>
          <w:color w:val="auto"/>
        </w:rPr>
        <w:lastRenderedPageBreak/>
        <w:t>population.</w:t>
      </w:r>
      <w:r w:rsidRPr="00176257">
        <w:rPr>
          <w:rStyle w:val="FootnoteReference"/>
          <w:color w:val="auto"/>
        </w:rPr>
        <w:footnoteReference w:id="124"/>
      </w:r>
      <w:r w:rsidRPr="00176257">
        <w:rPr>
          <w:color w:val="auto"/>
        </w:rPr>
        <w:t xml:space="preserve"> Forced evictions of Bengali-speaking Muslim communities in Assam State have intensified since 2016, with over 17,600 families uprooted and approximately 1,200 homes demolished in </w:t>
      </w:r>
      <w:proofErr w:type="spellStart"/>
      <w:r w:rsidRPr="00176257">
        <w:rPr>
          <w:color w:val="auto"/>
        </w:rPr>
        <w:t>Sonitpur</w:t>
      </w:r>
      <w:proofErr w:type="spellEnd"/>
      <w:r w:rsidRPr="00176257">
        <w:rPr>
          <w:color w:val="auto"/>
        </w:rPr>
        <w:t xml:space="preserve"> district alone in January 2026.</w:t>
      </w:r>
      <w:r w:rsidRPr="00176257">
        <w:rPr>
          <w:rStyle w:val="FootnoteReference"/>
          <w:color w:val="auto"/>
        </w:rPr>
        <w:footnoteReference w:id="125"/>
      </w:r>
      <w:r w:rsidRPr="00176257">
        <w:rPr>
          <w:color w:val="auto"/>
        </w:rPr>
        <w:t xml:space="preserve"> Across India, authorities demolished over 7,400 homes in 2024, rendering over 41,000 people homeless, with 37 per cent of demolitions targeting Muslim households.</w:t>
      </w:r>
      <w:r w:rsidRPr="00176257">
        <w:rPr>
          <w:rStyle w:val="FootnoteReference"/>
          <w:color w:val="auto"/>
        </w:rPr>
        <w:footnoteReference w:id="126"/>
      </w:r>
      <w:r w:rsidRPr="00176257">
        <w:rPr>
          <w:color w:val="auto"/>
        </w:rPr>
        <w:t xml:space="preserve"> The </w:t>
      </w:r>
      <w:proofErr w:type="spellStart"/>
      <w:r w:rsidRPr="00176257">
        <w:rPr>
          <w:color w:val="auto"/>
        </w:rPr>
        <w:t>HRCtee</w:t>
      </w:r>
      <w:proofErr w:type="spellEnd"/>
      <w:r w:rsidRPr="00176257">
        <w:rPr>
          <w:color w:val="auto"/>
        </w:rPr>
        <w:t>, at its 2024 review of India, expressed concern at "the demolitions of religious minorities' places of worship and private homes\... most of them belonging to Muslims, and the reports of violence and lynching by 'cow vigilantes' against Muslims and Christians."</w:t>
      </w:r>
      <w:r w:rsidRPr="00176257">
        <w:rPr>
          <w:rStyle w:val="FootnoteReference"/>
          <w:color w:val="auto"/>
        </w:rPr>
        <w:footnoteReference w:id="127"/>
      </w:r>
      <w:r w:rsidRPr="00176257">
        <w:rPr>
          <w:color w:val="auto"/>
        </w:rPr>
        <w:t xml:space="preserve"> In July 2025, four Special Rapporteurs addressed a joint communication to India concerning killings of Muslims by vigilante groups, citing over 300 reported instances since May 2014 and noting that as of 2024, only five individuals had been convicted for lynchings related to cow-protection violence.</w:t>
      </w:r>
      <w:r w:rsidRPr="00176257">
        <w:rPr>
          <w:rStyle w:val="FootnoteReference"/>
          <w:color w:val="auto"/>
        </w:rPr>
        <w:footnoteReference w:id="128"/>
      </w:r>
    </w:p>
    <w:p w14:paraId="3FBA1456" w14:textId="77777777" w:rsidR="00133A42" w:rsidRPr="00176257" w:rsidRDefault="00000000" w:rsidP="00176257">
      <w:pPr>
        <w:spacing w:before="120" w:after="120"/>
        <w:ind w:left="-426" w:right="-330"/>
        <w:jc w:val="both"/>
        <w:rPr>
          <w:color w:val="auto"/>
        </w:rPr>
      </w:pPr>
      <w:r w:rsidRPr="00176257">
        <w:rPr>
          <w:color w:val="auto"/>
        </w:rPr>
        <w:t>31. India's SPR (paras. 92–99, 123–140) addresses political participation and socio-economic rights exclusively through the framework of Scheduled Castes and Scheduled Tribes, mentioning "minorities" only in passing enumeration without disaggregated data.</w:t>
      </w:r>
      <w:r w:rsidRPr="00176257">
        <w:rPr>
          <w:rStyle w:val="FootnoteReference"/>
          <w:color w:val="auto"/>
        </w:rPr>
        <w:footnoteReference w:id="129"/>
      </w:r>
      <w:r w:rsidRPr="00176257">
        <w:rPr>
          <w:color w:val="auto"/>
        </w:rPr>
        <w:t xml:space="preserve"> In 2006, the Sachar Committee found that India's Muslims ranked below Scheduled Castes on key socio-economic indicators including employment, education, and access to public services.</w:t>
      </w:r>
      <w:r w:rsidRPr="00176257">
        <w:rPr>
          <w:rStyle w:val="FootnoteReference"/>
          <w:color w:val="auto"/>
        </w:rPr>
        <w:footnoteReference w:id="130"/>
      </w:r>
      <w:r w:rsidRPr="00176257">
        <w:rPr>
          <w:color w:val="auto"/>
        </w:rPr>
        <w:t xml:space="preserve"> The government responded by establishing dedicated programmes—minority scholarships, a fellowship for research scholars, coaching schemes, and a Multi-Sectoral Development Programme for minority-concentration districts. Since 2014, this infrastructure has been systematically rolled back: the Maulana Azad National Fellowship was discontinued, pre-matric and post-matric minority scholarships have been frozen since 2022, and multiple schemes under the Prime Minister's 15-Point Programme for the Welfare of Minorities have been scrapped—even as equivalent programmes for Scheduled Castes and Scheduled Tribes have been maintained or expanded.</w:t>
      </w:r>
      <w:r w:rsidRPr="00176257">
        <w:rPr>
          <w:rStyle w:val="FootnoteReference"/>
          <w:color w:val="auto"/>
        </w:rPr>
        <w:footnoteReference w:id="131"/>
      </w:r>
      <w:r w:rsidRPr="00176257">
        <w:rPr>
          <w:color w:val="auto"/>
        </w:rPr>
        <w:t xml:space="preserve"> In June 2026, the West Bengal State Assembly removed 77 Muslim communities from the state's Other Backward Classes list—stripping their entitlement to reserved quotas in public employment and education—and cut the OBC reservation from 17 to 7 per cent.</w:t>
      </w:r>
      <w:r w:rsidRPr="00176257">
        <w:rPr>
          <w:rStyle w:val="FootnoteReference"/>
          <w:color w:val="auto"/>
        </w:rPr>
        <w:footnoteReference w:id="132"/>
      </w:r>
      <w:r w:rsidRPr="00176257">
        <w:rPr>
          <w:color w:val="auto"/>
        </w:rPr>
        <w:t xml:space="preserve"> Muslim political representation has simultaneously collapsed: Muslims hold 24 of 543 Lok Sabha seats (4.4 per cent, against a 14 per cent population share), and the ruling party does not field Muslim candidates at all.</w:t>
      </w:r>
      <w:r w:rsidRPr="00176257">
        <w:rPr>
          <w:rStyle w:val="FootnoteReference"/>
          <w:color w:val="auto"/>
        </w:rPr>
        <w:footnoteReference w:id="133"/>
      </w:r>
      <w:r w:rsidRPr="00176257">
        <w:rPr>
          <w:color w:val="auto"/>
        </w:rPr>
        <w:t xml:space="preserve"> The pattern is replicated in State legislatures, where Muslims hold approximately 6 per cent of seats nationally, and the ruling party did not field a single Muslim candidate across the five State elections held in 2026.</w:t>
      </w:r>
      <w:r w:rsidRPr="00176257">
        <w:rPr>
          <w:rStyle w:val="FootnoteReference"/>
          <w:color w:val="auto"/>
        </w:rPr>
        <w:footnoteReference w:id="134"/>
      </w:r>
      <w:r w:rsidRPr="00176257">
        <w:rPr>
          <w:color w:val="auto"/>
        </w:rPr>
        <w:t xml:space="preserve"> The </w:t>
      </w:r>
      <w:proofErr w:type="spellStart"/>
      <w:r w:rsidRPr="00176257">
        <w:rPr>
          <w:color w:val="auto"/>
        </w:rPr>
        <w:t>LoT</w:t>
      </w:r>
      <w:proofErr w:type="spellEnd"/>
      <w:r w:rsidRPr="00176257">
        <w:rPr>
          <w:color w:val="auto"/>
        </w:rPr>
        <w:t xml:space="preserve"> (para. 25) specifically asks about the right to health without discrimination for racial, ethnic, and ethno-religious groups. The SPR contains no disaggregated health data. Across all communities, the SPR describes special measures at length but provides no disaggregated outcome data for any scheme, making independent assessment of their impact impossible.</w:t>
      </w:r>
    </w:p>
    <w:p w14:paraId="60AB0760" w14:textId="77777777" w:rsidR="00133A42" w:rsidRPr="00176257" w:rsidRDefault="00000000" w:rsidP="00176257">
      <w:pPr>
        <w:spacing w:before="120" w:after="120"/>
        <w:ind w:left="-426" w:right="-330"/>
        <w:jc w:val="both"/>
        <w:rPr>
          <w:color w:val="auto"/>
        </w:rPr>
      </w:pPr>
      <w:r w:rsidRPr="00176257">
        <w:rPr>
          <w:color w:val="auto"/>
        </w:rPr>
        <w:t>32. The Election Commission of India's Special Intensive Revision (SIR) of electoral rolls—the subject of a specific request in the List of Themes (para. 24)—deleted approximately 9.1 million voters in West Bengal State ahead of the April 2026 State elections, reducing the electorate by nearly 12 per cent.</w:t>
      </w:r>
      <w:r w:rsidRPr="00176257">
        <w:rPr>
          <w:rStyle w:val="FootnoteReference"/>
          <w:color w:val="auto"/>
        </w:rPr>
        <w:footnoteReference w:id="135"/>
      </w:r>
      <w:r w:rsidRPr="00176257">
        <w:rPr>
          <w:color w:val="auto"/>
        </w:rPr>
        <w:t xml:space="preserve"> The SIR deployed an untested algorithm—used in no other State—that flagged transliteration variations between Bengali and English </w:t>
      </w:r>
      <w:r w:rsidRPr="00176257">
        <w:rPr>
          <w:color w:val="auto"/>
        </w:rPr>
        <w:lastRenderedPageBreak/>
        <w:t>renderings of names, disproportionately affecting Muslim voters: Muslims accounted for approximately 34 per cent of all deletions despite comprising 27 per cent of the population, with ratios as extreme as 95 per cent of deletions in a constituency where Muslims were 26 per cent of the electorate.</w:t>
      </w:r>
      <w:r w:rsidRPr="00176257">
        <w:rPr>
          <w:rStyle w:val="FootnoteReference"/>
          <w:color w:val="auto"/>
        </w:rPr>
        <w:footnoteReference w:id="136"/>
      </w:r>
      <w:r w:rsidRPr="00176257">
        <w:rPr>
          <w:color w:val="auto"/>
        </w:rPr>
        <w:t xml:space="preserve"> The exercise also had a pronounced gender dimension: 61.8 per cent of all deleted voters were women, concentrated in Muslim-majority and tribal constituencies, and the requirement that voters prove parental linkage to the 2002 electoral roll has disproportionately excluded transgender persons estranged from natal families.</w:t>
      </w:r>
      <w:r w:rsidRPr="00176257">
        <w:rPr>
          <w:rStyle w:val="FootnoteReference"/>
          <w:color w:val="auto"/>
        </w:rPr>
        <w:footnoteReference w:id="137"/>
      </w:r>
      <w:r w:rsidRPr="00176257">
        <w:rPr>
          <w:color w:val="auto"/>
        </w:rPr>
        <w:t xml:space="preserve"> The Supreme Court declined to stay the exercise before polling—approximately 3.4 million deleted voters were unable to vote while their appeals were pending—and on 27 May 2026, upheld the SIR's legality, holding that deletion "does not amount to a determination of citizenship."</w:t>
      </w:r>
      <w:r w:rsidRPr="00176257">
        <w:rPr>
          <w:rStyle w:val="FootnoteReference"/>
          <w:color w:val="auto"/>
        </w:rPr>
        <w:footnoteReference w:id="138"/>
      </w:r>
      <w:r w:rsidRPr="00176257">
        <w:rPr>
          <w:color w:val="auto"/>
        </w:rPr>
        <w:t xml:space="preserve"> The incoming State government has nonetheless used SIR deletions to strip welfare access: a 4 June 2026 government order directs officials to remove deleted persons from subsidised food rolls and other State welfare schemes without any citizenship verification.</w:t>
      </w:r>
      <w:r w:rsidRPr="00176257">
        <w:rPr>
          <w:rStyle w:val="FootnoteReference"/>
          <w:color w:val="auto"/>
        </w:rPr>
        <w:footnoteReference w:id="139"/>
      </w:r>
    </w:p>
    <w:p w14:paraId="1C46C971" w14:textId="77777777" w:rsidR="00133A42" w:rsidRPr="00176257" w:rsidRDefault="00000000" w:rsidP="00176257">
      <w:pPr>
        <w:spacing w:before="120" w:after="120"/>
        <w:ind w:left="-426" w:right="-330"/>
        <w:jc w:val="both"/>
        <w:rPr>
          <w:color w:val="auto"/>
        </w:rPr>
      </w:pPr>
      <w:r w:rsidRPr="00176257">
        <w:rPr>
          <w:color w:val="auto"/>
        </w:rPr>
        <w:t>33. India's SPR (paras. 100–101) provides a purely procedural account of the National Register of Citizens (NRC) process in Assam State, claiming it incorporated "appropriate safeguards" and was "closely monitored by the Supreme Court," but does not mention that approximately 1.9 million persons were excluded from the final list—disproportionately Bengali-speaking Muslims—or address their current legal status.</w:t>
      </w:r>
      <w:r w:rsidRPr="00176257">
        <w:rPr>
          <w:rStyle w:val="FootnoteReference"/>
          <w:color w:val="auto"/>
        </w:rPr>
        <w:footnoteReference w:id="140"/>
      </w:r>
      <w:r w:rsidRPr="00176257">
        <w:rPr>
          <w:color w:val="auto"/>
        </w:rPr>
        <w:t xml:space="preserve"> The </w:t>
      </w:r>
      <w:proofErr w:type="spellStart"/>
      <w:r w:rsidRPr="00176257">
        <w:rPr>
          <w:color w:val="auto"/>
        </w:rPr>
        <w:t>LoIPR</w:t>
      </w:r>
      <w:proofErr w:type="spellEnd"/>
      <w:r w:rsidRPr="00176257">
        <w:rPr>
          <w:color w:val="auto"/>
        </w:rPr>
        <w:t xml:space="preserve"> (para. 19) specifically requested disaggregated data on the ethnicity and religion of those excluded. The SPR provides none. Seven years after publication of the final NRC list, the fate of those excluded—effectively "half citizens"—remains unresolved. As noted in para. 25, the biometrics of at least 935,000 people who submitted data during the NRC claims-and-objections process were locked, cutting off access to welfare schemes for years. The Assam State home department subsequently acknowledged there was no legal basis for the freeze.</w:t>
      </w:r>
      <w:r w:rsidRPr="00176257">
        <w:rPr>
          <w:rStyle w:val="FootnoteReference"/>
          <w:color w:val="auto"/>
        </w:rPr>
        <w:footnoteReference w:id="141"/>
      </w:r>
      <w:r w:rsidRPr="00176257">
        <w:rPr>
          <w:color w:val="auto"/>
        </w:rPr>
        <w:t xml:space="preserve"> The Citizenship (Amendment) Act, 2019 (CAA), which offers an expedited pathway to citizenship for non-Muslim migrants from three neighbouring countries while expressly excluding Muslims, is entirely absent from the SPR despite having been enacted just years before the report was submitted.</w:t>
      </w:r>
      <w:r w:rsidRPr="00176257">
        <w:rPr>
          <w:rStyle w:val="FootnoteReference"/>
          <w:color w:val="auto"/>
        </w:rPr>
        <w:footnoteReference w:id="142"/>
      </w:r>
      <w:r w:rsidRPr="00176257">
        <w:rPr>
          <w:color w:val="auto"/>
        </w:rPr>
        <w:t xml:space="preserve"> The </w:t>
      </w:r>
      <w:proofErr w:type="spellStart"/>
      <w:r w:rsidRPr="00176257">
        <w:rPr>
          <w:color w:val="auto"/>
        </w:rPr>
        <w:t>HRCtee</w:t>
      </w:r>
      <w:proofErr w:type="spellEnd"/>
      <w:r w:rsidRPr="00176257">
        <w:rPr>
          <w:color w:val="auto"/>
        </w:rPr>
        <w:t>, at its 2024 review of India, found that the CAA and its implementing rules "establish access to citizenship for asylum-seekers and refugees according to religious criteria, discriminating, in particular, against Muslims" and that "over 2 million Muslims in Assam, who already hold citizenship, risk statelessness and confinement in detention centres for an indefinite period before expulsion" (paras. 55–56).</w:t>
      </w:r>
      <w:r w:rsidRPr="00176257">
        <w:rPr>
          <w:rStyle w:val="FootnoteReference"/>
          <w:color w:val="auto"/>
        </w:rPr>
        <w:footnoteReference w:id="143"/>
      </w:r>
      <w:r w:rsidRPr="00176257">
        <w:rPr>
          <w:color w:val="auto"/>
        </w:rPr>
        <w:t xml:space="preserve"> Since India submitted its report, the discriminatory framework has been extended: in September 2025, the Government of India issued the Immigration and Foreigners (Exemption) Order, formally exempting non-Muslims from deportation and detention while leaving Muslims exposed, and in Assam, a new standard operating procedure empowers district officials to summarily determine nationality and order expulsion within 24 hours, bypassing even the quasi-judicial Foreigners Tribunals.</w:t>
      </w:r>
      <w:r w:rsidRPr="00176257">
        <w:rPr>
          <w:rStyle w:val="FootnoteReference"/>
          <w:color w:val="auto"/>
        </w:rPr>
        <w:footnoteReference w:id="144"/>
      </w:r>
      <w:r w:rsidRPr="00176257">
        <w:rPr>
          <w:color w:val="auto"/>
        </w:rPr>
        <w:t xml:space="preserve"> India publishes no data on stateless persons or those at risk of statelessness. Since May 2025, this framework has been deployed in a mass expulsion campaign: thousands of Bengali-speaking Muslims have been detained and forcibly pushed across the Bangladeshi border (para. 37 below).</w:t>
      </w:r>
    </w:p>
    <w:p w14:paraId="62AAA62D" w14:textId="77777777" w:rsidR="00133A42" w:rsidRPr="00176257" w:rsidRDefault="00000000" w:rsidP="00176257">
      <w:pPr>
        <w:spacing w:before="120" w:after="120"/>
        <w:ind w:left="-426" w:right="-330"/>
        <w:jc w:val="both"/>
        <w:rPr>
          <w:color w:val="auto"/>
        </w:rPr>
      </w:pPr>
      <w:r w:rsidRPr="00176257">
        <w:rPr>
          <w:color w:val="auto"/>
        </w:rPr>
        <w:lastRenderedPageBreak/>
        <w:t xml:space="preserve">34. The </w:t>
      </w:r>
      <w:proofErr w:type="spellStart"/>
      <w:r w:rsidRPr="00176257">
        <w:rPr>
          <w:color w:val="auto"/>
        </w:rPr>
        <w:t>LoIPR</w:t>
      </w:r>
      <w:proofErr w:type="spellEnd"/>
      <w:r w:rsidRPr="00176257">
        <w:rPr>
          <w:color w:val="auto"/>
        </w:rPr>
        <w:t xml:space="preserve"> (para. 11) asked India what measures it had taken to ensure that revoking Jammu and Kashmir's special constitutional status—which had reserved land ownership and public employment for permanent residents of India's only Muslim-majority region—would not lead to discrimination against minorities on Convention grounds. India's SPR (paras. 54–55) claims the abrogation "enabled the delivery of good governance" and lists infrastructure projects, but provides no information on discrimination.</w:t>
      </w:r>
      <w:r w:rsidRPr="00176257">
        <w:rPr>
          <w:rStyle w:val="FootnoteReference"/>
          <w:color w:val="auto"/>
        </w:rPr>
        <w:footnoteReference w:id="145"/>
      </w:r>
      <w:r w:rsidRPr="00176257">
        <w:rPr>
          <w:color w:val="auto"/>
        </w:rPr>
        <w:t xml:space="preserve"> Since the abrogation of Article 370 in August 2019, new domicile rules have opened the region to demographic restructuring, with over 83,000 domicile certificates issued to non-residents.</w:t>
      </w:r>
      <w:r w:rsidRPr="00176257">
        <w:rPr>
          <w:rStyle w:val="FootnoteReference"/>
          <w:color w:val="auto"/>
        </w:rPr>
        <w:footnoteReference w:id="146"/>
      </w:r>
      <w:r w:rsidRPr="00176257">
        <w:rPr>
          <w:color w:val="auto"/>
        </w:rPr>
        <w:t xml:space="preserve"> Following a terror attack in Pahalgam in April 2025, authorities arrested approximately 2,800 persons across the Kashmir Valley—including journalists and human rights defenders—with between 75 and 90 charged under the Public Safety Act and 12 under the Unlawful Activities (Prevention) Act.</w:t>
      </w:r>
      <w:r w:rsidRPr="00176257">
        <w:rPr>
          <w:rStyle w:val="FootnoteReference"/>
          <w:color w:val="auto"/>
        </w:rPr>
        <w:footnoteReference w:id="147"/>
      </w:r>
      <w:r w:rsidRPr="00176257">
        <w:rPr>
          <w:color w:val="auto"/>
        </w:rPr>
        <w:t xml:space="preserve"> At least 54 extrajudicial killings were reported in the aftermath, including deaths in custody attributed to torture, and at least nine homes were demolished as collective punishment.</w:t>
      </w:r>
      <w:r w:rsidRPr="00176257">
        <w:rPr>
          <w:rStyle w:val="FootnoteReference"/>
          <w:color w:val="auto"/>
        </w:rPr>
        <w:footnoteReference w:id="148"/>
      </w:r>
      <w:r w:rsidRPr="00176257">
        <w:rPr>
          <w:color w:val="auto"/>
        </w:rPr>
        <w:t xml:space="preserve"> In September 2025, ten Special Procedures mandate holders addressed a joint communication to India expressing "grave concern at what appears to be the criminalization, repression and collective punishment of Kashmiri individuals inside and outside of Jammu and Kashmir," noting that India had replied to only one of twelve prior communications on the region (AL IND 8/2025).</w:t>
      </w:r>
      <w:r w:rsidRPr="00176257">
        <w:rPr>
          <w:rStyle w:val="FootnoteReference"/>
          <w:color w:val="auto"/>
        </w:rPr>
        <w:footnoteReference w:id="149"/>
      </w:r>
      <w:r w:rsidRPr="00176257">
        <w:rPr>
          <w:color w:val="auto"/>
        </w:rPr>
        <w:t xml:space="preserve"> The </w:t>
      </w:r>
      <w:proofErr w:type="spellStart"/>
      <w:r w:rsidRPr="00176257">
        <w:rPr>
          <w:color w:val="auto"/>
        </w:rPr>
        <w:t>HRCtee</w:t>
      </w:r>
      <w:proofErr w:type="spellEnd"/>
      <w:r w:rsidRPr="00176257">
        <w:rPr>
          <w:color w:val="auto"/>
        </w:rPr>
        <w:t>, at its 2024 review of India, similarly found that counter-terrorism legislation applicable to Jammu and Kashmir has led to "widespread and grave human rights violations" (paras. 27–28).</w:t>
      </w:r>
      <w:r w:rsidRPr="00176257">
        <w:rPr>
          <w:rStyle w:val="FootnoteReference"/>
          <w:color w:val="auto"/>
        </w:rPr>
        <w:footnoteReference w:id="150"/>
      </w:r>
    </w:p>
    <w:p w14:paraId="47B5FA0B" w14:textId="77777777" w:rsidR="00133A42" w:rsidRPr="00176257" w:rsidRDefault="00000000" w:rsidP="00176257">
      <w:pPr>
        <w:spacing w:before="120" w:after="120"/>
        <w:ind w:left="-426" w:right="-330"/>
        <w:jc w:val="both"/>
        <w:rPr>
          <w:color w:val="auto"/>
        </w:rPr>
      </w:pPr>
      <w:r w:rsidRPr="00176257">
        <w:rPr>
          <w:color w:val="auto"/>
        </w:rPr>
        <w:t>35. India's SPR (paras. 131–140) discusses education exclusively in relation to Scheduled Caste and Scheduled Tribe students. Muslim educational institutions and curriculum content changes affecting religious minorities are entirely absent from the report, which claims that human rights concepts are "deeply embedded" in the education system (para. 153).</w:t>
      </w:r>
      <w:r w:rsidRPr="00176257">
        <w:rPr>
          <w:rStyle w:val="FootnoteReference"/>
          <w:color w:val="auto"/>
        </w:rPr>
        <w:footnoteReference w:id="151"/>
      </w:r>
      <w:r w:rsidRPr="00176257">
        <w:rPr>
          <w:color w:val="auto"/>
        </w:rPr>
        <w:t xml:space="preserve"> The </w:t>
      </w:r>
      <w:proofErr w:type="spellStart"/>
      <w:r w:rsidRPr="00176257">
        <w:rPr>
          <w:color w:val="auto"/>
        </w:rPr>
        <w:t>LoIPR</w:t>
      </w:r>
      <w:proofErr w:type="spellEnd"/>
      <w:r w:rsidRPr="00176257">
        <w:rPr>
          <w:color w:val="auto"/>
        </w:rPr>
        <w:t xml:space="preserve"> (paras. 29–30) asked India about measures to incorporate objectives of tolerance in school curricula, following up on the 2007 COs (para. 27), which recommended incorporating "educational objectives of inter-caste tolerance and respect for other ethnicities" in the National Curriculum Framework. In October 2024, the National Commission for Protection of Child Rights recommended that all states halt funding to madrasas and shut down madrasa boards.</w:t>
      </w:r>
      <w:r w:rsidRPr="00176257">
        <w:rPr>
          <w:rStyle w:val="FootnoteReference"/>
          <w:color w:val="auto"/>
        </w:rPr>
        <w:footnoteReference w:id="152"/>
      </w:r>
      <w:r w:rsidRPr="00176257">
        <w:rPr>
          <w:color w:val="auto"/>
        </w:rPr>
        <w:t xml:space="preserve"> Multiple states have already acted: since 2020, Assam State authorities have converted over 1,200 government-aided madrasas into general schools (see para. 26 above); in April 2025, Uttarakhand State authorities sealed over 170 for non-registration; in November 2025, the Uttar Pradesh State Anti-Terrorism Squad collected personal data on madrasa students and teachers across multiple districts; and since August 2025, Jammu and Kashmir authorities have seized over 270 schools affiliated with the J&amp;K Jamaat-e-Islami, a Muslim socio-religious organisation banned under the UAPA.</w:t>
      </w:r>
      <w:r w:rsidRPr="00176257">
        <w:rPr>
          <w:rStyle w:val="FootnoteReference"/>
          <w:color w:val="auto"/>
        </w:rPr>
        <w:footnoteReference w:id="153"/>
      </w:r>
      <w:r w:rsidRPr="00176257">
        <w:rPr>
          <w:color w:val="auto"/>
        </w:rPr>
        <w:t xml:space="preserve"> India's National Council of Educational Research and Training has progressively removed content on the demolition of the Babri Masjid (a sixteenth-century mosque destroyed by Hindu nationalist mobs in 1992), Mughal-era history, and communal violence from national textbooks.</w:t>
      </w:r>
      <w:r w:rsidRPr="00176257">
        <w:rPr>
          <w:rStyle w:val="FootnoteReference"/>
          <w:color w:val="auto"/>
        </w:rPr>
        <w:footnoteReference w:id="154"/>
      </w:r>
      <w:r w:rsidRPr="00176257">
        <w:rPr>
          <w:color w:val="auto"/>
        </w:rPr>
        <w:t xml:space="preserve"> The exclusion of Dalit Muslims and Dalit Christians from educational reservations (see para. 21 above) further compounds inequality of access.</w:t>
      </w:r>
    </w:p>
    <w:p w14:paraId="2B464ED7" w14:textId="77777777" w:rsidR="00133A42" w:rsidRPr="00176257" w:rsidRDefault="00000000" w:rsidP="00176257">
      <w:pPr>
        <w:spacing w:before="120" w:after="120"/>
        <w:ind w:left="-426" w:right="-330"/>
        <w:jc w:val="both"/>
        <w:rPr>
          <w:color w:val="auto"/>
        </w:rPr>
      </w:pPr>
      <w:r w:rsidRPr="00176257">
        <w:rPr>
          <w:color w:val="auto"/>
        </w:rPr>
        <w:lastRenderedPageBreak/>
        <w:t>36. Victims of anti-Muslim violence too face compounding obstacles to effective remedies: non-registration of complaints by police, complicity of state actors in the violations themselves (see para. 30 above), and the judiciary's failure to provide effective remedies on constitutional questions affecting religious minorities. The Supreme Court has repeatedly delayed listing and hearing challenges to laws that directly affect minority rights.</w:t>
      </w:r>
      <w:r w:rsidRPr="00176257">
        <w:rPr>
          <w:rStyle w:val="FootnoteReference"/>
          <w:color w:val="auto"/>
        </w:rPr>
        <w:footnoteReference w:id="155"/>
      </w:r>
      <w:r w:rsidRPr="00176257">
        <w:rPr>
          <w:color w:val="auto"/>
        </w:rPr>
        <w:t xml:space="preserve"> In February 2025, the Special Rapporteur on the independence of judges and lawyers raised concerns about "rules, procedures and practices in the Indian judiciary that may impact its independence and impartiality," including the underrepresentation of religious minorities on the bench—as of early 2024, one of 33 sitting Supreme Court justices was Muslim and 36 per cent were from the Brahmin caste, which constitutes approximately 5 per cent of the population—the broad discretion of the Chief Justice in assigning and scheduling cases, and the pattern of post-retirement political appointments of judges.</w:t>
      </w:r>
      <w:r w:rsidRPr="00176257">
        <w:rPr>
          <w:rStyle w:val="FootnoteReference"/>
          <w:color w:val="auto"/>
        </w:rPr>
        <w:footnoteReference w:id="156"/>
      </w:r>
      <w:r w:rsidRPr="00176257">
        <w:rPr>
          <w:color w:val="auto"/>
        </w:rPr>
        <w:t xml:space="preserve"> A 2024 assessment of judicial independence at the Supreme Court found that perceived partiality was "particularly visible in cases involving rights of minorities."</w:t>
      </w:r>
      <w:r w:rsidRPr="00176257">
        <w:rPr>
          <w:rStyle w:val="FootnoteReference"/>
          <w:color w:val="auto"/>
        </w:rPr>
        <w:footnoteReference w:id="157"/>
      </w:r>
      <w:r w:rsidRPr="00176257">
        <w:rPr>
          <w:color w:val="auto"/>
        </w:rPr>
        <w:t xml:space="preserve"> As noted previously, the Court has recently abandoned enforcement of its own hate speech monitoring framework (see para. 10 above). The </w:t>
      </w:r>
      <w:proofErr w:type="spellStart"/>
      <w:r w:rsidRPr="00176257">
        <w:rPr>
          <w:color w:val="auto"/>
        </w:rPr>
        <w:t>HRCtee</w:t>
      </w:r>
      <w:proofErr w:type="spellEnd"/>
      <w:r w:rsidRPr="00176257">
        <w:rPr>
          <w:color w:val="auto"/>
        </w:rPr>
        <w:t>, at its 2024 review of India, found that decisions of the Supreme Court relevant for the implementation of human rights had "not been effectively or fully executed" and that more than 75 per cent of the prison population was under trial, "with a disproportionate presence of Muslims, Dalits and Adivasis" (see para. 14 above).</w:t>
      </w:r>
      <w:r w:rsidRPr="00176257">
        <w:rPr>
          <w:rStyle w:val="FootnoteReference"/>
          <w:color w:val="auto"/>
        </w:rPr>
        <w:footnoteReference w:id="158"/>
      </w:r>
    </w:p>
    <w:p w14:paraId="434B5596" w14:textId="77777777" w:rsidR="00133A42" w:rsidRPr="00176257" w:rsidRDefault="00000000" w:rsidP="00176257">
      <w:pPr>
        <w:spacing w:before="120" w:after="120"/>
        <w:ind w:left="-426" w:right="-330"/>
        <w:jc w:val="both"/>
        <w:rPr>
          <w:color w:val="auto"/>
        </w:rPr>
      </w:pPr>
      <w:r w:rsidRPr="00176257">
        <w:rPr>
          <w:b/>
          <w:bCs/>
          <w:color w:val="auto"/>
        </w:rPr>
        <w:t>V. Situation of migrant workers, refugees, asylum-seekers and stateless persons (arts. 2, 5 and 6)</w:t>
      </w:r>
      <w:r w:rsidRPr="00176257">
        <w:rPr>
          <w:rStyle w:val="FootnoteReference"/>
          <w:color w:val="auto"/>
        </w:rPr>
        <w:footnoteReference w:id="159"/>
      </w:r>
    </w:p>
    <w:p w14:paraId="3C1F4045" w14:textId="77777777" w:rsidR="00133A42" w:rsidRPr="00176257" w:rsidRDefault="00000000" w:rsidP="00176257">
      <w:pPr>
        <w:spacing w:before="120" w:after="120"/>
        <w:ind w:left="-426" w:right="-330"/>
        <w:jc w:val="both"/>
        <w:rPr>
          <w:color w:val="auto"/>
        </w:rPr>
      </w:pPr>
      <w:r w:rsidRPr="00176257">
        <w:rPr>
          <w:color w:val="auto"/>
        </w:rPr>
        <w:t xml:space="preserve">37. Asked to adopt national refugee legislation consistent with international standards (2007 COs, para. 16; </w:t>
      </w:r>
      <w:proofErr w:type="spellStart"/>
      <w:r w:rsidRPr="00176257">
        <w:rPr>
          <w:color w:val="auto"/>
        </w:rPr>
        <w:t>LoIPR</w:t>
      </w:r>
      <w:proofErr w:type="spellEnd"/>
      <w:r w:rsidRPr="00176257">
        <w:rPr>
          <w:color w:val="auto"/>
        </w:rPr>
        <w:t>, para. 26(a)), the SPR (paras. 141–143) states that India has not acceded to the 1951 Refugee Convention and that all foreign nationals, including refugees, are governed by general immigration law. In 2025, the Immigration and Foreigners Act consolidated four colonial-era immigration statutes into a single framework but remained entirely silent on refugees and asylum seekers, extending executive-controlled Foreigners Tribunals nationwide without strengthening procedural safeguards.</w:t>
      </w:r>
      <w:r w:rsidRPr="00176257">
        <w:rPr>
          <w:rStyle w:val="FootnoteReference"/>
          <w:color w:val="auto"/>
        </w:rPr>
        <w:footnoteReference w:id="160"/>
      </w:r>
      <w:r w:rsidRPr="00176257">
        <w:rPr>
          <w:color w:val="auto"/>
        </w:rPr>
        <w:t xml:space="preserve"> Since India submitted its SPR, it has launched a mass expulsion campaign targeting Bengali-speaking Muslims and Rohingya Muslim refugees. Since May 2025, thousands have been detained across India and forcibly pushed across the Bangladeshi border without due process.</w:t>
      </w:r>
      <w:r w:rsidRPr="00176257">
        <w:rPr>
          <w:rStyle w:val="FootnoteReference"/>
          <w:color w:val="auto"/>
        </w:rPr>
        <w:footnoteReference w:id="161"/>
      </w:r>
      <w:r w:rsidRPr="00176257">
        <w:rPr>
          <w:color w:val="auto"/>
        </w:rPr>
        <w:t xml:space="preserve"> The Chief Minister of Assam State has publicly announced a target of 10,000 to 50,000 expulsions per year and stated that he would "create conditions for them to leave."</w:t>
      </w:r>
      <w:r w:rsidRPr="00176257">
        <w:rPr>
          <w:rStyle w:val="FootnoteReference"/>
          <w:color w:val="auto"/>
        </w:rPr>
        <w:footnoteReference w:id="162"/>
      </w:r>
      <w:r w:rsidRPr="00176257">
        <w:rPr>
          <w:color w:val="auto"/>
        </w:rPr>
        <w:t xml:space="preserve"> Around 200 Indian citizens are known to have been wrongfully expelled by India and subsequently returned by Bangladesh, with others yet to be returned.</w:t>
      </w:r>
      <w:r w:rsidRPr="00176257">
        <w:rPr>
          <w:rStyle w:val="FootnoteReference"/>
          <w:color w:val="auto"/>
        </w:rPr>
        <w:footnoteReference w:id="163"/>
      </w:r>
      <w:r w:rsidRPr="00176257">
        <w:rPr>
          <w:color w:val="auto"/>
        </w:rPr>
        <w:t xml:space="preserve"> The SIR deletions in West Bengal (para. 32 above) feed directly into this framework: deleted voters have been stripped of welfare access and face accelerated nationality determination and expulsion under the procedures described above (para. 33). Independent experts have found reasonable basis to believe that these expulsions amount to deportation or forcible transfer as a crime against humanity.</w:t>
      </w:r>
      <w:r w:rsidRPr="00176257">
        <w:rPr>
          <w:rStyle w:val="FootnoteReference"/>
          <w:color w:val="auto"/>
        </w:rPr>
        <w:footnoteReference w:id="164"/>
      </w:r>
      <w:r w:rsidRPr="00176257">
        <w:rPr>
          <w:color w:val="auto"/>
        </w:rPr>
        <w:t xml:space="preserve"> Rohingya refugees face particular risk: the Committee addressed their situation in its June 2024 EWUAP statement, and the </w:t>
      </w:r>
      <w:proofErr w:type="spellStart"/>
      <w:r w:rsidRPr="00176257">
        <w:rPr>
          <w:color w:val="auto"/>
        </w:rPr>
        <w:t>HRCtee</w:t>
      </w:r>
      <w:proofErr w:type="spellEnd"/>
      <w:r w:rsidRPr="00176257">
        <w:rPr>
          <w:color w:val="auto"/>
        </w:rPr>
        <w:t>, at its 2024 review of India, expressed concern at "deportations to Myanmar" and anti-migrant hate speech "particularly with regard to Muslims, including Rohingyas from Myanmar, who are publicly identified as a threat to national security" (paras. 41–42).</w:t>
      </w:r>
      <w:r w:rsidRPr="00176257">
        <w:rPr>
          <w:rStyle w:val="FootnoteReference"/>
          <w:color w:val="auto"/>
        </w:rPr>
        <w:footnoteReference w:id="165"/>
      </w:r>
      <w:r w:rsidRPr="00176257">
        <w:rPr>
          <w:color w:val="auto"/>
        </w:rPr>
        <w:t xml:space="preserve"> The SPR (para. 143) refers to Rohingya only as "illegal migrants of </w:t>
      </w:r>
      <w:r w:rsidRPr="00176257">
        <w:rPr>
          <w:color w:val="auto"/>
        </w:rPr>
        <w:lastRenderedPageBreak/>
        <w:t>Rakhine state."</w:t>
      </w:r>
      <w:r w:rsidRPr="00176257">
        <w:rPr>
          <w:rStyle w:val="FootnoteReference"/>
          <w:color w:val="auto"/>
        </w:rPr>
        <w:footnoteReference w:id="166"/>
      </w:r>
      <w:r w:rsidRPr="00176257">
        <w:rPr>
          <w:color w:val="auto"/>
        </w:rPr>
        <w:t xml:space="preserve"> On measures to prevent statelessness (</w:t>
      </w:r>
      <w:proofErr w:type="spellStart"/>
      <w:r w:rsidRPr="00176257">
        <w:rPr>
          <w:color w:val="auto"/>
        </w:rPr>
        <w:t>LoT</w:t>
      </w:r>
      <w:proofErr w:type="spellEnd"/>
      <w:r w:rsidRPr="00176257">
        <w:rPr>
          <w:color w:val="auto"/>
        </w:rPr>
        <w:t>, para. 31), approximately 1.9 million persons excluded from the Assam NRC remain at risk of statelessness, and India publishes no data on stateless persons (para. 33 above).</w:t>
      </w:r>
    </w:p>
    <w:p w14:paraId="15F17CAC" w14:textId="77777777" w:rsidR="00133A42" w:rsidRPr="00176257" w:rsidRDefault="00000000" w:rsidP="00176257">
      <w:pPr>
        <w:spacing w:before="120" w:after="120"/>
        <w:ind w:left="-426" w:right="-330"/>
        <w:jc w:val="both"/>
        <w:rPr>
          <w:color w:val="auto"/>
        </w:rPr>
      </w:pPr>
      <w:r w:rsidRPr="00176257">
        <w:rPr>
          <w:b/>
          <w:bCs/>
          <w:color w:val="auto"/>
        </w:rPr>
        <w:t>VI. Human rights education to combat prejudice and intolerance (art. 7)</w:t>
      </w:r>
      <w:r w:rsidRPr="00176257">
        <w:rPr>
          <w:rStyle w:val="FootnoteReference"/>
          <w:color w:val="auto"/>
        </w:rPr>
        <w:footnoteReference w:id="167"/>
      </w:r>
    </w:p>
    <w:p w14:paraId="6C4891A6" w14:textId="77777777" w:rsidR="00133A42" w:rsidRPr="00176257" w:rsidRDefault="00000000" w:rsidP="00176257">
      <w:pPr>
        <w:spacing w:before="120" w:after="120"/>
        <w:ind w:left="-426" w:right="-330"/>
        <w:jc w:val="both"/>
        <w:rPr>
          <w:color w:val="auto"/>
        </w:rPr>
      </w:pPr>
      <w:r w:rsidRPr="00176257">
        <w:rPr>
          <w:color w:val="auto"/>
        </w:rPr>
        <w:t xml:space="preserve">38. Asked what measures it had taken to eradicate caste-based and racial prejudice through education and awareness-raising (2007 COs, para. 27; </w:t>
      </w:r>
      <w:proofErr w:type="spellStart"/>
      <w:r w:rsidRPr="00176257">
        <w:rPr>
          <w:color w:val="auto"/>
        </w:rPr>
        <w:t>LoIPR</w:t>
      </w:r>
      <w:proofErr w:type="spellEnd"/>
      <w:r w:rsidRPr="00176257">
        <w:rPr>
          <w:color w:val="auto"/>
        </w:rPr>
        <w:t>, paras. 29–30), India's SPR (paras. 152–153) responds with references to constitutional provisions for Scheduled Castes and Scheduled Tribes and asserts that "[c]</w:t>
      </w:r>
      <w:proofErr w:type="spellStart"/>
      <w:r w:rsidRPr="00176257">
        <w:rPr>
          <w:color w:val="auto"/>
        </w:rPr>
        <w:t>oncepts</w:t>
      </w:r>
      <w:proofErr w:type="spellEnd"/>
      <w:r w:rsidRPr="00176257">
        <w:rPr>
          <w:color w:val="auto"/>
        </w:rPr>
        <w:t xml:space="preserve"> of human rights are deeply embedded in [the] Indian education system," citing civics curricula and general training for officials—but no teacher training and nothing targeting racial or religious prejudice in any setting (</w:t>
      </w:r>
      <w:proofErr w:type="spellStart"/>
      <w:r w:rsidRPr="00176257">
        <w:rPr>
          <w:color w:val="auto"/>
        </w:rPr>
        <w:t>LoT</w:t>
      </w:r>
      <w:proofErr w:type="spellEnd"/>
      <w:r w:rsidRPr="00176257">
        <w:rPr>
          <w:color w:val="auto"/>
        </w:rPr>
        <w:t>, para. 33).</w:t>
      </w:r>
      <w:r w:rsidRPr="00176257">
        <w:rPr>
          <w:rStyle w:val="FootnoteReference"/>
          <w:color w:val="auto"/>
        </w:rPr>
        <w:footnoteReference w:id="168"/>
      </w:r>
      <w:r w:rsidRPr="00176257">
        <w:rPr>
          <w:color w:val="auto"/>
        </w:rPr>
        <w:t xml:space="preserve"> It identifies no measure targeting religious prejudice or promoting inter-religious understanding, and none exists: no National Action Plan against racial discrimination has been adopted,</w:t>
      </w:r>
      <w:r w:rsidRPr="00176257">
        <w:rPr>
          <w:rStyle w:val="FootnoteReference"/>
          <w:color w:val="auto"/>
        </w:rPr>
        <w:footnoteReference w:id="169"/>
      </w:r>
      <w:r w:rsidRPr="00176257">
        <w:rPr>
          <w:color w:val="auto"/>
        </w:rPr>
        <w:t xml:space="preserve"> the National Integration Council, tasked with promoting communal harmony, has not convened once since 2014,</w:t>
      </w:r>
      <w:r w:rsidRPr="00176257">
        <w:rPr>
          <w:rStyle w:val="FootnoteReference"/>
          <w:color w:val="auto"/>
        </w:rPr>
        <w:footnoteReference w:id="170"/>
      </w:r>
      <w:r w:rsidRPr="00176257">
        <w:rPr>
          <w:color w:val="auto"/>
        </w:rPr>
        <w:t xml:space="preserve"> and no government-led awareness programme or training for officials targeting religious prejudice or prejudices against Indigenous Peoples exists at the national level. Far from mere inaction, the trajectory has been in the opposite direction—the erasure of Muslim history from school curricula (see para. 35 above) and the official characterisation of Muslims as foreign 'infiltrators' (see para. 10 above) are state-led measures to entrench, rather than combat, prejudice.</w:t>
      </w:r>
    </w:p>
    <w:p w14:paraId="37086BDD" w14:textId="0A08DED0" w:rsidR="00133A42" w:rsidRPr="00176257" w:rsidRDefault="001D2FE2" w:rsidP="00176257">
      <w:pPr>
        <w:spacing w:before="240" w:after="120"/>
        <w:ind w:left="-426" w:right="-330"/>
        <w:rPr>
          <w:color w:val="auto"/>
        </w:rPr>
      </w:pPr>
      <w:r w:rsidRPr="00176257">
        <w:rPr>
          <w:b/>
          <w:bCs/>
          <w:color w:val="auto"/>
        </w:rPr>
        <w:t>Recommendations</w:t>
      </w:r>
    </w:p>
    <w:p w14:paraId="591EDFF7" w14:textId="77777777" w:rsidR="00133A42" w:rsidRPr="00176257" w:rsidRDefault="00000000" w:rsidP="00176257">
      <w:pPr>
        <w:spacing w:before="120" w:after="120"/>
        <w:ind w:left="-426" w:right="-330"/>
        <w:jc w:val="both"/>
        <w:rPr>
          <w:color w:val="auto"/>
        </w:rPr>
      </w:pPr>
      <w:r w:rsidRPr="00176257">
        <w:rPr>
          <w:color w:val="auto"/>
          <w:sz w:val="20"/>
          <w:szCs w:val="20"/>
        </w:rPr>
        <w:t>The submitting organisations respectfully request the Committee to consider the following recommendations during the constructive dialogue and in its concluding observations on India, and remain at the Committee's disposal for any additional data or analysis it may require.</w:t>
      </w:r>
    </w:p>
    <w:p w14:paraId="0A694017"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Reaffirm that caste-based discrimination constitutes descent-based discrimination under Article 1(1) (General Recommendation No. 29) and that Indigenous Adivasi peoples are entitled to special protection on grounds of ethnic origin (General Recommendation No. 23), and recommend that India report on all caste-discriminated communities—including Dalit Muslims and Dalit Christians—and on Adivasi peoples, with disaggregated data, as a Convention obligation.</w:t>
      </w:r>
    </w:p>
    <w:p w14:paraId="026A5519"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Consider, in light of the Committee's own characterisation of the treatment of Bengali-speaking Muslims, Rohingya Muslim refugees, and Kashmiri Muslims on Convention grounds, whether the systematic targeting of Indian Muslims as a whole—through legislation, policy, and official rhetoric constructing Muslims as a descent-based outsider group—engages the protections of Article 1(1), read with General Recommendations Nos. 32 and 35, and question India accordingly during the constructive dialogue.</w:t>
      </w:r>
    </w:p>
    <w:p w14:paraId="7017C453"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Urge India to adopt comprehensive anti-discrimination legislation prohibiting direct and indirect discrimination on all Article 1 grounds in both public and private sectors, with civil remedies in housing, employment, education, and services, including where racial discrimination intersects with gender, disability, age, socioeconomic status, migration or citizenship status, and providing accessible and effective remedies to victims, addressing the current absence of any statutory protection for religious minorities, linguistic minorities, and non-citizens.</w:t>
      </w:r>
    </w:p>
    <w:p w14:paraId="37F5D90A"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Call upon India again to amend the Constitution (Scheduled Castes) Order 1950 to remove the religion restriction that excludes Dalit Muslims and Dalit Christians from descent-based protections despite their experiencing the same caste-based discrimination, and ensure that no religion criterion is introduced for Scheduled Tribe classification.</w:t>
      </w:r>
    </w:p>
    <w:p w14:paraId="4610B7E8"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Note with concern that the National Commission for Minorities has been effectively terminated since at least April 2025 and that GANHRI has recommended the downgrade of the NHRC, and urge India to reconstitute the NCM and restore NHRC independence by implementing GANHRI's recommendations.</w:t>
      </w:r>
    </w:p>
    <w:p w14:paraId="593850E4"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Urge India to enforce the Protection of Civil Rights Act, activate the statutory mechanism for identifying untouchability-prevalent areas, repeal legislation in Rajasthan and Gujarat States that codifies residential segregation, and provide disaggregated enforcement data.</w:t>
      </w:r>
    </w:p>
    <w:p w14:paraId="1F6A174A"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Urge India to provide the Committee with disaggregated data on complaints, investigations, prosecutions, convictions, and remedies under the Prevention of Atrocities Act, remove the requirement of mandatory prior government authorisation for prosecution of security forces personnel.</w:t>
      </w:r>
    </w:p>
    <w:p w14:paraId="24A47BBF"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lastRenderedPageBreak/>
        <w:t>Urge India to prevent, investigate, prosecute and remedy the multiple and intersecting forms of discrimination and violence experienced by Dalit, Adivasi, Muslim, Christian, migrant, refugee and stateless women and girls, including caste- and religion-based sexual and gender-based violence and violence committed by security forces; ensure a survivor-centred, gender-responsive and culturally appropriate protection, healthcare, legal assistance, compensation and other remedies; and collect disaggregated data on such violations.</w:t>
      </w:r>
    </w:p>
    <w:p w14:paraId="5B45136B"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Call upon India to immediately halt the reward-based security operations in Bastar and other Adivasi regions, ensure independent investigation of all reported killings, withdrawal of state militarization and ensure disbursement of welfare schemes, and public education and health through existing civil administrative structures.</w:t>
      </w:r>
    </w:p>
    <w:p w14:paraId="3D76DF77"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Call upon India to guarantee free, prior and informed consent for mining, infrastructure, and development projects on Indigenous lands, repeal or amend the Forest Conservation Rules 2022 to restore the requirement of Gram Sabha consent prior to forest land diversion, and effectively implement the FRA and PESA.</w:t>
      </w:r>
    </w:p>
    <w:p w14:paraId="7DEEB604"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 xml:space="preserve">Call upon India to release the Adivasi youth who led the now-dissolved </w:t>
      </w:r>
      <w:proofErr w:type="spellStart"/>
      <w:r w:rsidRPr="00176257">
        <w:rPr>
          <w:color w:val="auto"/>
          <w:sz w:val="20"/>
          <w:szCs w:val="20"/>
        </w:rPr>
        <w:t>Moolwasi</w:t>
      </w:r>
      <w:proofErr w:type="spellEnd"/>
      <w:r w:rsidRPr="00176257">
        <w:rPr>
          <w:color w:val="auto"/>
          <w:sz w:val="20"/>
          <w:szCs w:val="20"/>
        </w:rPr>
        <w:t xml:space="preserve"> Bachao Manch and other similar movements, currently imprisoned under fabricated charges.</w:t>
      </w:r>
    </w:p>
    <w:p w14:paraId="42E2AF88"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Call upon India to urgently investigate and prosecute hate speech by public officials targeting religious/ethno-religious minorities, provide disaggregated enforcement data, and take steps to declare illegal and prohibit organisations that promote and incite racial discrimination—and their propaganda activities—as required by Article 4(b).</w:t>
      </w:r>
    </w:p>
    <w:p w14:paraId="18C174C7"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Independently investigate extrajudicial killings of Indigenous Peoples and Muslim minorities, and investigate and prosecute cow-protection lynchings. Designate this recommendation for priority follow-up</w:t>
      </w:r>
      <w:r w:rsidR="00882268" w:rsidRPr="00176257">
        <w:rPr>
          <w:color w:val="auto"/>
          <w:sz w:val="20"/>
          <w:szCs w:val="20"/>
        </w:rPr>
        <w:t>.</w:t>
      </w:r>
    </w:p>
    <w:p w14:paraId="2F44EC27"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Urge India to immediately halt the mass expulsion of Bengali-speaking Muslims and Rohingya, repeal or amend the Citizenship (Amendment) Act 2019 and the Immigration and Foreigners (Exemption) Order 2025 to remove the religious criterion from citizenship and immigration law, resolve the legal status of the approximately 1.9 million persons excluded from the Assam NRC, and accede to the 1951 Refugee Convention.</w:t>
      </w:r>
    </w:p>
    <w:p w14:paraId="455D8D57"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Take note of the emerging body of analysis by independent experts that there are reasonable grounds to believe that the treatment of Bengali-speaking Muslims in Assam amounts to apartheid as a crime against humanity, and call upon India to dismantle the identified laws, policies and practices of this regime and report to the Committee on measures taken.</w:t>
      </w:r>
    </w:p>
    <w:p w14:paraId="546FCED9"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Note with concern the situation of Kashmiri Muslims in Jammu and Kashmir, and urge India to release all persons detained under preventive detention and counter-terrorism legislation for the exercise of fundamental freedoms, and halt collective punishment including demolitions.</w:t>
      </w:r>
    </w:p>
    <w:p w14:paraId="5420BFBB"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Express concern at the disproportionate impact of the Special Intensive Revision of electoral rolls in West Bengal and other states on Muslim voters, and call upon India to ensure that electoral roll revision processes are subject to independent review for discriminatory impact, restore voting rights to all persons deleted without individual determination of ineligibility, and cease using electoral deletions as a basis for removing persons from welfare entitlements.</w:t>
      </w:r>
    </w:p>
    <w:p w14:paraId="3EAA6662"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Urge India to immediately halt punitive demolitions and forced evictions targeting religious / ethno-religious minorities, halt the closure, conversion, and surveillance of Muslim educational institutions, restore inclusive representation of all communities in national curricula, restore discontinued minority welfare programmes—including the Maulana Azad National Fellowship and pre-matric and post-matric minority scholarships frozen since 2022—and provide disaggregated socio-economic data for religious minorities comparable to that provided for Scheduled Castes and Scheduled Tribes.</w:t>
      </w:r>
    </w:p>
    <w:p w14:paraId="09AD1A10" w14:textId="77777777" w:rsidR="00882268"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Urge India to adopt a National Action Plan against racial discrimination, including a large programme for schools and educational institutions against all forms of prejudice, hate and discrimination and in favour of diversity, inclusion and dialogue. Reconvene the National Integration Council, and establish targeted training programmes for law enforcement and judicial officials on prejudice against religious minorities, Indigenous Peoples, Dalits and women;</w:t>
      </w:r>
    </w:p>
    <w:p w14:paraId="740FDA5E" w14:textId="4A0DACDB" w:rsidR="00133A42" w:rsidRPr="00176257" w:rsidRDefault="00000000" w:rsidP="00176257">
      <w:pPr>
        <w:pStyle w:val="ListParagraph"/>
        <w:numPr>
          <w:ilvl w:val="0"/>
          <w:numId w:val="2"/>
        </w:numPr>
        <w:spacing w:before="60" w:after="60"/>
        <w:ind w:left="-426" w:right="-330" w:hanging="283"/>
        <w:jc w:val="both"/>
        <w:rPr>
          <w:color w:val="auto"/>
        </w:rPr>
      </w:pPr>
      <w:r w:rsidRPr="00176257">
        <w:rPr>
          <w:color w:val="auto"/>
          <w:sz w:val="20"/>
          <w:szCs w:val="20"/>
        </w:rPr>
        <w:t>Express concern at the use of the Foreign Contribution (Regulation) Act, the Prevention of Money Laundering Act, and the Unlawful Activities (Prevention) Act to restrict civil society organisations' ability to cooperate with international human rights mechanisms, and call upon India to ensure that no individual or organisation faces reprisals for engaging with the Committee.</w:t>
      </w:r>
    </w:p>
    <w:p w14:paraId="1F39462E" w14:textId="11589826" w:rsidR="00133A42" w:rsidRPr="00176257" w:rsidRDefault="001D2FE2" w:rsidP="00176257">
      <w:pPr>
        <w:spacing w:before="240" w:after="120"/>
        <w:ind w:left="-426" w:right="-330"/>
        <w:rPr>
          <w:b/>
          <w:bCs/>
          <w:color w:val="auto"/>
        </w:rPr>
      </w:pPr>
      <w:r w:rsidRPr="00176257">
        <w:rPr>
          <w:b/>
          <w:bCs/>
          <w:color w:val="auto"/>
        </w:rPr>
        <w:t>Annex: List of abbreviations</w:t>
      </w:r>
    </w:p>
    <w:p w14:paraId="6CE2E62B"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AFSPA — Armed Forces (Special Powers) Act 1958</w:t>
      </w:r>
    </w:p>
    <w:p w14:paraId="57A4FA6D"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BJP — Bharatiya Janata Party</w:t>
      </w:r>
    </w:p>
    <w:p w14:paraId="6F281CB5"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CAA — Citizenship (Amendment) Act 2019</w:t>
      </w:r>
    </w:p>
    <w:p w14:paraId="70E24848"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COs — Concluding observations</w:t>
      </w:r>
    </w:p>
    <w:p w14:paraId="33FBEE04"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EWUAP — Early warning and urgent action procedure</w:t>
      </w:r>
    </w:p>
    <w:p w14:paraId="62E6CCAB"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FCRA — Foreign Contribution (Regulation) Act 2010</w:t>
      </w:r>
    </w:p>
    <w:p w14:paraId="4B46A552"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FRA — Forest Rights Act 2006</w:t>
      </w:r>
    </w:p>
    <w:p w14:paraId="70411586"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GANHRI — Global Alliance of National Human Rights Institutions</w:t>
      </w:r>
    </w:p>
    <w:p w14:paraId="0BE3B49D" w14:textId="77777777" w:rsidR="00882268" w:rsidRPr="00176257" w:rsidRDefault="00882268" w:rsidP="00176257">
      <w:pPr>
        <w:numPr>
          <w:ilvl w:val="0"/>
          <w:numId w:val="3"/>
        </w:numPr>
        <w:spacing w:before="100" w:beforeAutospacing="1" w:after="100" w:afterAutospacing="1"/>
        <w:ind w:left="-426"/>
        <w:rPr>
          <w:color w:val="auto"/>
          <w:sz w:val="20"/>
          <w:szCs w:val="20"/>
        </w:rPr>
      </w:pPr>
      <w:proofErr w:type="spellStart"/>
      <w:r w:rsidRPr="00176257">
        <w:rPr>
          <w:color w:val="auto"/>
          <w:sz w:val="20"/>
          <w:szCs w:val="20"/>
        </w:rPr>
        <w:t>HRCtee</w:t>
      </w:r>
      <w:proofErr w:type="spellEnd"/>
      <w:r w:rsidRPr="00176257">
        <w:rPr>
          <w:color w:val="auto"/>
          <w:sz w:val="20"/>
          <w:szCs w:val="20"/>
        </w:rPr>
        <w:t xml:space="preserve"> — Human Rights Committee</w:t>
      </w:r>
    </w:p>
    <w:p w14:paraId="399492F9"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IPMIE — Independent Panel for Monitoring Indian Elections</w:t>
      </w:r>
    </w:p>
    <w:p w14:paraId="13D72D2E" w14:textId="77777777" w:rsidR="00882268" w:rsidRPr="00176257" w:rsidRDefault="00882268" w:rsidP="00176257">
      <w:pPr>
        <w:numPr>
          <w:ilvl w:val="0"/>
          <w:numId w:val="3"/>
        </w:numPr>
        <w:spacing w:before="100" w:beforeAutospacing="1" w:after="100" w:afterAutospacing="1"/>
        <w:ind w:left="-426"/>
        <w:rPr>
          <w:color w:val="auto"/>
          <w:sz w:val="20"/>
          <w:szCs w:val="20"/>
        </w:rPr>
      </w:pPr>
      <w:proofErr w:type="spellStart"/>
      <w:r w:rsidRPr="00176257">
        <w:rPr>
          <w:color w:val="auto"/>
          <w:sz w:val="20"/>
          <w:szCs w:val="20"/>
        </w:rPr>
        <w:lastRenderedPageBreak/>
        <w:t>LoIPR</w:t>
      </w:r>
      <w:proofErr w:type="spellEnd"/>
      <w:r w:rsidRPr="00176257">
        <w:rPr>
          <w:color w:val="auto"/>
          <w:sz w:val="20"/>
          <w:szCs w:val="20"/>
        </w:rPr>
        <w:t xml:space="preserve"> — List of Issues Prior to Reporting</w:t>
      </w:r>
    </w:p>
    <w:p w14:paraId="40ED0591" w14:textId="77777777" w:rsidR="00882268" w:rsidRPr="00176257" w:rsidRDefault="00882268" w:rsidP="00176257">
      <w:pPr>
        <w:numPr>
          <w:ilvl w:val="0"/>
          <w:numId w:val="3"/>
        </w:numPr>
        <w:spacing w:before="100" w:beforeAutospacing="1" w:after="100" w:afterAutospacing="1"/>
        <w:ind w:left="-426"/>
        <w:rPr>
          <w:color w:val="auto"/>
          <w:sz w:val="20"/>
          <w:szCs w:val="20"/>
        </w:rPr>
      </w:pPr>
      <w:proofErr w:type="spellStart"/>
      <w:r w:rsidRPr="00176257">
        <w:rPr>
          <w:color w:val="auto"/>
          <w:sz w:val="20"/>
          <w:szCs w:val="20"/>
        </w:rPr>
        <w:t>LoT</w:t>
      </w:r>
      <w:proofErr w:type="spellEnd"/>
      <w:r w:rsidRPr="00176257">
        <w:rPr>
          <w:color w:val="auto"/>
          <w:sz w:val="20"/>
          <w:szCs w:val="20"/>
        </w:rPr>
        <w:t xml:space="preserve"> — List of Themes</w:t>
      </w:r>
    </w:p>
    <w:p w14:paraId="5FFB6CEE"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NCM — National Commission for Minorities</w:t>
      </w:r>
    </w:p>
    <w:p w14:paraId="4B8EDDD2"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NCST — National Commission for Scheduled Tribes</w:t>
      </w:r>
    </w:p>
    <w:p w14:paraId="42E0A8B1"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NHRC — National Human Rights Commission</w:t>
      </w:r>
    </w:p>
    <w:p w14:paraId="3FB45B41"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NRC — National Register of Citizens</w:t>
      </w:r>
    </w:p>
    <w:p w14:paraId="051D94FF"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PCR Act — Protection of Civil Rights Act 1955</w:t>
      </w:r>
    </w:p>
    <w:p w14:paraId="5AE9BFF2"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PESA — Provisions of the Panchayats (Extension to Scheduled Areas) Act 1996</w:t>
      </w:r>
    </w:p>
    <w:p w14:paraId="5475816D"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PIIE — Panel of Independent International Experts</w:t>
      </w:r>
    </w:p>
    <w:p w14:paraId="3AF31C9F" w14:textId="77777777" w:rsidR="00882268" w:rsidRPr="00176257" w:rsidRDefault="00882268" w:rsidP="00176257">
      <w:pPr>
        <w:numPr>
          <w:ilvl w:val="0"/>
          <w:numId w:val="3"/>
        </w:numPr>
        <w:spacing w:before="100" w:beforeAutospacing="1" w:after="100" w:afterAutospacing="1"/>
        <w:ind w:left="-426"/>
        <w:rPr>
          <w:color w:val="auto"/>
          <w:sz w:val="20"/>
          <w:szCs w:val="20"/>
        </w:rPr>
      </w:pPr>
      <w:proofErr w:type="spellStart"/>
      <w:r w:rsidRPr="00176257">
        <w:rPr>
          <w:color w:val="auto"/>
          <w:sz w:val="20"/>
          <w:szCs w:val="20"/>
        </w:rPr>
        <w:t>PoA</w:t>
      </w:r>
      <w:proofErr w:type="spellEnd"/>
      <w:r w:rsidRPr="00176257">
        <w:rPr>
          <w:color w:val="auto"/>
          <w:sz w:val="20"/>
          <w:szCs w:val="20"/>
        </w:rPr>
        <w:t xml:space="preserve"> — Scheduled Castes and Scheduled Tribes (Prevention of Atrocities) Act 1989</w:t>
      </w:r>
    </w:p>
    <w:p w14:paraId="1B9DDA6D"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RSS — Rashtriya Swayamsevak Sangh</w:t>
      </w:r>
    </w:p>
    <w:p w14:paraId="11D15933"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SC — Scheduled Castes</w:t>
      </w:r>
    </w:p>
    <w:p w14:paraId="2757A596"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SCA — Sub-Committee on Accreditation</w:t>
      </w:r>
    </w:p>
    <w:p w14:paraId="68783DD6"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SIR — Special Intensive Revision</w:t>
      </w:r>
    </w:p>
    <w:p w14:paraId="67E92C7B"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SPR — State Party Report</w:t>
      </w:r>
    </w:p>
    <w:p w14:paraId="775C608B"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ST — Scheduled Tribes</w:t>
      </w:r>
    </w:p>
    <w:p w14:paraId="2DF0A9FC"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UAPA — Unlawful Activities (Prevention) Act 1967</w:t>
      </w:r>
    </w:p>
    <w:p w14:paraId="04B5FB32" w14:textId="7777777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VHP — Vishwa Hindu Parishad</w:t>
      </w:r>
    </w:p>
    <w:p w14:paraId="421F7F71" w14:textId="442BFC27" w:rsidR="00882268" w:rsidRPr="00176257" w:rsidRDefault="00882268" w:rsidP="00176257">
      <w:pPr>
        <w:numPr>
          <w:ilvl w:val="0"/>
          <w:numId w:val="3"/>
        </w:numPr>
        <w:spacing w:before="100" w:beforeAutospacing="1" w:after="100" w:afterAutospacing="1"/>
        <w:ind w:left="-426"/>
        <w:rPr>
          <w:color w:val="auto"/>
          <w:sz w:val="20"/>
          <w:szCs w:val="20"/>
        </w:rPr>
      </w:pPr>
      <w:r w:rsidRPr="00176257">
        <w:rPr>
          <w:color w:val="auto"/>
          <w:sz w:val="20"/>
          <w:szCs w:val="20"/>
        </w:rPr>
        <w:t>WGAD — Working Group on Arbitrary Detention</w:t>
      </w:r>
    </w:p>
    <w:sectPr w:rsidR="00882268" w:rsidRPr="00176257" w:rsidSect="00176257">
      <w:footerReference w:type="default" r:id="rId8"/>
      <w:pgSz w:w="11906" w:h="16838"/>
      <w:pgMar w:top="726" w:right="1394" w:bottom="1186"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B588DFF" w14:textId="77777777" w:rsidR="00A15454" w:rsidRDefault="00A15454">
      <w:r>
        <w:separator/>
      </w:r>
    </w:p>
  </w:endnote>
  <w:endnote w:type="continuationSeparator" w:id="0">
    <w:p w14:paraId="4C21A533" w14:textId="77777777" w:rsidR="00A15454" w:rsidRDefault="00A15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AC4ECC" w14:textId="77777777" w:rsidR="00133A42" w:rsidRPr="00176257" w:rsidRDefault="00000000">
    <w:pPr>
      <w:jc w:val="center"/>
      <w:rPr>
        <w:sz w:val="20"/>
        <w:szCs w:val="20"/>
      </w:rPr>
    </w:pPr>
    <w:r w:rsidRPr="00176257">
      <w:rPr>
        <w:sz w:val="20"/>
        <w:szCs w:val="20"/>
      </w:rPr>
      <w:fldChar w:fldCharType="begin"/>
    </w:r>
    <w:r w:rsidRPr="00176257">
      <w:rPr>
        <w:sz w:val="20"/>
        <w:szCs w:val="20"/>
      </w:rPr>
      <w:instrText>PAGE</w:instrText>
    </w:r>
    <w:r w:rsidRPr="00176257">
      <w:rPr>
        <w:sz w:val="20"/>
        <w:szCs w:val="20"/>
      </w:rPr>
      <w:fldChar w:fldCharType="separate"/>
    </w:r>
    <w:r w:rsidR="00882268" w:rsidRPr="00176257">
      <w:rPr>
        <w:noProof/>
        <w:sz w:val="20"/>
        <w:szCs w:val="20"/>
      </w:rPr>
      <w:t>1</w:t>
    </w:r>
    <w:r w:rsidRPr="00176257">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2F30E5F" w14:textId="77777777" w:rsidR="00A15454" w:rsidRDefault="00A15454">
      <w:r>
        <w:separator/>
      </w:r>
    </w:p>
  </w:footnote>
  <w:footnote w:type="continuationSeparator" w:id="0">
    <w:p w14:paraId="242F3C13" w14:textId="77777777" w:rsidR="00A15454" w:rsidRDefault="00A15454">
      <w:r>
        <w:continuationSeparator/>
      </w:r>
    </w:p>
  </w:footnote>
  <w:footnote w:id="1">
    <w:p w14:paraId="12DBE5A1"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1" w:history="1">
        <w:r w:rsidR="00133A42" w:rsidRPr="00176257">
          <w:rPr>
            <w:rStyle w:val="Hyperlink"/>
            <w:color w:val="auto"/>
            <w:sz w:val="18"/>
            <w:szCs w:val="18"/>
          </w:rPr>
          <w:t>Dalit Human Rights Defenders Network</w:t>
        </w:r>
      </w:hyperlink>
      <w:r w:rsidRPr="00176257">
        <w:rPr>
          <w:color w:val="auto"/>
          <w:sz w:val="18"/>
          <w:szCs w:val="18"/>
        </w:rPr>
        <w:t xml:space="preserve"> (</w:t>
      </w:r>
      <w:proofErr w:type="spellStart"/>
      <w:r w:rsidRPr="00176257">
        <w:rPr>
          <w:color w:val="auto"/>
          <w:sz w:val="18"/>
          <w:szCs w:val="18"/>
        </w:rPr>
        <w:t>DHRDNet</w:t>
      </w:r>
      <w:proofErr w:type="spellEnd"/>
      <w:r w:rsidRPr="00176257">
        <w:rPr>
          <w:color w:val="auto"/>
          <w:sz w:val="18"/>
          <w:szCs w:val="18"/>
        </w:rPr>
        <w:t xml:space="preserve">) is a coalition of over 1000 Dalit human rights defenders from different states of India. </w:t>
      </w:r>
    </w:p>
  </w:footnote>
  <w:footnote w:id="2">
    <w:p w14:paraId="190505CA"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2" w:history="1">
        <w:r w:rsidR="00133A42" w:rsidRPr="00176257">
          <w:rPr>
            <w:rStyle w:val="Hyperlink"/>
            <w:color w:val="auto"/>
            <w:sz w:val="18"/>
            <w:szCs w:val="18"/>
          </w:rPr>
          <w:t>Indian Alliance Paris</w:t>
        </w:r>
      </w:hyperlink>
      <w:r w:rsidRPr="00176257">
        <w:rPr>
          <w:color w:val="auto"/>
          <w:sz w:val="18"/>
          <w:szCs w:val="18"/>
        </w:rPr>
        <w:t xml:space="preserve"> is an organization of diasporic Indians and their French colleagues striving for a democratic and inclusive India. </w:t>
      </w:r>
    </w:p>
  </w:footnote>
  <w:footnote w:id="3">
    <w:p w14:paraId="70BBE7FA"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3" w:history="1">
        <w:r w:rsidR="00133A42" w:rsidRPr="00176257">
          <w:rPr>
            <w:rStyle w:val="Hyperlink"/>
            <w:color w:val="auto"/>
            <w:sz w:val="18"/>
            <w:szCs w:val="18"/>
          </w:rPr>
          <w:t>International Solidarity for Academic Freedom in India</w:t>
        </w:r>
      </w:hyperlink>
      <w:r w:rsidRPr="00176257">
        <w:rPr>
          <w:color w:val="auto"/>
          <w:sz w:val="18"/>
          <w:szCs w:val="18"/>
        </w:rPr>
        <w:t xml:space="preserve"> (</w:t>
      </w:r>
      <w:proofErr w:type="spellStart"/>
      <w:r w:rsidRPr="00176257">
        <w:rPr>
          <w:color w:val="auto"/>
          <w:sz w:val="18"/>
          <w:szCs w:val="18"/>
        </w:rPr>
        <w:t>InSAF</w:t>
      </w:r>
      <w:proofErr w:type="spellEnd"/>
      <w:r w:rsidRPr="00176257">
        <w:rPr>
          <w:color w:val="auto"/>
          <w:sz w:val="18"/>
          <w:szCs w:val="18"/>
        </w:rPr>
        <w:t xml:space="preserve"> India) is an Indian diaspora led collective of anti-caste academics and scholars focusing on civil and political rights in India. </w:t>
      </w:r>
    </w:p>
  </w:footnote>
  <w:footnote w:id="4">
    <w:p w14:paraId="73BF5A9A"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4" w:history="1">
        <w:r w:rsidR="00133A42" w:rsidRPr="00176257">
          <w:rPr>
            <w:rStyle w:val="Hyperlink"/>
            <w:color w:val="auto"/>
            <w:sz w:val="18"/>
            <w:szCs w:val="18"/>
          </w:rPr>
          <w:t>National Council of Women Leaders</w:t>
        </w:r>
      </w:hyperlink>
      <w:r w:rsidRPr="00176257">
        <w:rPr>
          <w:color w:val="auto"/>
          <w:sz w:val="18"/>
          <w:szCs w:val="18"/>
        </w:rPr>
        <w:t xml:space="preserve"> is a national body working across India uniting women and trans-women leaders from marginalised communities such as Tribal, Dalit, Muslim and sex workers with varying qualities and capacities. </w:t>
      </w:r>
    </w:p>
  </w:footnote>
  <w:footnote w:id="5">
    <w:p w14:paraId="0F03BEA8"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5" w:history="1">
        <w:r w:rsidR="00133A42" w:rsidRPr="00176257">
          <w:rPr>
            <w:rStyle w:val="Hyperlink"/>
            <w:color w:val="auto"/>
            <w:sz w:val="18"/>
            <w:szCs w:val="18"/>
          </w:rPr>
          <w:t>South Asia Justice Campaign</w:t>
        </w:r>
      </w:hyperlink>
      <w:r w:rsidRPr="00176257">
        <w:rPr>
          <w:color w:val="auto"/>
          <w:sz w:val="18"/>
          <w:szCs w:val="18"/>
        </w:rPr>
        <w:t xml:space="preserve"> is a diaspora-based advocacy group that documents human rights violations against religious minorities in South Asia, with a particular focus on India. </w:t>
      </w:r>
    </w:p>
  </w:footnote>
  <w:footnote w:id="6">
    <w:p w14:paraId="1DB5FE7D"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6" w:history="1">
        <w:r w:rsidR="00133A42" w:rsidRPr="00176257">
          <w:rPr>
            <w:rStyle w:val="Hyperlink"/>
            <w:color w:val="auto"/>
            <w:sz w:val="18"/>
            <w:szCs w:val="18"/>
          </w:rPr>
          <w:t>International Federation for Human Rights</w:t>
        </w:r>
      </w:hyperlink>
      <w:r w:rsidRPr="00176257">
        <w:rPr>
          <w:color w:val="auto"/>
          <w:sz w:val="18"/>
          <w:szCs w:val="18"/>
        </w:rPr>
        <w:t xml:space="preserve"> (FIDH) is an international human rights NGO federating nearly 200 member organisations. </w:t>
      </w:r>
    </w:p>
  </w:footnote>
  <w:footnote w:id="7">
    <w:p w14:paraId="69F0B183"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proofErr w:type="spellStart"/>
      <w:r w:rsidRPr="00176257">
        <w:rPr>
          <w:color w:val="auto"/>
          <w:sz w:val="18"/>
          <w:szCs w:val="18"/>
        </w:rPr>
        <w:t>Bagaicha</w:t>
      </w:r>
      <w:proofErr w:type="spellEnd"/>
      <w:r w:rsidRPr="00176257">
        <w:rPr>
          <w:color w:val="auto"/>
          <w:sz w:val="18"/>
          <w:szCs w:val="18"/>
        </w:rPr>
        <w:t xml:space="preserve"> Social Institute (</w:t>
      </w:r>
      <w:proofErr w:type="spellStart"/>
      <w:r w:rsidRPr="00176257">
        <w:rPr>
          <w:color w:val="auto"/>
          <w:sz w:val="18"/>
          <w:szCs w:val="18"/>
        </w:rPr>
        <w:t>Bagaicha</w:t>
      </w:r>
      <w:proofErr w:type="spellEnd"/>
      <w:r w:rsidRPr="00176257">
        <w:rPr>
          <w:color w:val="auto"/>
          <w:sz w:val="18"/>
          <w:szCs w:val="18"/>
        </w:rPr>
        <w:t xml:space="preserve">) is a Jesuit Social Centre founded by the late Fr. Stan Swamy. Its objective is to work with the marginalised communities of India, in particular the Adivasis and Dalits. </w:t>
      </w:r>
    </w:p>
  </w:footnote>
  <w:footnote w:id="8">
    <w:p w14:paraId="51D6DFF5"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7" w:history="1">
        <w:r w:rsidR="00133A42" w:rsidRPr="00176257">
          <w:rPr>
            <w:rStyle w:val="Hyperlink"/>
            <w:color w:val="auto"/>
            <w:sz w:val="18"/>
            <w:szCs w:val="18"/>
          </w:rPr>
          <w:t>CERD/C/IND/Q/20-21</w:t>
        </w:r>
      </w:hyperlink>
      <w:r w:rsidRPr="00176257">
        <w:rPr>
          <w:color w:val="auto"/>
          <w:sz w:val="18"/>
          <w:szCs w:val="18"/>
        </w:rPr>
        <w:t xml:space="preserve">. </w:t>
      </w:r>
    </w:p>
  </w:footnote>
  <w:footnote w:id="9">
    <w:p w14:paraId="3B5A8D06"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Constitutional designations for communities entitled to affirmative action measures and specific legal protections. Scheduled Castes largely correspond to Dalit communities subjected to caste-based discrimination; Scheduled Tribes to Adivasi (indigenous) communities. </w:t>
      </w:r>
    </w:p>
  </w:footnote>
  <w:footnote w:id="10">
    <w:p w14:paraId="1BE102E9"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India has not ratified ILO Convention 169. The Committee has addressed multiple EWUAP communications to India concerning tribal and indigenous peoples since 2008, including three in January 2026—India is not known to have responded substantively on any. On the distinct ethnic and cultural identity of India's tribal peoples, see Virginius Xaxa, "</w:t>
      </w:r>
      <w:hyperlink r:id="rId8" w:history="1">
        <w:r w:rsidR="00133A42" w:rsidRPr="00176257">
          <w:rPr>
            <w:rStyle w:val="Hyperlink"/>
            <w:color w:val="auto"/>
            <w:sz w:val="18"/>
            <w:szCs w:val="18"/>
          </w:rPr>
          <w:t>Tribes as Indigenous People of India</w:t>
        </w:r>
      </w:hyperlink>
      <w:r w:rsidRPr="00176257">
        <w:rPr>
          <w:color w:val="auto"/>
          <w:sz w:val="18"/>
          <w:szCs w:val="18"/>
        </w:rPr>
        <w:t xml:space="preserve">," Economic and Political Weekly, vol. 34, no. 51 (1999), pp. 3589–3595; </w:t>
      </w:r>
      <w:hyperlink r:id="rId9" w:history="1">
        <w:r w:rsidR="00133A42" w:rsidRPr="00176257">
          <w:rPr>
            <w:rStyle w:val="Hyperlink"/>
            <w:color w:val="auto"/>
            <w:sz w:val="18"/>
            <w:szCs w:val="18"/>
          </w:rPr>
          <w:t>Report of the High Level Committee on Socioeconomic, Health and Educational Status of Tribal Communities of India</w:t>
        </w:r>
      </w:hyperlink>
      <w:r w:rsidRPr="00176257">
        <w:rPr>
          <w:color w:val="auto"/>
          <w:sz w:val="18"/>
          <w:szCs w:val="18"/>
        </w:rPr>
        <w:t xml:space="preserve"> (2014), infra note 68. The impact on Adivasi land rights, self-governance, and livelihoods is examined in paras. 15, 16, and 17 below. </w:t>
      </w:r>
    </w:p>
  </w:footnote>
  <w:footnote w:id="11">
    <w:p w14:paraId="2239756B"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Committee characterised the treatment of Bengali-speaking Muslims in Assam as racial discrimination "based on descent, ethno-religious and ethnic origin" under its early-warning and urgent-action procedure in May 2025 (follow-up: January 2026), and addressed racial discrimination against Rohingya refugees on grounds of national origin and ethnic origin in a June 2024 statement. In its 1996 concluding observations, it expressed "serious concern" that Kashmiris are "frequently treated, on account of their ethnic or national origin, in ways contrary to the basic provisions of the Convention" (CERD/C/304/Add.13, para. 15). India's SPR does not address Muslims as a community protected under the Convention. </w:t>
      </w:r>
    </w:p>
  </w:footnote>
  <w:footnote w:id="12">
    <w:p w14:paraId="115A5C5F"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In Prosecutor v. </w:t>
      </w:r>
      <w:proofErr w:type="spellStart"/>
      <w:r w:rsidRPr="00176257">
        <w:rPr>
          <w:color w:val="auto"/>
          <w:sz w:val="18"/>
          <w:szCs w:val="18"/>
        </w:rPr>
        <w:t>Akayesu</w:t>
      </w:r>
      <w:proofErr w:type="spellEnd"/>
      <w:r w:rsidRPr="00176257">
        <w:rPr>
          <w:color w:val="auto"/>
          <w:sz w:val="18"/>
          <w:szCs w:val="18"/>
        </w:rPr>
        <w:t xml:space="preserve"> (ICTR-96-4-T, 1998), the ICTR treated Tutsi identity as a socially fixed category—Tutsis constituted a "stable and permanent group" because they were "identified as such by all," not on the basis of objective biological distinction (paras. 511, 702). In Prosecutor v. </w:t>
      </w:r>
      <w:proofErr w:type="spellStart"/>
      <w:r w:rsidRPr="00176257">
        <w:rPr>
          <w:color w:val="auto"/>
          <w:sz w:val="18"/>
          <w:szCs w:val="18"/>
        </w:rPr>
        <w:t>Jelisić</w:t>
      </w:r>
      <w:proofErr w:type="spellEnd"/>
      <w:r w:rsidRPr="00176257">
        <w:rPr>
          <w:color w:val="auto"/>
          <w:sz w:val="18"/>
          <w:szCs w:val="18"/>
        </w:rPr>
        <w:t xml:space="preserve"> (IT-95-10-T, 1999), the ICTY held that group status is to be evaluated "from the point of view of those persons who wish to single that group out" (para. 70). The International Commission of Inquiry on Darfur consolidated this, holding that the Fur, Masalit and Zaghawa constituted a protected group notwithstanding shared language and religion with their perpetrators, because collective identities are "by their very nature social constructs" (S/2005/60, paras. 498–512). See also Application of the Convention on the Prevention and Punishment of the Crime of Genocide in the Gaza Strip (South Africa v. Israel), Order on Provisional Measures, 26 January 2024, para. 45; Report of the Independent International Fact-Finding Mission on Myanmar, A/HRC/39/64, paras. 83–87; Carola </w:t>
      </w:r>
      <w:proofErr w:type="spellStart"/>
      <w:r w:rsidRPr="00176257">
        <w:rPr>
          <w:color w:val="auto"/>
          <w:sz w:val="18"/>
          <w:szCs w:val="18"/>
        </w:rPr>
        <w:t>Lingaas</w:t>
      </w:r>
      <w:proofErr w:type="spellEnd"/>
      <w:r w:rsidRPr="00176257">
        <w:rPr>
          <w:color w:val="auto"/>
          <w:sz w:val="18"/>
          <w:szCs w:val="18"/>
        </w:rPr>
        <w:t xml:space="preserve">, The Concept of Race in International Criminal Law (Routledge, 2020), pp. 2–5. </w:t>
      </w:r>
    </w:p>
  </w:footnote>
  <w:footnote w:id="13">
    <w:p w14:paraId="52965B76"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r w:rsidRPr="00176257">
        <w:rPr>
          <w:color w:val="auto"/>
          <w:sz w:val="18"/>
          <w:szCs w:val="18"/>
        </w:rPr>
        <w:t>The current Prime Minister of India has repeatedly referred to Muslims as "</w:t>
      </w:r>
      <w:proofErr w:type="spellStart"/>
      <w:r w:rsidRPr="00176257">
        <w:rPr>
          <w:color w:val="auto"/>
        </w:rPr>
        <w:fldChar w:fldCharType="begin"/>
      </w:r>
      <w:r w:rsidRPr="00176257">
        <w:rPr>
          <w:color w:val="auto"/>
        </w:rPr>
        <w:instrText>HYPERLINK "https://www.aljazeera.com/news/2024/4/22/modi-accused-of-anti-muslim-hate-speech-for-calling-muslims-infiltrators"</w:instrText>
      </w:r>
      <w:r w:rsidRPr="00176257">
        <w:rPr>
          <w:color w:val="auto"/>
        </w:rPr>
      </w:r>
      <w:r w:rsidRPr="00176257">
        <w:rPr>
          <w:color w:val="auto"/>
        </w:rPr>
        <w:fldChar w:fldCharType="separate"/>
      </w:r>
      <w:r w:rsidRPr="00176257">
        <w:rPr>
          <w:rStyle w:val="Hyperlink"/>
          <w:color w:val="auto"/>
          <w:sz w:val="18"/>
          <w:szCs w:val="18"/>
        </w:rPr>
        <w:t>ghuspaithiye</w:t>
      </w:r>
      <w:proofErr w:type="spellEnd"/>
      <w:r w:rsidRPr="00176257">
        <w:rPr>
          <w:color w:val="auto"/>
        </w:rPr>
        <w:fldChar w:fldCharType="end"/>
      </w:r>
      <w:r w:rsidRPr="00176257">
        <w:rPr>
          <w:color w:val="auto"/>
          <w:sz w:val="18"/>
          <w:szCs w:val="18"/>
        </w:rPr>
        <w:t>" (infiltrators); the framing has been adopted by senior BJP leaders including the Union Home Minister—who has also called Bangladeshi Muslims "</w:t>
      </w:r>
      <w:hyperlink r:id="rId10" w:history="1">
        <w:r w:rsidR="00133A42" w:rsidRPr="00176257">
          <w:rPr>
            <w:rStyle w:val="Hyperlink"/>
            <w:color w:val="auto"/>
            <w:sz w:val="18"/>
            <w:szCs w:val="18"/>
          </w:rPr>
          <w:t>termites</w:t>
        </w:r>
      </w:hyperlink>
      <w:r w:rsidRPr="00176257">
        <w:rPr>
          <w:color w:val="auto"/>
          <w:sz w:val="18"/>
          <w:szCs w:val="18"/>
        </w:rPr>
        <w:t>"—and the Chief Minister of Uttar Pradesh, who invoked Muslims as "</w:t>
      </w:r>
      <w:hyperlink r:id="rId11" w:history="1">
        <w:r w:rsidR="00133A42" w:rsidRPr="00176257">
          <w:rPr>
            <w:rStyle w:val="Hyperlink"/>
            <w:color w:val="auto"/>
            <w:sz w:val="18"/>
            <w:szCs w:val="18"/>
          </w:rPr>
          <w:t xml:space="preserve">Babur ki </w:t>
        </w:r>
        <w:proofErr w:type="spellStart"/>
        <w:r w:rsidR="00133A42" w:rsidRPr="00176257">
          <w:rPr>
            <w:rStyle w:val="Hyperlink"/>
            <w:color w:val="auto"/>
            <w:sz w:val="18"/>
            <w:szCs w:val="18"/>
          </w:rPr>
          <w:t>aulaad</w:t>
        </w:r>
        <w:proofErr w:type="spellEnd"/>
      </w:hyperlink>
      <w:r w:rsidRPr="00176257">
        <w:rPr>
          <w:color w:val="auto"/>
          <w:sz w:val="18"/>
          <w:szCs w:val="18"/>
        </w:rPr>
        <w:t xml:space="preserve">" (progeny of Babur, the Central Asian ruler who invaded India and founded the Mughal Empire in 1526). The </w:t>
      </w:r>
      <w:hyperlink r:id="rId12" w:history="1">
        <w:r w:rsidR="00133A42" w:rsidRPr="00176257">
          <w:rPr>
            <w:rStyle w:val="Hyperlink"/>
            <w:color w:val="auto"/>
            <w:sz w:val="18"/>
            <w:szCs w:val="18"/>
          </w:rPr>
          <w:t>India Hate Lab</w:t>
        </w:r>
      </w:hyperlink>
      <w:r w:rsidRPr="00176257">
        <w:rPr>
          <w:color w:val="auto"/>
          <w:sz w:val="18"/>
          <w:szCs w:val="18"/>
        </w:rPr>
        <w:t xml:space="preserve"> recorded 1,318 hate-speech events in 2025, 98 per cent targeting Muslims, with the "infiltrator" trope the most pervasive discursive frame. On appearance-based markers, beard, skullcap, hijab, circumcision and name operate as legible signs of group membership and as sites of vigilante and police identification: of 44 cow-vigilante killings documented by </w:t>
      </w:r>
      <w:hyperlink r:id="rId13" w:history="1">
        <w:r w:rsidR="00133A42" w:rsidRPr="00176257">
          <w:rPr>
            <w:rStyle w:val="Hyperlink"/>
            <w:color w:val="auto"/>
            <w:sz w:val="18"/>
            <w:szCs w:val="18"/>
          </w:rPr>
          <w:t>Human Rights Watch</w:t>
        </w:r>
      </w:hyperlink>
      <w:r w:rsidRPr="00176257">
        <w:rPr>
          <w:color w:val="auto"/>
          <w:sz w:val="18"/>
          <w:szCs w:val="18"/>
        </w:rPr>
        <w:t xml:space="preserve"> between 2015 and 2018, 36 targeted visibly identifiable Muslims, and </w:t>
      </w:r>
      <w:hyperlink r:id="rId14" w:history="1">
        <w:r w:rsidR="00133A42" w:rsidRPr="00176257">
          <w:rPr>
            <w:rStyle w:val="Hyperlink"/>
            <w:color w:val="auto"/>
            <w:sz w:val="18"/>
            <w:szCs w:val="18"/>
          </w:rPr>
          <w:t>nationwide police surveys</w:t>
        </w:r>
      </w:hyperlink>
      <w:r w:rsidRPr="00176257">
        <w:rPr>
          <w:color w:val="auto"/>
          <w:sz w:val="18"/>
          <w:szCs w:val="18"/>
        </w:rPr>
        <w:t xml:space="preserve"> have confirmed that over 50 per cent of police personnel across seventeen states believe Muslims are "naturally prone" to violence or crime. On the scholarly literature documenting the racialisation of Indian Muslims, see Sonia Sikka, "</w:t>
      </w:r>
      <w:hyperlink r:id="rId15" w:history="1">
        <w:r w:rsidR="00133A42" w:rsidRPr="00176257">
          <w:rPr>
            <w:rStyle w:val="Hyperlink"/>
            <w:color w:val="auto"/>
            <w:sz w:val="18"/>
            <w:szCs w:val="18"/>
          </w:rPr>
          <w:t>Indian Islamophobia as Racism</w:t>
        </w:r>
      </w:hyperlink>
      <w:r w:rsidRPr="00176257">
        <w:rPr>
          <w:color w:val="auto"/>
          <w:sz w:val="18"/>
          <w:szCs w:val="18"/>
        </w:rPr>
        <w:t xml:space="preserve">," The Political Quarterly (2022); </w:t>
      </w:r>
      <w:proofErr w:type="spellStart"/>
      <w:r w:rsidRPr="00176257">
        <w:rPr>
          <w:color w:val="auto"/>
          <w:sz w:val="18"/>
          <w:szCs w:val="18"/>
        </w:rPr>
        <w:t>Balmurli</w:t>
      </w:r>
      <w:proofErr w:type="spellEnd"/>
      <w:r w:rsidRPr="00176257">
        <w:rPr>
          <w:color w:val="auto"/>
          <w:sz w:val="18"/>
          <w:szCs w:val="18"/>
        </w:rPr>
        <w:t xml:space="preserve"> Natrajan, "</w:t>
      </w:r>
      <w:hyperlink r:id="rId16" w:history="1">
        <w:r w:rsidR="00133A42" w:rsidRPr="00176257">
          <w:rPr>
            <w:rStyle w:val="Hyperlink"/>
            <w:color w:val="auto"/>
            <w:sz w:val="18"/>
            <w:szCs w:val="18"/>
          </w:rPr>
          <w:t>Racialization and Ethnicization: Hindutva Hegemony and Caste</w:t>
        </w:r>
      </w:hyperlink>
      <w:r w:rsidRPr="00176257">
        <w:rPr>
          <w:color w:val="auto"/>
          <w:sz w:val="18"/>
          <w:szCs w:val="18"/>
        </w:rPr>
        <w:t xml:space="preserve">," Ethnic and Racial Studies 45(2) (2022); Sheheen </w:t>
      </w:r>
      <w:proofErr w:type="spellStart"/>
      <w:r w:rsidRPr="00176257">
        <w:rPr>
          <w:color w:val="auto"/>
          <w:sz w:val="18"/>
          <w:szCs w:val="18"/>
        </w:rPr>
        <w:t>Kattiparambil</w:t>
      </w:r>
      <w:proofErr w:type="spellEnd"/>
      <w:r w:rsidRPr="00176257">
        <w:rPr>
          <w:color w:val="auto"/>
          <w:sz w:val="18"/>
          <w:szCs w:val="18"/>
        </w:rPr>
        <w:t>, "</w:t>
      </w:r>
      <w:hyperlink r:id="rId17" w:history="1">
        <w:r w:rsidR="00133A42" w:rsidRPr="00176257">
          <w:rPr>
            <w:rStyle w:val="Hyperlink"/>
            <w:color w:val="auto"/>
            <w:sz w:val="18"/>
            <w:szCs w:val="18"/>
          </w:rPr>
          <w:t>Islamophobia in India and the Racial State</w:t>
        </w:r>
      </w:hyperlink>
      <w:r w:rsidRPr="00176257">
        <w:rPr>
          <w:color w:val="auto"/>
          <w:sz w:val="18"/>
          <w:szCs w:val="18"/>
        </w:rPr>
        <w:t xml:space="preserve">," </w:t>
      </w:r>
      <w:proofErr w:type="spellStart"/>
      <w:r w:rsidRPr="00176257">
        <w:rPr>
          <w:color w:val="auto"/>
          <w:sz w:val="18"/>
          <w:szCs w:val="18"/>
        </w:rPr>
        <w:t>ReOrient</w:t>
      </w:r>
      <w:proofErr w:type="spellEnd"/>
      <w:r w:rsidRPr="00176257">
        <w:rPr>
          <w:color w:val="auto"/>
          <w:sz w:val="18"/>
          <w:szCs w:val="18"/>
        </w:rPr>
        <w:t xml:space="preserve"> 8(2) (2024). </w:t>
      </w:r>
    </w:p>
  </w:footnote>
  <w:footnote w:id="14">
    <w:p w14:paraId="6D3FAB7C"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See also Gay McDougall (former CERD Vice-Chair), "</w:t>
      </w:r>
      <w:hyperlink r:id="rId18" w:history="1">
        <w:r w:rsidR="00133A42" w:rsidRPr="00176257">
          <w:rPr>
            <w:rStyle w:val="Hyperlink"/>
            <w:color w:val="auto"/>
            <w:sz w:val="18"/>
            <w:szCs w:val="18"/>
          </w:rPr>
          <w:t>The International Convention on the Elimination of All Forms of Racial Discrimination</w:t>
        </w:r>
      </w:hyperlink>
      <w:r w:rsidRPr="00176257">
        <w:rPr>
          <w:color w:val="auto"/>
          <w:sz w:val="18"/>
          <w:szCs w:val="18"/>
        </w:rPr>
        <w:t xml:space="preserve">," United Nations Audiovisual Library of International Law (2021), p. 2, noting that the Committee's practice now includes within Article 1 protections "Muslims subjected to Islamophobia, and more generally persons whose religious identity has been 'racialized,' that is used as a basis for discrimination.". </w:t>
      </w:r>
    </w:p>
  </w:footnote>
  <w:footnote w:id="15">
    <w:p w14:paraId="3EA2AA49"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Responds to </w:t>
      </w:r>
      <w:proofErr w:type="spellStart"/>
      <w:r w:rsidRPr="00176257">
        <w:rPr>
          <w:color w:val="auto"/>
          <w:sz w:val="18"/>
          <w:szCs w:val="18"/>
        </w:rPr>
        <w:t>LoT</w:t>
      </w:r>
      <w:proofErr w:type="spellEnd"/>
      <w:r w:rsidRPr="00176257">
        <w:rPr>
          <w:color w:val="auto"/>
          <w:sz w:val="18"/>
          <w:szCs w:val="18"/>
        </w:rPr>
        <w:t xml:space="preserve"> paras. 2–3. </w:t>
      </w:r>
    </w:p>
  </w:footnote>
  <w:footnote w:id="16">
    <w:p w14:paraId="016B7E20"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2021 Census was the first to be postponed in 150 years of Indian census operations. </w:t>
      </w:r>
      <w:hyperlink r:id="rId19" w:history="1">
        <w:r w:rsidR="00133A42" w:rsidRPr="00176257">
          <w:rPr>
            <w:rStyle w:val="Hyperlink"/>
            <w:color w:val="auto"/>
            <w:sz w:val="18"/>
            <w:szCs w:val="18"/>
          </w:rPr>
          <w:t>India's indefinitely delayed census</w:t>
        </w:r>
      </w:hyperlink>
      <w:r w:rsidRPr="00176257">
        <w:rPr>
          <w:color w:val="auto"/>
          <w:sz w:val="18"/>
          <w:szCs w:val="18"/>
        </w:rPr>
        <w:t xml:space="preserve">, The Lancet, vol. 402, September 2023. </w:t>
      </w:r>
    </w:p>
  </w:footnote>
  <w:footnote w:id="17">
    <w:p w14:paraId="13D24FAB"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House listing began in April 2026; population enumeration is scheduled for February 2027 (</w:t>
      </w:r>
      <w:hyperlink r:id="rId20" w:history="1">
        <w:r w:rsidR="00133A42" w:rsidRPr="00176257">
          <w:rPr>
            <w:rStyle w:val="Hyperlink"/>
            <w:color w:val="auto"/>
            <w:sz w:val="18"/>
            <w:szCs w:val="18"/>
          </w:rPr>
          <w:t>Press Information Bureau (PIB), April 2026</w:t>
        </w:r>
      </w:hyperlink>
      <w:r w:rsidRPr="00176257">
        <w:rPr>
          <w:color w:val="auto"/>
          <w:sz w:val="18"/>
          <w:szCs w:val="18"/>
        </w:rPr>
        <w:t xml:space="preserve">). The Census will include caste enumeration for the first time since 1931 (Cabinet decision, 30 April 2025; </w:t>
      </w:r>
      <w:hyperlink r:id="rId21" w:history="1">
        <w:r w:rsidR="00133A42" w:rsidRPr="00176257">
          <w:rPr>
            <w:rStyle w:val="Hyperlink"/>
            <w:color w:val="auto"/>
            <w:sz w:val="18"/>
            <w:szCs w:val="18"/>
          </w:rPr>
          <w:t>PIB</w:t>
        </w:r>
      </w:hyperlink>
      <w:r w:rsidRPr="00176257">
        <w:rPr>
          <w:color w:val="auto"/>
          <w:sz w:val="18"/>
          <w:szCs w:val="18"/>
        </w:rPr>
        <w:t xml:space="preserve">). </w:t>
      </w:r>
    </w:p>
  </w:footnote>
  <w:footnote w:id="18">
    <w:p w14:paraId="064715E3"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Welfare allocations under the public distribution system cap ration cards at 2011 Census levels, preventing the addition of new beneficiaries. See </w:t>
      </w:r>
      <w:hyperlink r:id="rId22" w:history="1">
        <w:r w:rsidR="00133A42" w:rsidRPr="00176257">
          <w:rPr>
            <w:rStyle w:val="Hyperlink"/>
            <w:color w:val="auto"/>
            <w:sz w:val="18"/>
            <w:szCs w:val="18"/>
          </w:rPr>
          <w:t>The Lancet</w:t>
        </w:r>
      </w:hyperlink>
      <w:r w:rsidRPr="00176257">
        <w:rPr>
          <w:color w:val="auto"/>
          <w:sz w:val="18"/>
          <w:szCs w:val="18"/>
        </w:rPr>
        <w:t xml:space="preserve">, supra note 16. </w:t>
      </w:r>
    </w:p>
  </w:footnote>
  <w:footnote w:id="19">
    <w:p w14:paraId="701F5E5F"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w:t>
      </w:r>
      <w:hyperlink r:id="rId23" w:history="1">
        <w:r w:rsidR="00133A42" w:rsidRPr="00176257">
          <w:rPr>
            <w:rStyle w:val="Hyperlink"/>
            <w:color w:val="auto"/>
            <w:sz w:val="18"/>
            <w:szCs w:val="18"/>
          </w:rPr>
          <w:t>Constitution (Scheduled Castes) Order 1950</w:t>
        </w:r>
      </w:hyperlink>
      <w:r w:rsidRPr="00176257">
        <w:rPr>
          <w:color w:val="auto"/>
          <w:sz w:val="18"/>
          <w:szCs w:val="18"/>
        </w:rPr>
        <w:t xml:space="preserve">, para. 3, restricts SC status to persons professing Hinduism, Sikhism, or Buddhism. According to National Family Health Survey data, 3 per cent of Muslims and 21 per cent of Christians self-identify as belonging to Scheduled Castes. Stephanie Kramer, </w:t>
      </w:r>
      <w:hyperlink r:id="rId24" w:history="1">
        <w:r w:rsidR="00133A42" w:rsidRPr="00176257">
          <w:rPr>
            <w:rStyle w:val="Hyperlink"/>
            <w:color w:val="auto"/>
            <w:sz w:val="18"/>
            <w:szCs w:val="18"/>
          </w:rPr>
          <w:t>Religious Composition of India</w:t>
        </w:r>
      </w:hyperlink>
      <w:r w:rsidRPr="00176257">
        <w:rPr>
          <w:color w:val="auto"/>
          <w:sz w:val="18"/>
          <w:szCs w:val="18"/>
        </w:rPr>
        <w:t xml:space="preserve"> (Pew Research </w:t>
      </w:r>
      <w:proofErr w:type="spellStart"/>
      <w:r w:rsidRPr="00176257">
        <w:rPr>
          <w:color w:val="auto"/>
          <w:sz w:val="18"/>
          <w:szCs w:val="18"/>
        </w:rPr>
        <w:t>Center</w:t>
      </w:r>
      <w:proofErr w:type="spellEnd"/>
      <w:r w:rsidRPr="00176257">
        <w:rPr>
          <w:color w:val="auto"/>
          <w:sz w:val="18"/>
          <w:szCs w:val="18"/>
        </w:rPr>
        <w:t xml:space="preserve">, September 2021). See also para. 35 below. </w:t>
      </w:r>
    </w:p>
  </w:footnote>
  <w:footnote w:id="20">
    <w:p w14:paraId="7E744DD8"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Responds to </w:t>
      </w:r>
      <w:proofErr w:type="spellStart"/>
      <w:r w:rsidRPr="00176257">
        <w:rPr>
          <w:color w:val="auto"/>
          <w:sz w:val="18"/>
          <w:szCs w:val="18"/>
        </w:rPr>
        <w:t>LoT</w:t>
      </w:r>
      <w:proofErr w:type="spellEnd"/>
      <w:r w:rsidRPr="00176257">
        <w:rPr>
          <w:color w:val="auto"/>
          <w:sz w:val="18"/>
          <w:szCs w:val="18"/>
        </w:rPr>
        <w:t xml:space="preserve"> paras. 4–12. On racial profiling (</w:t>
      </w:r>
      <w:proofErr w:type="spellStart"/>
      <w:r w:rsidRPr="00176257">
        <w:rPr>
          <w:color w:val="auto"/>
          <w:sz w:val="18"/>
          <w:szCs w:val="18"/>
        </w:rPr>
        <w:t>LoT</w:t>
      </w:r>
      <w:proofErr w:type="spellEnd"/>
      <w:r w:rsidRPr="00176257">
        <w:rPr>
          <w:color w:val="auto"/>
          <w:sz w:val="18"/>
          <w:szCs w:val="18"/>
        </w:rPr>
        <w:t xml:space="preserve"> para. 8), see paras. 17, 30, and 34. </w:t>
      </w:r>
    </w:p>
  </w:footnote>
  <w:footnote w:id="21">
    <w:p w14:paraId="4EDB4C22"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w:t>
      </w:r>
      <w:proofErr w:type="spellStart"/>
      <w:r w:rsidRPr="00176257">
        <w:rPr>
          <w:color w:val="auto"/>
          <w:sz w:val="18"/>
          <w:szCs w:val="18"/>
        </w:rPr>
        <w:t>PoA</w:t>
      </w:r>
      <w:proofErr w:type="spellEnd"/>
      <w:r w:rsidRPr="00176257">
        <w:rPr>
          <w:color w:val="auto"/>
          <w:sz w:val="18"/>
          <w:szCs w:val="18"/>
        </w:rPr>
        <w:t xml:space="preserve"> applies only to members of Scheduled Castes and Scheduled Tribes. No equivalent protection exists for religious minorities (including India's over 200 million Muslims), linguistic minorities, or non-citizens. </w:t>
      </w:r>
    </w:p>
  </w:footnote>
  <w:footnote w:id="22">
    <w:p w14:paraId="4E048726"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w:t>
      </w:r>
      <w:proofErr w:type="spellStart"/>
      <w:r w:rsidRPr="00176257">
        <w:rPr>
          <w:color w:val="auto"/>
          <w:sz w:val="18"/>
          <w:szCs w:val="18"/>
        </w:rPr>
        <w:t>PoA</w:t>
      </w:r>
      <w:proofErr w:type="spellEnd"/>
      <w:r w:rsidRPr="00176257">
        <w:rPr>
          <w:color w:val="auto"/>
          <w:sz w:val="18"/>
          <w:szCs w:val="18"/>
        </w:rPr>
        <w:t xml:space="preserve"> criminalises specified atrocities and prescribes enhanced penalties but does not address discrimination by private actors in employment, housing, education, or services, and does not provide civil remedies. On the </w:t>
      </w:r>
      <w:proofErr w:type="spellStart"/>
      <w:r w:rsidRPr="00176257">
        <w:rPr>
          <w:color w:val="auto"/>
          <w:sz w:val="18"/>
          <w:szCs w:val="18"/>
        </w:rPr>
        <w:t>PoA's</w:t>
      </w:r>
      <w:proofErr w:type="spellEnd"/>
      <w:r w:rsidRPr="00176257">
        <w:rPr>
          <w:color w:val="auto"/>
          <w:sz w:val="18"/>
          <w:szCs w:val="18"/>
        </w:rPr>
        <w:t xml:space="preserve"> implementation failures, see para. 14 below (Article 6). </w:t>
      </w:r>
    </w:p>
  </w:footnote>
  <w:footnote w:id="23">
    <w:p w14:paraId="1EC18BA2"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25" w:history="1">
        <w:r w:rsidR="00133A42" w:rsidRPr="00176257">
          <w:rPr>
            <w:rStyle w:val="Hyperlink"/>
            <w:color w:val="auto"/>
            <w:sz w:val="18"/>
            <w:szCs w:val="18"/>
          </w:rPr>
          <w:t>Subhash Kashinath Mahajan v. State of Maharashtra</w:t>
        </w:r>
      </w:hyperlink>
      <w:r w:rsidRPr="00176257">
        <w:rPr>
          <w:color w:val="auto"/>
          <w:sz w:val="18"/>
          <w:szCs w:val="18"/>
        </w:rPr>
        <w:t xml:space="preserve"> (2018) 6 SCC 454. Scheduled Castes and Scheduled Tribes (Prevention of Atrocities) Amendment Act 2018. </w:t>
      </w:r>
      <w:hyperlink r:id="rId26" w:history="1">
        <w:r w:rsidR="00133A42" w:rsidRPr="00176257">
          <w:rPr>
            <w:rStyle w:val="Hyperlink"/>
            <w:color w:val="auto"/>
            <w:sz w:val="18"/>
            <w:szCs w:val="18"/>
          </w:rPr>
          <w:t>Prithvi Raj Chauhan v. Union of India</w:t>
        </w:r>
      </w:hyperlink>
      <w:r w:rsidRPr="00176257">
        <w:rPr>
          <w:color w:val="auto"/>
          <w:sz w:val="18"/>
          <w:szCs w:val="18"/>
        </w:rPr>
        <w:t xml:space="preserve"> (2020). </w:t>
      </w:r>
    </w:p>
  </w:footnote>
  <w:footnote w:id="24">
    <w:p w14:paraId="02167CA1" w14:textId="48F3243E"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r w:rsidRPr="00176257">
        <w:rPr>
          <w:color w:val="auto"/>
          <w:sz w:val="18"/>
          <w:szCs w:val="18"/>
        </w:rPr>
        <w:t xml:space="preserve">Private member's bills in India are introduced by individual legislators without government backing and rarely progress to debate. A civil society draft, the </w:t>
      </w:r>
      <w:hyperlink r:id="rId27" w:history="1">
        <w:r w:rsidR="00133A42" w:rsidRPr="00176257">
          <w:rPr>
            <w:rStyle w:val="Hyperlink"/>
            <w:color w:val="auto"/>
            <w:sz w:val="18"/>
            <w:szCs w:val="18"/>
          </w:rPr>
          <w:t>Equality Bill 2019</w:t>
        </w:r>
      </w:hyperlink>
      <w:r w:rsidRPr="00176257">
        <w:rPr>
          <w:color w:val="auto"/>
          <w:sz w:val="18"/>
          <w:szCs w:val="18"/>
        </w:rPr>
        <w:t xml:space="preserve"> prepared by the Centre for Law and Policy Research, was not introduced in Parliament. </w:t>
      </w:r>
    </w:p>
  </w:footnote>
  <w:footnote w:id="25">
    <w:p w14:paraId="33B7D780"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India's position: </w:t>
      </w:r>
      <w:hyperlink r:id="rId28" w:history="1">
        <w:r w:rsidR="00133A42" w:rsidRPr="00176257">
          <w:rPr>
            <w:rStyle w:val="Hyperlink"/>
            <w:color w:val="auto"/>
            <w:sz w:val="18"/>
            <w:szCs w:val="18"/>
          </w:rPr>
          <w:t>OHCHR Summary Record, July 2024</w:t>
        </w:r>
      </w:hyperlink>
      <w:r w:rsidRPr="00176257">
        <w:rPr>
          <w:color w:val="auto"/>
          <w:sz w:val="18"/>
          <w:szCs w:val="18"/>
        </w:rPr>
        <w:t xml:space="preserve">. </w:t>
      </w:r>
      <w:proofErr w:type="spellStart"/>
      <w:r w:rsidRPr="00176257">
        <w:rPr>
          <w:color w:val="auto"/>
          <w:sz w:val="18"/>
          <w:szCs w:val="18"/>
        </w:rPr>
        <w:t>HRCtee</w:t>
      </w:r>
      <w:proofErr w:type="spellEnd"/>
      <w:r w:rsidRPr="00176257">
        <w:rPr>
          <w:color w:val="auto"/>
          <w:sz w:val="18"/>
          <w:szCs w:val="18"/>
        </w:rPr>
        <w:t xml:space="preserve">, </w:t>
      </w:r>
      <w:hyperlink r:id="rId29" w:history="1">
        <w:r w:rsidR="00133A42" w:rsidRPr="00176257">
          <w:rPr>
            <w:rStyle w:val="Hyperlink"/>
            <w:color w:val="auto"/>
            <w:sz w:val="18"/>
            <w:szCs w:val="18"/>
          </w:rPr>
          <w:t>CCPR/C/IND/CO/4 (2024)</w:t>
        </w:r>
      </w:hyperlink>
      <w:r w:rsidRPr="00176257">
        <w:rPr>
          <w:color w:val="auto"/>
          <w:sz w:val="18"/>
          <w:szCs w:val="18"/>
        </w:rPr>
        <w:t xml:space="preserve">, paras. 13–14. </w:t>
      </w:r>
    </w:p>
  </w:footnote>
  <w:footnote w:id="26">
    <w:p w14:paraId="2ED30705"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w:t>
      </w:r>
      <w:proofErr w:type="spellStart"/>
      <w:r w:rsidRPr="00176257">
        <w:rPr>
          <w:color w:val="auto"/>
          <w:sz w:val="18"/>
          <w:szCs w:val="18"/>
        </w:rPr>
        <w:t>HRCtee</w:t>
      </w:r>
      <w:proofErr w:type="spellEnd"/>
      <w:r w:rsidRPr="00176257">
        <w:rPr>
          <w:color w:val="auto"/>
          <w:sz w:val="18"/>
          <w:szCs w:val="18"/>
        </w:rPr>
        <w:t xml:space="preserve"> has found that this prior authorisation requirement "creates a climate of widespread impunity" (CCPR/C/IND/CO/4, paras. 29–30). Para. 30 was selected for follow-up by July 2027. On the application of AFSPA and related counter-terrorism legislation, see note 149, infra. </w:t>
      </w:r>
    </w:p>
  </w:footnote>
  <w:footnote w:id="27">
    <w:p w14:paraId="70C11A2A"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Joint communication </w:t>
      </w:r>
      <w:hyperlink r:id="rId30" w:history="1">
        <w:r w:rsidR="00133A42" w:rsidRPr="00176257">
          <w:rPr>
            <w:rStyle w:val="Hyperlink"/>
            <w:color w:val="auto"/>
            <w:sz w:val="18"/>
            <w:szCs w:val="18"/>
          </w:rPr>
          <w:t>OL IND 3/2026</w:t>
        </w:r>
      </w:hyperlink>
      <w:r w:rsidRPr="00176257">
        <w:rPr>
          <w:color w:val="auto"/>
          <w:sz w:val="18"/>
          <w:szCs w:val="18"/>
        </w:rPr>
        <w:t xml:space="preserve">, 31 March 2026. The mandate holders recalled that multiple UN mechanisms have called for repeal, including this Committee, the </w:t>
      </w:r>
      <w:proofErr w:type="spellStart"/>
      <w:r w:rsidRPr="00176257">
        <w:rPr>
          <w:color w:val="auto"/>
          <w:sz w:val="18"/>
          <w:szCs w:val="18"/>
        </w:rPr>
        <w:t>HRCtee</w:t>
      </w:r>
      <w:proofErr w:type="spellEnd"/>
      <w:r w:rsidRPr="00176257">
        <w:rPr>
          <w:color w:val="auto"/>
          <w:sz w:val="18"/>
          <w:szCs w:val="18"/>
        </w:rPr>
        <w:t xml:space="preserve">, CEDAW, and the former High Commissioner for Human Rights. India's </w:t>
      </w:r>
      <w:hyperlink r:id="rId31" w:history="1">
        <w:r w:rsidR="00133A42" w:rsidRPr="00176257">
          <w:rPr>
            <w:rStyle w:val="Hyperlink"/>
            <w:color w:val="auto"/>
            <w:sz w:val="18"/>
            <w:szCs w:val="18"/>
          </w:rPr>
          <w:t>response</w:t>
        </w:r>
      </w:hyperlink>
      <w:r w:rsidRPr="00176257">
        <w:rPr>
          <w:color w:val="auto"/>
          <w:sz w:val="18"/>
          <w:szCs w:val="18"/>
        </w:rPr>
        <w:t xml:space="preserve"> (24 April 2026) stated that the communication "seems to present a fait accompli to the country concerned.". </w:t>
      </w:r>
    </w:p>
  </w:footnote>
  <w:footnote w:id="28">
    <w:p w14:paraId="3B15A4CF"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32" w:history="1">
        <w:r w:rsidR="00133A42" w:rsidRPr="00176257">
          <w:rPr>
            <w:rStyle w:val="Hyperlink"/>
            <w:color w:val="auto"/>
            <w:sz w:val="18"/>
            <w:szCs w:val="18"/>
          </w:rPr>
          <w:t>Manipur's 'unknown' killers: Three years of India's bloody ethnic conflict</w:t>
        </w:r>
      </w:hyperlink>
      <w:r w:rsidRPr="00176257">
        <w:rPr>
          <w:color w:val="auto"/>
          <w:sz w:val="18"/>
          <w:szCs w:val="18"/>
        </w:rPr>
        <w:t xml:space="preserve">, Al Jazeera, 6 May 2026. </w:t>
      </w:r>
    </w:p>
  </w:footnote>
  <w:footnote w:id="29">
    <w:p w14:paraId="48607416"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Amnesty International, </w:t>
      </w:r>
      <w:hyperlink r:id="rId33" w:history="1">
        <w:r w:rsidR="00133A42" w:rsidRPr="00176257">
          <w:rPr>
            <w:rStyle w:val="Hyperlink"/>
            <w:color w:val="auto"/>
            <w:sz w:val="18"/>
            <w:szCs w:val="18"/>
          </w:rPr>
          <w:t>India: Release all hostages and end cycle of violence in Manipur</w:t>
        </w:r>
      </w:hyperlink>
      <w:r w:rsidRPr="00176257">
        <w:rPr>
          <w:color w:val="auto"/>
          <w:sz w:val="18"/>
          <w:szCs w:val="18"/>
        </w:rPr>
        <w:t xml:space="preserve">, 4 June 2026. </w:t>
      </w:r>
    </w:p>
  </w:footnote>
  <w:footnote w:id="30">
    <w:p w14:paraId="3752567F"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Indian Penal Code 1860, cited in the SPR, was replaced by the Bharatiya Nyaya Sanhita 2023 (BNS) in July 2024. The equivalent provisions—on promoting enmity between groups (Section 196), imputations prejudicial to national integration (Section 197), and outraging religious feelings (Section 299)—substantially replicate the repealed sections without strengthening protections against hate speech targeting religious minorities or introducing provisions addressing hate speech by public officials. </w:t>
      </w:r>
    </w:p>
  </w:footnote>
  <w:footnote w:id="31">
    <w:p w14:paraId="6CCD0C31"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See </w:t>
      </w:r>
      <w:hyperlink r:id="rId34" w:history="1">
        <w:r w:rsidR="00133A42" w:rsidRPr="00176257">
          <w:rPr>
            <w:rStyle w:val="Hyperlink"/>
            <w:color w:val="auto"/>
            <w:sz w:val="18"/>
            <w:szCs w:val="18"/>
          </w:rPr>
          <w:t>Maktoob Media</w:t>
        </w:r>
      </w:hyperlink>
      <w:r w:rsidRPr="00176257">
        <w:rPr>
          <w:color w:val="auto"/>
          <w:sz w:val="18"/>
          <w:szCs w:val="18"/>
        </w:rPr>
        <w:t xml:space="preserve"> (16 February 2026, SC declining petitions against Assam CM); </w:t>
      </w:r>
      <w:hyperlink r:id="rId35" w:history="1">
        <w:r w:rsidR="00133A42" w:rsidRPr="00176257">
          <w:rPr>
            <w:rStyle w:val="Hyperlink"/>
            <w:color w:val="auto"/>
            <w:sz w:val="18"/>
            <w:szCs w:val="18"/>
          </w:rPr>
          <w:t>Alt News</w:t>
        </w:r>
      </w:hyperlink>
      <w:r w:rsidRPr="00176257">
        <w:rPr>
          <w:color w:val="auto"/>
          <w:sz w:val="18"/>
          <w:szCs w:val="18"/>
        </w:rPr>
        <w:t xml:space="preserve"> (29 April 2026, SC dismissing case against BJP leaders); </w:t>
      </w:r>
      <w:hyperlink r:id="rId36" w:history="1">
        <w:r w:rsidR="00133A42" w:rsidRPr="00176257">
          <w:rPr>
            <w:rStyle w:val="Hyperlink"/>
            <w:color w:val="auto"/>
            <w:sz w:val="18"/>
            <w:szCs w:val="18"/>
          </w:rPr>
          <w:t>The Wire</w:t>
        </w:r>
      </w:hyperlink>
      <w:r w:rsidRPr="00176257">
        <w:rPr>
          <w:color w:val="auto"/>
          <w:sz w:val="18"/>
          <w:szCs w:val="18"/>
        </w:rPr>
        <w:t xml:space="preserve"> (SC abandoning </w:t>
      </w:r>
      <w:proofErr w:type="spellStart"/>
      <w:r w:rsidRPr="00176257">
        <w:rPr>
          <w:color w:val="auto"/>
          <w:sz w:val="18"/>
          <w:szCs w:val="18"/>
        </w:rPr>
        <w:t>Tehseen</w:t>
      </w:r>
      <w:proofErr w:type="spellEnd"/>
      <w:r w:rsidRPr="00176257">
        <w:rPr>
          <w:color w:val="auto"/>
          <w:sz w:val="18"/>
          <w:szCs w:val="18"/>
        </w:rPr>
        <w:t xml:space="preserve"> Poonawala framework). </w:t>
      </w:r>
    </w:p>
  </w:footnote>
  <w:footnote w:id="32">
    <w:p w14:paraId="1159ADA3"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CCPR/C/IND/CO/4, paras. 45–46(a). </w:t>
      </w:r>
    </w:p>
  </w:footnote>
  <w:footnote w:id="33">
    <w:p w14:paraId="38670707" w14:textId="32C22F72"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r w:rsidRPr="00176257">
        <w:rPr>
          <w:color w:val="auto"/>
          <w:sz w:val="18"/>
          <w:szCs w:val="18"/>
        </w:rPr>
        <w:t xml:space="preserve">UN Special Procedures, </w:t>
      </w:r>
      <w:hyperlink r:id="rId37" w:history="1">
        <w:r w:rsidR="00133A42" w:rsidRPr="00176257">
          <w:rPr>
            <w:rStyle w:val="Hyperlink"/>
            <w:color w:val="auto"/>
            <w:sz w:val="18"/>
            <w:szCs w:val="18"/>
          </w:rPr>
          <w:t>Allegation Letter AL IND 5/2024</w:t>
        </w:r>
      </w:hyperlink>
      <w:r w:rsidRPr="00176257">
        <w:rPr>
          <w:color w:val="auto"/>
          <w:sz w:val="18"/>
          <w:szCs w:val="18"/>
        </w:rPr>
        <w:t xml:space="preserve">, 24 September 2024.. </w:t>
      </w:r>
    </w:p>
  </w:footnote>
  <w:footnote w:id="34">
    <w:p w14:paraId="638575F3"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Note 105, infra. </w:t>
      </w:r>
    </w:p>
  </w:footnote>
  <w:footnote w:id="35">
    <w:p w14:paraId="120AE663"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PIIE Report, note 106, infra, pp. 160, 171. See also </w:t>
      </w:r>
      <w:hyperlink r:id="rId38" w:history="1">
        <w:r w:rsidR="00133A42" w:rsidRPr="00176257">
          <w:rPr>
            <w:rStyle w:val="Hyperlink"/>
            <w:color w:val="auto"/>
            <w:sz w:val="18"/>
            <w:szCs w:val="18"/>
          </w:rPr>
          <w:t>Scroll.in</w:t>
        </w:r>
      </w:hyperlink>
      <w:r w:rsidRPr="00176257">
        <w:rPr>
          <w:color w:val="auto"/>
          <w:sz w:val="18"/>
          <w:szCs w:val="18"/>
        </w:rPr>
        <w:t xml:space="preserve"> (November 2025). On Adhikari, see Kunal Purohit and Aashna Ajmera, </w:t>
      </w:r>
      <w:hyperlink r:id="rId39" w:history="1">
        <w:r w:rsidR="00133A42" w:rsidRPr="00176257">
          <w:rPr>
            <w:rStyle w:val="Hyperlink"/>
            <w:color w:val="auto"/>
            <w:sz w:val="18"/>
            <w:szCs w:val="18"/>
          </w:rPr>
          <w:t xml:space="preserve">Threats, Social Boycotts, Backing Violence: How </w:t>
        </w:r>
        <w:proofErr w:type="spellStart"/>
        <w:r w:rsidR="00133A42" w:rsidRPr="00176257">
          <w:rPr>
            <w:rStyle w:val="Hyperlink"/>
            <w:color w:val="auto"/>
            <w:sz w:val="18"/>
            <w:szCs w:val="18"/>
          </w:rPr>
          <w:t>Suvendu</w:t>
        </w:r>
        <w:proofErr w:type="spellEnd"/>
        <w:r w:rsidR="00133A42" w:rsidRPr="00176257">
          <w:rPr>
            <w:rStyle w:val="Hyperlink"/>
            <w:color w:val="auto"/>
            <w:sz w:val="18"/>
            <w:szCs w:val="18"/>
          </w:rPr>
          <w:t xml:space="preserve"> Adhikari Ran an Anti-Muslim Campaign to Win Bengal</w:t>
        </w:r>
      </w:hyperlink>
      <w:r w:rsidRPr="00176257">
        <w:rPr>
          <w:color w:val="auto"/>
          <w:sz w:val="18"/>
          <w:szCs w:val="18"/>
        </w:rPr>
        <w:t xml:space="preserve"> (The Wire, 12 May 2026). </w:t>
      </w:r>
    </w:p>
  </w:footnote>
  <w:footnote w:id="36">
    <w:p w14:paraId="47352826"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See Christophe Jaffrelot, </w:t>
      </w:r>
      <w:hyperlink r:id="rId40" w:history="1">
        <w:r w:rsidR="00133A42" w:rsidRPr="00176257">
          <w:rPr>
            <w:rStyle w:val="Hyperlink"/>
            <w:color w:val="auto"/>
            <w:sz w:val="18"/>
            <w:szCs w:val="18"/>
          </w:rPr>
          <w:t>Modi's India: Hindu Nationalism and the Rise of Ethnic Democracy</w:t>
        </w:r>
      </w:hyperlink>
      <w:r w:rsidRPr="00176257">
        <w:rPr>
          <w:color w:val="auto"/>
          <w:sz w:val="18"/>
          <w:szCs w:val="18"/>
        </w:rPr>
        <w:t xml:space="preserve"> (Princeton University Press, 2021); Christophe Jaffrelot, </w:t>
      </w:r>
      <w:hyperlink r:id="rId41" w:history="1">
        <w:r w:rsidR="00133A42" w:rsidRPr="00176257">
          <w:rPr>
            <w:rStyle w:val="Hyperlink"/>
            <w:color w:val="auto"/>
            <w:sz w:val="18"/>
            <w:szCs w:val="18"/>
          </w:rPr>
          <w:t>India Under Modi Shares Similar Patterns with Israel in Their Ethnic Democracies</w:t>
        </w:r>
      </w:hyperlink>
      <w:r w:rsidRPr="00176257">
        <w:rPr>
          <w:color w:val="auto"/>
          <w:sz w:val="18"/>
          <w:szCs w:val="18"/>
        </w:rPr>
        <w:t xml:space="preserve"> (ECPS, May 2024). See also United States Commission on International Religious Freedom, </w:t>
      </w:r>
      <w:hyperlink r:id="rId42" w:history="1">
        <w:r w:rsidR="00133A42" w:rsidRPr="00176257">
          <w:rPr>
            <w:rStyle w:val="Hyperlink"/>
            <w:color w:val="auto"/>
            <w:sz w:val="18"/>
            <w:szCs w:val="18"/>
          </w:rPr>
          <w:t>2026 Annual Report</w:t>
        </w:r>
      </w:hyperlink>
      <w:r w:rsidRPr="00176257">
        <w:rPr>
          <w:color w:val="auto"/>
          <w:sz w:val="18"/>
          <w:szCs w:val="18"/>
        </w:rPr>
        <w:t xml:space="preserve"> (March 2026), recommending targeted sanctions against the RSS. On the RSS's penetration of government, see Neelam Pandey and Shanker Arnimesh, </w:t>
      </w:r>
      <w:hyperlink r:id="rId43" w:history="1">
        <w:r w:rsidR="00133A42" w:rsidRPr="00176257">
          <w:rPr>
            <w:rStyle w:val="Hyperlink"/>
            <w:color w:val="auto"/>
            <w:sz w:val="18"/>
            <w:szCs w:val="18"/>
          </w:rPr>
          <w:t>RSS in Modi govt in numbers — 3 of 4 ministers are rooted in the Sangh</w:t>
        </w:r>
      </w:hyperlink>
      <w:r w:rsidRPr="00176257">
        <w:rPr>
          <w:color w:val="auto"/>
          <w:sz w:val="18"/>
          <w:szCs w:val="18"/>
        </w:rPr>
        <w:t xml:space="preserve"> (</w:t>
      </w:r>
      <w:proofErr w:type="spellStart"/>
      <w:r w:rsidRPr="00176257">
        <w:rPr>
          <w:color w:val="auto"/>
          <w:sz w:val="18"/>
          <w:szCs w:val="18"/>
        </w:rPr>
        <w:t>ThePrint</w:t>
      </w:r>
      <w:proofErr w:type="spellEnd"/>
      <w:r w:rsidRPr="00176257">
        <w:rPr>
          <w:color w:val="auto"/>
          <w:sz w:val="18"/>
          <w:szCs w:val="18"/>
        </w:rPr>
        <w:t xml:space="preserve">, 27 January 2020); Samira Hussain, </w:t>
      </w:r>
      <w:hyperlink r:id="rId44" w:history="1">
        <w:r w:rsidR="00133A42" w:rsidRPr="00176257">
          <w:rPr>
            <w:rStyle w:val="Hyperlink"/>
            <w:color w:val="auto"/>
            <w:sz w:val="18"/>
            <w:szCs w:val="18"/>
          </w:rPr>
          <w:t>India's most powerful Hindu nationalist organisation marks centenary</w:t>
        </w:r>
      </w:hyperlink>
      <w:r w:rsidRPr="00176257">
        <w:rPr>
          <w:color w:val="auto"/>
          <w:sz w:val="18"/>
          <w:szCs w:val="18"/>
        </w:rPr>
        <w:t xml:space="preserve"> (BBC, 2 October 2025); Mujib Mashal and Hari Kumar, </w:t>
      </w:r>
      <w:hyperlink r:id="rId45" w:history="1">
        <w:r w:rsidR="00133A42" w:rsidRPr="00176257">
          <w:rPr>
            <w:rStyle w:val="Hyperlink"/>
            <w:color w:val="auto"/>
            <w:sz w:val="18"/>
            <w:szCs w:val="18"/>
          </w:rPr>
          <w:t>From the Shadows to Power: How the Hindu Right Reshaped India</w:t>
        </w:r>
      </w:hyperlink>
      <w:r w:rsidRPr="00176257">
        <w:rPr>
          <w:color w:val="auto"/>
          <w:sz w:val="18"/>
          <w:szCs w:val="18"/>
        </w:rPr>
        <w:t xml:space="preserve"> (New York Times, 26 December 2025). On the RSS's influence on government policy, see Lauren Frayer and Furkan Latif Khan, </w:t>
      </w:r>
      <w:hyperlink r:id="rId46" w:history="1">
        <w:r w:rsidR="00133A42" w:rsidRPr="00176257">
          <w:rPr>
            <w:rStyle w:val="Hyperlink"/>
            <w:color w:val="auto"/>
            <w:sz w:val="18"/>
            <w:szCs w:val="18"/>
          </w:rPr>
          <w:t>The Powerful Group Shaping the Rise of Hindu Nationalism in India</w:t>
        </w:r>
      </w:hyperlink>
      <w:r w:rsidRPr="00176257">
        <w:rPr>
          <w:color w:val="auto"/>
          <w:sz w:val="18"/>
          <w:szCs w:val="18"/>
        </w:rPr>
        <w:t xml:space="preserve"> (NPR, 3 May 2019). </w:t>
      </w:r>
    </w:p>
  </w:footnote>
  <w:footnote w:id="37">
    <w:p w14:paraId="5D521EE2"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Government of India, Annual Report under Section 15A(4) of the Protection of Civil Rights Act 1955 (2022). See Simran Kaur, </w:t>
      </w:r>
      <w:hyperlink r:id="rId47" w:history="1">
        <w:r w:rsidR="00133A42" w:rsidRPr="00176257">
          <w:rPr>
            <w:rStyle w:val="Hyperlink"/>
            <w:color w:val="auto"/>
            <w:sz w:val="18"/>
            <w:szCs w:val="18"/>
          </w:rPr>
          <w:t>More than 97 percent 'untouchability' cases remain pending, majority result in acquittal</w:t>
        </w:r>
      </w:hyperlink>
      <w:r w:rsidRPr="00176257">
        <w:rPr>
          <w:color w:val="auto"/>
          <w:sz w:val="18"/>
          <w:szCs w:val="18"/>
        </w:rPr>
        <w:t xml:space="preserve">, The Leaflet, 23 July 2025. </w:t>
      </w:r>
    </w:p>
  </w:footnote>
  <w:footnote w:id="38">
    <w:p w14:paraId="32779F37"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GANHRI Sub-Committee on Accreditation, </w:t>
      </w:r>
      <w:hyperlink r:id="rId48" w:history="1">
        <w:r w:rsidR="00133A42" w:rsidRPr="00176257">
          <w:rPr>
            <w:rStyle w:val="Hyperlink"/>
            <w:color w:val="auto"/>
            <w:sz w:val="18"/>
            <w:szCs w:val="18"/>
          </w:rPr>
          <w:t>Report of the March 2025 Session</w:t>
        </w:r>
      </w:hyperlink>
      <w:r w:rsidRPr="00176257">
        <w:rPr>
          <w:color w:val="auto"/>
          <w:sz w:val="18"/>
          <w:szCs w:val="18"/>
        </w:rPr>
        <w:t xml:space="preserve">. The NHRC challenged the recommendation; the GANHRI Bureau rejected the challenge in December 2025. See </w:t>
      </w:r>
      <w:hyperlink r:id="rId49" w:history="1">
        <w:r w:rsidR="00133A42" w:rsidRPr="00176257">
          <w:rPr>
            <w:rStyle w:val="Hyperlink"/>
            <w:color w:val="auto"/>
            <w:sz w:val="18"/>
            <w:szCs w:val="18"/>
          </w:rPr>
          <w:t>Accreditation Status Chart</w:t>
        </w:r>
      </w:hyperlink>
      <w:r w:rsidRPr="00176257">
        <w:rPr>
          <w:color w:val="auto"/>
          <w:sz w:val="18"/>
          <w:szCs w:val="18"/>
        </w:rPr>
        <w:t xml:space="preserve">. Final review deferred to November 2026. </w:t>
      </w:r>
    </w:p>
  </w:footnote>
  <w:footnote w:id="39">
    <w:p w14:paraId="3223D606"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CCPR/C/IND/CO/4, paras 9–10. </w:t>
      </w:r>
    </w:p>
  </w:footnote>
  <w:footnote w:id="40">
    <w:p w14:paraId="23D6843D"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NCM is a statutory body established under the National Commission for Minorities Act 1992, mandated to safeguard the rights of six notified religious minorities (Muslims, Christians, Sikhs, Buddhists, Jains, and Parsis). The </w:t>
      </w:r>
      <w:proofErr w:type="spellStart"/>
      <w:r w:rsidRPr="00176257">
        <w:rPr>
          <w:color w:val="auto"/>
          <w:sz w:val="18"/>
          <w:szCs w:val="18"/>
        </w:rPr>
        <w:t>LoIPR</w:t>
      </w:r>
      <w:proofErr w:type="spellEnd"/>
      <w:r w:rsidRPr="00176257">
        <w:rPr>
          <w:color w:val="auto"/>
          <w:sz w:val="18"/>
          <w:szCs w:val="18"/>
        </w:rPr>
        <w:t xml:space="preserve"> (para. 10) specifically requested information on "all other State human rights institutions.". </w:t>
      </w:r>
    </w:p>
  </w:footnote>
  <w:footnote w:id="41">
    <w:p w14:paraId="779BECC0"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Sachar Committee was appointed in 2005 to examine the socio-economic conditions of India's Muslim community. Its recommendation for an EOC covering all "deprived groups" was endorsed by an Expert Group chaired by Prof. N.R. Madhava Menon (2008). The incoming government withdrew Cabinet approval after taking office in May 2014. See Nazar Khalid, </w:t>
      </w:r>
      <w:hyperlink r:id="rId50" w:history="1">
        <w:r w:rsidR="00133A42" w:rsidRPr="00176257">
          <w:rPr>
            <w:rStyle w:val="Hyperlink"/>
            <w:color w:val="auto"/>
            <w:sz w:val="18"/>
            <w:szCs w:val="18"/>
          </w:rPr>
          <w:t>Why Equal Opportunity Commission Recommendations and Diversity Index Require Policy Interventions</w:t>
        </w:r>
      </w:hyperlink>
      <w:r w:rsidRPr="00176257">
        <w:rPr>
          <w:color w:val="auto"/>
          <w:sz w:val="18"/>
          <w:szCs w:val="18"/>
        </w:rPr>
        <w:t xml:space="preserve">, The Wire, 14 May 2024. </w:t>
      </w:r>
    </w:p>
  </w:footnote>
  <w:footnote w:id="42">
    <w:p w14:paraId="33D684BA" w14:textId="2F973DE8"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FCRA requires government registration for any organisation receiving foreign funding. Registration can be cancelled at executive discretion on grounds including acting against "public interest." The 2020 Amendment added further restrictions, including a prohibition on sub-granting to smaller organisations. </w:t>
      </w:r>
      <w:r w:rsidRPr="00176257">
        <w:rPr>
          <w:color w:val="auto"/>
          <w:sz w:val="18"/>
          <w:szCs w:val="18"/>
        </w:rPr>
        <w:t xml:space="preserve">Once registration is cancelled, the organisation is prohibited from receiving any foreign contribution. </w:t>
      </w:r>
    </w:p>
  </w:footnote>
  <w:footnote w:id="43">
    <w:p w14:paraId="47AE9A87"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CCPR/C/IND/CO/4, paras 53–54. </w:t>
      </w:r>
    </w:p>
  </w:footnote>
  <w:footnote w:id="44">
    <w:p w14:paraId="106B0769"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Under India's federal structure, criminal law enforcement falls within the jurisdiction of India's 28 states and 8 union territories. This constitutional division does not relieve India of its Convention obligation to ensure effective remedies across its territory. </w:t>
      </w:r>
    </w:p>
  </w:footnote>
  <w:footnote w:id="45">
    <w:p w14:paraId="7507FCDD"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SPR, paras. 149–150. See para. 22 below for updated 2023 figures (over 93 per cent of cases pending). The SPR provides figures only for 2021 and does not address trends, barriers to registration, or reasons for the high acquittal rate. </w:t>
      </w:r>
    </w:p>
  </w:footnote>
  <w:footnote w:id="46">
    <w:p w14:paraId="4E7CB38E"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In Indian police procedure, a "Final Report" is the investigating officer's concluding report on a case. Cases categorised as "Final Report false" are those the police have determined to be based on false complaints—effectively closing them without prosecution. </w:t>
      </w:r>
    </w:p>
  </w:footnote>
  <w:footnote w:id="47">
    <w:p w14:paraId="21011F70"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CCPR/C/IND/CO/4, paras. 15 and 29. The </w:t>
      </w:r>
      <w:proofErr w:type="spellStart"/>
      <w:r w:rsidRPr="00176257">
        <w:rPr>
          <w:color w:val="auto"/>
          <w:sz w:val="18"/>
          <w:szCs w:val="18"/>
        </w:rPr>
        <w:t>HRCtee</w:t>
      </w:r>
      <w:proofErr w:type="spellEnd"/>
      <w:r w:rsidRPr="00176257">
        <w:rPr>
          <w:color w:val="auto"/>
          <w:sz w:val="18"/>
          <w:szCs w:val="18"/>
        </w:rPr>
        <w:t xml:space="preserve"> also found that "more than 75 per cent of the prison population was under trial in 2022, with a disproportionate presence of Muslims, Dalits and Adivasis" (para. 37). </w:t>
      </w:r>
    </w:p>
  </w:footnote>
  <w:footnote w:id="48">
    <w:p w14:paraId="431FBECA"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National Commission for Scheduled Castes (NCSC) and the National Commission for Scheduled Tribes (NCST) are constitutional bodies established under Articles 338 and 338A of the Constitution, mandated to investigate complaints, monitor protective legislation, and recommend measures for implementation. Neither has the power to enforce its recommendations. On the NHRC and NCM, see para. 12 above. </w:t>
      </w:r>
    </w:p>
  </w:footnote>
  <w:footnote w:id="49">
    <w:p w14:paraId="33E72094"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Responds to </w:t>
      </w:r>
      <w:proofErr w:type="spellStart"/>
      <w:r w:rsidRPr="00176257">
        <w:rPr>
          <w:color w:val="auto"/>
          <w:sz w:val="18"/>
          <w:szCs w:val="18"/>
        </w:rPr>
        <w:t>LoT</w:t>
      </w:r>
      <w:proofErr w:type="spellEnd"/>
      <w:r w:rsidRPr="00176257">
        <w:rPr>
          <w:color w:val="auto"/>
          <w:sz w:val="18"/>
          <w:szCs w:val="18"/>
        </w:rPr>
        <w:t xml:space="preserve"> paras. 13–26. </w:t>
      </w:r>
    </w:p>
  </w:footnote>
  <w:footnote w:id="50">
    <w:p w14:paraId="44D99566"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Addresses </w:t>
      </w:r>
      <w:proofErr w:type="spellStart"/>
      <w:r w:rsidRPr="00176257">
        <w:rPr>
          <w:color w:val="auto"/>
          <w:sz w:val="18"/>
          <w:szCs w:val="18"/>
        </w:rPr>
        <w:t>LoT</w:t>
      </w:r>
      <w:proofErr w:type="spellEnd"/>
      <w:r w:rsidRPr="00176257">
        <w:rPr>
          <w:color w:val="auto"/>
          <w:sz w:val="18"/>
          <w:szCs w:val="18"/>
        </w:rPr>
        <w:t xml:space="preserve"> paras. 19–21 and 23. </w:t>
      </w:r>
    </w:p>
  </w:footnote>
  <w:footnote w:id="51">
    <w:p w14:paraId="6A453668"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five criteria are: indications of primitive traits, distinctive culture, geographical isolation, shyness of contact with the community at large, and backwardness (SPR, paras. 21, 26). </w:t>
      </w:r>
    </w:p>
  </w:footnote>
  <w:footnote w:id="52">
    <w:p w14:paraId="7C451123"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RSS is the ideological parent organisation of the ruling BJP (see para. 6 above). The VHP and the </w:t>
      </w:r>
      <w:proofErr w:type="spellStart"/>
      <w:r w:rsidRPr="00176257">
        <w:rPr>
          <w:color w:val="auto"/>
          <w:sz w:val="18"/>
          <w:szCs w:val="18"/>
        </w:rPr>
        <w:t>Vanvasi</w:t>
      </w:r>
      <w:proofErr w:type="spellEnd"/>
      <w:r w:rsidRPr="00176257">
        <w:rPr>
          <w:color w:val="auto"/>
          <w:sz w:val="18"/>
          <w:szCs w:val="18"/>
        </w:rPr>
        <w:t xml:space="preserve"> Kalyan Kendra are among its affiliates. </w:t>
      </w:r>
    </w:p>
  </w:footnote>
  <w:footnote w:id="53">
    <w:p w14:paraId="00AF785C"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Indigenous peoples across central and eastern India follow spiritual traditions collectively referred to as Sarna, characterised by nature worship and veneration of sacred groves. India's Census does not provide a separate enumeration code for Sarna; practitioners must record their religion under "Other" and are frequently enumerated as Hindu. Adivasi groups have been campaigning for a separate Sarna census code. See DK </w:t>
      </w:r>
      <w:proofErr w:type="spellStart"/>
      <w:r w:rsidRPr="00176257">
        <w:rPr>
          <w:color w:val="auto"/>
          <w:sz w:val="18"/>
          <w:szCs w:val="18"/>
        </w:rPr>
        <w:t>Jhaa</w:t>
      </w:r>
      <w:proofErr w:type="spellEnd"/>
      <w:r w:rsidRPr="00176257">
        <w:rPr>
          <w:color w:val="auto"/>
          <w:sz w:val="18"/>
          <w:szCs w:val="18"/>
        </w:rPr>
        <w:t xml:space="preserve">, </w:t>
      </w:r>
      <w:hyperlink r:id="rId51" w:history="1">
        <w:r w:rsidR="00133A42" w:rsidRPr="00176257">
          <w:rPr>
            <w:rStyle w:val="Hyperlink"/>
            <w:color w:val="auto"/>
            <w:sz w:val="18"/>
            <w:szCs w:val="18"/>
          </w:rPr>
          <w:t>Code of Silence — Why the demand for the Sarna code rattles the RSS</w:t>
        </w:r>
      </w:hyperlink>
      <w:r w:rsidRPr="00176257">
        <w:rPr>
          <w:color w:val="auto"/>
          <w:sz w:val="18"/>
          <w:szCs w:val="18"/>
        </w:rPr>
        <w:t xml:space="preserve">, The Caravan India, 29 December 2022. </w:t>
      </w:r>
    </w:p>
  </w:footnote>
  <w:footnote w:id="54">
    <w:p w14:paraId="66A912A6"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designation "</w:t>
      </w:r>
      <w:proofErr w:type="spellStart"/>
      <w:r w:rsidRPr="00176257">
        <w:rPr>
          <w:color w:val="auto"/>
          <w:sz w:val="18"/>
          <w:szCs w:val="18"/>
        </w:rPr>
        <w:t>Vanvasi</w:t>
      </w:r>
      <w:proofErr w:type="spellEnd"/>
      <w:r w:rsidRPr="00176257">
        <w:rPr>
          <w:color w:val="auto"/>
          <w:sz w:val="18"/>
          <w:szCs w:val="18"/>
        </w:rPr>
        <w:t xml:space="preserve">" (literally "forest dweller") characterises indigenous peoples as Hindus who voluntarily retreated to forests, rather than as distinct communities with their own identities and spiritual practices. The term "Adivasi" (literally "original inhabitant"), used by indigenous communities themselves, asserts prior territorial presence and cultural distinctiveness. See </w:t>
      </w:r>
      <w:hyperlink r:id="rId52" w:history="1">
        <w:r w:rsidR="00133A42" w:rsidRPr="00176257">
          <w:rPr>
            <w:rStyle w:val="Hyperlink"/>
            <w:color w:val="auto"/>
            <w:sz w:val="18"/>
            <w:szCs w:val="18"/>
          </w:rPr>
          <w:t>Jharkhand: Outfit takes out rally demanding 'delisting' of converted tribals from ST list</w:t>
        </w:r>
      </w:hyperlink>
      <w:r w:rsidRPr="00176257">
        <w:rPr>
          <w:color w:val="auto"/>
          <w:sz w:val="18"/>
          <w:szCs w:val="18"/>
        </w:rPr>
        <w:t xml:space="preserve">, The Print, 24 December 2023; </w:t>
      </w:r>
      <w:hyperlink r:id="rId53" w:history="1">
        <w:r w:rsidR="00133A42" w:rsidRPr="00176257">
          <w:rPr>
            <w:rStyle w:val="Hyperlink"/>
            <w:color w:val="auto"/>
            <w:sz w:val="18"/>
            <w:szCs w:val="18"/>
          </w:rPr>
          <w:t>Rights bodies oppose rally for delisting of converted tribals</w:t>
        </w:r>
      </w:hyperlink>
      <w:r w:rsidRPr="00176257">
        <w:rPr>
          <w:color w:val="auto"/>
          <w:sz w:val="18"/>
          <w:szCs w:val="18"/>
        </w:rPr>
        <w:t xml:space="preserve">, TNN, 24 December 2023. </w:t>
      </w:r>
    </w:p>
  </w:footnote>
  <w:footnote w:id="55">
    <w:p w14:paraId="7F3D511B"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Under the Fifth Schedule to India's Constitution, designated "Scheduled Areas" with significant tribal populations are subject to special governance provisions, including restrictions on the transfer of tribal land to non-tribals and the power of State governors to modify or disapply legislation. If the Scheduled Tribe population in these areas falls through reclassification, the constitutional basis for these protections is undermined. </w:t>
      </w:r>
    </w:p>
  </w:footnote>
  <w:footnote w:id="56">
    <w:p w14:paraId="6E5D6634"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proofErr w:type="spellStart"/>
      <w:r w:rsidRPr="00176257">
        <w:rPr>
          <w:color w:val="auto"/>
          <w:sz w:val="18"/>
          <w:szCs w:val="18"/>
        </w:rPr>
        <w:t>LoIPR</w:t>
      </w:r>
      <w:proofErr w:type="spellEnd"/>
      <w:r w:rsidRPr="00176257">
        <w:rPr>
          <w:color w:val="auto"/>
          <w:sz w:val="18"/>
          <w:szCs w:val="18"/>
        </w:rPr>
        <w:t xml:space="preserve"> para. 21 requested information on measures to implement tribal land ownership, ensure FRA safeguards, and guarantee free, prior and informed consent for "construction of dams, coal mining and other large conservation, infrastructure and industrial projects." The 2007 COs (para. 19) urged implementation of ownership rights per ILO Convention 107; para. 20 recommended no eviction without prior informed consent and adequate compensation. On India's refusal to recognise indigenous peoples as distinct groups under the Convention, see para. 5 above. </w:t>
      </w:r>
    </w:p>
  </w:footnote>
  <w:footnote w:id="57">
    <w:p w14:paraId="1026BA3A"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FRA recognises individual and community forest rights of Scheduled Tribes and other traditional forest dwellers. PESA extends self-governance to designated indigenous territories (Scheduled Areas under the Fifth Schedule of the Constitution) and requires the Gram Sabha—the village assembly of all adult members—to be consulted before land is transferred. However, PESA's consent requirement extends only to "minor" minerals (sand, gravel, building stone) and does not apply to coal, iron ore, bauxite, or the other major minerals at the centre of extraction on indigenous lands. </w:t>
      </w:r>
    </w:p>
  </w:footnote>
  <w:footnote w:id="58">
    <w:p w14:paraId="38C2F4C0"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Under the Forest Conservation Rules 2003 (Rule 6(3)(e)), the District Collector was required to complete the process of recognition and vesting of forest rights under the FRA and obtain the consent of each Gram Sabha before forwarding any application for forest land diversion. The 2022 Rules contain no equivalent provision; FRA settlement is mentioned only after the Central Government has granted final approval. See </w:t>
      </w:r>
      <w:hyperlink r:id="rId54" w:history="1">
        <w:r w:rsidR="00133A42" w:rsidRPr="00176257">
          <w:rPr>
            <w:rStyle w:val="Hyperlink"/>
            <w:color w:val="auto"/>
            <w:sz w:val="18"/>
            <w:szCs w:val="18"/>
          </w:rPr>
          <w:t>Forest Conservation Rules, 2022: An overview of changes that snatch rights of Gram Sabhas</w:t>
        </w:r>
      </w:hyperlink>
      <w:r w:rsidRPr="00176257">
        <w:rPr>
          <w:color w:val="auto"/>
          <w:sz w:val="18"/>
          <w:szCs w:val="18"/>
        </w:rPr>
        <w:t xml:space="preserve">, Citizens for Justice and Peace, 25 October 2022; </w:t>
      </w:r>
      <w:hyperlink r:id="rId55" w:history="1">
        <w:r w:rsidR="00133A42" w:rsidRPr="00176257">
          <w:rPr>
            <w:rStyle w:val="Hyperlink"/>
            <w:color w:val="auto"/>
            <w:sz w:val="18"/>
            <w:szCs w:val="18"/>
          </w:rPr>
          <w:t>Put anti-tribal forest rules on hold, panel tells MoEF</w:t>
        </w:r>
      </w:hyperlink>
      <w:r w:rsidRPr="00176257">
        <w:rPr>
          <w:color w:val="auto"/>
          <w:sz w:val="18"/>
          <w:szCs w:val="18"/>
        </w:rPr>
        <w:t xml:space="preserve">, Times of India, 17 October 2022. </w:t>
      </w:r>
    </w:p>
  </w:footnote>
  <w:footnote w:id="59">
    <w:p w14:paraId="2A342DA3"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56" w:history="1">
        <w:r w:rsidR="00133A42" w:rsidRPr="00176257">
          <w:rPr>
            <w:rStyle w:val="Hyperlink"/>
            <w:color w:val="auto"/>
            <w:sz w:val="18"/>
            <w:szCs w:val="18"/>
          </w:rPr>
          <w:t>Forest (Conservation) Amendment Act 2023</w:t>
        </w:r>
      </w:hyperlink>
      <w:r w:rsidRPr="00176257">
        <w:rPr>
          <w:color w:val="auto"/>
          <w:sz w:val="18"/>
          <w:szCs w:val="18"/>
        </w:rPr>
        <w:t xml:space="preserve"> (No. 38 of 2023). "Left-wing extremism" is a Government of India security classification applied to districts with Maoist insurgency, predominantly in Chhattisgarh, Jharkhand, Odisha, Maharashtra, and Andhra Pradesh—states where Scheduled Tribe populations and mineral deposits are most concentrated. </w:t>
      </w:r>
    </w:p>
  </w:footnote>
  <w:footnote w:id="60">
    <w:p w14:paraId="2EC78F6C"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Chakravarti, S., Clear Hold Build: Hard Lessons of Business and Human Rights in India (Harper Collins India, 2014). See also ETV Bharat, </w:t>
      </w:r>
      <w:hyperlink r:id="rId57" w:history="1">
        <w:r w:rsidR="00133A42" w:rsidRPr="00176257">
          <w:rPr>
            <w:rStyle w:val="Hyperlink"/>
            <w:color w:val="auto"/>
            <w:sz w:val="18"/>
            <w:szCs w:val="18"/>
          </w:rPr>
          <w:t>Home Minister Amit Shah to launch initiative to use security camps in Bastar for public service delivery</w:t>
        </w:r>
      </w:hyperlink>
      <w:r w:rsidRPr="00176257">
        <w:rPr>
          <w:color w:val="auto"/>
          <w:sz w:val="18"/>
          <w:szCs w:val="18"/>
        </w:rPr>
        <w:t xml:space="preserve"> (15 May 2026), describing the conversion of security installations to commercial and developmental use. </w:t>
      </w:r>
    </w:p>
  </w:footnote>
  <w:footnote w:id="61">
    <w:p w14:paraId="38D5E778"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CERD EWUAP letter, ref. CERD/EWUAP/2026/CS/BJ/</w:t>
      </w:r>
      <w:proofErr w:type="spellStart"/>
      <w:r w:rsidRPr="00176257">
        <w:rPr>
          <w:color w:val="auto"/>
          <w:sz w:val="18"/>
          <w:szCs w:val="18"/>
        </w:rPr>
        <w:t>ks</w:t>
      </w:r>
      <w:proofErr w:type="spellEnd"/>
      <w:r w:rsidRPr="00176257">
        <w:rPr>
          <w:color w:val="auto"/>
          <w:sz w:val="18"/>
          <w:szCs w:val="18"/>
        </w:rPr>
        <w:t xml:space="preserve">, 19 January 2026 (INT\_CERD\_ALE\_IND\_11342\_E). On the security operations, including the killings of at least 500 indigenous persons and the establishment of over 300 security bases, see para. 17 above. </w:t>
      </w:r>
    </w:p>
  </w:footnote>
  <w:footnote w:id="62">
    <w:p w14:paraId="011DBA25"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w:t>
      </w:r>
      <w:proofErr w:type="spellStart"/>
      <w:r w:rsidRPr="00176257">
        <w:rPr>
          <w:color w:val="auto"/>
          <w:sz w:val="18"/>
          <w:szCs w:val="18"/>
        </w:rPr>
        <w:t>Moolwasi</w:t>
      </w:r>
      <w:proofErr w:type="spellEnd"/>
      <w:r w:rsidRPr="00176257">
        <w:rPr>
          <w:color w:val="auto"/>
          <w:sz w:val="18"/>
          <w:szCs w:val="18"/>
        </w:rPr>
        <w:t xml:space="preserve"> Bachao Manch is a grassroots indigenous peoples' movement in Bastar division, Chhattisgarh, opposing displacement of Adivasi communities for mining and security installations. It was declared an "unlawful organisation" on 30 October 2024 under the Chhattisgarh Special Public Security Act 2005. The Committee's January 2026 EWUAP letter cited this ban. See also EMRIP CSO Submission 2026, pp. 4–5. </w:t>
      </w:r>
    </w:p>
  </w:footnote>
  <w:footnote w:id="63">
    <w:p w14:paraId="6C7ABEDB" w14:textId="582EB549"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CCPR/C/IND/CO/4, paras. 59–60. </w:t>
      </w:r>
      <w:r w:rsidRPr="00176257">
        <w:rPr>
          <w:color w:val="auto"/>
          <w:sz w:val="18"/>
          <w:szCs w:val="18"/>
        </w:rPr>
        <w:t xml:space="preserve">The </w:t>
      </w:r>
      <w:proofErr w:type="spellStart"/>
      <w:r w:rsidRPr="00176257">
        <w:rPr>
          <w:color w:val="auto"/>
          <w:sz w:val="18"/>
          <w:szCs w:val="18"/>
        </w:rPr>
        <w:t>HRCtee</w:t>
      </w:r>
      <w:proofErr w:type="spellEnd"/>
      <w:r w:rsidRPr="00176257">
        <w:rPr>
          <w:color w:val="auto"/>
          <w:sz w:val="18"/>
          <w:szCs w:val="18"/>
        </w:rPr>
        <w:t xml:space="preserve"> noted 1,176 cases of tribal lands acquired under coercion in </w:t>
      </w:r>
      <w:proofErr w:type="spellStart"/>
      <w:r w:rsidRPr="00176257">
        <w:rPr>
          <w:color w:val="auto"/>
          <w:sz w:val="18"/>
          <w:szCs w:val="18"/>
        </w:rPr>
        <w:t>Raigarh</w:t>
      </w:r>
      <w:proofErr w:type="spellEnd"/>
      <w:r w:rsidRPr="00176257">
        <w:rPr>
          <w:color w:val="auto"/>
          <w:sz w:val="18"/>
          <w:szCs w:val="18"/>
        </w:rPr>
        <w:t xml:space="preserve">, Chhattisgarh, that remained unaddressed, and recommended that India ensure free, prior and informed consent and effective implementation of the FRA and other international standards. </w:t>
      </w:r>
    </w:p>
  </w:footnote>
  <w:footnote w:id="64">
    <w:p w14:paraId="3BF8D836"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Bastar division encompasses seven districts in southern Chhattisgarh, where indigenous peoples constitute approximately 70 per cent of the population. The Government of India launched large-scale counter-insurgency operations in the region from January 2024. </w:t>
      </w:r>
    </w:p>
  </w:footnote>
  <w:footnote w:id="65">
    <w:p w14:paraId="548B7033"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See Annexure, EMRIP CSO Submission 2026. The number of persons killed rose from 20 in 2023 to 217 in 2024: Campaign for Peace and Justice in Chhattisgarh, reproduced in ICCA Consortium, </w:t>
      </w:r>
      <w:hyperlink r:id="rId58" w:history="1">
        <w:r w:rsidR="00133A42" w:rsidRPr="00176257">
          <w:rPr>
            <w:rStyle w:val="Hyperlink"/>
            <w:color w:val="auto"/>
            <w:sz w:val="18"/>
            <w:szCs w:val="18"/>
          </w:rPr>
          <w:t>Bastar's Indigenous Communities Under Threat</w:t>
        </w:r>
      </w:hyperlink>
      <w:r w:rsidRPr="00176257">
        <w:rPr>
          <w:color w:val="auto"/>
          <w:sz w:val="18"/>
          <w:szCs w:val="18"/>
        </w:rPr>
        <w:t xml:space="preserve"> (30 March 2026). On the Surrender and Rehabilitation Policy (Section 8.8), see Nandini Sundar, </w:t>
      </w:r>
      <w:hyperlink r:id="rId59" w:history="1">
        <w:r w:rsidR="00133A42" w:rsidRPr="00176257">
          <w:rPr>
            <w:rStyle w:val="Hyperlink"/>
            <w:color w:val="auto"/>
            <w:sz w:val="18"/>
            <w:szCs w:val="18"/>
          </w:rPr>
          <w:t xml:space="preserve">The End of </w:t>
        </w:r>
        <w:proofErr w:type="spellStart"/>
        <w:r w:rsidR="00133A42" w:rsidRPr="00176257">
          <w:rPr>
            <w:rStyle w:val="Hyperlink"/>
            <w:color w:val="auto"/>
            <w:sz w:val="18"/>
            <w:szCs w:val="18"/>
          </w:rPr>
          <w:t>Naxalism</w:t>
        </w:r>
        <w:proofErr w:type="spellEnd"/>
        <w:r w:rsidR="00133A42" w:rsidRPr="00176257">
          <w:rPr>
            <w:rStyle w:val="Hyperlink"/>
            <w:color w:val="auto"/>
            <w:sz w:val="18"/>
            <w:szCs w:val="18"/>
          </w:rPr>
          <w:t>, the End of Accountability</w:t>
        </w:r>
      </w:hyperlink>
      <w:r w:rsidRPr="00176257">
        <w:rPr>
          <w:color w:val="auto"/>
          <w:sz w:val="18"/>
          <w:szCs w:val="18"/>
        </w:rPr>
        <w:t xml:space="preserve">, The Wire (22 April 2026). The policy offers up to INR 2.5 million per person killed but only INR 50,000 for a surrender; Bastar Police Action and Outcome Report, Year 2025, Office of the Inspector General of Police, Bastar Range, </w:t>
      </w:r>
      <w:proofErr w:type="spellStart"/>
      <w:r w:rsidRPr="00176257">
        <w:rPr>
          <w:color w:val="auto"/>
          <w:sz w:val="18"/>
          <w:szCs w:val="18"/>
        </w:rPr>
        <w:t>Jagdalpur</w:t>
      </w:r>
      <w:proofErr w:type="spellEnd"/>
      <w:r w:rsidRPr="00176257">
        <w:rPr>
          <w:color w:val="auto"/>
          <w:sz w:val="18"/>
          <w:szCs w:val="18"/>
        </w:rPr>
        <w:t xml:space="preserve">, Chhattisgarh. </w:t>
      </w:r>
    </w:p>
  </w:footnote>
  <w:footnote w:id="66">
    <w:p w14:paraId="045C338A"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CERD EWUAP letter, ref. CERD/EWUAP/2026/CS/BJ/</w:t>
      </w:r>
      <w:proofErr w:type="spellStart"/>
      <w:r w:rsidRPr="00176257">
        <w:rPr>
          <w:color w:val="auto"/>
          <w:sz w:val="18"/>
          <w:szCs w:val="18"/>
        </w:rPr>
        <w:t>ks</w:t>
      </w:r>
      <w:proofErr w:type="spellEnd"/>
      <w:r w:rsidRPr="00176257">
        <w:rPr>
          <w:color w:val="auto"/>
          <w:sz w:val="18"/>
          <w:szCs w:val="18"/>
        </w:rPr>
        <w:t xml:space="preserve">, 19 January 2026 (INT\_CERD\_ALE\_IND\_11342\_E). </w:t>
      </w:r>
    </w:p>
  </w:footnote>
  <w:footnote w:id="67">
    <w:p w14:paraId="6031F4E5"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Shishir Roy Chowdhury, </w:t>
      </w:r>
      <w:hyperlink r:id="rId60" w:history="1">
        <w:r w:rsidR="00133A42" w:rsidRPr="00176257">
          <w:rPr>
            <w:rStyle w:val="Hyperlink"/>
            <w:color w:val="auto"/>
            <w:sz w:val="18"/>
            <w:szCs w:val="18"/>
          </w:rPr>
          <w:t>Bastar signals collapse of Maoist insurgency as deadline day arrives</w:t>
        </w:r>
      </w:hyperlink>
      <w:r w:rsidRPr="00176257">
        <w:rPr>
          <w:color w:val="auto"/>
          <w:sz w:val="18"/>
          <w:szCs w:val="18"/>
        </w:rPr>
        <w:t xml:space="preserve">, The Statesman, 31 March 2026; </w:t>
      </w:r>
      <w:hyperlink r:id="rId61" w:history="1">
        <w:r w:rsidR="00133A42" w:rsidRPr="00176257">
          <w:rPr>
            <w:rStyle w:val="Hyperlink"/>
            <w:color w:val="auto"/>
            <w:sz w:val="18"/>
            <w:szCs w:val="18"/>
          </w:rPr>
          <w:t xml:space="preserve">Chhattisgarh plans major welfare push in remote Bastar villages under </w:t>
        </w:r>
        <w:proofErr w:type="spellStart"/>
        <w:r w:rsidR="00133A42" w:rsidRPr="00176257">
          <w:rPr>
            <w:rStyle w:val="Hyperlink"/>
            <w:color w:val="auto"/>
            <w:sz w:val="18"/>
            <w:szCs w:val="18"/>
          </w:rPr>
          <w:t>Niyad</w:t>
        </w:r>
        <w:proofErr w:type="spellEnd"/>
        <w:r w:rsidR="00133A42" w:rsidRPr="00176257">
          <w:rPr>
            <w:rStyle w:val="Hyperlink"/>
            <w:color w:val="auto"/>
            <w:sz w:val="18"/>
            <w:szCs w:val="18"/>
          </w:rPr>
          <w:t xml:space="preserve"> Nellanar 2.0</w:t>
        </w:r>
      </w:hyperlink>
      <w:r w:rsidRPr="00176257">
        <w:rPr>
          <w:color w:val="auto"/>
          <w:sz w:val="18"/>
          <w:szCs w:val="18"/>
        </w:rPr>
        <w:t xml:space="preserve">, The Statesman, 29 May 2026. </w:t>
      </w:r>
    </w:p>
  </w:footnote>
  <w:footnote w:id="68">
    <w:p w14:paraId="778CE522"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Bastar division encompasses seven districts in southern Chhattisgarh; </w:t>
      </w:r>
      <w:proofErr w:type="spellStart"/>
      <w:r w:rsidRPr="00176257">
        <w:rPr>
          <w:color w:val="auto"/>
          <w:sz w:val="18"/>
          <w:szCs w:val="18"/>
        </w:rPr>
        <w:t>Gadchiroli</w:t>
      </w:r>
      <w:proofErr w:type="spellEnd"/>
      <w:r w:rsidRPr="00176257">
        <w:rPr>
          <w:color w:val="auto"/>
          <w:sz w:val="18"/>
          <w:szCs w:val="18"/>
        </w:rPr>
        <w:t xml:space="preserve"> district in eastern Maharashtra is similarly a conflict-affected indigenous-majority area where security forces conduct counter-insurgency operations. See Ministry for Tribal Affairs, Government of India, </w:t>
      </w:r>
      <w:hyperlink r:id="rId62" w:history="1">
        <w:r w:rsidR="00133A42" w:rsidRPr="00176257">
          <w:rPr>
            <w:rStyle w:val="Hyperlink"/>
            <w:color w:val="auto"/>
            <w:sz w:val="18"/>
            <w:szCs w:val="18"/>
          </w:rPr>
          <w:t>Report of the High Level Committee on Socioeconomic, Health and Educational Status of Tribal Communities of India</w:t>
        </w:r>
      </w:hyperlink>
      <w:r w:rsidRPr="00176257">
        <w:rPr>
          <w:color w:val="auto"/>
          <w:sz w:val="18"/>
          <w:szCs w:val="18"/>
        </w:rPr>
        <w:t xml:space="preserve">, 2014, section 9.11; A/HRC/60/35/Add.4, pp. 7–8 (Special Rapporteur on extrajudicial, summary or arbitrary executions, 2025); A/HRC/WG.6/41/IND/3, p. 3 (UPR compilation, 2022). </w:t>
      </w:r>
    </w:p>
  </w:footnote>
  <w:footnote w:id="69">
    <w:p w14:paraId="733F316D"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NHRC Revised Guidelines on Encounter Deaths (12 May 2010). The reporting obligation and magisterial inquiry requirement were originally prescribed under Section 176 of the Code of Criminal Procedure, 1973, now replaced by Section 196 of the Bharatiya Nagarik Suraksha Sanhita, 2023 (in force from 1 July 2024). </w:t>
      </w:r>
    </w:p>
  </w:footnote>
  <w:footnote w:id="70">
    <w:p w14:paraId="5A5807F9"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Salwa </w:t>
      </w:r>
      <w:proofErr w:type="spellStart"/>
      <w:r w:rsidRPr="00176257">
        <w:rPr>
          <w:color w:val="auto"/>
          <w:sz w:val="18"/>
          <w:szCs w:val="18"/>
        </w:rPr>
        <w:t>Judum</w:t>
      </w:r>
      <w:proofErr w:type="spellEnd"/>
      <w:r w:rsidRPr="00176257">
        <w:rPr>
          <w:color w:val="auto"/>
          <w:sz w:val="18"/>
          <w:szCs w:val="18"/>
        </w:rPr>
        <w:t xml:space="preserve"> was a state-sponsored armed militia operating in Bastar from 2005 to 2011, responsible for widespread violence against indigenous communities. It was declared unconstitutional by the Supreme Court of India in 2011. During the Salwa </w:t>
      </w:r>
      <w:proofErr w:type="spellStart"/>
      <w:r w:rsidRPr="00176257">
        <w:rPr>
          <w:color w:val="auto"/>
          <w:sz w:val="18"/>
          <w:szCs w:val="18"/>
        </w:rPr>
        <w:t>Judum</w:t>
      </w:r>
      <w:proofErr w:type="spellEnd"/>
      <w:r w:rsidRPr="00176257">
        <w:rPr>
          <w:color w:val="auto"/>
          <w:sz w:val="18"/>
          <w:szCs w:val="18"/>
        </w:rPr>
        <w:t xml:space="preserve"> era, no first information reports were registered for sexual violence by state forces. In subsequent incidents (2015–2016), FIRs were registered in Bijapur district but no perpetrator was identified, arrested, or prosecuted. In January 2017, the NHRC found prima facie evidence that 16 indigenous women had been sexually assaulted by state police personnel. The NCST confirmed in May 2016 that sexual violence had occurred in three instances and found "ample evidence," but no progress was made in identifying the personnel responsible. See also CEDAW/C/IND/QPR/6-7, list of issues and questions prior to India's combined sixth and seventh reports, February 2026. </w:t>
      </w:r>
    </w:p>
  </w:footnote>
  <w:footnote w:id="71">
    <w:p w14:paraId="7E36D284"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proofErr w:type="spellStart"/>
      <w:r w:rsidRPr="00176257">
        <w:rPr>
          <w:color w:val="auto"/>
          <w:sz w:val="18"/>
          <w:szCs w:val="18"/>
        </w:rPr>
        <w:t>InSAF</w:t>
      </w:r>
      <w:proofErr w:type="spellEnd"/>
      <w:r w:rsidRPr="00176257">
        <w:rPr>
          <w:color w:val="auto"/>
          <w:sz w:val="18"/>
          <w:szCs w:val="18"/>
        </w:rPr>
        <w:t xml:space="preserve"> India et al., </w:t>
      </w:r>
      <w:hyperlink r:id="rId63" w:history="1">
        <w:r w:rsidR="00133A42" w:rsidRPr="00176257">
          <w:rPr>
            <w:rStyle w:val="Hyperlink"/>
            <w:color w:val="auto"/>
            <w:sz w:val="18"/>
            <w:szCs w:val="18"/>
          </w:rPr>
          <w:t>Denial of Constitutional, Legal and Fundamental Human Rights and Justice to Families of Adivasi Indigenous Victims of Extrajudicial Killings in Bastar Division, Chhattisgarh, India</w:t>
        </w:r>
      </w:hyperlink>
      <w:r w:rsidRPr="00176257">
        <w:rPr>
          <w:color w:val="auto"/>
          <w:sz w:val="18"/>
          <w:szCs w:val="18"/>
        </w:rPr>
        <w:t xml:space="preserve">, Joint Submission for the Special Rapporteur on extrajudicial, summary or arbitrary executions, 2025; </w:t>
      </w:r>
      <w:proofErr w:type="spellStart"/>
      <w:r w:rsidRPr="00176257">
        <w:rPr>
          <w:color w:val="auto"/>
          <w:sz w:val="18"/>
          <w:szCs w:val="18"/>
        </w:rPr>
        <w:t>Jagdalpur</w:t>
      </w:r>
      <w:proofErr w:type="spellEnd"/>
      <w:r w:rsidRPr="00176257">
        <w:rPr>
          <w:color w:val="auto"/>
          <w:sz w:val="18"/>
          <w:szCs w:val="18"/>
        </w:rPr>
        <w:t xml:space="preserve"> Legal Aid Group, </w:t>
      </w:r>
      <w:hyperlink r:id="rId64" w:history="1">
        <w:r w:rsidR="00133A42" w:rsidRPr="00176257">
          <w:rPr>
            <w:rStyle w:val="Hyperlink"/>
            <w:color w:val="auto"/>
            <w:sz w:val="18"/>
            <w:szCs w:val="18"/>
          </w:rPr>
          <w:t>Undertrial Prisoners in the Bastar Division</w:t>
        </w:r>
      </w:hyperlink>
      <w:r w:rsidRPr="00176257">
        <w:rPr>
          <w:color w:val="auto"/>
          <w:sz w:val="18"/>
          <w:szCs w:val="18"/>
        </w:rPr>
        <w:t xml:space="preserve">, 2015; Indigenous Peoples Rights International, </w:t>
      </w:r>
      <w:hyperlink r:id="rId65" w:history="1">
        <w:r w:rsidR="00133A42" w:rsidRPr="00176257">
          <w:rPr>
            <w:rStyle w:val="Hyperlink"/>
            <w:color w:val="auto"/>
            <w:sz w:val="18"/>
            <w:szCs w:val="18"/>
          </w:rPr>
          <w:t>Criminalisation of Adivasis and the Indian Legal System</w:t>
        </w:r>
      </w:hyperlink>
      <w:r w:rsidRPr="00176257">
        <w:rPr>
          <w:color w:val="auto"/>
          <w:sz w:val="18"/>
          <w:szCs w:val="18"/>
        </w:rPr>
        <w:t xml:space="preserve">, November 2021, pp. 203–204. </w:t>
      </w:r>
    </w:p>
  </w:footnote>
  <w:footnote w:id="72">
    <w:p w14:paraId="183703D9"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Pandey, S., </w:t>
      </w:r>
      <w:hyperlink r:id="rId66" w:history="1">
        <w:r w:rsidR="00133A42" w:rsidRPr="00176257">
          <w:rPr>
            <w:rStyle w:val="Hyperlink"/>
            <w:color w:val="auto"/>
            <w:sz w:val="18"/>
            <w:szCs w:val="18"/>
          </w:rPr>
          <w:t>Anti-Terrorism Courts and Procedural (In)Justice: The Case of the National Investigation Agency (NIA) Special Courts in South Chhattisgarh</w:t>
        </w:r>
      </w:hyperlink>
      <w:r w:rsidRPr="00176257">
        <w:rPr>
          <w:color w:val="auto"/>
          <w:sz w:val="18"/>
          <w:szCs w:val="18"/>
        </w:rPr>
        <w:t xml:space="preserve">, Socio-Legal Review, 2020, 16(1), pp. 109–139. For </w:t>
      </w:r>
      <w:proofErr w:type="spellStart"/>
      <w:r w:rsidRPr="00176257">
        <w:rPr>
          <w:color w:val="auto"/>
          <w:sz w:val="18"/>
          <w:szCs w:val="18"/>
        </w:rPr>
        <w:t>PoA</w:t>
      </w:r>
      <w:proofErr w:type="spellEnd"/>
      <w:r w:rsidRPr="00176257">
        <w:rPr>
          <w:color w:val="auto"/>
          <w:sz w:val="18"/>
          <w:szCs w:val="18"/>
        </w:rPr>
        <w:t xml:space="preserve"> conviction and acquittal rates nationally, see para. 22 below. </w:t>
      </w:r>
    </w:p>
  </w:footnote>
  <w:footnote w:id="73">
    <w:p w14:paraId="119B52E8"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WGAD, </w:t>
      </w:r>
      <w:hyperlink r:id="rId67" w:history="1">
        <w:r w:rsidR="00133A42" w:rsidRPr="00176257">
          <w:rPr>
            <w:rStyle w:val="Hyperlink"/>
            <w:color w:val="auto"/>
            <w:sz w:val="18"/>
            <w:szCs w:val="18"/>
          </w:rPr>
          <w:t>Opinion No. 57/2021</w:t>
        </w:r>
      </w:hyperlink>
      <w:r w:rsidRPr="00176257">
        <w:rPr>
          <w:color w:val="auto"/>
          <w:sz w:val="18"/>
          <w:szCs w:val="18"/>
        </w:rPr>
        <w:t xml:space="preserve"> (A/HRC/WGAD/2021/57). Father Stan Swamy was a founder member of the </w:t>
      </w:r>
      <w:proofErr w:type="spellStart"/>
      <w:r w:rsidRPr="00176257">
        <w:rPr>
          <w:color w:val="auto"/>
          <w:sz w:val="18"/>
          <w:szCs w:val="18"/>
        </w:rPr>
        <w:t>Visthan</w:t>
      </w:r>
      <w:proofErr w:type="spellEnd"/>
      <w:r w:rsidRPr="00176257">
        <w:rPr>
          <w:color w:val="auto"/>
          <w:sz w:val="18"/>
          <w:szCs w:val="18"/>
        </w:rPr>
        <w:t xml:space="preserve"> Virodhi Jan Vikas Andolan (Resettlement Opposition People's Development Movement) and was arrested under the Unlawful Activities (Prevention) Act in connection with the Bhima Koregaon case. He died aged 84 on 5 July 2021. </w:t>
      </w:r>
    </w:p>
  </w:footnote>
  <w:footnote w:id="74">
    <w:p w14:paraId="0EC8552B"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For a comprehensive list of references, see p. 6 of International Solidarity for Academic Freedom in India (</w:t>
      </w:r>
      <w:proofErr w:type="spellStart"/>
      <w:r w:rsidRPr="00176257">
        <w:rPr>
          <w:color w:val="auto"/>
          <w:sz w:val="18"/>
          <w:szCs w:val="18"/>
        </w:rPr>
        <w:t>InSAF</w:t>
      </w:r>
      <w:proofErr w:type="spellEnd"/>
      <w:r w:rsidRPr="00176257">
        <w:rPr>
          <w:color w:val="auto"/>
          <w:sz w:val="18"/>
          <w:szCs w:val="18"/>
        </w:rPr>
        <w:t xml:space="preserve"> India), Adivasi Researchers Collective, </w:t>
      </w:r>
      <w:proofErr w:type="spellStart"/>
      <w:r w:rsidRPr="00176257">
        <w:rPr>
          <w:color w:val="auto"/>
          <w:sz w:val="18"/>
          <w:szCs w:val="18"/>
        </w:rPr>
        <w:t>Bagaicha</w:t>
      </w:r>
      <w:proofErr w:type="spellEnd"/>
      <w:r w:rsidRPr="00176257">
        <w:rPr>
          <w:color w:val="auto"/>
          <w:sz w:val="18"/>
          <w:szCs w:val="18"/>
        </w:rPr>
        <w:t xml:space="preserve"> Social Centre, London Mining Network, India Justice Project, Indian Alliance Paris, </w:t>
      </w:r>
      <w:hyperlink r:id="rId68" w:history="1">
        <w:r w:rsidR="00133A42" w:rsidRPr="00176257">
          <w:rPr>
            <w:rStyle w:val="Hyperlink"/>
            <w:color w:val="auto"/>
            <w:sz w:val="18"/>
            <w:szCs w:val="18"/>
          </w:rPr>
          <w:t>Citizens in Waiting for Over Seven Decades: The Struggle of India's Adivasi and Other Traditional Forest-Dwelling Peoples for Recognition of Their Indigenous Rights</w:t>
        </w:r>
      </w:hyperlink>
      <w:r w:rsidRPr="00176257">
        <w:rPr>
          <w:color w:val="auto"/>
          <w:sz w:val="18"/>
          <w:szCs w:val="18"/>
        </w:rPr>
        <w:t xml:space="preserve">, Joint submission for the report of the Special Rapporteur on the rights of Indigenous Peoples, 60th Session Human Rights Council, on the Recognition of Indigenous Peoples. </w:t>
      </w:r>
    </w:p>
  </w:footnote>
  <w:footnote w:id="75">
    <w:p w14:paraId="3677FFA7"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Gladson Dungdung, Malvika Gupta and Felix Padel, </w:t>
      </w:r>
      <w:hyperlink r:id="rId69" w:history="1">
        <w:r w:rsidR="00133A42" w:rsidRPr="00176257">
          <w:rPr>
            <w:rStyle w:val="Hyperlink"/>
            <w:color w:val="auto"/>
            <w:sz w:val="18"/>
            <w:szCs w:val="18"/>
          </w:rPr>
          <w:t>Indigenous Children Are Still Dying in Boarding Schools</w:t>
        </w:r>
      </w:hyperlink>
      <w:r w:rsidRPr="00176257">
        <w:rPr>
          <w:color w:val="auto"/>
          <w:sz w:val="18"/>
          <w:szCs w:val="18"/>
        </w:rPr>
        <w:t xml:space="preserve">, Scientific American, 9 November 2021, documenting how mining companies fund residential schools in mineral-rich Adivasi regions to weaken resistance to land acquisition. See also Survival International, </w:t>
      </w:r>
      <w:hyperlink r:id="rId70" w:history="1">
        <w:r w:rsidR="00133A42" w:rsidRPr="00176257">
          <w:rPr>
            <w:rStyle w:val="Hyperlink"/>
            <w:color w:val="auto"/>
            <w:sz w:val="18"/>
            <w:szCs w:val="18"/>
          </w:rPr>
          <w:t>"They want our children to hate their own culture"</w:t>
        </w:r>
      </w:hyperlink>
      <w:r w:rsidRPr="00176257">
        <w:rPr>
          <w:color w:val="auto"/>
          <w:sz w:val="18"/>
          <w:szCs w:val="18"/>
        </w:rPr>
        <w:t xml:space="preserve">. </w:t>
      </w:r>
    </w:p>
  </w:footnote>
  <w:footnote w:id="76">
    <w:p w14:paraId="349789E0"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INT\_CERD\_ALE\_IND\_11500\_E, 5 May 2026. India was requested to respond at the 118th session. The Committee previously raised threats to Particularly Vulnerable Tribal Groups in the Andaman and Nicobar Islands in EWUAP letters of April 2022 and December 2023. </w:t>
      </w:r>
    </w:p>
  </w:footnote>
  <w:footnote w:id="77">
    <w:p w14:paraId="349138E8"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A government classification for 75 tribal communities identified as among the most isolated and vulnerable in India. India's Shompen Policy 2015 mandates "zero contact" with the community. </w:t>
      </w:r>
    </w:p>
  </w:footnote>
  <w:footnote w:id="78">
    <w:p w14:paraId="4240F0A7"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Environmental Impact Assessment, Holistic Development of Great Nicobar Island (Vimta Labs, 2022), as cited in INT\_CERD\_ALE\_IND\_11500\_E. </w:t>
      </w:r>
    </w:p>
  </w:footnote>
  <w:footnote w:id="79">
    <w:p w14:paraId="505CFE60"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71" w:history="1">
        <w:r w:rsidR="00133A42" w:rsidRPr="00176257">
          <w:rPr>
            <w:rStyle w:val="Hyperlink"/>
            <w:color w:val="auto"/>
            <w:sz w:val="18"/>
            <w:szCs w:val="18"/>
          </w:rPr>
          <w:t>The Wire</w:t>
        </w:r>
      </w:hyperlink>
      <w:r w:rsidRPr="00176257">
        <w:rPr>
          <w:color w:val="auto"/>
          <w:sz w:val="18"/>
          <w:szCs w:val="18"/>
        </w:rPr>
        <w:t xml:space="preserve">, 7 February 2024. See also </w:t>
      </w:r>
      <w:hyperlink r:id="rId72" w:history="1">
        <w:r w:rsidR="00133A42" w:rsidRPr="00176257">
          <w:rPr>
            <w:rStyle w:val="Hyperlink"/>
            <w:color w:val="auto"/>
            <w:sz w:val="18"/>
            <w:szCs w:val="18"/>
          </w:rPr>
          <w:t>Survival International</w:t>
        </w:r>
      </w:hyperlink>
      <w:r w:rsidRPr="00176257">
        <w:rPr>
          <w:color w:val="auto"/>
          <w:sz w:val="18"/>
          <w:szCs w:val="18"/>
        </w:rPr>
        <w:t xml:space="preserve">. </w:t>
      </w:r>
    </w:p>
  </w:footnote>
  <w:footnote w:id="80">
    <w:p w14:paraId="1A977C33"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body in question—the Andaman Adim Janjati Vikas Samiti—is a non-elected welfare body whose leadership </w:t>
      </w:r>
      <w:hyperlink r:id="rId73" w:history="1">
        <w:r w:rsidR="00133A42" w:rsidRPr="00176257">
          <w:rPr>
            <w:rStyle w:val="Hyperlink"/>
            <w:color w:val="auto"/>
            <w:sz w:val="18"/>
            <w:szCs w:val="18"/>
          </w:rPr>
          <w:t>overlaps with that of the project proponent</w:t>
        </w:r>
      </w:hyperlink>
      <w:r w:rsidRPr="00176257">
        <w:rPr>
          <w:color w:val="auto"/>
          <w:sz w:val="18"/>
          <w:szCs w:val="18"/>
        </w:rPr>
        <w:t xml:space="preserve">. On Gram Sabha (village assembly) quorum figures, see </w:t>
      </w:r>
      <w:hyperlink r:id="rId74" w:history="1">
        <w:r w:rsidR="00133A42" w:rsidRPr="00176257">
          <w:rPr>
            <w:rStyle w:val="Hyperlink"/>
            <w:color w:val="auto"/>
            <w:sz w:val="18"/>
            <w:szCs w:val="18"/>
          </w:rPr>
          <w:t>The Wire</w:t>
        </w:r>
      </w:hyperlink>
      <w:r w:rsidRPr="00176257">
        <w:rPr>
          <w:color w:val="auto"/>
          <w:sz w:val="18"/>
          <w:szCs w:val="18"/>
        </w:rPr>
        <w:t xml:space="preserve">, 7 May 2026, reporting on data submitted to the Court. The Calcutta High Court </w:t>
      </w:r>
      <w:hyperlink r:id="rId75" w:history="1">
        <w:r w:rsidR="00133A42" w:rsidRPr="00176257">
          <w:rPr>
            <w:rStyle w:val="Hyperlink"/>
            <w:color w:val="auto"/>
            <w:sz w:val="18"/>
            <w:szCs w:val="18"/>
          </w:rPr>
          <w:t>upheld the maintainability</w:t>
        </w:r>
      </w:hyperlink>
      <w:r w:rsidRPr="00176257">
        <w:rPr>
          <w:color w:val="auto"/>
          <w:sz w:val="18"/>
          <w:szCs w:val="18"/>
        </w:rPr>
        <w:t xml:space="preserve"> of the challenge in May 2026. </w:t>
      </w:r>
    </w:p>
  </w:footnote>
  <w:footnote w:id="81">
    <w:p w14:paraId="40846367"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76" w:history="1">
        <w:r w:rsidR="00133A42" w:rsidRPr="00176257">
          <w:rPr>
            <w:rStyle w:val="Hyperlink"/>
            <w:color w:val="auto"/>
            <w:sz w:val="18"/>
            <w:szCs w:val="18"/>
          </w:rPr>
          <w:t>Great Nicobar Project: HC upholds maintainability of pleas alleging Forest Rights Act violations</w:t>
        </w:r>
      </w:hyperlink>
      <w:r w:rsidRPr="00176257">
        <w:rPr>
          <w:color w:val="auto"/>
          <w:sz w:val="18"/>
          <w:szCs w:val="18"/>
        </w:rPr>
        <w:t xml:space="preserve">, Scroll.in, 9 May 2026. See also </w:t>
      </w:r>
      <w:hyperlink r:id="rId77" w:history="1">
        <w:r w:rsidR="00133A42" w:rsidRPr="00176257">
          <w:rPr>
            <w:rStyle w:val="Hyperlink"/>
            <w:color w:val="auto"/>
            <w:sz w:val="18"/>
            <w:szCs w:val="18"/>
          </w:rPr>
          <w:t>Green tribunal rules in favour of Great Nicobar Island project, citing 'adequate safeguards'</w:t>
        </w:r>
      </w:hyperlink>
      <w:r w:rsidRPr="00176257">
        <w:rPr>
          <w:color w:val="auto"/>
          <w:sz w:val="18"/>
          <w:szCs w:val="18"/>
        </w:rPr>
        <w:t xml:space="preserve">, Mongabay India, 16 February 2026. </w:t>
      </w:r>
    </w:p>
  </w:footnote>
  <w:footnote w:id="82">
    <w:p w14:paraId="31E64D12"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Addresses </w:t>
      </w:r>
      <w:proofErr w:type="spellStart"/>
      <w:r w:rsidRPr="00176257">
        <w:rPr>
          <w:color w:val="auto"/>
          <w:sz w:val="18"/>
          <w:szCs w:val="18"/>
        </w:rPr>
        <w:t>LoT</w:t>
      </w:r>
      <w:proofErr w:type="spellEnd"/>
      <w:r w:rsidRPr="00176257">
        <w:rPr>
          <w:color w:val="auto"/>
          <w:sz w:val="18"/>
          <w:szCs w:val="18"/>
        </w:rPr>
        <w:t xml:space="preserve"> paras. 14–17. </w:t>
      </w:r>
    </w:p>
  </w:footnote>
  <w:footnote w:id="83">
    <w:p w14:paraId="6B277F88"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Under the Constitution (Scheduled Castes) Order 1950, Scheduled Caste status was originally restricted to persons professing Hinduism. Sikhs were included in 1956 and Buddhists in 1990. No equivalent religion criterion applies to the Scheduled Tribe category. </w:t>
      </w:r>
    </w:p>
  </w:footnote>
  <w:footnote w:id="84">
    <w:p w14:paraId="655475FF"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78" w:history="1">
        <w:r w:rsidR="00133A42" w:rsidRPr="00176257">
          <w:rPr>
            <w:rStyle w:val="Hyperlink"/>
            <w:color w:val="auto"/>
            <w:sz w:val="18"/>
            <w:szCs w:val="18"/>
          </w:rPr>
          <w:t>Centre opposes reservation for Dalit Christians, Muslims</w:t>
        </w:r>
      </w:hyperlink>
      <w:r w:rsidRPr="00176257">
        <w:rPr>
          <w:color w:val="auto"/>
          <w:sz w:val="18"/>
          <w:szCs w:val="18"/>
        </w:rPr>
        <w:t xml:space="preserve">, Tribune India, 9 November 2022. The Centre's affidavit stated that the 1950 Order "was based on historical data which clearly established that no such backwardness or oppression was ever faced by members of Christian or Islamic society.". </w:t>
      </w:r>
    </w:p>
  </w:footnote>
  <w:footnote w:id="85">
    <w:p w14:paraId="743F9F8F"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79" w:history="1">
        <w:proofErr w:type="spellStart"/>
        <w:r w:rsidR="00133A42" w:rsidRPr="00176257">
          <w:rPr>
            <w:rStyle w:val="Hyperlink"/>
            <w:color w:val="auto"/>
            <w:sz w:val="18"/>
            <w:szCs w:val="18"/>
          </w:rPr>
          <w:t>Chinthada</w:t>
        </w:r>
        <w:proofErr w:type="spellEnd"/>
        <w:r w:rsidR="00133A42" w:rsidRPr="00176257">
          <w:rPr>
            <w:rStyle w:val="Hyperlink"/>
            <w:color w:val="auto"/>
            <w:sz w:val="18"/>
            <w:szCs w:val="18"/>
          </w:rPr>
          <w:t xml:space="preserve"> Anand v. State of Andhra Pradesh</w:t>
        </w:r>
      </w:hyperlink>
      <w:r w:rsidRPr="00176257">
        <w:rPr>
          <w:color w:val="auto"/>
          <w:sz w:val="18"/>
          <w:szCs w:val="18"/>
        </w:rPr>
        <w:t xml:space="preserve">, 2026 INSC 283 (Supreme Court, 24 March 2026). The ruling was a criminal appeal concerning </w:t>
      </w:r>
      <w:proofErr w:type="spellStart"/>
      <w:r w:rsidRPr="00176257">
        <w:rPr>
          <w:color w:val="auto"/>
          <w:sz w:val="18"/>
          <w:szCs w:val="18"/>
        </w:rPr>
        <w:t>PoA</w:t>
      </w:r>
      <w:proofErr w:type="spellEnd"/>
      <w:r w:rsidRPr="00176257">
        <w:rPr>
          <w:color w:val="auto"/>
          <w:sz w:val="18"/>
          <w:szCs w:val="18"/>
        </w:rPr>
        <w:t xml:space="preserve"> protections and did not adjudicate the pending constitutional challenge (National Council of Dalit Christians v. Union of India). </w:t>
      </w:r>
    </w:p>
  </w:footnote>
  <w:footnote w:id="86">
    <w:p w14:paraId="47D92EAE"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w:t>
      </w:r>
      <w:hyperlink r:id="rId80" w:history="1">
        <w:r w:rsidR="00133A42" w:rsidRPr="00176257">
          <w:rPr>
            <w:rStyle w:val="Hyperlink"/>
            <w:color w:val="auto"/>
            <w:sz w:val="18"/>
            <w:szCs w:val="18"/>
          </w:rPr>
          <w:t>National Commission for Religious and Linguistic Minorities</w:t>
        </w:r>
      </w:hyperlink>
      <w:r w:rsidRPr="00176257">
        <w:rPr>
          <w:color w:val="auto"/>
          <w:sz w:val="18"/>
          <w:szCs w:val="18"/>
        </w:rPr>
        <w:t xml:space="preserve"> (Ranganath Misra Commission), constituted in 2004, reported in May 2007 and recommended deleting the religion restriction from the 1950 Order (</w:t>
      </w:r>
      <w:hyperlink r:id="rId81" w:history="1">
        <w:r w:rsidR="00133A42" w:rsidRPr="00176257">
          <w:rPr>
            <w:rStyle w:val="Hyperlink"/>
            <w:color w:val="auto"/>
            <w:sz w:val="18"/>
            <w:szCs w:val="18"/>
          </w:rPr>
          <w:t>report</w:t>
        </w:r>
      </w:hyperlink>
      <w:r w:rsidRPr="00176257">
        <w:rPr>
          <w:color w:val="auto"/>
          <w:sz w:val="18"/>
          <w:szCs w:val="18"/>
        </w:rPr>
        <w:t xml:space="preserve">). The report was tabled in Parliament in December 2009 but was not implemented by the then government. The current government </w:t>
      </w:r>
      <w:hyperlink r:id="rId82" w:history="1">
        <w:r w:rsidR="00133A42" w:rsidRPr="00176257">
          <w:rPr>
            <w:rStyle w:val="Hyperlink"/>
            <w:color w:val="auto"/>
            <w:sz w:val="18"/>
            <w:szCs w:val="18"/>
          </w:rPr>
          <w:t>rejected the recommendation</w:t>
        </w:r>
      </w:hyperlink>
      <w:r w:rsidRPr="00176257">
        <w:rPr>
          <w:color w:val="auto"/>
          <w:sz w:val="18"/>
          <w:szCs w:val="18"/>
        </w:rPr>
        <w:t xml:space="preserve"> before the Supreme Court in November 2022. The Commission of Inquiry headed by former Chief Justice of India K.G. Balakrishnan, constituted the same month, was given a two-year deadline. After multiple extensions—the latest to June 2026—the Commission reportedly completed its report in June 2026. The report has not been made public. </w:t>
      </w:r>
    </w:p>
  </w:footnote>
  <w:footnote w:id="87">
    <w:p w14:paraId="71E09B1B"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SPR's figures: 3,640 convictions out of 10,223 cases disposed of (para. 149). The remaining cases ended in acquittal (5,788), discharge (692), or disposal without trial (103). </w:t>
      </w:r>
    </w:p>
  </w:footnote>
  <w:footnote w:id="88">
    <w:p w14:paraId="50AB491A"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NCRB, </w:t>
      </w:r>
      <w:hyperlink r:id="rId83" w:history="1">
        <w:r w:rsidR="00133A42" w:rsidRPr="00176257">
          <w:rPr>
            <w:rStyle w:val="Hyperlink"/>
            <w:color w:val="auto"/>
            <w:sz w:val="18"/>
            <w:szCs w:val="18"/>
          </w:rPr>
          <w:t>Crime in India 2023</w:t>
        </w:r>
      </w:hyperlink>
      <w:r w:rsidRPr="00176257">
        <w:rPr>
          <w:color w:val="auto"/>
          <w:sz w:val="18"/>
          <w:szCs w:val="18"/>
        </w:rPr>
        <w:t xml:space="preserve">, 29 September 2025. </w:t>
      </w:r>
    </w:p>
  </w:footnote>
  <w:footnote w:id="89">
    <w:p w14:paraId="562052AB"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Citizens for Justice and Peace, </w:t>
      </w:r>
      <w:hyperlink r:id="rId84" w:history="1">
        <w:r w:rsidR="00133A42" w:rsidRPr="00176257">
          <w:rPr>
            <w:rStyle w:val="Hyperlink"/>
            <w:color w:val="auto"/>
            <w:sz w:val="18"/>
            <w:szCs w:val="18"/>
          </w:rPr>
          <w:t>Everyday Atrocity: Mapping the Normalisation of Violence Against Dalits and Adivasis in 2025</w:t>
        </w:r>
      </w:hyperlink>
      <w:r w:rsidRPr="00176257">
        <w:rPr>
          <w:color w:val="auto"/>
          <w:sz w:val="18"/>
          <w:szCs w:val="18"/>
        </w:rPr>
        <w:t xml:space="preserve"> (2025). See also CEDAW/C/IND/QPR/6-7, List of issues prior to the combined sixth and seventh reports of India (February 2026). </w:t>
      </w:r>
    </w:p>
  </w:footnote>
  <w:footnote w:id="90">
    <w:p w14:paraId="31105D5D"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CCPR/C/IND/CO/4, para. 15. </w:t>
      </w:r>
    </w:p>
  </w:footnote>
  <w:footnote w:id="91">
    <w:p w14:paraId="5BDA7A32"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SPR lists One Stop Centres, Women Help Desks, Fast Track Special Courts, and the Nirbhaya Fund, and cites Patan Jamal Vali v. State of Andhra Pradesh (2021) on intersectionality (para. 77), but does not provide data disaggregated by caste and gender. On sexual violence against Adivasi women by security forces, see para. 17 above. </w:t>
      </w:r>
    </w:p>
  </w:footnote>
  <w:footnote w:id="92">
    <w:p w14:paraId="678EBFF4"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National Crime Records Bureau, </w:t>
      </w:r>
      <w:hyperlink r:id="rId85" w:history="1">
        <w:r w:rsidR="00133A42" w:rsidRPr="00176257">
          <w:rPr>
            <w:rStyle w:val="Hyperlink"/>
            <w:color w:val="auto"/>
            <w:sz w:val="18"/>
            <w:szCs w:val="18"/>
          </w:rPr>
          <w:t>Crime in India 2024</w:t>
        </w:r>
      </w:hyperlink>
      <w:r w:rsidRPr="00176257">
        <w:rPr>
          <w:color w:val="auto"/>
          <w:sz w:val="18"/>
          <w:szCs w:val="18"/>
        </w:rPr>
        <w:t xml:space="preserve"> (6 May 2026). A further 2,129 cases of assault on modesty and 525 cases of sexual harassment were recorded against Scheduled Caste women, and 613 cases of assault on modesty and 156 cases of sexual harassment against Scheduled Tribe women. Total recorded crimes against Scheduled Castes fell marginally from 57,789 in 2023 to 55,698 in 2024. </w:t>
      </w:r>
    </w:p>
  </w:footnote>
  <w:footnote w:id="93">
    <w:p w14:paraId="6A66F424"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86" w:history="1">
        <w:r w:rsidR="00133A42" w:rsidRPr="00176257">
          <w:rPr>
            <w:rStyle w:val="Hyperlink"/>
            <w:color w:val="auto"/>
            <w:sz w:val="18"/>
            <w:szCs w:val="18"/>
          </w:rPr>
          <w:t>AL IND 6/2024</w:t>
        </w:r>
      </w:hyperlink>
      <w:r w:rsidRPr="00176257">
        <w:rPr>
          <w:color w:val="auto"/>
          <w:sz w:val="18"/>
          <w:szCs w:val="18"/>
        </w:rPr>
        <w:t xml:space="preserve">, 20 September 2024, signed by the Special Rapporteurs on violence against women, extrajudicial killings, human rights defenders, internally displaced persons, minority issues, and racism, and the Working Group on discrimination against women and girls. </w:t>
      </w:r>
    </w:p>
  </w:footnote>
  <w:footnote w:id="94">
    <w:p w14:paraId="0AB0F6A0"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Supreme Court directed intersectional analysis of caste-and-gender violence in </w:t>
      </w:r>
      <w:hyperlink r:id="rId87" w:history="1">
        <w:r w:rsidR="00133A42" w:rsidRPr="00176257">
          <w:rPr>
            <w:rStyle w:val="Hyperlink"/>
            <w:color w:val="auto"/>
            <w:sz w:val="18"/>
            <w:szCs w:val="18"/>
          </w:rPr>
          <w:t>Patan Jamal Vali v. State of Andhra Pradesh (2021)</w:t>
        </w:r>
      </w:hyperlink>
      <w:r w:rsidRPr="00176257">
        <w:rPr>
          <w:color w:val="auto"/>
          <w:sz w:val="18"/>
          <w:szCs w:val="18"/>
        </w:rPr>
        <w:t xml:space="preserve"> and ordered safe houses in every district in </w:t>
      </w:r>
      <w:hyperlink r:id="rId88" w:history="1">
        <w:r w:rsidR="00133A42" w:rsidRPr="00176257">
          <w:rPr>
            <w:rStyle w:val="Hyperlink"/>
            <w:color w:val="auto"/>
            <w:sz w:val="18"/>
            <w:szCs w:val="18"/>
          </w:rPr>
          <w:t>Shakti Vahini v. Union of India (2018)</w:t>
        </w:r>
      </w:hyperlink>
      <w:r w:rsidRPr="00176257">
        <w:rPr>
          <w:color w:val="auto"/>
          <w:sz w:val="18"/>
          <w:szCs w:val="18"/>
        </w:rPr>
        <w:t xml:space="preserve">. Maharashtra became the first State to issue implementing procedures—seven years after the judgment. See Supriya Thanvi, </w:t>
      </w:r>
      <w:hyperlink r:id="rId89" w:history="1">
        <w:proofErr w:type="spellStart"/>
        <w:r w:rsidR="00133A42" w:rsidRPr="00176257">
          <w:rPr>
            <w:rStyle w:val="Hyperlink"/>
            <w:color w:val="auto"/>
            <w:sz w:val="18"/>
            <w:szCs w:val="18"/>
          </w:rPr>
          <w:t>Intercaste</w:t>
        </w:r>
        <w:proofErr w:type="spellEnd"/>
        <w:r w:rsidR="00133A42" w:rsidRPr="00176257">
          <w:rPr>
            <w:rStyle w:val="Hyperlink"/>
            <w:color w:val="auto"/>
            <w:sz w:val="18"/>
            <w:szCs w:val="18"/>
          </w:rPr>
          <w:t xml:space="preserve"> Marriage Support Scheme, Key To Social Change, Is Floundering</w:t>
        </w:r>
      </w:hyperlink>
      <w:r w:rsidRPr="00176257">
        <w:rPr>
          <w:color w:val="auto"/>
          <w:sz w:val="18"/>
          <w:szCs w:val="18"/>
        </w:rPr>
        <w:t xml:space="preserve">, </w:t>
      </w:r>
      <w:proofErr w:type="spellStart"/>
      <w:r w:rsidRPr="00176257">
        <w:rPr>
          <w:color w:val="auto"/>
          <w:sz w:val="18"/>
          <w:szCs w:val="18"/>
        </w:rPr>
        <w:t>BehanBox</w:t>
      </w:r>
      <w:proofErr w:type="spellEnd"/>
      <w:r w:rsidRPr="00176257">
        <w:rPr>
          <w:color w:val="auto"/>
          <w:sz w:val="18"/>
          <w:szCs w:val="18"/>
        </w:rPr>
        <w:t xml:space="preserve">, 9 June 2025. </w:t>
      </w:r>
    </w:p>
  </w:footnote>
  <w:footnote w:id="95">
    <w:p w14:paraId="41F22108"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Manual scavenging is the hand-cleaning of sewers and septic tanks, a hereditary caste-designated occupation performed almost exclusively by Dalits. The Prohibition of Employment as Manual Scavengers and their Rehabilitation Act 2013 prohibits the practice. The SPR (paras. 117–122) describes monitoring mechanisms and a mobile reporting application, and notes Supreme Court-directed compensation to families of deceased workers (para. 118), but reports neither the death toll nor any prosecution data. Both manual scavenging and bonded labour disproportionately affect Dalits and Adivasis. </w:t>
      </w:r>
    </w:p>
  </w:footnote>
  <w:footnote w:id="96">
    <w:p w14:paraId="00E9FFA2"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National Commission for Safai </w:t>
      </w:r>
      <w:proofErr w:type="spellStart"/>
      <w:r w:rsidRPr="00176257">
        <w:rPr>
          <w:color w:val="auto"/>
          <w:sz w:val="18"/>
          <w:szCs w:val="18"/>
        </w:rPr>
        <w:t>Karamcharis</w:t>
      </w:r>
      <w:proofErr w:type="spellEnd"/>
      <w:r w:rsidRPr="00176257">
        <w:rPr>
          <w:color w:val="auto"/>
          <w:sz w:val="18"/>
          <w:szCs w:val="18"/>
        </w:rPr>
        <w:t xml:space="preserve"> (Cleaning Workers) data (up to 31 December 2024): </w:t>
      </w:r>
      <w:hyperlink r:id="rId90" w:history="1">
        <w:r w:rsidR="00133A42" w:rsidRPr="00176257">
          <w:rPr>
            <w:rStyle w:val="Hyperlink"/>
            <w:color w:val="auto"/>
            <w:sz w:val="18"/>
            <w:szCs w:val="18"/>
          </w:rPr>
          <w:t>Ground Zero</w:t>
        </w:r>
      </w:hyperlink>
      <w:r w:rsidRPr="00176257">
        <w:rPr>
          <w:color w:val="auto"/>
          <w:sz w:val="18"/>
          <w:szCs w:val="18"/>
        </w:rPr>
        <w:t xml:space="preserve">, 29 May 2025. On the absence of recorded offences: </w:t>
      </w:r>
      <w:hyperlink r:id="rId91" w:history="1">
        <w:r w:rsidR="00133A42" w:rsidRPr="00176257">
          <w:rPr>
            <w:rStyle w:val="Hyperlink"/>
            <w:color w:val="auto"/>
            <w:sz w:val="18"/>
            <w:szCs w:val="18"/>
          </w:rPr>
          <w:t>The Quint</w:t>
        </w:r>
      </w:hyperlink>
      <w:r w:rsidRPr="00176257">
        <w:rPr>
          <w:color w:val="auto"/>
          <w:sz w:val="18"/>
          <w:szCs w:val="18"/>
        </w:rPr>
        <w:t xml:space="preserve">, 2 August 2022. </w:t>
      </w:r>
    </w:p>
  </w:footnote>
  <w:footnote w:id="97">
    <w:p w14:paraId="2C00A785"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Parliamentary acknowledgment of 18.4 million: </w:t>
      </w:r>
      <w:hyperlink r:id="rId92" w:history="1">
        <w:r w:rsidR="00133A42" w:rsidRPr="00176257">
          <w:rPr>
            <w:rStyle w:val="Hyperlink"/>
            <w:color w:val="auto"/>
            <w:sz w:val="18"/>
            <w:szCs w:val="18"/>
          </w:rPr>
          <w:t>The Wire</w:t>
        </w:r>
      </w:hyperlink>
      <w:r w:rsidRPr="00176257">
        <w:rPr>
          <w:color w:val="auto"/>
          <w:sz w:val="18"/>
          <w:szCs w:val="18"/>
        </w:rPr>
        <w:t xml:space="preserve">, 4 May 2025. Rehabilitation and budget data: </w:t>
      </w:r>
      <w:hyperlink r:id="rId93" w:history="1">
        <w:proofErr w:type="spellStart"/>
        <w:r w:rsidR="00133A42" w:rsidRPr="00176257">
          <w:rPr>
            <w:rStyle w:val="Hyperlink"/>
            <w:color w:val="auto"/>
            <w:sz w:val="18"/>
            <w:szCs w:val="18"/>
          </w:rPr>
          <w:t>IndiaSpend</w:t>
        </w:r>
        <w:proofErr w:type="spellEnd"/>
      </w:hyperlink>
      <w:r w:rsidRPr="00176257">
        <w:rPr>
          <w:color w:val="auto"/>
          <w:sz w:val="18"/>
          <w:szCs w:val="18"/>
        </w:rPr>
        <w:t xml:space="preserve">, 2 October 2023. India has not commissioned a national bonded labour survey since 1979. </w:t>
      </w:r>
    </w:p>
  </w:footnote>
  <w:footnote w:id="98">
    <w:p w14:paraId="30275F9A"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63 per cent Dalit: see </w:t>
      </w:r>
      <w:proofErr w:type="spellStart"/>
      <w:r w:rsidRPr="00176257">
        <w:rPr>
          <w:color w:val="auto"/>
          <w:sz w:val="18"/>
          <w:szCs w:val="18"/>
        </w:rPr>
        <w:t>IndiaSpend</w:t>
      </w:r>
      <w:proofErr w:type="spellEnd"/>
      <w:r w:rsidRPr="00176257">
        <w:rPr>
          <w:color w:val="auto"/>
          <w:sz w:val="18"/>
          <w:szCs w:val="18"/>
        </w:rPr>
        <w:t xml:space="preserve">, supra note 97. </w:t>
      </w:r>
    </w:p>
  </w:footnote>
  <w:footnote w:id="99">
    <w:p w14:paraId="718B6475"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CCPR/C/IND/CO/4, paras. 15 and 16(d). The </w:t>
      </w:r>
      <w:proofErr w:type="spellStart"/>
      <w:r w:rsidRPr="00176257">
        <w:rPr>
          <w:color w:val="auto"/>
          <w:sz w:val="18"/>
          <w:szCs w:val="18"/>
        </w:rPr>
        <w:t>HRCtee</w:t>
      </w:r>
      <w:proofErr w:type="spellEnd"/>
      <w:r w:rsidRPr="00176257">
        <w:rPr>
          <w:color w:val="auto"/>
          <w:sz w:val="18"/>
          <w:szCs w:val="18"/>
        </w:rPr>
        <w:t xml:space="preserve"> also found that trafficking and bonded labour "continue to be of concern" and that conviction rates remain "very low" (para. 25). </w:t>
      </w:r>
    </w:p>
  </w:footnote>
  <w:footnote w:id="100">
    <w:p w14:paraId="0B99C5F8"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SPR cites the Civil Registration System rate of 92.7 per cent for 2019. Neither the CRS nor the SPR provides data disaggregated by caste, religion, or ethnicity. </w:t>
      </w:r>
    </w:p>
  </w:footnote>
  <w:footnote w:id="101">
    <w:p w14:paraId="254C74B7"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Despite a 2015 Supreme Court order that Aadhaar should not be mandatory for welfare access, the Government of India has made it a prerequisite for the Public Distribution System (food rations), pension disbursement, and Mahatma Gandhi National Rural Employment Guarantee Act (MGNREGA) wage payments. See Rethink Aadhaar, </w:t>
      </w:r>
      <w:hyperlink r:id="rId94" w:history="1">
        <w:r w:rsidR="00133A42" w:rsidRPr="00176257">
          <w:rPr>
            <w:rStyle w:val="Hyperlink"/>
            <w:color w:val="auto"/>
            <w:sz w:val="18"/>
            <w:szCs w:val="18"/>
          </w:rPr>
          <w:t>Exclusions continue, yet the Aadhaar net expands</w:t>
        </w:r>
      </w:hyperlink>
      <w:r w:rsidRPr="00176257">
        <w:rPr>
          <w:color w:val="auto"/>
          <w:sz w:val="18"/>
          <w:szCs w:val="18"/>
        </w:rPr>
        <w:t xml:space="preserve">, 22 June 2025. </w:t>
      </w:r>
    </w:p>
  </w:footnote>
  <w:footnote w:id="102">
    <w:p w14:paraId="01265E1C"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Right to Food Campaign documentation, cited in </w:t>
      </w:r>
      <w:proofErr w:type="spellStart"/>
      <w:r w:rsidRPr="00176257">
        <w:rPr>
          <w:color w:val="auto"/>
          <w:sz w:val="18"/>
          <w:szCs w:val="18"/>
        </w:rPr>
        <w:t>Aarefa</w:t>
      </w:r>
      <w:proofErr w:type="spellEnd"/>
      <w:r w:rsidRPr="00176257">
        <w:rPr>
          <w:color w:val="auto"/>
          <w:sz w:val="18"/>
          <w:szCs w:val="18"/>
        </w:rPr>
        <w:t xml:space="preserve"> Johari, </w:t>
      </w:r>
      <w:hyperlink r:id="rId95" w:history="1">
        <w:r w:rsidR="00133A42" w:rsidRPr="00176257">
          <w:rPr>
            <w:rStyle w:val="Hyperlink"/>
            <w:color w:val="auto"/>
            <w:sz w:val="18"/>
            <w:szCs w:val="18"/>
          </w:rPr>
          <w:t>A year after Jharkhand girl's death, Aadhaar tragedies are on the rise</w:t>
        </w:r>
      </w:hyperlink>
      <w:r w:rsidRPr="00176257">
        <w:rPr>
          <w:color w:val="auto"/>
          <w:sz w:val="18"/>
          <w:szCs w:val="18"/>
        </w:rPr>
        <w:t xml:space="preserve">, Scroll, 28 September 2018. See also </w:t>
      </w:r>
      <w:hyperlink r:id="rId96" w:history="1">
        <w:r w:rsidR="00133A42" w:rsidRPr="00176257">
          <w:rPr>
            <w:rStyle w:val="Hyperlink"/>
            <w:color w:val="auto"/>
            <w:sz w:val="18"/>
            <w:szCs w:val="18"/>
          </w:rPr>
          <w:t>Human Cost of India Stack</w:t>
        </w:r>
      </w:hyperlink>
      <w:r w:rsidRPr="00176257">
        <w:rPr>
          <w:color w:val="auto"/>
          <w:sz w:val="18"/>
          <w:szCs w:val="18"/>
        </w:rPr>
        <w:t xml:space="preserve"> (ongoing documentation, accessed 21 June 2026). On Rajasthan, Anumeha Yadav, </w:t>
      </w:r>
      <w:hyperlink r:id="rId97" w:history="1">
        <w:r w:rsidR="00133A42" w:rsidRPr="00176257">
          <w:rPr>
            <w:rStyle w:val="Hyperlink"/>
            <w:color w:val="auto"/>
            <w:sz w:val="18"/>
            <w:szCs w:val="18"/>
          </w:rPr>
          <w:t>No Match: Rajasthan's Push for Facial Authentication on Pensioners Leaves Many Behind</w:t>
        </w:r>
      </w:hyperlink>
      <w:r w:rsidRPr="00176257">
        <w:rPr>
          <w:color w:val="auto"/>
          <w:sz w:val="18"/>
          <w:szCs w:val="18"/>
        </w:rPr>
        <w:t xml:space="preserve">, The Wire/Pulitzer </w:t>
      </w:r>
      <w:proofErr w:type="spellStart"/>
      <w:r w:rsidRPr="00176257">
        <w:rPr>
          <w:color w:val="auto"/>
          <w:sz w:val="18"/>
          <w:szCs w:val="18"/>
        </w:rPr>
        <w:t>Center</w:t>
      </w:r>
      <w:proofErr w:type="spellEnd"/>
      <w:r w:rsidRPr="00176257">
        <w:rPr>
          <w:color w:val="auto"/>
          <w:sz w:val="18"/>
          <w:szCs w:val="18"/>
        </w:rPr>
        <w:t xml:space="preserve">, 6 January 2026. </w:t>
      </w:r>
    </w:p>
  </w:footnote>
  <w:footnote w:id="103">
    <w:p w14:paraId="37F5128B"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Unique Identification Authority of India locked the biometrics of those who submitted data during the NRC claims-and-objections process. The Assam home department subsequently acknowledged there was no legal basis for the freeze: </w:t>
      </w:r>
      <w:proofErr w:type="spellStart"/>
      <w:r w:rsidRPr="00176257">
        <w:rPr>
          <w:color w:val="auto"/>
          <w:sz w:val="18"/>
          <w:szCs w:val="18"/>
        </w:rPr>
        <w:t>Rokibuz</w:t>
      </w:r>
      <w:proofErr w:type="spellEnd"/>
      <w:r w:rsidRPr="00176257">
        <w:rPr>
          <w:color w:val="auto"/>
          <w:sz w:val="18"/>
          <w:szCs w:val="18"/>
        </w:rPr>
        <w:t xml:space="preserve"> Zaman, </w:t>
      </w:r>
      <w:hyperlink r:id="rId98" w:history="1">
        <w:r w:rsidR="00133A42" w:rsidRPr="00176257">
          <w:rPr>
            <w:rStyle w:val="Hyperlink"/>
            <w:color w:val="auto"/>
            <w:sz w:val="18"/>
            <w:szCs w:val="18"/>
          </w:rPr>
          <w:t>Nine lakh people in Assam were denied Aadhaar for years. It turned out to be a mistake</w:t>
        </w:r>
      </w:hyperlink>
      <w:r w:rsidRPr="00176257">
        <w:rPr>
          <w:color w:val="auto"/>
          <w:sz w:val="18"/>
          <w:szCs w:val="18"/>
        </w:rPr>
        <w:t xml:space="preserve">, Scroll, 6 October 2024. On the selective unblocking and concerns about religious bias in the criteria, see </w:t>
      </w:r>
      <w:hyperlink r:id="rId99" w:history="1">
        <w:r w:rsidR="00133A42" w:rsidRPr="00176257">
          <w:rPr>
            <w:rStyle w:val="Hyperlink"/>
            <w:color w:val="auto"/>
            <w:sz w:val="18"/>
            <w:szCs w:val="18"/>
          </w:rPr>
          <w:t>Assam: 9 lakh to regain Aadhaar access, 18 lakh still excluded, sparking serious concerns</w:t>
        </w:r>
      </w:hyperlink>
      <w:r w:rsidRPr="00176257">
        <w:rPr>
          <w:color w:val="auto"/>
          <w:sz w:val="18"/>
          <w:szCs w:val="18"/>
        </w:rPr>
        <w:t xml:space="preserve">, Citizens for Justice and Peace (CJP), 29 August 2024. </w:t>
      </w:r>
    </w:p>
  </w:footnote>
  <w:footnote w:id="104">
    <w:p w14:paraId="4FD52514"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Addresses </w:t>
      </w:r>
      <w:proofErr w:type="spellStart"/>
      <w:r w:rsidRPr="00176257">
        <w:rPr>
          <w:color w:val="auto"/>
          <w:sz w:val="18"/>
          <w:szCs w:val="18"/>
        </w:rPr>
        <w:t>LoT</w:t>
      </w:r>
      <w:proofErr w:type="spellEnd"/>
      <w:r w:rsidRPr="00176257">
        <w:rPr>
          <w:color w:val="auto"/>
          <w:sz w:val="18"/>
          <w:szCs w:val="18"/>
        </w:rPr>
        <w:t xml:space="preserve"> paras. 13, 18, and 22–26. On health (</w:t>
      </w:r>
      <w:proofErr w:type="spellStart"/>
      <w:r w:rsidRPr="00176257">
        <w:rPr>
          <w:color w:val="auto"/>
          <w:sz w:val="18"/>
          <w:szCs w:val="18"/>
        </w:rPr>
        <w:t>LoT</w:t>
      </w:r>
      <w:proofErr w:type="spellEnd"/>
      <w:r w:rsidRPr="00176257">
        <w:rPr>
          <w:color w:val="auto"/>
          <w:sz w:val="18"/>
          <w:szCs w:val="18"/>
        </w:rPr>
        <w:t xml:space="preserve"> para. 25), see para. 31. On education (</w:t>
      </w:r>
      <w:proofErr w:type="spellStart"/>
      <w:r w:rsidRPr="00176257">
        <w:rPr>
          <w:color w:val="auto"/>
          <w:sz w:val="18"/>
          <w:szCs w:val="18"/>
        </w:rPr>
        <w:t>LoT</w:t>
      </w:r>
      <w:proofErr w:type="spellEnd"/>
      <w:r w:rsidRPr="00176257">
        <w:rPr>
          <w:color w:val="auto"/>
          <w:sz w:val="18"/>
          <w:szCs w:val="18"/>
        </w:rPr>
        <w:t xml:space="preserve"> para. 26), see para. 35. </w:t>
      </w:r>
    </w:p>
  </w:footnote>
  <w:footnote w:id="105">
    <w:p w14:paraId="3EFC599D"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CERD early warning and urgent action letter of 12 May 2025; follow-up letter of 19 January 2026 (CERD/EWUAP/2026/CS/BJ/</w:t>
      </w:r>
      <w:proofErr w:type="spellStart"/>
      <w:r w:rsidRPr="00176257">
        <w:rPr>
          <w:color w:val="auto"/>
          <w:sz w:val="18"/>
          <w:szCs w:val="18"/>
        </w:rPr>
        <w:t>ks</w:t>
      </w:r>
      <w:proofErr w:type="spellEnd"/>
      <w:r w:rsidRPr="00176257">
        <w:rPr>
          <w:color w:val="auto"/>
          <w:sz w:val="18"/>
          <w:szCs w:val="18"/>
        </w:rPr>
        <w:t xml:space="preserve">). </w:t>
      </w:r>
    </w:p>
  </w:footnote>
  <w:footnote w:id="106">
    <w:p w14:paraId="7206C4B5"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Sonja Biserko, Marzuki Darusman and Stephen Rapp, </w:t>
      </w:r>
      <w:hyperlink r:id="rId100" w:history="1">
        <w:r w:rsidR="00133A42" w:rsidRPr="00176257">
          <w:rPr>
            <w:rStyle w:val="Hyperlink"/>
            <w:color w:val="auto"/>
            <w:sz w:val="18"/>
            <w:szCs w:val="18"/>
          </w:rPr>
          <w:t>Report of the Panel of Independent International Experts to Examine Information About Alleged Violations of International Law Committed Against Muslims in Assam and Uttar Pradesh, India—2022–25</w:t>
        </w:r>
      </w:hyperlink>
      <w:r w:rsidRPr="00176257">
        <w:rPr>
          <w:color w:val="auto"/>
          <w:sz w:val="18"/>
          <w:szCs w:val="18"/>
        </w:rPr>
        <w:t xml:space="preserve"> (March 2026), p. 178. The Panel members have among them investigated and prosecuted human rights atrocities and international crimes in Myanmar, North Korea, Sri Lanka, Rwanda and Sierra Leone. India acceded to the International Convention on the Suppression and Punishment of the Crime of Apartheid in 1977. </w:t>
      </w:r>
    </w:p>
  </w:footnote>
  <w:footnote w:id="107">
    <w:p w14:paraId="08B54A72"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deprivation of citizenship and related measures are examined in para. 33; forced evictions in para. 30; mass expulsions in para. 37; hate speech in para. 10; and Islamic educational institutions in para. 35. </w:t>
      </w:r>
    </w:p>
  </w:footnote>
  <w:footnote w:id="108">
    <w:p w14:paraId="2DF5A01A"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Sam Asher, Kritarth Jha, Paul Novosad, Anjali </w:t>
      </w:r>
      <w:proofErr w:type="spellStart"/>
      <w:r w:rsidRPr="00176257">
        <w:rPr>
          <w:color w:val="auto"/>
          <w:sz w:val="18"/>
          <w:szCs w:val="18"/>
        </w:rPr>
        <w:t>Adukia</w:t>
      </w:r>
      <w:proofErr w:type="spellEnd"/>
      <w:r w:rsidRPr="00176257">
        <w:rPr>
          <w:color w:val="auto"/>
          <w:sz w:val="18"/>
          <w:szCs w:val="18"/>
        </w:rPr>
        <w:t xml:space="preserve"> and Brandon Tan, </w:t>
      </w:r>
      <w:hyperlink r:id="rId101" w:history="1">
        <w:r w:rsidR="00133A42" w:rsidRPr="00176257">
          <w:rPr>
            <w:rStyle w:val="Hyperlink"/>
            <w:color w:val="auto"/>
            <w:sz w:val="18"/>
            <w:szCs w:val="18"/>
          </w:rPr>
          <w:t xml:space="preserve">Residential Segregation and Unequal Access to Local Public Services in India: Evidence from 1.5m </w:t>
        </w:r>
        <w:proofErr w:type="spellStart"/>
        <w:r w:rsidR="00133A42" w:rsidRPr="00176257">
          <w:rPr>
            <w:rStyle w:val="Hyperlink"/>
            <w:color w:val="auto"/>
            <w:sz w:val="18"/>
            <w:szCs w:val="18"/>
          </w:rPr>
          <w:t>Neighborhoods</w:t>
        </w:r>
        <w:proofErr w:type="spellEnd"/>
      </w:hyperlink>
      <w:r w:rsidRPr="00176257">
        <w:rPr>
          <w:color w:val="auto"/>
          <w:sz w:val="18"/>
          <w:szCs w:val="18"/>
        </w:rPr>
        <w:t xml:space="preserve">, NBER Working Paper 34818 (February 2026). The study found that "nearly all regressive allocation" in public services occurs at the neighbourhood level—a scale invisible in the aggregate data typically used for research and policy. </w:t>
      </w:r>
    </w:p>
  </w:footnote>
  <w:footnote w:id="109">
    <w:p w14:paraId="430BD11F"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Rajasthan Prohibition of Transfer of Immovable Property and Provisions for Protection of Tenants from Eviction from Premises in Disturbed Areas Bill, 2026, passed 6 March 2026. </w:t>
      </w:r>
    </w:p>
  </w:footnote>
  <w:footnote w:id="110">
    <w:p w14:paraId="37627DA3"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Gujarat Disturbed Areas Act (as amended), passed 25 March 2026. The original Act has operated since 1991. </w:t>
      </w:r>
    </w:p>
  </w:footnote>
  <w:footnote w:id="111">
    <w:p w14:paraId="587A94DB"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Article-14, </w:t>
      </w:r>
      <w:hyperlink r:id="rId102" w:history="1">
        <w:r w:rsidR="00133A42" w:rsidRPr="00176257">
          <w:rPr>
            <w:rStyle w:val="Hyperlink"/>
            <w:color w:val="auto"/>
            <w:sz w:val="18"/>
            <w:szCs w:val="18"/>
          </w:rPr>
          <w:t>After New Beef Ban In One Of India's Poorest States, Cow Herders, Meat Merchants &amp; Hotels Plunge Into Distress</w:t>
        </w:r>
      </w:hyperlink>
      <w:r w:rsidRPr="00176257">
        <w:rPr>
          <w:color w:val="auto"/>
          <w:sz w:val="18"/>
          <w:szCs w:val="18"/>
        </w:rPr>
        <w:t xml:space="preserve"> (9 January 2025); V. Pereira et al., </w:t>
      </w:r>
      <w:hyperlink r:id="rId103" w:history="1">
        <w:r w:rsidR="00133A42" w:rsidRPr="00176257">
          <w:rPr>
            <w:rStyle w:val="Hyperlink"/>
            <w:color w:val="auto"/>
            <w:sz w:val="18"/>
            <w:szCs w:val="18"/>
          </w:rPr>
          <w:t>Cui Bono? Cow Slaughter Ban and Its Impact on Business and Society in India</w:t>
        </w:r>
      </w:hyperlink>
      <w:r w:rsidRPr="00176257">
        <w:rPr>
          <w:color w:val="auto"/>
          <w:sz w:val="18"/>
          <w:szCs w:val="18"/>
        </w:rPr>
        <w:t xml:space="preserve">, Organization Studies (2025). </w:t>
      </w:r>
    </w:p>
  </w:footnote>
  <w:footnote w:id="112">
    <w:p w14:paraId="71AD69B3"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For example, </w:t>
      </w:r>
      <w:hyperlink r:id="rId104" w:history="1">
        <w:r w:rsidR="00133A42" w:rsidRPr="00176257">
          <w:rPr>
            <w:rStyle w:val="Hyperlink"/>
            <w:color w:val="auto"/>
            <w:sz w:val="18"/>
            <w:szCs w:val="18"/>
          </w:rPr>
          <w:t>Scroll.in</w:t>
        </w:r>
      </w:hyperlink>
      <w:r w:rsidRPr="00176257">
        <w:rPr>
          <w:color w:val="auto"/>
          <w:sz w:val="18"/>
          <w:szCs w:val="18"/>
        </w:rPr>
        <w:t xml:space="preserve"> (27 September 2025, Muslim vendors forced out of market in Madhya Pradesh); </w:t>
      </w:r>
      <w:hyperlink r:id="rId105" w:history="1">
        <w:r w:rsidR="00133A42" w:rsidRPr="00176257">
          <w:rPr>
            <w:rStyle w:val="Hyperlink"/>
            <w:color w:val="auto"/>
            <w:sz w:val="18"/>
            <w:szCs w:val="18"/>
          </w:rPr>
          <w:t>Maktoob Media</w:t>
        </w:r>
      </w:hyperlink>
      <w:r w:rsidRPr="00176257">
        <w:rPr>
          <w:color w:val="auto"/>
          <w:sz w:val="18"/>
          <w:szCs w:val="18"/>
        </w:rPr>
        <w:t xml:space="preserve"> (October 2023, Muslims unable to reopen businesses amid boycott calls in Maharashtra). </w:t>
      </w:r>
    </w:p>
  </w:footnote>
  <w:footnote w:id="113">
    <w:p w14:paraId="24BCF78F"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Supra note 105. </w:t>
      </w:r>
    </w:p>
  </w:footnote>
  <w:footnote w:id="114">
    <w:p w14:paraId="0071E246"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PIIE Report, supra note 106. Couples in Assam have been required to disclose their religion and income to the state 30 days before marriage since December 2020. </w:t>
      </w:r>
    </w:p>
  </w:footnote>
  <w:footnote w:id="115">
    <w:p w14:paraId="2C02492F"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Assam Prohibition of Polygamy Act, 2025, does not apply to Sixth Schedule areas (constitutionally autonomous tribal districts in north-eastern India) or Scheduled Tribes: </w:t>
      </w:r>
      <w:hyperlink r:id="rId106" w:history="1">
        <w:r w:rsidR="00133A42" w:rsidRPr="00176257">
          <w:rPr>
            <w:rStyle w:val="Hyperlink"/>
            <w:color w:val="auto"/>
            <w:sz w:val="18"/>
            <w:szCs w:val="18"/>
          </w:rPr>
          <w:t>Assam assembly passes bill to ban polygamy</w:t>
        </w:r>
      </w:hyperlink>
      <w:r w:rsidRPr="00176257">
        <w:rPr>
          <w:color w:val="auto"/>
          <w:sz w:val="18"/>
          <w:szCs w:val="18"/>
        </w:rPr>
        <w:t xml:space="preserve">, The Hindu, 27 November 2025. </w:t>
      </w:r>
    </w:p>
  </w:footnote>
  <w:footnote w:id="116">
    <w:p w14:paraId="6EBE5AED"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Gujarat's and Assam's Uniform Civil Codes have been passed by their respective assemblies but await gubernatorial and presidential assent. On the marriage registration rules: </w:t>
      </w:r>
      <w:hyperlink r:id="rId107" w:history="1">
        <w:r w:rsidR="00133A42" w:rsidRPr="00176257">
          <w:rPr>
            <w:rStyle w:val="Hyperlink"/>
            <w:color w:val="auto"/>
            <w:sz w:val="18"/>
            <w:szCs w:val="18"/>
          </w:rPr>
          <w:t>Gujarat announces changes in marriage registration rules to stop "love jihad", misuse by "antisocial" elements</w:t>
        </w:r>
      </w:hyperlink>
      <w:r w:rsidRPr="00176257">
        <w:rPr>
          <w:color w:val="auto"/>
          <w:sz w:val="18"/>
          <w:szCs w:val="18"/>
        </w:rPr>
        <w:t xml:space="preserve">, Deccan Herald, 20 February 2026. </w:t>
      </w:r>
    </w:p>
  </w:footnote>
  <w:footnote w:id="117">
    <w:p w14:paraId="17B32D0D"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United States Commission on International Religious Freedom (USCIRF), </w:t>
      </w:r>
      <w:hyperlink r:id="rId108" w:history="1">
        <w:r w:rsidR="00133A42" w:rsidRPr="00176257">
          <w:rPr>
            <w:rStyle w:val="Hyperlink"/>
            <w:color w:val="auto"/>
            <w:sz w:val="18"/>
            <w:szCs w:val="18"/>
          </w:rPr>
          <w:t>India 2025 Annual Report</w:t>
        </w:r>
      </w:hyperlink>
      <w:r w:rsidRPr="00176257">
        <w:rPr>
          <w:color w:val="auto"/>
          <w:sz w:val="18"/>
          <w:szCs w:val="18"/>
        </w:rPr>
        <w:t xml:space="preserve">, April 2025. USCIRF recommended that India be designated a "Country of Particular Concern.". </w:t>
      </w:r>
    </w:p>
  </w:footnote>
  <w:footnote w:id="118">
    <w:p w14:paraId="4FD3F9A7"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See PIIE Report, supra note 106. These statutes define "reconversion" to a person's "immediate previous religion" as falling outside their scope while criminalising all other conversions. Several also reverse the burden of proof and empower police to investigate without a complaint from the alleged victim. </w:t>
      </w:r>
    </w:p>
  </w:footnote>
  <w:footnote w:id="119">
    <w:p w14:paraId="121D62C6"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Chhattisgarh Freedom of Religion Act, 2026, </w:t>
      </w:r>
      <w:hyperlink r:id="rId109" w:history="1">
        <w:r w:rsidR="00133A42" w:rsidRPr="00176257">
          <w:rPr>
            <w:rStyle w:val="Hyperlink"/>
            <w:color w:val="auto"/>
            <w:sz w:val="18"/>
            <w:szCs w:val="18"/>
          </w:rPr>
          <w:t>signed</w:t>
        </w:r>
      </w:hyperlink>
      <w:r w:rsidRPr="00176257">
        <w:rPr>
          <w:color w:val="auto"/>
          <w:sz w:val="18"/>
          <w:szCs w:val="18"/>
        </w:rPr>
        <w:t xml:space="preserve"> by the Governor on 16 April 2026. Rajasthan: Nidah Kaiser and Sabah </w:t>
      </w:r>
      <w:proofErr w:type="spellStart"/>
      <w:r w:rsidRPr="00176257">
        <w:rPr>
          <w:color w:val="auto"/>
          <w:sz w:val="18"/>
          <w:szCs w:val="18"/>
        </w:rPr>
        <w:t>Gurmat</w:t>
      </w:r>
      <w:proofErr w:type="spellEnd"/>
      <w:r w:rsidRPr="00176257">
        <w:rPr>
          <w:color w:val="auto"/>
          <w:sz w:val="18"/>
          <w:szCs w:val="18"/>
        </w:rPr>
        <w:t xml:space="preserve">, </w:t>
      </w:r>
      <w:hyperlink r:id="rId110" w:history="1">
        <w:r w:rsidR="00133A42" w:rsidRPr="00176257">
          <w:rPr>
            <w:rStyle w:val="Hyperlink"/>
            <w:color w:val="auto"/>
            <w:sz w:val="18"/>
            <w:szCs w:val="18"/>
          </w:rPr>
          <w:t>Life In Jail, Demolitions: Rajasthan's Anti-Conversion Law Sets Draconian &amp; Unconstitutional New Precedents</w:t>
        </w:r>
      </w:hyperlink>
      <w:r w:rsidRPr="00176257">
        <w:rPr>
          <w:color w:val="auto"/>
          <w:sz w:val="18"/>
          <w:szCs w:val="18"/>
        </w:rPr>
        <w:t xml:space="preserve">, Article 14, 16 October 2025. Maharashtra's government produced only 402 conversion complaints in a year against a ministerial claim of over 100,000: </w:t>
      </w:r>
      <w:hyperlink r:id="rId111" w:history="1">
        <w:r w:rsidR="00133A42" w:rsidRPr="00176257">
          <w:rPr>
            <w:rStyle w:val="Hyperlink"/>
            <w:color w:val="auto"/>
            <w:sz w:val="18"/>
            <w:szCs w:val="18"/>
          </w:rPr>
          <w:t>Article 14</w:t>
        </w:r>
      </w:hyperlink>
      <w:r w:rsidRPr="00176257">
        <w:rPr>
          <w:color w:val="auto"/>
          <w:sz w:val="18"/>
          <w:szCs w:val="18"/>
        </w:rPr>
        <w:t xml:space="preserve">, March 2026. </w:t>
      </w:r>
    </w:p>
  </w:footnote>
  <w:footnote w:id="120">
    <w:p w14:paraId="0C62F703"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112" w:history="1">
        <w:r w:rsidR="00133A42" w:rsidRPr="00176257">
          <w:rPr>
            <w:rStyle w:val="Hyperlink"/>
            <w:color w:val="auto"/>
            <w:sz w:val="18"/>
            <w:szCs w:val="18"/>
          </w:rPr>
          <w:t>AL IND 8/2023</w:t>
        </w:r>
      </w:hyperlink>
      <w:r w:rsidRPr="00176257">
        <w:rPr>
          <w:color w:val="auto"/>
          <w:sz w:val="18"/>
          <w:szCs w:val="18"/>
        </w:rPr>
        <w:t xml:space="preserve">, 16 August 2023. See also CCPR/C/IND/CO/4, para. 45. </w:t>
      </w:r>
    </w:p>
  </w:footnote>
  <w:footnote w:id="121">
    <w:p w14:paraId="4BAAE097"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113" w:history="1">
        <w:r w:rsidR="00133A42" w:rsidRPr="00176257">
          <w:rPr>
            <w:rStyle w:val="Hyperlink"/>
            <w:color w:val="auto"/>
            <w:sz w:val="18"/>
            <w:szCs w:val="18"/>
          </w:rPr>
          <w:t>OL IND 9/2025</w:t>
        </w:r>
      </w:hyperlink>
      <w:r w:rsidRPr="00176257">
        <w:rPr>
          <w:color w:val="auto"/>
          <w:sz w:val="18"/>
          <w:szCs w:val="18"/>
        </w:rPr>
        <w:t xml:space="preserve">, 22 September 2025 (Special Rapporteur on freedom of religion or belief and Special Rapporteur on minority issues). Constitutional challenges are pending before the Supreme Court: see South Asia Justice Campaign, </w:t>
      </w:r>
      <w:hyperlink r:id="rId114" w:history="1">
        <w:r w:rsidR="00133A42" w:rsidRPr="00176257">
          <w:rPr>
            <w:rStyle w:val="Hyperlink"/>
            <w:color w:val="auto"/>
            <w:sz w:val="18"/>
            <w:szCs w:val="18"/>
          </w:rPr>
          <w:t>Human rights concerns regarding India's Waqf (Amendment) Act, 2025</w:t>
        </w:r>
      </w:hyperlink>
      <w:r w:rsidRPr="00176257">
        <w:rPr>
          <w:color w:val="auto"/>
          <w:sz w:val="18"/>
          <w:szCs w:val="18"/>
        </w:rPr>
        <w:t xml:space="preserve">, 22 April 2025. </w:t>
      </w:r>
    </w:p>
  </w:footnote>
  <w:footnote w:id="122">
    <w:p w14:paraId="7576EB07"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In Indian policing, an "encounter" denotes a staged extrajudicial killing presented as a gunfight with alleged armed suspects. The practice has been documented across multiple states and is the subject of </w:t>
      </w:r>
      <w:proofErr w:type="spellStart"/>
      <w:r w:rsidRPr="00176257">
        <w:rPr>
          <w:color w:val="auto"/>
          <w:sz w:val="18"/>
          <w:szCs w:val="18"/>
        </w:rPr>
        <w:t>LoIPR</w:t>
      </w:r>
      <w:proofErr w:type="spellEnd"/>
      <w:r w:rsidRPr="00176257">
        <w:rPr>
          <w:color w:val="auto"/>
          <w:sz w:val="18"/>
          <w:szCs w:val="18"/>
        </w:rPr>
        <w:t xml:space="preserve"> para. 15. See also para. 13 above. </w:t>
      </w:r>
    </w:p>
  </w:footnote>
  <w:footnote w:id="123">
    <w:p w14:paraId="6E235424"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PIIE Report, supra note 106, p. 65, citing </w:t>
      </w:r>
      <w:hyperlink r:id="rId115" w:history="1">
        <w:r w:rsidR="00133A42" w:rsidRPr="00176257">
          <w:rPr>
            <w:rStyle w:val="Hyperlink"/>
            <w:color w:val="auto"/>
            <w:sz w:val="18"/>
            <w:szCs w:val="18"/>
          </w:rPr>
          <w:t>Article 14</w:t>
        </w:r>
      </w:hyperlink>
      <w:r w:rsidRPr="00176257">
        <w:rPr>
          <w:color w:val="auto"/>
          <w:sz w:val="18"/>
          <w:szCs w:val="18"/>
        </w:rPr>
        <w:t xml:space="preserve"> investigation based on government data submitted to the Gauhati High Court. See also supra note 105 (EWUAP communications). </w:t>
      </w:r>
    </w:p>
  </w:footnote>
  <w:footnote w:id="124">
    <w:p w14:paraId="5C5FD8CB"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PIIE Report, supra note 106, p. 240. The </w:t>
      </w:r>
      <w:proofErr w:type="spellStart"/>
      <w:r w:rsidRPr="00176257">
        <w:rPr>
          <w:color w:val="auto"/>
          <w:sz w:val="18"/>
          <w:szCs w:val="18"/>
        </w:rPr>
        <w:t>HRCtee</w:t>
      </w:r>
      <w:proofErr w:type="spellEnd"/>
      <w:r w:rsidRPr="00176257">
        <w:rPr>
          <w:color w:val="auto"/>
          <w:sz w:val="18"/>
          <w:szCs w:val="18"/>
        </w:rPr>
        <w:t xml:space="preserve"> noted that "the requirement of mandatory prior authorization by the Government for the prosecution of members of the security and armed forces\... creates a climate of widespread impunity" (CCPR/C/IND/CO/4, para. 29). </w:t>
      </w:r>
    </w:p>
  </w:footnote>
  <w:footnote w:id="125">
    <w:p w14:paraId="640CDD5A"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PIIE Report, supra note 106, p. 82. </w:t>
      </w:r>
    </w:p>
  </w:footnote>
  <w:footnote w:id="126">
    <w:p w14:paraId="5C94BE54"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PIIE Report, supra note 106, p. 221. These demolitions—commonly referred to as "bulldozer justice"—target homes and businesses of persons accused of offences or involved in protests, carried out by state authorities without judicial process or adequate notice. </w:t>
      </w:r>
    </w:p>
  </w:footnote>
  <w:footnote w:id="127">
    <w:p w14:paraId="5156874A"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CCPR/C/IND/CO/4, para. 45. </w:t>
      </w:r>
    </w:p>
  </w:footnote>
  <w:footnote w:id="128">
    <w:p w14:paraId="7F90F580"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Communication from the Special Rapporteurs on freedom of religion or belief, cultural rights, extrajudicial, summary or arbitrary executions, and minority issues, ref. </w:t>
      </w:r>
      <w:hyperlink r:id="rId116" w:history="1">
        <w:r w:rsidR="00133A42" w:rsidRPr="00176257">
          <w:rPr>
            <w:rStyle w:val="Hyperlink"/>
            <w:color w:val="auto"/>
            <w:sz w:val="18"/>
            <w:szCs w:val="18"/>
          </w:rPr>
          <w:t>AL IND 6/2025</w:t>
        </w:r>
      </w:hyperlink>
      <w:r w:rsidRPr="00176257">
        <w:rPr>
          <w:color w:val="auto"/>
          <w:sz w:val="18"/>
          <w:szCs w:val="18"/>
        </w:rPr>
        <w:t xml:space="preserve">, 10 July 2025. The PIIE Report, supra note 106, Annexure, documents individual cases from July 2022 to December 2025. </w:t>
      </w:r>
    </w:p>
  </w:footnote>
  <w:footnote w:id="129">
    <w:p w14:paraId="7727249C"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SPR (paras. 132–133) lists "minority communities" alongside Scheduled Castes and Scheduled Tribes in descriptions of education schemes but provides no minority-specific data, scheme names, or budget figures. The entire Ministry of Minority Affairs portfolio is absent from the report. </w:t>
      </w:r>
    </w:p>
  </w:footnote>
  <w:footnote w:id="130">
    <w:p w14:paraId="33B47147"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Government of India, Prime Minister's High Level Committee (Chair: Justice Rajindar Sachar), </w:t>
      </w:r>
      <w:hyperlink r:id="rId117" w:history="1">
        <w:r w:rsidR="00133A42" w:rsidRPr="00176257">
          <w:rPr>
            <w:rStyle w:val="Hyperlink"/>
            <w:color w:val="auto"/>
            <w:sz w:val="18"/>
            <w:szCs w:val="18"/>
          </w:rPr>
          <w:t>Social, Economic and Educational Status of the Muslim Community of India: A Report</w:t>
        </w:r>
      </w:hyperlink>
      <w:r w:rsidRPr="00176257">
        <w:rPr>
          <w:color w:val="auto"/>
          <w:sz w:val="18"/>
          <w:szCs w:val="18"/>
        </w:rPr>
        <w:t xml:space="preserve"> (November 2006). </w:t>
      </w:r>
    </w:p>
  </w:footnote>
  <w:footnote w:id="131">
    <w:p w14:paraId="2C6A8D55"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Wire, </w:t>
      </w:r>
      <w:hyperlink r:id="rId118" w:history="1">
        <w:r w:rsidR="00133A42" w:rsidRPr="00176257">
          <w:rPr>
            <w:rStyle w:val="Hyperlink"/>
            <w:color w:val="auto"/>
            <w:sz w:val="18"/>
            <w:szCs w:val="18"/>
          </w:rPr>
          <w:t>Minority Scholarship Schemes Frozen For Over 3 Years Due to 'Irregularities', Parliamentary Panel Flags Concern</w:t>
        </w:r>
      </w:hyperlink>
      <w:r w:rsidRPr="00176257">
        <w:rPr>
          <w:color w:val="auto"/>
          <w:sz w:val="18"/>
          <w:szCs w:val="18"/>
        </w:rPr>
        <w:t xml:space="preserve"> (14 March 2026); Afroz Alam Sahil, </w:t>
      </w:r>
      <w:hyperlink r:id="rId119" w:history="1">
        <w:r w:rsidR="00133A42" w:rsidRPr="00176257">
          <w:rPr>
            <w:rStyle w:val="Hyperlink"/>
            <w:color w:val="auto"/>
            <w:sz w:val="18"/>
            <w:szCs w:val="18"/>
          </w:rPr>
          <w:t>Budget for Minority Schemes Cut Again: Does Modi Government Really Want 'Sabka Vikas'?</w:t>
        </w:r>
      </w:hyperlink>
      <w:r w:rsidRPr="00176257">
        <w:rPr>
          <w:color w:val="auto"/>
          <w:sz w:val="18"/>
          <w:szCs w:val="18"/>
        </w:rPr>
        <w:t xml:space="preserve">, The Wire (5 February 2025). </w:t>
      </w:r>
    </w:p>
  </w:footnote>
  <w:footnote w:id="132">
    <w:p w14:paraId="0EBCB5DF"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120" w:history="1">
        <w:r w:rsidR="00133A42" w:rsidRPr="00176257">
          <w:rPr>
            <w:rStyle w:val="Hyperlink"/>
            <w:color w:val="auto"/>
            <w:sz w:val="18"/>
            <w:szCs w:val="18"/>
          </w:rPr>
          <w:t>West Bengal Assembly Passes OBC Amendment Bills, Removes 77 Muslim Communities From List</w:t>
        </w:r>
      </w:hyperlink>
      <w:r w:rsidRPr="00176257">
        <w:rPr>
          <w:color w:val="auto"/>
          <w:sz w:val="18"/>
          <w:szCs w:val="18"/>
        </w:rPr>
        <w:t xml:space="preserve">, </w:t>
      </w:r>
      <w:proofErr w:type="spellStart"/>
      <w:r w:rsidRPr="00176257">
        <w:rPr>
          <w:color w:val="auto"/>
          <w:sz w:val="18"/>
          <w:szCs w:val="18"/>
        </w:rPr>
        <w:t>LawBeat</w:t>
      </w:r>
      <w:proofErr w:type="spellEnd"/>
      <w:r w:rsidRPr="00176257">
        <w:rPr>
          <w:color w:val="auto"/>
          <w:sz w:val="18"/>
          <w:szCs w:val="18"/>
        </w:rPr>
        <w:t xml:space="preserve">, 29 June 2026. </w:t>
      </w:r>
    </w:p>
  </w:footnote>
  <w:footnote w:id="133">
    <w:p w14:paraId="7899E421"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Lok Sabha is the lower house of India's parliament (543 directly elected members). Mirza </w:t>
      </w:r>
      <w:proofErr w:type="spellStart"/>
      <w:r w:rsidRPr="00176257">
        <w:rPr>
          <w:color w:val="auto"/>
          <w:sz w:val="18"/>
          <w:szCs w:val="18"/>
        </w:rPr>
        <w:t>Asmer</w:t>
      </w:r>
      <w:proofErr w:type="spellEnd"/>
      <w:r w:rsidRPr="00176257">
        <w:rPr>
          <w:color w:val="auto"/>
          <w:sz w:val="18"/>
          <w:szCs w:val="18"/>
        </w:rPr>
        <w:t xml:space="preserve"> Beg, </w:t>
      </w:r>
      <w:hyperlink r:id="rId121" w:history="1">
        <w:r w:rsidR="00133A42" w:rsidRPr="00176257">
          <w:rPr>
            <w:rStyle w:val="Hyperlink"/>
            <w:color w:val="auto"/>
            <w:sz w:val="18"/>
            <w:szCs w:val="18"/>
          </w:rPr>
          <w:t>The Decline of Muslim Legislative Representation and its Consequences</w:t>
        </w:r>
      </w:hyperlink>
      <w:r w:rsidRPr="00176257">
        <w:rPr>
          <w:color w:val="auto"/>
          <w:sz w:val="18"/>
          <w:szCs w:val="18"/>
        </w:rPr>
        <w:t xml:space="preserve">, The India Forum, 2 September 2024; </w:t>
      </w:r>
      <w:hyperlink r:id="rId122" w:history="1">
        <w:r w:rsidR="00133A42" w:rsidRPr="00176257">
          <w:rPr>
            <w:rStyle w:val="Hyperlink"/>
            <w:color w:val="auto"/>
            <w:sz w:val="18"/>
            <w:szCs w:val="18"/>
          </w:rPr>
          <w:t>Maktoob Media</w:t>
        </w:r>
      </w:hyperlink>
      <w:r w:rsidRPr="00176257">
        <w:rPr>
          <w:color w:val="auto"/>
          <w:sz w:val="18"/>
          <w:szCs w:val="18"/>
        </w:rPr>
        <w:t xml:space="preserve"> (June 2024). </w:t>
      </w:r>
    </w:p>
  </w:footnote>
  <w:footnote w:id="134">
    <w:p w14:paraId="42D1C810"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123" w:history="1">
        <w:r w:rsidR="00133A42" w:rsidRPr="00176257">
          <w:rPr>
            <w:rStyle w:val="Hyperlink"/>
            <w:color w:val="auto"/>
            <w:sz w:val="18"/>
            <w:szCs w:val="18"/>
          </w:rPr>
          <w:t>Assembly Elections 2026: Total 104 Muslim MLAs elected but none from BJP</w:t>
        </w:r>
      </w:hyperlink>
      <w:r w:rsidRPr="00176257">
        <w:rPr>
          <w:color w:val="auto"/>
          <w:sz w:val="18"/>
          <w:szCs w:val="18"/>
        </w:rPr>
        <w:t xml:space="preserve">, Deccan Herald, 5 May 2026. </w:t>
      </w:r>
    </w:p>
  </w:footnote>
  <w:footnote w:id="135">
    <w:p w14:paraId="04F4F43E"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SIR is a compressed, nationwide revision of electoral rolls launched by the Election Commission in mid-2025, resulting in the deletion of over 56 million voters from rolls in 13 states and Union Territories. In West Bengal, the revision reduced the electoral roll from approximately 76.6 million to 67.5 million. Independent Panel for Monitoring Indian Elections (IPMIE), </w:t>
      </w:r>
      <w:hyperlink r:id="rId124" w:history="1">
        <w:r w:rsidR="00133A42" w:rsidRPr="00176257">
          <w:rPr>
            <w:rStyle w:val="Hyperlink"/>
            <w:color w:val="auto"/>
            <w:sz w:val="18"/>
            <w:szCs w:val="18"/>
          </w:rPr>
          <w:t>Dismantling Democracy, Deepening Disenfranchisement: 2026 Legislative Assembly Elections in West Bengal and Assam, India</w:t>
        </w:r>
      </w:hyperlink>
      <w:r w:rsidRPr="00176257">
        <w:rPr>
          <w:color w:val="auto"/>
          <w:sz w:val="18"/>
          <w:szCs w:val="18"/>
        </w:rPr>
        <w:t xml:space="preserve">, May 2026. </w:t>
      </w:r>
    </w:p>
  </w:footnote>
  <w:footnote w:id="136">
    <w:p w14:paraId="444AAD9D"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SIR algorithm cross-referenced entries against 2003 digitised rolls to identify "logical discrepancies"—a classification used in no other State—flagging over six million voters, and the Election Commission admitted to the Supreme Court that the software was defective. The SABAR Institute (Kolkata) found that in Nandigram, Muslims comprised 26 per cent of the electorate but 95.5 per cent of deletions, and a separate investigation across six constituencies found 92.6 per cent of voters placed under adjudication were Muslim (electorate: 51.7 per cent). IPMIE, Dismantling Democracy, Section 2(1)(</w:t>
      </w:r>
      <w:proofErr w:type="spellStart"/>
      <w:r w:rsidRPr="00176257">
        <w:rPr>
          <w:color w:val="auto"/>
          <w:sz w:val="18"/>
          <w:szCs w:val="18"/>
        </w:rPr>
        <w:t>i</w:t>
      </w:r>
      <w:proofErr w:type="spellEnd"/>
      <w:r w:rsidRPr="00176257">
        <w:rPr>
          <w:color w:val="auto"/>
          <w:sz w:val="18"/>
          <w:szCs w:val="18"/>
        </w:rPr>
        <w:t xml:space="preserve">). See also Ritwika Mitra, </w:t>
      </w:r>
      <w:hyperlink r:id="rId125" w:history="1">
        <w:r w:rsidR="00133A42" w:rsidRPr="00176257">
          <w:rPr>
            <w:rStyle w:val="Hyperlink"/>
            <w:color w:val="auto"/>
            <w:sz w:val="18"/>
            <w:szCs w:val="18"/>
          </w:rPr>
          <w:t>Muslims the target? Fury as millions lose voting rights in India's Bengal</w:t>
        </w:r>
      </w:hyperlink>
      <w:r w:rsidRPr="00176257">
        <w:rPr>
          <w:color w:val="auto"/>
          <w:sz w:val="18"/>
          <w:szCs w:val="18"/>
        </w:rPr>
        <w:t xml:space="preserve">, Al Jazeera, 16 April 2026. </w:t>
      </w:r>
    </w:p>
  </w:footnote>
  <w:footnote w:id="137">
    <w:p w14:paraId="7FF3379F"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Sabir Ahamed et al., </w:t>
      </w:r>
      <w:hyperlink r:id="rId126" w:history="1">
        <w:r w:rsidR="00133A42" w:rsidRPr="00176257">
          <w:rPr>
            <w:rStyle w:val="Hyperlink"/>
            <w:color w:val="auto"/>
            <w:sz w:val="18"/>
            <w:szCs w:val="18"/>
          </w:rPr>
          <w:t>Over 61 Lakh Women Dropped from Bengal Voter Rolls, Data Show Stark Gender Bias in SIR</w:t>
        </w:r>
      </w:hyperlink>
      <w:r w:rsidRPr="00176257">
        <w:rPr>
          <w:color w:val="auto"/>
          <w:sz w:val="18"/>
          <w:szCs w:val="18"/>
        </w:rPr>
        <w:t xml:space="preserve">, </w:t>
      </w:r>
      <w:proofErr w:type="spellStart"/>
      <w:r w:rsidRPr="00176257">
        <w:rPr>
          <w:color w:val="auto"/>
          <w:sz w:val="18"/>
          <w:szCs w:val="18"/>
        </w:rPr>
        <w:t>BehanBox</w:t>
      </w:r>
      <w:proofErr w:type="spellEnd"/>
      <w:r w:rsidRPr="00176257">
        <w:rPr>
          <w:color w:val="auto"/>
          <w:sz w:val="18"/>
          <w:szCs w:val="18"/>
        </w:rPr>
        <w:t xml:space="preserve">, 13 April 2026; Tanishka Shah, </w:t>
      </w:r>
      <w:hyperlink r:id="rId127" w:history="1">
        <w:r w:rsidR="00133A42" w:rsidRPr="00176257">
          <w:rPr>
            <w:rStyle w:val="Hyperlink"/>
            <w:color w:val="auto"/>
            <w:sz w:val="18"/>
            <w:szCs w:val="18"/>
          </w:rPr>
          <w:t>'Women and transgender voters are being systematically erased from electoral rolls'</w:t>
        </w:r>
      </w:hyperlink>
      <w:r w:rsidRPr="00176257">
        <w:rPr>
          <w:color w:val="auto"/>
          <w:sz w:val="18"/>
          <w:szCs w:val="18"/>
        </w:rPr>
        <w:t xml:space="preserve">, The Leaflet, 9 July 2026. </w:t>
      </w:r>
    </w:p>
  </w:footnote>
  <w:footnote w:id="138">
    <w:p w14:paraId="30A9DBEE"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On 27 May 2026, the Supreme Court upheld the SIR in Association for Democratic Reforms &amp; Ors. v Election Commission of India, finding it within the ECI's powers under Article 324 of the Constitution and Section 21(3) of the Representation of the People Act, 1950. Of 19 appellate tribunals created to hear deletion challenges, only 1,607 voters were restored to the rolls out of approximately 3.4 million pending appeals (IPMIE, Dismantling Democracy, Sections 2(1)(</w:t>
      </w:r>
      <w:proofErr w:type="spellStart"/>
      <w:r w:rsidRPr="00176257">
        <w:rPr>
          <w:color w:val="auto"/>
          <w:sz w:val="18"/>
          <w:szCs w:val="18"/>
        </w:rPr>
        <w:t>i</w:t>
      </w:r>
      <w:proofErr w:type="spellEnd"/>
      <w:r w:rsidRPr="00176257">
        <w:rPr>
          <w:color w:val="auto"/>
          <w:sz w:val="18"/>
          <w:szCs w:val="18"/>
        </w:rPr>
        <w:t xml:space="preserve">) and 5; Ayushi Kar, The Reporters' Collective, 21 June 2026). </w:t>
      </w:r>
    </w:p>
  </w:footnote>
  <w:footnote w:id="139">
    <w:p w14:paraId="7F66F506" w14:textId="2583B63E"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Ayushi Kar, </w:t>
      </w:r>
      <w:hyperlink r:id="rId128" w:history="1">
        <w:r w:rsidR="00133A42" w:rsidRPr="00176257">
          <w:rPr>
            <w:rStyle w:val="Hyperlink"/>
            <w:color w:val="auto"/>
            <w:sz w:val="18"/>
            <w:szCs w:val="18"/>
          </w:rPr>
          <w:t xml:space="preserve">WB Chief Minister Lied. </w:t>
        </w:r>
        <w:r w:rsidR="00133A42" w:rsidRPr="00176257">
          <w:rPr>
            <w:rStyle w:val="Hyperlink"/>
            <w:color w:val="auto"/>
            <w:sz w:val="18"/>
            <w:szCs w:val="18"/>
          </w:rPr>
          <w:t>His Gov't Order Doesn't Check for 'Illegal Migrants' Before Stripping Subsidised Food</w:t>
        </w:r>
      </w:hyperlink>
      <w:r w:rsidRPr="00176257">
        <w:rPr>
          <w:color w:val="auto"/>
          <w:sz w:val="18"/>
          <w:szCs w:val="18"/>
        </w:rPr>
        <w:t xml:space="preserve">, The Reporters' Collective, 21 June 2026. </w:t>
      </w:r>
    </w:p>
  </w:footnote>
  <w:footnote w:id="140">
    <w:p w14:paraId="2BD2F6E5"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w:t>
      </w:r>
      <w:proofErr w:type="spellStart"/>
      <w:r w:rsidRPr="00176257">
        <w:rPr>
          <w:color w:val="auto"/>
          <w:sz w:val="18"/>
          <w:szCs w:val="18"/>
        </w:rPr>
        <w:t>LoIPR</w:t>
      </w:r>
      <w:proofErr w:type="spellEnd"/>
      <w:r w:rsidRPr="00176257">
        <w:rPr>
          <w:color w:val="auto"/>
          <w:sz w:val="18"/>
          <w:szCs w:val="18"/>
        </w:rPr>
        <w:t xml:space="preserve"> (para. 19) requested information on measures to prevent statelessness, the implications for excluded individuals, available remedies, and disaggregated data on the ethnicity and religion of those excluded, placed in detention, or declared foreigners by Foreigners Tribunals. The SPR addresses none of these questions. </w:t>
      </w:r>
    </w:p>
  </w:footnote>
  <w:footnote w:id="141">
    <w:p w14:paraId="57567180"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See supra note 103. </w:t>
      </w:r>
    </w:p>
  </w:footnote>
  <w:footnote w:id="142">
    <w:p w14:paraId="2A4D3230"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Citizenship (Amendment) Act 2019 (No. 47 of 2019). The Act provides expedited citizenship to Hindus, Sikhs, Buddhists, Jains, Parsis, and Christians from Afghanistan, Bangladesh, and Pakistan—expressly excluding Muslims. The Citizenship (Amendment) Rules 2024, notified on 11 March 2024, operationalised the Act's provisions. </w:t>
      </w:r>
    </w:p>
  </w:footnote>
  <w:footnote w:id="143">
    <w:p w14:paraId="6E8B2A7C" w14:textId="616BB859"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CCPR/C/IND/CO/4, paras. </w:t>
      </w:r>
      <w:r w:rsidRPr="00176257">
        <w:rPr>
          <w:color w:val="auto"/>
          <w:sz w:val="18"/>
          <w:szCs w:val="18"/>
        </w:rPr>
        <w:t xml:space="preserve">55–56. </w:t>
      </w:r>
    </w:p>
  </w:footnote>
  <w:footnote w:id="144">
    <w:p w14:paraId="6BE9C916"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r w:rsidRPr="00176257">
        <w:rPr>
          <w:color w:val="auto"/>
          <w:sz w:val="18"/>
          <w:szCs w:val="18"/>
        </w:rPr>
        <w:t xml:space="preserve">Citizens for Justice and Peace, </w:t>
      </w:r>
      <w:hyperlink r:id="rId129" w:history="1">
        <w:r w:rsidR="00133A42" w:rsidRPr="00176257">
          <w:rPr>
            <w:rStyle w:val="Hyperlink"/>
            <w:color w:val="auto"/>
            <w:sz w:val="18"/>
            <w:szCs w:val="18"/>
          </w:rPr>
          <w:t>India's New Immigration Order 2025</w:t>
        </w:r>
      </w:hyperlink>
      <w:r w:rsidRPr="00176257">
        <w:rPr>
          <w:color w:val="auto"/>
          <w:sz w:val="18"/>
          <w:szCs w:val="18"/>
        </w:rPr>
        <w:t xml:space="preserve"> (3 September 2025). Foreigners Tribunals are quasi-judicial bodies established under the Foreigners (Tribunals) Order 1964, operating exclusively in Assam. Under the Foreigners Act 1946, the burden of proof falls on the individual to establish nationality. On the standard operating procedure, see PIIE Report, supra note 106, p. 68. </w:t>
      </w:r>
    </w:p>
  </w:footnote>
  <w:footnote w:id="145">
    <w:p w14:paraId="02D43C5E" w14:textId="1C41C6F3"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proofErr w:type="spellStart"/>
      <w:r w:rsidRPr="00176257">
        <w:rPr>
          <w:color w:val="auto"/>
          <w:sz w:val="18"/>
          <w:szCs w:val="18"/>
        </w:rPr>
        <w:t>LoIPR</w:t>
      </w:r>
      <w:proofErr w:type="spellEnd"/>
      <w:r w:rsidRPr="00176257">
        <w:rPr>
          <w:color w:val="auto"/>
          <w:sz w:val="18"/>
          <w:szCs w:val="18"/>
        </w:rPr>
        <w:t xml:space="preserve"> para. </w:t>
      </w:r>
      <w:r w:rsidRPr="00176257">
        <w:rPr>
          <w:color w:val="auto"/>
          <w:sz w:val="18"/>
          <w:szCs w:val="18"/>
        </w:rPr>
        <w:t xml:space="preserve">11. </w:t>
      </w:r>
    </w:p>
  </w:footnote>
  <w:footnote w:id="146">
    <w:p w14:paraId="231CA0DE"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Article 370 of the Indian Constitution granted Jammu and Kashmir autonomous legislative and executive power over all matters except defence, foreign affairs, and communications. The abrogation, effected by presidential order on 5 August 2019, simultaneously downgraded the State to two union territories under direct central control. </w:t>
      </w:r>
      <w:hyperlink r:id="rId130" w:history="1">
        <w:r w:rsidR="00133A42" w:rsidRPr="00176257">
          <w:rPr>
            <w:rStyle w:val="Hyperlink"/>
            <w:color w:val="auto"/>
            <w:sz w:val="18"/>
            <w:szCs w:val="18"/>
          </w:rPr>
          <w:t>Deccan Herald</w:t>
        </w:r>
      </w:hyperlink>
      <w:r w:rsidRPr="00176257">
        <w:rPr>
          <w:color w:val="auto"/>
          <w:sz w:val="18"/>
          <w:szCs w:val="18"/>
        </w:rPr>
        <w:t xml:space="preserve">. On AFSPA applicability, see para. 9 above. </w:t>
      </w:r>
    </w:p>
  </w:footnote>
  <w:footnote w:id="147">
    <w:p w14:paraId="1C541967"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Public Safety Act (PSA) permits preventive detention without trial for up to two years. The Unlawful Activities (Prevention) Act (UAPA) permits detention without charge for up to 180 days. </w:t>
      </w:r>
      <w:hyperlink r:id="rId131" w:history="1">
        <w:r w:rsidR="00133A42" w:rsidRPr="00176257">
          <w:rPr>
            <w:rStyle w:val="Hyperlink"/>
            <w:color w:val="auto"/>
            <w:sz w:val="18"/>
            <w:szCs w:val="18"/>
          </w:rPr>
          <w:t>AL IND 8/2025</w:t>
        </w:r>
      </w:hyperlink>
      <w:r w:rsidRPr="00176257">
        <w:rPr>
          <w:color w:val="auto"/>
          <w:sz w:val="18"/>
          <w:szCs w:val="18"/>
        </w:rPr>
        <w:t xml:space="preserve">, pp. 2, 5. </w:t>
      </w:r>
    </w:p>
  </w:footnote>
  <w:footnote w:id="148">
    <w:p w14:paraId="615F4A19"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132" w:history="1">
        <w:r w:rsidR="00133A42" w:rsidRPr="00176257">
          <w:rPr>
            <w:rStyle w:val="Hyperlink"/>
            <w:color w:val="auto"/>
            <w:sz w:val="18"/>
            <w:szCs w:val="18"/>
          </w:rPr>
          <w:t>AL IND 8/2025</w:t>
        </w:r>
      </w:hyperlink>
      <w:r w:rsidRPr="00176257">
        <w:rPr>
          <w:color w:val="auto"/>
          <w:sz w:val="18"/>
          <w:szCs w:val="18"/>
        </w:rPr>
        <w:t xml:space="preserve">, p. 2. Deaths in custody were attributed to torture. Of the fourteen militants named in the Pahalgam attack, only eight were connected to homes demolished as collective punishment (p. 3). </w:t>
      </w:r>
    </w:p>
  </w:footnote>
  <w:footnote w:id="149">
    <w:p w14:paraId="1FAA9E70" w14:textId="413B553C"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133" w:history="1">
        <w:r w:rsidR="00133A42" w:rsidRPr="00176257">
          <w:rPr>
            <w:rStyle w:val="Hyperlink"/>
            <w:color w:val="auto"/>
            <w:sz w:val="18"/>
            <w:szCs w:val="18"/>
          </w:rPr>
          <w:t>AL IND 8/2025</w:t>
        </w:r>
      </w:hyperlink>
      <w:r w:rsidRPr="00176257">
        <w:rPr>
          <w:color w:val="auto"/>
          <w:sz w:val="18"/>
          <w:szCs w:val="18"/>
        </w:rPr>
        <w:t xml:space="preserve"> (5 September 2025). See also OHCHR, </w:t>
      </w:r>
      <w:hyperlink r:id="rId134" w:history="1">
        <w:r w:rsidR="00133A42" w:rsidRPr="00176257">
          <w:rPr>
            <w:rStyle w:val="Hyperlink"/>
            <w:color w:val="auto"/>
            <w:sz w:val="18"/>
            <w:szCs w:val="18"/>
          </w:rPr>
          <w:t>UN experts alarmed by Indian counter-terrorism operations violating human rights in Jammu and Kashmir</w:t>
        </w:r>
      </w:hyperlink>
      <w:r w:rsidRPr="00176257">
        <w:rPr>
          <w:color w:val="auto"/>
          <w:sz w:val="18"/>
          <w:szCs w:val="18"/>
        </w:rPr>
        <w:t xml:space="preserve"> (November 2025). </w:t>
      </w:r>
    </w:p>
  </w:footnote>
  <w:footnote w:id="150">
    <w:p w14:paraId="6F8D041A"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CCPR/C/IND/CO/4, paras. 27–28. The </w:t>
      </w:r>
      <w:proofErr w:type="spellStart"/>
      <w:r w:rsidRPr="00176257">
        <w:rPr>
          <w:color w:val="auto"/>
          <w:sz w:val="18"/>
          <w:szCs w:val="18"/>
        </w:rPr>
        <w:t>HRCtee</w:t>
      </w:r>
      <w:proofErr w:type="spellEnd"/>
      <w:r w:rsidRPr="00176257">
        <w:rPr>
          <w:color w:val="auto"/>
          <w:sz w:val="18"/>
          <w:szCs w:val="18"/>
        </w:rPr>
        <w:t xml:space="preserve"> found that counter-terrorism legislation—including the Armed Forces (Special Powers) Act, the Public Safety Act 1990, the Unlawful Activities (Prevention) Act, and the National Security Act 1980—had led to "widespread and grave human rights violations, including the excessive use of force leading to unlawful killings, arbitrary detention without formal charges for years, sexual violence, forced displacement and torture" in Jammu and Kashmir, Manipur, and Assam. </w:t>
      </w:r>
    </w:p>
  </w:footnote>
  <w:footnote w:id="151">
    <w:p w14:paraId="0FE35C59"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Madrasas are Islamic educational institutions, often government-aided, providing religious alongside secular education. India's SPR paras. 131–140 address education policy exclusively for Scheduled Castes and Scheduled Tribes. Para. 153 states: "Concepts of human rights are deeply embedded in Indian education system.". </w:t>
      </w:r>
    </w:p>
  </w:footnote>
  <w:footnote w:id="152">
    <w:p w14:paraId="205A8266"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w:t>
      </w:r>
      <w:hyperlink r:id="rId135" w:history="1">
        <w:r w:rsidR="00133A42" w:rsidRPr="00176257">
          <w:rPr>
            <w:rStyle w:val="Hyperlink"/>
            <w:color w:val="auto"/>
            <w:sz w:val="18"/>
            <w:szCs w:val="18"/>
          </w:rPr>
          <w:t>National Commission for Protection of Child Rights</w:t>
        </w:r>
      </w:hyperlink>
      <w:r w:rsidRPr="00176257">
        <w:rPr>
          <w:color w:val="auto"/>
          <w:sz w:val="18"/>
          <w:szCs w:val="18"/>
        </w:rPr>
        <w:t xml:space="preserve"> (NCPCR) is a statutory body established under the Commissions for Protection of Child Rights Act, 2005. </w:t>
      </w:r>
      <w:hyperlink r:id="rId136" w:history="1">
        <w:r w:rsidR="00133A42" w:rsidRPr="00176257">
          <w:rPr>
            <w:rStyle w:val="Hyperlink"/>
            <w:color w:val="auto"/>
            <w:sz w:val="18"/>
            <w:szCs w:val="18"/>
          </w:rPr>
          <w:t>The News Minute</w:t>
        </w:r>
      </w:hyperlink>
      <w:r w:rsidRPr="00176257">
        <w:rPr>
          <w:color w:val="auto"/>
          <w:sz w:val="18"/>
          <w:szCs w:val="18"/>
        </w:rPr>
        <w:t xml:space="preserve">, 13 October 2024. </w:t>
      </w:r>
    </w:p>
  </w:footnote>
  <w:footnote w:id="153">
    <w:p w14:paraId="4B494225"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On Assam: see paragraph 11, supra. On Uttarakhand: </w:t>
      </w:r>
      <w:hyperlink r:id="rId137" w:history="1">
        <w:r w:rsidR="00133A42" w:rsidRPr="00176257">
          <w:rPr>
            <w:rStyle w:val="Hyperlink"/>
            <w:color w:val="auto"/>
            <w:sz w:val="18"/>
            <w:szCs w:val="18"/>
          </w:rPr>
          <w:t>Maktoob</w:t>
        </w:r>
      </w:hyperlink>
      <w:r w:rsidRPr="00176257">
        <w:rPr>
          <w:color w:val="auto"/>
          <w:sz w:val="18"/>
          <w:szCs w:val="18"/>
        </w:rPr>
        <w:t xml:space="preserve">, 14 April 2025. On UP Anti-Terrorism Squad: </w:t>
      </w:r>
      <w:hyperlink r:id="rId138" w:history="1">
        <w:r w:rsidR="00133A42" w:rsidRPr="00176257">
          <w:rPr>
            <w:rStyle w:val="Hyperlink"/>
            <w:color w:val="auto"/>
            <w:sz w:val="18"/>
            <w:szCs w:val="18"/>
          </w:rPr>
          <w:t>India TV News</w:t>
        </w:r>
      </w:hyperlink>
      <w:r w:rsidRPr="00176257">
        <w:rPr>
          <w:color w:val="auto"/>
          <w:sz w:val="18"/>
          <w:szCs w:val="18"/>
        </w:rPr>
        <w:t xml:space="preserve">, 19 November 2025; </w:t>
      </w:r>
      <w:hyperlink r:id="rId139" w:history="1">
        <w:r w:rsidR="00133A42" w:rsidRPr="00176257">
          <w:rPr>
            <w:rStyle w:val="Hyperlink"/>
            <w:color w:val="auto"/>
            <w:sz w:val="18"/>
            <w:szCs w:val="18"/>
          </w:rPr>
          <w:t>Outlook India</w:t>
        </w:r>
      </w:hyperlink>
      <w:r w:rsidRPr="00176257">
        <w:rPr>
          <w:color w:val="auto"/>
          <w:sz w:val="18"/>
          <w:szCs w:val="18"/>
        </w:rPr>
        <w:t xml:space="preserve">, October 2024. On J&amp;K school seizures: </w:t>
      </w:r>
      <w:hyperlink r:id="rId140" w:history="1">
        <w:proofErr w:type="spellStart"/>
        <w:r w:rsidR="00133A42" w:rsidRPr="00176257">
          <w:rPr>
            <w:rStyle w:val="Hyperlink"/>
            <w:color w:val="auto"/>
            <w:sz w:val="18"/>
            <w:szCs w:val="18"/>
          </w:rPr>
          <w:t>Siasat</w:t>
        </w:r>
        <w:proofErr w:type="spellEnd"/>
      </w:hyperlink>
      <w:r w:rsidRPr="00176257">
        <w:rPr>
          <w:color w:val="auto"/>
          <w:sz w:val="18"/>
          <w:szCs w:val="18"/>
        </w:rPr>
        <w:t xml:space="preserve">, 23 August 2025; </w:t>
      </w:r>
      <w:hyperlink r:id="rId141" w:history="1">
        <w:r w:rsidR="00133A42" w:rsidRPr="00176257">
          <w:rPr>
            <w:rStyle w:val="Hyperlink"/>
            <w:color w:val="auto"/>
            <w:sz w:val="18"/>
            <w:szCs w:val="18"/>
          </w:rPr>
          <w:t>The Wire</w:t>
        </w:r>
      </w:hyperlink>
      <w:r w:rsidRPr="00176257">
        <w:rPr>
          <w:color w:val="auto"/>
          <w:sz w:val="18"/>
          <w:szCs w:val="18"/>
        </w:rPr>
        <w:t xml:space="preserve">, 18 April 2026. The </w:t>
      </w:r>
      <w:hyperlink r:id="rId142" w:history="1">
        <w:r w:rsidR="00133A42" w:rsidRPr="00176257">
          <w:rPr>
            <w:rStyle w:val="Hyperlink"/>
            <w:color w:val="auto"/>
            <w:sz w:val="18"/>
            <w:szCs w:val="18"/>
          </w:rPr>
          <w:t>Unlawful Activities (Prevention) Act</w:t>
        </w:r>
      </w:hyperlink>
      <w:r w:rsidRPr="00176257">
        <w:rPr>
          <w:color w:val="auto"/>
          <w:sz w:val="18"/>
          <w:szCs w:val="18"/>
        </w:rPr>
        <w:t xml:space="preserve"> (UAPA) is India's principal counter-terrorism statute; Jamaat-e-Islami J&amp;K was designated an "unlawful association" in 2019. </w:t>
      </w:r>
    </w:p>
  </w:footnote>
  <w:footnote w:id="154">
    <w:p w14:paraId="547B5D08"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w:t>
      </w:r>
      <w:hyperlink r:id="rId143" w:history="1">
        <w:r w:rsidR="00133A42" w:rsidRPr="00176257">
          <w:rPr>
            <w:rStyle w:val="Hyperlink"/>
            <w:color w:val="auto"/>
            <w:sz w:val="18"/>
            <w:szCs w:val="18"/>
          </w:rPr>
          <w:t>National Council of Educational Research and Training</w:t>
        </w:r>
      </w:hyperlink>
      <w:r w:rsidRPr="00176257">
        <w:rPr>
          <w:color w:val="auto"/>
          <w:sz w:val="18"/>
          <w:szCs w:val="18"/>
        </w:rPr>
        <w:t xml:space="preserve"> (NCERT) is the central government body responsible for designing the national curriculum and publishing textbooks used across India. </w:t>
      </w:r>
      <w:hyperlink r:id="rId144" w:history="1">
        <w:r w:rsidR="00133A42" w:rsidRPr="00176257">
          <w:rPr>
            <w:rStyle w:val="Hyperlink"/>
            <w:color w:val="auto"/>
            <w:sz w:val="18"/>
            <w:szCs w:val="18"/>
          </w:rPr>
          <w:t>Time</w:t>
        </w:r>
      </w:hyperlink>
      <w:r w:rsidRPr="00176257">
        <w:rPr>
          <w:color w:val="auto"/>
          <w:sz w:val="18"/>
          <w:szCs w:val="18"/>
        </w:rPr>
        <w:t xml:space="preserve">, June 2023; </w:t>
      </w:r>
      <w:hyperlink r:id="rId145" w:history="1">
        <w:r w:rsidR="00133A42" w:rsidRPr="00176257">
          <w:rPr>
            <w:rStyle w:val="Hyperlink"/>
            <w:color w:val="auto"/>
            <w:sz w:val="18"/>
            <w:szCs w:val="18"/>
          </w:rPr>
          <w:t>Al Jazeera</w:t>
        </w:r>
      </w:hyperlink>
      <w:r w:rsidRPr="00176257">
        <w:rPr>
          <w:color w:val="auto"/>
          <w:sz w:val="18"/>
          <w:szCs w:val="18"/>
        </w:rPr>
        <w:t xml:space="preserve">, April 2023. </w:t>
      </w:r>
    </w:p>
  </w:footnote>
  <w:footnote w:id="155">
    <w:p w14:paraId="1BACE2B6"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India's Supreme Court has listed cases challenging laws that directly affect minority rights—including constitutional challenges to the Citizenship (Amendment) Act 2019 (see para. 33 above)—without hearing or deciding them for several years. </w:t>
      </w:r>
    </w:p>
  </w:footnote>
  <w:footnote w:id="156">
    <w:p w14:paraId="52821BAF"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Communication from the Special Rapporteur on the independence of judges and lawyers, ref. </w:t>
      </w:r>
      <w:hyperlink r:id="rId146" w:history="1">
        <w:r w:rsidR="00133A42" w:rsidRPr="00176257">
          <w:rPr>
            <w:rStyle w:val="Hyperlink"/>
            <w:color w:val="auto"/>
            <w:sz w:val="18"/>
            <w:szCs w:val="18"/>
          </w:rPr>
          <w:t>AL IND 1/2025</w:t>
        </w:r>
      </w:hyperlink>
      <w:r w:rsidRPr="00176257">
        <w:rPr>
          <w:color w:val="auto"/>
          <w:sz w:val="18"/>
          <w:szCs w:val="18"/>
        </w:rPr>
        <w:t xml:space="preserve">, 25 February 2025. The Special Rapporteur noted that as of early 2024, one of 33 sitting Supreme Court justices was Muslim, and that 36 per cent were from the Brahmin caste, which constitutes approximately 5 per cent of the population. She expressed concern that "high-profile, politically sensitive cases have been subject to very long delays" and noted a perceived pattern of post-retirement rewards for judges who rule in favour of the executive. </w:t>
      </w:r>
    </w:p>
  </w:footnote>
  <w:footnote w:id="157">
    <w:p w14:paraId="646CF1EC"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Guernica 37 Group and South Asia Justice Campaign, </w:t>
      </w:r>
      <w:hyperlink r:id="rId147" w:history="1">
        <w:r w:rsidR="00133A42" w:rsidRPr="00176257">
          <w:rPr>
            <w:rStyle w:val="Hyperlink"/>
            <w:color w:val="auto"/>
            <w:sz w:val="18"/>
            <w:szCs w:val="18"/>
          </w:rPr>
          <w:t>Perception of Judicial Independence and Impartiality at the Indian Supreme Court</w:t>
        </w:r>
      </w:hyperlink>
      <w:r w:rsidRPr="00176257">
        <w:rPr>
          <w:color w:val="auto"/>
          <w:sz w:val="18"/>
          <w:szCs w:val="18"/>
        </w:rPr>
        <w:t xml:space="preserve"> (December 2024). </w:t>
      </w:r>
    </w:p>
  </w:footnote>
  <w:footnote w:id="158">
    <w:p w14:paraId="4289D369"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CCPR/C/IND/CO/4, paras. 35 and 37. On the undertrial population, see also para. 14 above. </w:t>
      </w:r>
    </w:p>
  </w:footnote>
  <w:footnote w:id="159">
    <w:p w14:paraId="3C803378"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Responds to </w:t>
      </w:r>
      <w:proofErr w:type="spellStart"/>
      <w:r w:rsidRPr="00176257">
        <w:rPr>
          <w:color w:val="auto"/>
          <w:sz w:val="18"/>
          <w:szCs w:val="18"/>
        </w:rPr>
        <w:t>LoT</w:t>
      </w:r>
      <w:proofErr w:type="spellEnd"/>
      <w:r w:rsidRPr="00176257">
        <w:rPr>
          <w:color w:val="auto"/>
          <w:sz w:val="18"/>
          <w:szCs w:val="18"/>
        </w:rPr>
        <w:t xml:space="preserve"> paras. 27–31. </w:t>
      </w:r>
    </w:p>
  </w:footnote>
  <w:footnote w:id="160">
    <w:p w14:paraId="1D4351A5"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Jayalakshmi </w:t>
      </w:r>
      <w:proofErr w:type="spellStart"/>
      <w:r w:rsidRPr="00176257">
        <w:rPr>
          <w:color w:val="auto"/>
          <w:sz w:val="18"/>
          <w:szCs w:val="18"/>
        </w:rPr>
        <w:t>Itla</w:t>
      </w:r>
      <w:proofErr w:type="spellEnd"/>
      <w:r w:rsidRPr="00176257">
        <w:rPr>
          <w:color w:val="auto"/>
          <w:sz w:val="18"/>
          <w:szCs w:val="18"/>
        </w:rPr>
        <w:t xml:space="preserve"> Ragiri, </w:t>
      </w:r>
      <w:hyperlink r:id="rId148" w:history="1">
        <w:r w:rsidR="00133A42" w:rsidRPr="00176257">
          <w:rPr>
            <w:rStyle w:val="Hyperlink"/>
            <w:color w:val="auto"/>
            <w:sz w:val="18"/>
            <w:szCs w:val="18"/>
          </w:rPr>
          <w:t>India's New Immigration Law Leaves Refugees, Especially Rohingyas, in Legal Limbo</w:t>
        </w:r>
      </w:hyperlink>
      <w:r w:rsidRPr="00176257">
        <w:rPr>
          <w:color w:val="auto"/>
          <w:sz w:val="18"/>
          <w:szCs w:val="18"/>
        </w:rPr>
        <w:t xml:space="preserve">, The Wire, 8 January 2026. See also US Committee for Refugees and Immigrants (USCRI), </w:t>
      </w:r>
      <w:hyperlink r:id="rId149" w:history="1">
        <w:r w:rsidR="00133A42" w:rsidRPr="00176257">
          <w:rPr>
            <w:rStyle w:val="Hyperlink"/>
            <w:color w:val="auto"/>
            <w:sz w:val="18"/>
            <w:szCs w:val="18"/>
          </w:rPr>
          <w:t>No Shelter: India's Selective Abandonment of its Refugees</w:t>
        </w:r>
      </w:hyperlink>
      <w:r w:rsidRPr="00176257">
        <w:rPr>
          <w:color w:val="auto"/>
          <w:sz w:val="18"/>
          <w:szCs w:val="18"/>
        </w:rPr>
        <w:t xml:space="preserve">, 24 March 2026. </w:t>
      </w:r>
    </w:p>
  </w:footnote>
  <w:footnote w:id="161">
    <w:p w14:paraId="3A9FF29F"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150" w:history="1">
        <w:r w:rsidR="00133A42" w:rsidRPr="00176257">
          <w:rPr>
            <w:rStyle w:val="Hyperlink"/>
            <w:color w:val="auto"/>
            <w:sz w:val="18"/>
            <w:szCs w:val="18"/>
          </w:rPr>
          <w:t>The Guardian</w:t>
        </w:r>
      </w:hyperlink>
      <w:r w:rsidRPr="00176257">
        <w:rPr>
          <w:color w:val="auto"/>
          <w:sz w:val="18"/>
          <w:szCs w:val="18"/>
        </w:rPr>
        <w:t xml:space="preserve"> (19 June 2025). See also </w:t>
      </w:r>
      <w:hyperlink r:id="rId151" w:history="1">
        <w:r w:rsidR="00133A42" w:rsidRPr="00176257">
          <w:rPr>
            <w:rStyle w:val="Hyperlink"/>
            <w:color w:val="auto"/>
            <w:sz w:val="18"/>
            <w:szCs w:val="18"/>
          </w:rPr>
          <w:t>Scroll.in</w:t>
        </w:r>
      </w:hyperlink>
      <w:r w:rsidRPr="00176257">
        <w:rPr>
          <w:color w:val="auto"/>
          <w:sz w:val="18"/>
          <w:szCs w:val="18"/>
        </w:rPr>
        <w:t xml:space="preserve"> (residents given 24 hours to leave, pushed across the border repeatedly); </w:t>
      </w:r>
      <w:hyperlink r:id="rId152" w:history="1">
        <w:r w:rsidR="00133A42" w:rsidRPr="00176257">
          <w:rPr>
            <w:rStyle w:val="Hyperlink"/>
            <w:color w:val="auto"/>
            <w:sz w:val="18"/>
            <w:szCs w:val="18"/>
          </w:rPr>
          <w:t>Scroll.in</w:t>
        </w:r>
      </w:hyperlink>
      <w:r w:rsidRPr="00176257">
        <w:rPr>
          <w:color w:val="auto"/>
          <w:sz w:val="18"/>
          <w:szCs w:val="18"/>
        </w:rPr>
        <w:t xml:space="preserve"> (14-member family from Odisha pushed across four times). </w:t>
      </w:r>
    </w:p>
  </w:footnote>
  <w:footnote w:id="162">
    <w:p w14:paraId="252B82C6"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153" w:history="1">
        <w:r w:rsidR="00133A42" w:rsidRPr="00176257">
          <w:rPr>
            <w:rStyle w:val="Hyperlink"/>
            <w:color w:val="auto"/>
            <w:sz w:val="18"/>
            <w:szCs w:val="18"/>
          </w:rPr>
          <w:t>Maktoob Media</w:t>
        </w:r>
      </w:hyperlink>
      <w:r w:rsidRPr="00176257">
        <w:rPr>
          <w:color w:val="auto"/>
          <w:sz w:val="18"/>
          <w:szCs w:val="18"/>
        </w:rPr>
        <w:t xml:space="preserve"> (14 March 2026). See also PIIE Report, supra note 106, p. 168. </w:t>
      </w:r>
    </w:p>
  </w:footnote>
  <w:footnote w:id="163">
    <w:p w14:paraId="1144A493"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Guardian, supra note 161. </w:t>
      </w:r>
    </w:p>
  </w:footnote>
  <w:footnote w:id="164">
    <w:p w14:paraId="116A4930"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PIIE Report, supra note 106, p. 168. </w:t>
      </w:r>
    </w:p>
  </w:footnote>
  <w:footnote w:id="165">
    <w:p w14:paraId="3586693D"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CCPR/C/IND/CO/4, paras. 41–42. The </w:t>
      </w:r>
      <w:proofErr w:type="spellStart"/>
      <w:r w:rsidRPr="00176257">
        <w:rPr>
          <w:color w:val="auto"/>
          <w:sz w:val="18"/>
          <w:szCs w:val="18"/>
        </w:rPr>
        <w:t>HRCtee</w:t>
      </w:r>
      <w:proofErr w:type="spellEnd"/>
      <w:r w:rsidRPr="00176257">
        <w:rPr>
          <w:color w:val="auto"/>
          <w:sz w:val="18"/>
          <w:szCs w:val="18"/>
        </w:rPr>
        <w:t xml:space="preserve"> also recommended that India "[r]</w:t>
      </w:r>
      <w:proofErr w:type="spellStart"/>
      <w:r w:rsidRPr="00176257">
        <w:rPr>
          <w:color w:val="auto"/>
          <w:sz w:val="18"/>
          <w:szCs w:val="18"/>
        </w:rPr>
        <w:t>efrain</w:t>
      </w:r>
      <w:proofErr w:type="spellEnd"/>
      <w:r w:rsidRPr="00176257">
        <w:rPr>
          <w:color w:val="auto"/>
          <w:sz w:val="18"/>
          <w:szCs w:val="18"/>
        </w:rPr>
        <w:t xml:space="preserve"> from criminalizing the irregular entry or stay of migrants" and "consider ratifying" the 1951 Refugee Convention and statelessness conventions (para. 42). On Rohingya, see also CERD EWUAP statement, June 2024. </w:t>
      </w:r>
    </w:p>
  </w:footnote>
  <w:footnote w:id="166">
    <w:p w14:paraId="008028D9"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full quote from SPR para. 143: "The issue of deportation of illegal migrants of Rakhine state was considered by the Supreme Court of India in Mohammad Salimullah and </w:t>
      </w:r>
      <w:proofErr w:type="spellStart"/>
      <w:r w:rsidRPr="00176257">
        <w:rPr>
          <w:color w:val="auto"/>
          <w:sz w:val="18"/>
          <w:szCs w:val="18"/>
        </w:rPr>
        <w:t>Anr</w:t>
      </w:r>
      <w:proofErr w:type="spellEnd"/>
      <w:r w:rsidRPr="00176257">
        <w:rPr>
          <w:color w:val="auto"/>
          <w:sz w:val="18"/>
          <w:szCs w:val="18"/>
        </w:rPr>
        <w:t xml:space="preserve"> v. Union of India (2021), and they found no grounds to interfere with the decision.". </w:t>
      </w:r>
    </w:p>
  </w:footnote>
  <w:footnote w:id="167">
    <w:p w14:paraId="4FABBE95"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Responds to </w:t>
      </w:r>
      <w:proofErr w:type="spellStart"/>
      <w:r w:rsidRPr="00176257">
        <w:rPr>
          <w:color w:val="auto"/>
          <w:sz w:val="18"/>
          <w:szCs w:val="18"/>
        </w:rPr>
        <w:t>LoT</w:t>
      </w:r>
      <w:proofErr w:type="spellEnd"/>
      <w:r w:rsidRPr="00176257">
        <w:rPr>
          <w:color w:val="auto"/>
          <w:sz w:val="18"/>
          <w:szCs w:val="18"/>
        </w:rPr>
        <w:t xml:space="preserve"> paras. 32–33. </w:t>
      </w:r>
    </w:p>
  </w:footnote>
  <w:footnote w:id="168">
    <w:p w14:paraId="0ABB4B5A"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SPR, para. 153. </w:t>
      </w:r>
    </w:p>
  </w:footnote>
  <w:footnote w:id="169">
    <w:p w14:paraId="4E4665E1"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w:t>
      </w:r>
      <w:hyperlink r:id="rId154" w:history="1">
        <w:r w:rsidR="00133A42" w:rsidRPr="00176257">
          <w:rPr>
            <w:rStyle w:val="Hyperlink"/>
            <w:color w:val="auto"/>
            <w:sz w:val="18"/>
            <w:szCs w:val="18"/>
          </w:rPr>
          <w:t>Durban Declaration and Programme of Action</w:t>
        </w:r>
      </w:hyperlink>
      <w:r w:rsidRPr="00176257">
        <w:rPr>
          <w:color w:val="auto"/>
          <w:sz w:val="18"/>
          <w:szCs w:val="18"/>
        </w:rPr>
        <w:t xml:space="preserve"> (2001), Programme of Action, para. 66, which urged States to "establish and implement without delay national policies and action plans against racism, racial discrimination, xenophobia and related intolerance.". </w:t>
      </w:r>
    </w:p>
  </w:footnote>
  <w:footnote w:id="170">
    <w:p w14:paraId="7DBF4CB0" w14:textId="77777777" w:rsidR="00133A42" w:rsidRPr="00176257" w:rsidRDefault="00000000" w:rsidP="00882268">
      <w:pPr>
        <w:ind w:left="-426" w:right="-472"/>
        <w:rPr>
          <w:color w:val="auto"/>
        </w:rPr>
      </w:pPr>
      <w:r w:rsidRPr="00176257">
        <w:rPr>
          <w:rStyle w:val="FootnoteReference"/>
          <w:color w:val="auto"/>
        </w:rPr>
        <w:footnoteRef/>
      </w:r>
      <w:r w:rsidRPr="00176257">
        <w:rPr>
          <w:color w:val="auto"/>
          <w:sz w:val="18"/>
          <w:szCs w:val="18"/>
        </w:rPr>
        <w:t xml:space="preserve"> The National Integration Council is an advisory body convened by the Prime Minister, with representatives from political parties, State chief ministers, and civil society. Its last meeting was held on 23 September 2013.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A4B5100"/>
    <w:multiLevelType w:val="hybridMultilevel"/>
    <w:tmpl w:val="5BECC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B230BE"/>
    <w:multiLevelType w:val="hybridMultilevel"/>
    <w:tmpl w:val="46581738"/>
    <w:lvl w:ilvl="0" w:tplc="21D43FD2">
      <w:start w:val="1"/>
      <w:numFmt w:val="bullet"/>
      <w:lvlText w:val="●"/>
      <w:lvlJc w:val="left"/>
      <w:pPr>
        <w:ind w:left="720" w:hanging="360"/>
      </w:pPr>
    </w:lvl>
    <w:lvl w:ilvl="1" w:tplc="B764261A">
      <w:start w:val="1"/>
      <w:numFmt w:val="bullet"/>
      <w:lvlText w:val="○"/>
      <w:lvlJc w:val="left"/>
      <w:pPr>
        <w:ind w:left="1440" w:hanging="360"/>
      </w:pPr>
    </w:lvl>
    <w:lvl w:ilvl="2" w:tplc="FF2E163A">
      <w:start w:val="1"/>
      <w:numFmt w:val="bullet"/>
      <w:lvlText w:val="■"/>
      <w:lvlJc w:val="left"/>
      <w:pPr>
        <w:ind w:left="2160" w:hanging="360"/>
      </w:pPr>
    </w:lvl>
    <w:lvl w:ilvl="3" w:tplc="1C3EE8DC">
      <w:start w:val="1"/>
      <w:numFmt w:val="bullet"/>
      <w:lvlText w:val="●"/>
      <w:lvlJc w:val="left"/>
      <w:pPr>
        <w:ind w:left="2880" w:hanging="360"/>
      </w:pPr>
    </w:lvl>
    <w:lvl w:ilvl="4" w:tplc="F9B8CBF8">
      <w:start w:val="1"/>
      <w:numFmt w:val="bullet"/>
      <w:lvlText w:val="○"/>
      <w:lvlJc w:val="left"/>
      <w:pPr>
        <w:ind w:left="3600" w:hanging="360"/>
      </w:pPr>
    </w:lvl>
    <w:lvl w:ilvl="5" w:tplc="70E80314">
      <w:start w:val="1"/>
      <w:numFmt w:val="bullet"/>
      <w:lvlText w:val="■"/>
      <w:lvlJc w:val="left"/>
      <w:pPr>
        <w:ind w:left="4320" w:hanging="360"/>
      </w:pPr>
    </w:lvl>
    <w:lvl w:ilvl="6" w:tplc="5A606D56">
      <w:start w:val="1"/>
      <w:numFmt w:val="bullet"/>
      <w:lvlText w:val="●"/>
      <w:lvlJc w:val="left"/>
      <w:pPr>
        <w:ind w:left="5040" w:hanging="360"/>
      </w:pPr>
    </w:lvl>
    <w:lvl w:ilvl="7" w:tplc="E2B037A8">
      <w:start w:val="1"/>
      <w:numFmt w:val="bullet"/>
      <w:lvlText w:val="●"/>
      <w:lvlJc w:val="left"/>
      <w:pPr>
        <w:ind w:left="5760" w:hanging="360"/>
      </w:pPr>
    </w:lvl>
    <w:lvl w:ilvl="8" w:tplc="9132C3F4">
      <w:start w:val="1"/>
      <w:numFmt w:val="bullet"/>
      <w:lvlText w:val="●"/>
      <w:lvlJc w:val="left"/>
      <w:pPr>
        <w:ind w:left="6480" w:hanging="360"/>
      </w:pPr>
    </w:lvl>
  </w:abstractNum>
  <w:abstractNum w:abstractNumId="2" w15:restartNumberingAfterBreak="0">
    <w:nsid w:val="6D937384"/>
    <w:multiLevelType w:val="multilevel"/>
    <w:tmpl w:val="C02A8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297880">
    <w:abstractNumId w:val="1"/>
    <w:lvlOverride w:ilvl="0">
      <w:startOverride w:val="1"/>
    </w:lvlOverride>
  </w:num>
  <w:num w:numId="2" w16cid:durableId="2100636419">
    <w:abstractNumId w:val="0"/>
  </w:num>
  <w:num w:numId="3" w16cid:durableId="1855802410">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A42"/>
    <w:rsid w:val="00133A42"/>
    <w:rsid w:val="00176257"/>
    <w:rsid w:val="001D2FE2"/>
    <w:rsid w:val="003A7C09"/>
    <w:rsid w:val="004E5B62"/>
    <w:rsid w:val="0053263A"/>
    <w:rsid w:val="00882268"/>
    <w:rsid w:val="00A15454"/>
    <w:rsid w:val="00BB6E3E"/>
    <w:rsid w:val="00C85256"/>
    <w:rsid w:val="00F86B1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442A53BC"/>
  <w15:docId w15:val="{02FF02BC-C7BA-2846-9F56-E5B76F57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color w:val="000000"/>
        <w:sz w:val="22"/>
        <w:szCs w:val="22"/>
        <w:lang w:val="en-I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882268"/>
    <w:rPr>
      <w:color w:val="605E5C"/>
      <w:shd w:val="clear" w:color="auto" w:fill="E1DFDD"/>
    </w:rPr>
  </w:style>
  <w:style w:type="paragraph" w:styleId="NormalWeb">
    <w:name w:val="Normal (Web)"/>
    <w:basedOn w:val="Normal"/>
    <w:uiPriority w:val="99"/>
    <w:semiHidden/>
    <w:unhideWhenUsed/>
    <w:rsid w:val="00882268"/>
    <w:pPr>
      <w:spacing w:before="100" w:beforeAutospacing="1" w:after="100" w:afterAutospacing="1"/>
    </w:pPr>
    <w:rPr>
      <w:color w:val="auto"/>
      <w:sz w:val="24"/>
      <w:szCs w:val="24"/>
    </w:rPr>
  </w:style>
  <w:style w:type="paragraph" w:styleId="Header">
    <w:name w:val="header"/>
    <w:basedOn w:val="Normal"/>
    <w:link w:val="HeaderChar"/>
    <w:uiPriority w:val="99"/>
    <w:unhideWhenUsed/>
    <w:rsid w:val="00176257"/>
    <w:pPr>
      <w:tabs>
        <w:tab w:val="center" w:pos="4513"/>
        <w:tab w:val="right" w:pos="9026"/>
      </w:tabs>
    </w:pPr>
  </w:style>
  <w:style w:type="character" w:customStyle="1" w:styleId="HeaderChar">
    <w:name w:val="Header Char"/>
    <w:basedOn w:val="DefaultParagraphFont"/>
    <w:link w:val="Header"/>
    <w:uiPriority w:val="99"/>
    <w:rsid w:val="00176257"/>
  </w:style>
  <w:style w:type="paragraph" w:styleId="Footer">
    <w:name w:val="footer"/>
    <w:basedOn w:val="Normal"/>
    <w:link w:val="FooterChar"/>
    <w:uiPriority w:val="99"/>
    <w:unhideWhenUsed/>
    <w:rsid w:val="00176257"/>
    <w:pPr>
      <w:tabs>
        <w:tab w:val="center" w:pos="4513"/>
        <w:tab w:val="right" w:pos="9026"/>
      </w:tabs>
    </w:pPr>
  </w:style>
  <w:style w:type="character" w:customStyle="1" w:styleId="FooterChar">
    <w:name w:val="Footer Char"/>
    <w:basedOn w:val="DefaultParagraphFont"/>
    <w:link w:val="Footer"/>
    <w:uiPriority w:val="99"/>
    <w:rsid w:val="001762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outhasiajusticecampaign@proton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17" Type="http://schemas.openxmlformats.org/officeDocument/2006/relationships/hyperlink" Target="https://www.minorityaffairs.gov.in/reports/sachar-committee-report" TargetMode="External"/><Relationship Id="rId21" Type="http://schemas.openxmlformats.org/officeDocument/2006/relationships/hyperlink" Target="https://www.pib.gov.in/PressReleasePage.aspx?PRID=2125526" TargetMode="External"/><Relationship Id="rId42" Type="http://schemas.openxmlformats.org/officeDocument/2006/relationships/hyperlink" Target="https://www.uscirf.gov/sites/default/files/2026-03/USCIRF_2026_AR%20(2).pdf" TargetMode="External"/><Relationship Id="rId63" Type="http://schemas.openxmlformats.org/officeDocument/2006/relationships/hyperlink" Target="https://www.ohchr.org/sites/default/files/documents/issues/executions/cfis/2025-rights-families/subm-families-victims-extrajudicial-cso-9-interna-insaf-india-rance.pdf" TargetMode="External"/><Relationship Id="rId84" Type="http://schemas.openxmlformats.org/officeDocument/2006/relationships/hyperlink" Target="https://cjp.org.in/everyday-atrocity-mapping-the-normalisation-of-violence-against-dalits-and-adivasis-in-2025/" TargetMode="External"/><Relationship Id="rId138" Type="http://schemas.openxmlformats.org/officeDocument/2006/relationships/hyperlink" Target="https://www.indiatvnews.com/uttar-pradesh/up-ats-seeks-details-of-madrasa-staff-students-from-districts-in-prayagraj-zone-after-delhi-blast-2025-11-19-1018214" TargetMode="External"/><Relationship Id="rId107" Type="http://schemas.openxmlformats.org/officeDocument/2006/relationships/hyperlink" Target="https://www.deccanherald.com/india/gujarat/gujarat-announces-changes-in-marriage-registration-rules-to-stop-love-jihad-misuse-by-antisocial-elements-3905523" TargetMode="External"/><Relationship Id="rId11" Type="http://schemas.openxmlformats.org/officeDocument/2006/relationships/hyperlink" Target="https://timesofindia.indiatimes.com/elections/lok-sabha-elections-2019/uttar-pradesh/news/yogi-adityanath-calls-sp-candidate-babur-ki-aulad/articleshow/68964111.cms" TargetMode="External"/><Relationship Id="rId32" Type="http://schemas.openxmlformats.org/officeDocument/2006/relationships/hyperlink" Target="https://www.aljazeera.com/news/2026/5/6/manipurs-unknown-killers-three-years-of-indias-bloody-ethnic-conflict" TargetMode="External"/><Relationship Id="rId53" Type="http://schemas.openxmlformats.org/officeDocument/2006/relationships/hyperlink" Target="https://timesofindia.indiatimes.com/city/ranchi/rights-bodies-oppose-rally-for-delisting-of-converted-tribals-in-ranchi/articleshow/106243177.cms" TargetMode="External"/><Relationship Id="rId74" Type="http://schemas.openxmlformats.org/officeDocument/2006/relationships/hyperlink" Target="https://m.thewire.in/article/environment/gram-sabha-that-cleared-great-nicobar-island-project-didnt-meet-50-quorum" TargetMode="External"/><Relationship Id="rId128" Type="http://schemas.openxmlformats.org/officeDocument/2006/relationships/hyperlink" Target="https://www.reporters-collective.in/trc/wb-chief-minister-lied" TargetMode="External"/><Relationship Id="rId149" Type="http://schemas.openxmlformats.org/officeDocument/2006/relationships/hyperlink" Target="https://refugees.org/no-shelter-indias-selective-abandonment-of-its-refugees/" TargetMode="External"/><Relationship Id="rId5" Type="http://schemas.openxmlformats.org/officeDocument/2006/relationships/hyperlink" Target="https://southasiajusticecampaign.org/" TargetMode="External"/><Relationship Id="rId95" Type="http://schemas.openxmlformats.org/officeDocument/2006/relationships/hyperlink" Target="https://scroll.in/article/895667/a-year-after-jharkhand-girl-died-of-starvation-aadhaar-tragedies-are-on-the-rise" TargetMode="External"/><Relationship Id="rId22" Type="http://schemas.openxmlformats.org/officeDocument/2006/relationships/hyperlink" Target="https://www.thelancet.com/journals/lancet/article/PIIS0140-6736(23)01477-0/fulltext" TargetMode="External"/><Relationship Id="rId27" Type="http://schemas.openxmlformats.org/officeDocument/2006/relationships/hyperlink" Target="https://clpr.org.in/blog/an-overview-of-the-equality-bill-2019/" TargetMode="External"/><Relationship Id="rId43" Type="http://schemas.openxmlformats.org/officeDocument/2006/relationships/hyperlink" Target="https://theprint.in/politics/rss-in-modi-govt-in-numbers-3-of-4-ministers-are-rooted-in-the-sangh/353942/" TargetMode="External"/><Relationship Id="rId48" Type="http://schemas.openxmlformats.org/officeDocument/2006/relationships/hyperlink" Target="https://ganhri.org/wp-content/uploads/2025/06/SCA-Report-march-2025-session_13052025_EN.pdf" TargetMode="External"/><Relationship Id="rId64" Type="http://schemas.openxmlformats.org/officeDocument/2006/relationships/hyperlink" Target="https://sanhati.com/wp-content/uploads/2015/11/Undertrial-prisoners_Bastar.pdf" TargetMode="External"/><Relationship Id="rId69" Type="http://schemas.openxmlformats.org/officeDocument/2006/relationships/hyperlink" Target="https://www.scientificamerican.com/article/indigenous-children-are-still-dying-in-boarding-schools/" TargetMode="External"/><Relationship Id="rId113" Type="http://schemas.openxmlformats.org/officeDocument/2006/relationships/hyperlink" Target="https://spcommreports.ohchr.org/TMResultsBase/DownLoadPublicCommunicationFile?gId=30319" TargetMode="External"/><Relationship Id="rId118" Type="http://schemas.openxmlformats.org/officeDocument/2006/relationships/hyperlink" Target="https://thewire.in/government/minority-scholarship-schemes-frozen-for-over-3-years-due-to-irregularities-parliamentary-panel-flags-concern" TargetMode="External"/><Relationship Id="rId134" Type="http://schemas.openxmlformats.org/officeDocument/2006/relationships/hyperlink" Target="https://www.ohchr.org/en/press-releases/2025/11/un-experts-alarmed-indian-counter-terrorism-operations-violating-human" TargetMode="External"/><Relationship Id="rId139" Type="http://schemas.openxmlformats.org/officeDocument/2006/relationships/hyperlink" Target="https://www.outlookindia.com/national/from-surveying-unrecognised-schools-to-probing-foreign-funding-uttar-pradesh-govt-keeps-madrasas-under-scanner" TargetMode="External"/><Relationship Id="rId80" Type="http://schemas.openxmlformats.org/officeDocument/2006/relationships/hyperlink" Target="https://en.wikipedia.org/wiki/National_Commission_for_Religious_and_Linguistic_Minorities" TargetMode="External"/><Relationship Id="rId85" Type="http://schemas.openxmlformats.org/officeDocument/2006/relationships/hyperlink" Target="https://www.ncrb.gov.in/uploads/files/2CrimeinIndia2024-VolumeII.pdf" TargetMode="External"/><Relationship Id="rId150" Type="http://schemas.openxmlformats.org/officeDocument/2006/relationships/hyperlink" Target="https://www.theguardian.com/global-development/2025/jun/19/india-deporting-indians-muslim-citizens-bangladesh-say-rights-groups-border" TargetMode="External"/><Relationship Id="rId12" Type="http://schemas.openxmlformats.org/officeDocument/2006/relationships/hyperlink" Target="https://indiahatelab.com/2026/01/13/hate-speech-events-in-india-2025/" TargetMode="External"/><Relationship Id="rId17" Type="http://schemas.openxmlformats.org/officeDocument/2006/relationships/hyperlink" Target="https://www.scienceopen.com/hosted-document?doi=10.13169/reorient.8.2.0153" TargetMode="External"/><Relationship Id="rId33" Type="http://schemas.openxmlformats.org/officeDocument/2006/relationships/hyperlink" Target="https://www.amnesty.org/en/latest/news/2026/06/india-release-all-hostages-and-end-cycle-of-violence-in-manipur/" TargetMode="External"/><Relationship Id="rId38" Type="http://schemas.openxmlformats.org/officeDocument/2006/relationships/hyperlink" Target="https://scroll.in/latest/1090299/4-5-lakh-miyas-will-get-deleted-in-assam-sir-my-job-to-make-them-suffer-himanta-biswa-sarma" TargetMode="External"/><Relationship Id="rId59" Type="http://schemas.openxmlformats.org/officeDocument/2006/relationships/hyperlink" Target="https://m.thewire.in/article/rights/the-end-of-naxalism-the-end-of-accountability" TargetMode="External"/><Relationship Id="rId103" Type="http://schemas.openxmlformats.org/officeDocument/2006/relationships/hyperlink" Target="https://journals.sagepub.com/doi/10.1177/13505084241247451" TargetMode="External"/><Relationship Id="rId108" Type="http://schemas.openxmlformats.org/officeDocument/2006/relationships/hyperlink" Target="https://www.uscirf.gov/sites/default/files/2025-04/India%202025%20USCIRF%20Annual%20Report.pdf" TargetMode="External"/><Relationship Id="rId124" Type="http://schemas.openxmlformats.org/officeDocument/2006/relationships/hyperlink" Target="https://indiaelectionmonitor.wordpress.com/wp-content/uploads/2026/05/ipmie-2026-assembly-elections-assessment-1.pdf" TargetMode="External"/><Relationship Id="rId129" Type="http://schemas.openxmlformats.org/officeDocument/2006/relationships/hyperlink" Target="https://cjp.org.in/indias-new-immigration-order-2025-consolidation-or-continuity-of-exclusion/" TargetMode="External"/><Relationship Id="rId54" Type="http://schemas.openxmlformats.org/officeDocument/2006/relationships/hyperlink" Target="https://cjp.org.in/forest-conservation-rules-2022-an-overview-of-changes-that-snatch-rights-of-gram-sabhas/" TargetMode="External"/><Relationship Id="rId70" Type="http://schemas.openxmlformats.org/officeDocument/2006/relationships/hyperlink" Target="https://www.survivalinternational.org/articles/adani-kiss-factory-school" TargetMode="External"/><Relationship Id="rId75" Type="http://schemas.openxmlformats.org/officeDocument/2006/relationships/hyperlink" Target="https://scroll.in/latest/1092727/great-nicobar-project-hc-upholds-maintainability-of-pleas-alleging-forest-rights-act-violations" TargetMode="External"/><Relationship Id="rId91" Type="http://schemas.openxmlformats.org/officeDocument/2006/relationships/hyperlink" Target="https://www.thequint.com/news/politics/330-people-died-cleaning-tanks-but-no-manual-scavenging-deaths-government-says-in-monsoon-session" TargetMode="External"/><Relationship Id="rId96" Type="http://schemas.openxmlformats.org/officeDocument/2006/relationships/hyperlink" Target="https://indiastack.in/exclusion/" TargetMode="External"/><Relationship Id="rId140" Type="http://schemas.openxmlformats.org/officeDocument/2006/relationships/hyperlink" Target="https://www.siasat.com/jk-govt-to-take-over-215-private-schools-with-links-to-jamaat-e-islami-3262586/" TargetMode="External"/><Relationship Id="rId145" Type="http://schemas.openxmlformats.org/officeDocument/2006/relationships/hyperlink" Target="https://www.aljazeera.com/news/2023/4/14/mughals-rss-evolution-outrage-as-india-edits-school-textbooks" TargetMode="External"/><Relationship Id="rId1" Type="http://schemas.openxmlformats.org/officeDocument/2006/relationships/hyperlink" Target="https://www.dhrdnet.org/" TargetMode="External"/><Relationship Id="rId6" Type="http://schemas.openxmlformats.org/officeDocument/2006/relationships/hyperlink" Target="https://www.fidh.org/en/" TargetMode="External"/><Relationship Id="rId23" Type="http://schemas.openxmlformats.org/officeDocument/2006/relationships/hyperlink" Target="https://www.indiacode.nic.in/handle/123456789/13257" TargetMode="External"/><Relationship Id="rId28" Type="http://schemas.openxmlformats.org/officeDocument/2006/relationships/hyperlink" Target="https://www.ohchr.org/en/meeting-summaries/2024/07/dialogue-india-experts-human-rights-committee-commend-legislation" TargetMode="External"/><Relationship Id="rId49" Type="http://schemas.openxmlformats.org/officeDocument/2006/relationships/hyperlink" Target="https://ganhri.org/wp-content/uploads/2025/12/Accreditation-Status-Chart_Dec2025.pdf" TargetMode="External"/><Relationship Id="rId114" Type="http://schemas.openxmlformats.org/officeDocument/2006/relationships/hyperlink" Target="https://southasiajusticecampaign.org/wp-content/uploads/2025/06/SP_Waqf_merged.pdf" TargetMode="External"/><Relationship Id="rId119" Type="http://schemas.openxmlformats.org/officeDocument/2006/relationships/hyperlink" Target="https://thewire.in/communalism/union-budget-2025-minority-schemes-does-modi-government-really-want-sabka-vikas" TargetMode="External"/><Relationship Id="rId44" Type="http://schemas.openxmlformats.org/officeDocument/2006/relationships/hyperlink" Target="https://www.bbc.com/news/articles/crkjp3g2k8lo" TargetMode="External"/><Relationship Id="rId60" Type="http://schemas.openxmlformats.org/officeDocument/2006/relationships/hyperlink" Target="https://www.thestatesman.com/india/bastar-signals-collapse-of-maoist-insurgency-as-deadline-day-arrives-1503576301.html" TargetMode="External"/><Relationship Id="rId65" Type="http://schemas.openxmlformats.org/officeDocument/2006/relationships/hyperlink" Target="https://iprights.org/wp-content/uploads/2025/11/Criminalisation-of-Adivasis-and-the-Indian-Legal-System-Full-Report.pdf" TargetMode="External"/><Relationship Id="rId81" Type="http://schemas.openxmlformats.org/officeDocument/2006/relationships/hyperlink" Target="https://www.mha.gov.in/sites/default/files/RanganathMishraVol_I_22102019_0.PDF" TargetMode="External"/><Relationship Id="rId86" Type="http://schemas.openxmlformats.org/officeDocument/2006/relationships/hyperlink" Target="https://spcommreports.ohchr.org/TMResultsBase/DownLoadPublicCommunicationFile?gId=29345" TargetMode="External"/><Relationship Id="rId130" Type="http://schemas.openxmlformats.org/officeDocument/2006/relationships/hyperlink" Target="https://www.deccanherald.com/india/jammu-and-kashmir/amid-demographic-concerns-jammu-and-kashmir-govt-says-83000-outsiders-granted-domicile-certificates-3485715" TargetMode="External"/><Relationship Id="rId135" Type="http://schemas.openxmlformats.org/officeDocument/2006/relationships/hyperlink" Target="https://www.ncpcr.gov.in/" TargetMode="External"/><Relationship Id="rId151" Type="http://schemas.openxmlformats.org/officeDocument/2006/relationships/hyperlink" Target="https://scroll.in/article/1089947/assams-nowhere-people-given-24-hours-to-leave-india-tossed-back-and-forth-across-bangladesh-order" TargetMode="External"/><Relationship Id="rId13" Type="http://schemas.openxmlformats.org/officeDocument/2006/relationships/hyperlink" Target="https://www.hrw.org/report/2019/02/18/violent-cow-protection-india/vigilante-groups-attack-minorities" TargetMode="External"/><Relationship Id="rId18" Type="http://schemas.openxmlformats.org/officeDocument/2006/relationships/hyperlink" Target="https://legal.un.org/avl/pdf/ha/cerd/cerd_e.pdf" TargetMode="External"/><Relationship Id="rId39" Type="http://schemas.openxmlformats.org/officeDocument/2006/relationships/hyperlink" Target="https://thewire.in/communalism/suvendu-adhikari-anti-muslim-rhetoric" TargetMode="External"/><Relationship Id="rId109" Type="http://schemas.openxmlformats.org/officeDocument/2006/relationships/hyperlink" Target="https://fiacona.org/chhattisgarh-india-governor-signs-harsh-anti-conversion-law/" TargetMode="External"/><Relationship Id="rId34" Type="http://schemas.openxmlformats.org/officeDocument/2006/relationships/hyperlink" Target="https://maktoobmedia.com/post?id=113065&amp;slug=sc-declines-to-hear-pleas-against-assam-cm-over-hate-speech-asks-petitioners-to-move-gauhati-hc" TargetMode="External"/><Relationship Id="rId50" Type="http://schemas.openxmlformats.org/officeDocument/2006/relationships/hyperlink" Target="https://thewire.in/rights/why-equal-opportunity-commission-recommendations-and-diversity-index-require-policy-interventions" TargetMode="External"/><Relationship Id="rId55" Type="http://schemas.openxmlformats.org/officeDocument/2006/relationships/hyperlink" Target="https://timesofindia.indiatimes.com/india/put-anti-tribal-forest-rules-on-hold-panel-tells-moef/articleshow/94974415.cms" TargetMode="External"/><Relationship Id="rId76" Type="http://schemas.openxmlformats.org/officeDocument/2006/relationships/hyperlink" Target="https://scroll.in/latest/1092727/great-nicobar-project-hc-upholds-maintainability-of-pleas-alleging-forest-rights-act-violations" TargetMode="External"/><Relationship Id="rId97" Type="http://schemas.openxmlformats.org/officeDocument/2006/relationships/hyperlink" Target="https://m.thewire.in/article/government/no-match-rajasthans-push-for-facial-authentication-on-pensioners-leaves-many-behind" TargetMode="External"/><Relationship Id="rId104" Type="http://schemas.openxmlformats.org/officeDocument/2006/relationships/hyperlink" Target="https://scroll.in/article/1087044/muslims-forced-out-of-business-in-indore-market-under-pressure-from-bjp-mlas-son" TargetMode="External"/><Relationship Id="rId120" Type="http://schemas.openxmlformats.org/officeDocument/2006/relationships/hyperlink" Target="https://lawbeat.in/news-updates/west-bengal-assembly-passes-obc-amendment-bills-removes-77-muslim-communities-from-list-1607819" TargetMode="External"/><Relationship Id="rId125" Type="http://schemas.openxmlformats.org/officeDocument/2006/relationships/hyperlink" Target="https://www.aljazeera.com/news/2026/4/16/muslims-the-target-fury-as-millions-lose-voting-rights-in-indias-bengal" TargetMode="External"/><Relationship Id="rId141" Type="http://schemas.openxmlformats.org/officeDocument/2006/relationships/hyperlink" Target="https://m.thewire.in/article/government/jk-govt-takes-over-58-more-private-schools-allegedly-affiliated-with-banned-jamaat-e-islami" TargetMode="External"/><Relationship Id="rId146" Type="http://schemas.openxmlformats.org/officeDocument/2006/relationships/hyperlink" Target="https://spcommreports.ohchr.org/TMResultsBase/DownLoadPublicCommunicationFile?gId=29690" TargetMode="External"/><Relationship Id="rId7" Type="http://schemas.openxmlformats.org/officeDocument/2006/relationships/hyperlink" Target="https://tbinternet.ohchr.org/_layouts/15/treatybodyexternal/Download.aspx?symbolno=CERD%2FC%2FIND%2FQ%2F20-21&amp;Lang=en" TargetMode="External"/><Relationship Id="rId71" Type="http://schemas.openxmlformats.org/officeDocument/2006/relationships/hyperlink" Target="https://m.thewire.in/article/rights/death-knell-for-shompen-people-genocide-experts-urge-president-to-stop-great-nicobar-mega-project" TargetMode="External"/><Relationship Id="rId92" Type="http://schemas.openxmlformats.org/officeDocument/2006/relationships/hyperlink" Target="https://m.thewire.in/article/labour/modi-govt-rehabilitated-only-468-bonded-labourers-in-2023-24-against-annual-target-of-13-lakh/amp" TargetMode="External"/><Relationship Id="rId2" Type="http://schemas.openxmlformats.org/officeDocument/2006/relationships/hyperlink" Target="https://x.com/paris_alliance" TargetMode="External"/><Relationship Id="rId29" Type="http://schemas.openxmlformats.org/officeDocument/2006/relationships/hyperlink" Target="https://docs.un.org/CCPR/C/IND/CO/4" TargetMode="External"/><Relationship Id="rId24" Type="http://schemas.openxmlformats.org/officeDocument/2006/relationships/hyperlink" Target="https://www.pewresearch.org/religion/2021/09/21/population-growth-and-religious-composition/" TargetMode="External"/><Relationship Id="rId40" Type="http://schemas.openxmlformats.org/officeDocument/2006/relationships/hyperlink" Target="https://press.princeton.edu/books/hardcover/9780691206806/modis-india" TargetMode="External"/><Relationship Id="rId45" Type="http://schemas.openxmlformats.org/officeDocument/2006/relationships/hyperlink" Target="https://www.nytimes.com/2025/12/26/world/asia/india-hindu-right-rss-modi.html" TargetMode="External"/><Relationship Id="rId66" Type="http://schemas.openxmlformats.org/officeDocument/2006/relationships/hyperlink" Target="https://repository.nls.ac.in/slr/vol16/iss1/5/" TargetMode="External"/><Relationship Id="rId87" Type="http://schemas.openxmlformats.org/officeDocument/2006/relationships/hyperlink" Target="https://indiankanoon.org/doc/138189653/" TargetMode="External"/><Relationship Id="rId110" Type="http://schemas.openxmlformats.org/officeDocument/2006/relationships/hyperlink" Target="https://article-14.com/post/life-in-jail-demolitions-rajasthan-s-anti-conversion-law-sets-draconian-unconstitutional-new-precedents-68f062c6e9cad" TargetMode="External"/><Relationship Id="rId115" Type="http://schemas.openxmlformats.org/officeDocument/2006/relationships/hyperlink" Target="https://article-14.com/" TargetMode="External"/><Relationship Id="rId131" Type="http://schemas.openxmlformats.org/officeDocument/2006/relationships/hyperlink" Target="https://spcommreports.ohchr.org/TMResultsBase/DownLoadPublicCommunicationFile?gId=30287" TargetMode="External"/><Relationship Id="rId136" Type="http://schemas.openxmlformats.org/officeDocument/2006/relationships/hyperlink" Target="https://www.thenewsminute.com/news/stop-funding-madrasas-scrap-madrasa-board-national-child-rights-commission-to-states" TargetMode="External"/><Relationship Id="rId61" Type="http://schemas.openxmlformats.org/officeDocument/2006/relationships/hyperlink" Target="https://www.thestatesman.com/india/chhattisgarh-plans-major-welfare-push-in-remote-bastar-villages-under-niyad-nellanar-2-0-1503599762.html" TargetMode="External"/><Relationship Id="rId82" Type="http://schemas.openxmlformats.org/officeDocument/2006/relationships/hyperlink" Target="https://www.tribuneindia.com/news/nation/justice-ranganath-report-myopic-centre-tells-sc-458763" TargetMode="External"/><Relationship Id="rId152" Type="http://schemas.openxmlformats.org/officeDocument/2006/relationships/hyperlink" Target="https://scroll.in/article/1089871/india-repeatedly-forced-14-members-of-bengali-muslim-family-from-odisha-into-bangladesh-says-kin" TargetMode="External"/><Relationship Id="rId19" Type="http://schemas.openxmlformats.org/officeDocument/2006/relationships/hyperlink" Target="https://www.thelancet.com/journals/lancet/article/PIIS0140-6736(23)01477-0/fulltext" TargetMode="External"/><Relationship Id="rId14" Type="http://schemas.openxmlformats.org/officeDocument/2006/relationships/hyperlink" Target="https://www.lokniti.org/media/upload_files/Report%20Police%20Survey.pdf" TargetMode="External"/><Relationship Id="rId30" Type="http://schemas.openxmlformats.org/officeDocument/2006/relationships/hyperlink" Target="https://spcommreports.ohchr.org/TMResultsBase/DownLoadPublicCommunicationFile?gId=30814" TargetMode="External"/><Relationship Id="rId35" Type="http://schemas.openxmlformats.org/officeDocument/2006/relationships/hyperlink" Target="https://www.altnews.in/sc-finds-no-cognizable-offence-in-anurag-thakurs-desh-ke-gaddaro-ko-slogan-calls-hate-speech-a-blow-to-constitutional-values/" TargetMode="External"/><Relationship Id="rId56" Type="http://schemas.openxmlformats.org/officeDocument/2006/relationships/hyperlink" Target="https://egazette.gov.in/WriteReadData/2023/247866.pdf" TargetMode="External"/><Relationship Id="rId77" Type="http://schemas.openxmlformats.org/officeDocument/2006/relationships/hyperlink" Target="https://india.mongabay.com/2026/02/green-tribunal-rules-in-favour-of-great-nicobar-island-project-citing-adequate-safeguards/" TargetMode="External"/><Relationship Id="rId100" Type="http://schemas.openxmlformats.org/officeDocument/2006/relationships/hyperlink" Target="https://piieindia.org/wp-content/uploads/2026/03/PIIE_2026.pdf" TargetMode="External"/><Relationship Id="rId105" Type="http://schemas.openxmlformats.org/officeDocument/2006/relationships/hyperlink" Target="https://maktoobmedia.com/public/post?id=76140&amp;slug=in-satara-muslims-targeted-by-hindu-mob-unable-to-reopen-livelihood-amid-boycott-calls-by-hindutva-groups" TargetMode="External"/><Relationship Id="rId126" Type="http://schemas.openxmlformats.org/officeDocument/2006/relationships/hyperlink" Target="https://behanbox.com/2026/04/13/over-61-lakh-women-dropped-from-bengal-voter-rolls-data-show-stark-gender-bias-in-sir/" TargetMode="External"/><Relationship Id="rId147" Type="http://schemas.openxmlformats.org/officeDocument/2006/relationships/hyperlink" Target="https://southasiajusticecampaign.org/wp-content/uploads/2024/12/Perception-of-Judicial-Independence-Impartiality-at-the-Indian-Supreme-Court.pdf" TargetMode="External"/><Relationship Id="rId8" Type="http://schemas.openxmlformats.org/officeDocument/2006/relationships/hyperlink" Target="https://www.epw.in/journal/1999/51/special-articles/tribes-indigenous-people-india.html" TargetMode="External"/><Relationship Id="rId51" Type="http://schemas.openxmlformats.org/officeDocument/2006/relationships/hyperlink" Target="https://caravanmagazine.in/politics/rss-sarna-code-jharkhand-adivasi" TargetMode="External"/><Relationship Id="rId72" Type="http://schemas.openxmlformats.org/officeDocument/2006/relationships/hyperlink" Target="https://www.survivalinternational.org/articles/genocide-experts-shompen/" TargetMode="External"/><Relationship Id="rId93" Type="http://schemas.openxmlformats.org/officeDocument/2006/relationships/hyperlink" Target="https://www.indiaspend.com/governance/india-will-miss-2030-target-to-end-bonded-labourby-98-877306" TargetMode="External"/><Relationship Id="rId98" Type="http://schemas.openxmlformats.org/officeDocument/2006/relationships/hyperlink" Target="https://scroll.in/article/1074088/nine-lakh-people-in-assam-were-denied-aadhaar-for-years-it-turned-out-to-be-a-mistake" TargetMode="External"/><Relationship Id="rId121" Type="http://schemas.openxmlformats.org/officeDocument/2006/relationships/hyperlink" Target="https://www.theindiaforum.in/politics/decline-muslim-legislative-representation-and-its-consequences" TargetMode="External"/><Relationship Id="rId142" Type="http://schemas.openxmlformats.org/officeDocument/2006/relationships/hyperlink" Target="https://www.mha.gov.in/en/en/commoncontent/notifications-under-unlawful-activities-prevention-act-uapa-1967" TargetMode="External"/><Relationship Id="rId3" Type="http://schemas.openxmlformats.org/officeDocument/2006/relationships/hyperlink" Target="https://www.academicfreedomindia.com/" TargetMode="External"/><Relationship Id="rId25" Type="http://schemas.openxmlformats.org/officeDocument/2006/relationships/hyperlink" Target="https://indiankanoon.org/doc/108728085/" TargetMode="External"/><Relationship Id="rId46" Type="http://schemas.openxmlformats.org/officeDocument/2006/relationships/hyperlink" Target="https://www.npr.org/2019/05/03/706808616/the-powerful-group-shaping-the-rise-of-hindu-nationalism-in-india" TargetMode="External"/><Relationship Id="rId67" Type="http://schemas.openxmlformats.org/officeDocument/2006/relationships/hyperlink" Target="https://www.ohchr.org/sites/default/files/2022-03/A-HRC-WGAD-2021-57-India-AEV.pdf" TargetMode="External"/><Relationship Id="rId116" Type="http://schemas.openxmlformats.org/officeDocument/2006/relationships/hyperlink" Target="https://spcommreports.ohchr.org/TMResultsBase/DownLoadPublicCommunicationFile?gId=30104" TargetMode="External"/><Relationship Id="rId137" Type="http://schemas.openxmlformats.org/officeDocument/2006/relationships/hyperlink" Target="https://maktoobmedia.com/india/crackdown-on-madrasas-escalates-in-uttarakhand-cm-says-170-sealed-calls-it-historic-step/" TargetMode="External"/><Relationship Id="rId20" Type="http://schemas.openxmlformats.org/officeDocument/2006/relationships/hyperlink" Target="https://www.pib.gov.in/PressReleasePage.aspx?PRID=2202983" TargetMode="External"/><Relationship Id="rId41" Type="http://schemas.openxmlformats.org/officeDocument/2006/relationships/hyperlink" Target="https://www.populismstudies.org/professor-jaffrelot-india-under-modi-shares-similar-patterns-with-israel-in-their-ethnic-democracies/" TargetMode="External"/><Relationship Id="rId62" Type="http://schemas.openxmlformats.org/officeDocument/2006/relationships/hyperlink" Target="https://cjp.org.in/wp-content/uploads/2019/10/2014-Xaxa-Tribal-Committee-Report.pdf" TargetMode="External"/><Relationship Id="rId83" Type="http://schemas.openxmlformats.org/officeDocument/2006/relationships/hyperlink" Target="https://www.ncrb.gov.in/uploads/files/1CrimeinIndia2023PartI.pdf" TargetMode="External"/><Relationship Id="rId88" Type="http://schemas.openxmlformats.org/officeDocument/2006/relationships/hyperlink" Target="https://indiankanoon.org/doc/92846055/" TargetMode="External"/><Relationship Id="rId111" Type="http://schemas.openxmlformats.org/officeDocument/2006/relationships/hyperlink" Target="https://article-14.com/post/late-night-whatsapp-chains-rallies-a-new-law-how-love-jihad-went-from-street-to-statute-book-in-maharashtra-69cde196205c1" TargetMode="External"/><Relationship Id="rId132" Type="http://schemas.openxmlformats.org/officeDocument/2006/relationships/hyperlink" Target="https://spcommreports.ohchr.org/TMResultsBase/DownLoadPublicCommunicationFile?gId=30287" TargetMode="External"/><Relationship Id="rId153" Type="http://schemas.openxmlformats.org/officeDocument/2006/relationships/hyperlink" Target="https://maktoobmedia.com/post?id=114077&amp;slug=we-cannot-drive-out-7-million-people-will-create-conditions-for-them-to-leave-says-assam-cm-claims-he-will-repost-shooting-video" TargetMode="External"/><Relationship Id="rId15" Type="http://schemas.openxmlformats.org/officeDocument/2006/relationships/hyperlink" Target="https://onlinelibrary.wiley.com/doi/10.1111/1467-923X.13152" TargetMode="External"/><Relationship Id="rId36" Type="http://schemas.openxmlformats.org/officeDocument/2006/relationships/hyperlink" Target="https://thewire.in/law/unmanageable-directions-sc-junks-plea-that-alleged-states-are-not-following-guidelines-to-prevent-hate-crimes" TargetMode="External"/><Relationship Id="rId57" Type="http://schemas.openxmlformats.org/officeDocument/2006/relationships/hyperlink" Target="https://www.etvbharat.com/en/state/bastar-security-camps-transformation-development-centers-enn26051504690" TargetMode="External"/><Relationship Id="rId106" Type="http://schemas.openxmlformats.org/officeDocument/2006/relationships/hyperlink" Target="https://www.thehindu.com/news/national/assam/assam-assembly-passes-bill-to-ban-polygamy/article70330583.ece" TargetMode="External"/><Relationship Id="rId127" Type="http://schemas.openxmlformats.org/officeDocument/2006/relationships/hyperlink" Target="https://theleaflet.in/leaflet-reports/women-and-transgender-voters-are-being-systematically-erased-from-electoral-rolls-all-india-feminist-alliance-writes-to-the-election-commission" TargetMode="External"/><Relationship Id="rId10" Type="http://schemas.openxmlformats.org/officeDocument/2006/relationships/hyperlink" Target="https://www.aljazeera.com/news/2018/9/24/bjp-chief-slammed-for-calling-bangladeshi-migrants-termites" TargetMode="External"/><Relationship Id="rId31" Type="http://schemas.openxmlformats.org/officeDocument/2006/relationships/hyperlink" Target="https://spcommreports.ohchr.org/TMResultsBase/DownLoadFile?gId=39682" TargetMode="External"/><Relationship Id="rId52" Type="http://schemas.openxmlformats.org/officeDocument/2006/relationships/hyperlink" Target="https://theprint.in/india/jharkhand-outfit-takes-out-rally-demanding-delisting-of-converted-tribals-from-st-list/1899053/" TargetMode="External"/><Relationship Id="rId73" Type="http://schemas.openxmlformats.org/officeDocument/2006/relationships/hyperlink" Target="https://article-14.com/post/a-state-backed-tribal-body-without-authority-grants-consent-on-behalf-of-a-tribe-for-the-great-nicobar-project&#8211;69f75d34d5bc0" TargetMode="External"/><Relationship Id="rId78" Type="http://schemas.openxmlformats.org/officeDocument/2006/relationships/hyperlink" Target="https://www.tribuneindia.com/news/nation/centre-opposes-reservation-for-dalit-christians-muslims-449293" TargetMode="External"/><Relationship Id="rId94" Type="http://schemas.openxmlformats.org/officeDocument/2006/relationships/hyperlink" Target="https://rethinkaadhaar.in/blog/2025/6/22/exclusions-continue-yet-the-aadhaar-net-expands-june-2025-update" TargetMode="External"/><Relationship Id="rId99" Type="http://schemas.openxmlformats.org/officeDocument/2006/relationships/hyperlink" Target="https://cjp.org.in/assam-9-lakh-to-regain-aadhaar-access-18-lakh-still-excluded-sparking-serious-concerns/" TargetMode="External"/><Relationship Id="rId101" Type="http://schemas.openxmlformats.org/officeDocument/2006/relationships/hyperlink" Target="https://www.nber.org/papers/w34818" TargetMode="External"/><Relationship Id="rId122" Type="http://schemas.openxmlformats.org/officeDocument/2006/relationships/hyperlink" Target="https://maktoobmedia.com/features/muslim-presence-in-lok-sabha-shrinks-to-4-42-24-mps-from-nine-states-in-dwindling-representation/" TargetMode="External"/><Relationship Id="rId143" Type="http://schemas.openxmlformats.org/officeDocument/2006/relationships/hyperlink" Target="https://ncert.nic.in/" TargetMode="External"/><Relationship Id="rId148" Type="http://schemas.openxmlformats.org/officeDocument/2006/relationships/hyperlink" Target="https://thewire.in/rights/indias-new-immigration-law-leaves-refugees-especially-rohingyas-in-legal-limbo" TargetMode="External"/><Relationship Id="rId4" Type="http://schemas.openxmlformats.org/officeDocument/2006/relationships/hyperlink" Target="https://www.ncwl.org.in/" TargetMode="External"/><Relationship Id="rId9" Type="http://schemas.openxmlformats.org/officeDocument/2006/relationships/hyperlink" Target="https://cjp.org.in/wp-content/uploads/2019/10/2014-Xaxa-Tribal-Committee-Report.pdf" TargetMode="External"/><Relationship Id="rId26" Type="http://schemas.openxmlformats.org/officeDocument/2006/relationships/hyperlink" Target="https://indiankanoon.org/doc/31336209/" TargetMode="External"/><Relationship Id="rId47" Type="http://schemas.openxmlformats.org/officeDocument/2006/relationships/hyperlink" Target="https://theleaflet.in/leaflet-reports/more-than-97-percent-untouchability-cases-remain-pending-majority-result-in-acquittal-claims-social-justice-ministrys-data" TargetMode="External"/><Relationship Id="rId68" Type="http://schemas.openxmlformats.org/officeDocument/2006/relationships/hyperlink" Target="https://www.ohchr.org/sites/default/files/documents/cfi-subm/report-60th-session/subm-60th-session-aca-2-insaf-india.pdf" TargetMode="External"/><Relationship Id="rId89" Type="http://schemas.openxmlformats.org/officeDocument/2006/relationships/hyperlink" Target="https://behanbox.com/2025/06/09/intercaste-marriage-support-scheme-key-to-social-change-is-floundering/" TargetMode="External"/><Relationship Id="rId112" Type="http://schemas.openxmlformats.org/officeDocument/2006/relationships/hyperlink" Target="https://spcommreports.ohchr.org/TMResultsBase/DownLoadPublicCommunicationFile?gId=28321" TargetMode="External"/><Relationship Id="rId133" Type="http://schemas.openxmlformats.org/officeDocument/2006/relationships/hyperlink" Target="https://spcommreports.ohchr.org/TMResultsBase/DownLoadPublicCommunicationFile?gId=30287" TargetMode="External"/><Relationship Id="rId154" Type="http://schemas.openxmlformats.org/officeDocument/2006/relationships/hyperlink" Target="https://www.ohchr.org/sites/default/files/Documents/Publications/Durban_text_en.pdf" TargetMode="External"/><Relationship Id="rId16" Type="http://schemas.openxmlformats.org/officeDocument/2006/relationships/hyperlink" Target="https://www.tandfonline.com/doi/full/10.1080/01419870.2021.1951318" TargetMode="External"/><Relationship Id="rId37" Type="http://schemas.openxmlformats.org/officeDocument/2006/relationships/hyperlink" Target="https://spcommreports.ohchr.org/TMResultsBase/DownLoadPublicCommunicationFile?gId=29337" TargetMode="External"/><Relationship Id="rId58" Type="http://schemas.openxmlformats.org/officeDocument/2006/relationships/hyperlink" Target="https://www.iccaconsortium.org/2026/03/30/bastars-indigenous-communities-under-threat/" TargetMode="External"/><Relationship Id="rId79" Type="http://schemas.openxmlformats.org/officeDocument/2006/relationships/hyperlink" Target="https://www.livelaw.in/sc-judgments/2026-livelaw-sc-288-chinthada-anand-v-state-of-andhra-pradesh-and-ors-527680" TargetMode="External"/><Relationship Id="rId102" Type="http://schemas.openxmlformats.org/officeDocument/2006/relationships/hyperlink" Target="https://article-14.com/post/after-new-beef-ban-in-one-of-india-s-poorest-states-cow-herders-meat-merchants-hotels-plunge-into-distress-677fff2785792" TargetMode="External"/><Relationship Id="rId123" Type="http://schemas.openxmlformats.org/officeDocument/2006/relationships/hyperlink" Target="https://www.deccanherald.com/elections/india/assembly-elections-2026-total-104-muslim-mlas-elected-but-none-from-bjp-3992073" TargetMode="External"/><Relationship Id="rId144" Type="http://schemas.openxmlformats.org/officeDocument/2006/relationships/hyperlink" Target="https://time.com/6269349/india-textbook-changes-controversy-hindu-nationalism/" TargetMode="External"/><Relationship Id="rId90" Type="http://schemas.openxmlformats.org/officeDocument/2006/relationships/hyperlink" Target="https://www.groundxero.in/2025/05/29/indias-shame-unending-death-of-workers-in-sewers-and-septic-tan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10149</Words>
  <Characters>57855</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abhimanyusk@protonmail.com</cp:lastModifiedBy>
  <cp:revision>2</cp:revision>
  <dcterms:created xsi:type="dcterms:W3CDTF">2026-07-16T19:21:00Z</dcterms:created>
  <dcterms:modified xsi:type="dcterms:W3CDTF">2026-07-16T19:21:00Z</dcterms:modified>
</cp:coreProperties>
</file>