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871BE" w14:textId="77777777" w:rsidR="00EF34CB" w:rsidRDefault="00EF34CB" w:rsidP="00EF34CB">
      <w:pPr>
        <w:pBdr>
          <w:bottom w:val="single" w:sz="6" w:space="1" w:color="auto"/>
        </w:pBdr>
        <w:bidi/>
        <w:spacing w:after="0" w:line="276" w:lineRule="auto"/>
        <w:rPr>
          <w:rFonts w:asciiTheme="majorBidi" w:eastAsia="Dubai" w:hAnsiTheme="majorBidi" w:cstheme="majorBidi"/>
          <w:bCs/>
          <w:color w:val="FF0000"/>
          <w:sz w:val="32"/>
          <w:szCs w:val="32"/>
        </w:rPr>
      </w:pPr>
      <w:r w:rsidRPr="005801AD">
        <w:rPr>
          <w:rFonts w:asciiTheme="majorBidi" w:eastAsia="Dubai" w:hAnsiTheme="majorBidi" w:cstheme="majorBidi"/>
          <w:bCs/>
          <w:color w:val="44546A" w:themeColor="text2"/>
          <w:sz w:val="32"/>
          <w:szCs w:val="32"/>
          <w:rtl/>
        </w:rPr>
        <w:t xml:space="preserve">تقرير مؤسسة ماعت </w:t>
      </w:r>
      <w:r w:rsidRPr="005801AD">
        <w:rPr>
          <w:rFonts w:asciiTheme="majorBidi" w:eastAsia="Dubai" w:hAnsiTheme="majorBidi" w:cstheme="majorBidi" w:hint="cs"/>
          <w:bCs/>
          <w:color w:val="44546A" w:themeColor="text2"/>
          <w:sz w:val="32"/>
          <w:szCs w:val="32"/>
          <w:rtl/>
          <w:lang w:bidi="ar-EG"/>
        </w:rPr>
        <w:t>ال</w:t>
      </w:r>
      <w:r w:rsidRPr="005801AD">
        <w:rPr>
          <w:rFonts w:asciiTheme="majorBidi" w:eastAsia="Dubai" w:hAnsiTheme="majorBidi" w:cstheme="majorBidi"/>
          <w:bCs/>
          <w:color w:val="44546A" w:themeColor="text2"/>
          <w:sz w:val="32"/>
          <w:szCs w:val="32"/>
          <w:rtl/>
        </w:rPr>
        <w:t xml:space="preserve">مقدم إلي لجنة القضاء على التمييز العنصري بخصوص دولة </w:t>
      </w:r>
      <w:r w:rsidRPr="005801AD">
        <w:rPr>
          <w:rFonts w:asciiTheme="majorBidi" w:eastAsia="Dubai" w:hAnsiTheme="majorBidi" w:cstheme="majorBidi"/>
          <w:bCs/>
          <w:color w:val="FF0000"/>
          <w:sz w:val="32"/>
          <w:szCs w:val="32"/>
          <w:rtl/>
        </w:rPr>
        <w:t>قطر</w:t>
      </w:r>
    </w:p>
    <w:p w14:paraId="1B0389E3" w14:textId="5407F301" w:rsidR="00F12C87" w:rsidRPr="00F12C87" w:rsidRDefault="00F12C87" w:rsidP="00F12C87">
      <w:pPr>
        <w:pBdr>
          <w:bottom w:val="single" w:sz="6" w:space="1" w:color="auto"/>
        </w:pBdr>
        <w:bidi/>
        <w:spacing w:after="0" w:line="276" w:lineRule="auto"/>
        <w:jc w:val="center"/>
        <w:rPr>
          <w:rFonts w:asciiTheme="majorBidi" w:eastAsia="Dubai" w:hAnsiTheme="majorBidi" w:cstheme="majorBidi" w:hint="cs"/>
          <w:bCs/>
          <w:color w:val="FF0000"/>
          <w:sz w:val="28"/>
          <w:szCs w:val="28"/>
          <w:lang w:bidi="ar-EG"/>
        </w:rPr>
      </w:pPr>
      <w:r w:rsidRPr="00F12C87">
        <w:rPr>
          <w:rFonts w:asciiTheme="majorBidi" w:eastAsia="Dubai" w:hAnsiTheme="majorBidi" w:cstheme="majorBidi" w:hint="cs"/>
          <w:bCs/>
          <w:color w:val="FF0000"/>
          <w:sz w:val="28"/>
          <w:szCs w:val="28"/>
          <w:rtl/>
          <w:lang w:bidi="ar-EG"/>
        </w:rPr>
        <w:t>مارس 2024</w:t>
      </w:r>
    </w:p>
    <w:p w14:paraId="0AF05DFE" w14:textId="77777777" w:rsidR="00EF34CB" w:rsidRPr="00274771" w:rsidRDefault="00EF34CB" w:rsidP="00EF34CB">
      <w:pPr>
        <w:bidi/>
        <w:spacing w:after="0" w:line="276" w:lineRule="auto"/>
        <w:rPr>
          <w:rFonts w:asciiTheme="majorBidi" w:eastAsia="Dubai" w:hAnsiTheme="majorBidi" w:cstheme="majorBidi"/>
          <w:b/>
          <w:color w:val="0000CC"/>
          <w:sz w:val="28"/>
          <w:szCs w:val="28"/>
        </w:rPr>
      </w:pPr>
    </w:p>
    <w:p w14:paraId="42529631" w14:textId="77777777" w:rsidR="00EF34CB" w:rsidRPr="00274771" w:rsidRDefault="00EF34CB" w:rsidP="00EF34CB">
      <w:pPr>
        <w:bidi/>
        <w:spacing w:after="0" w:line="276" w:lineRule="auto"/>
        <w:jc w:val="both"/>
        <w:rPr>
          <w:rFonts w:asciiTheme="majorBidi" w:eastAsia="Dubai" w:hAnsiTheme="majorBidi" w:cstheme="majorBidi"/>
          <w:sz w:val="28"/>
          <w:szCs w:val="28"/>
        </w:rPr>
      </w:pPr>
      <w:r w:rsidRPr="00274771">
        <w:rPr>
          <w:rFonts w:asciiTheme="majorBidi" w:eastAsia="Dubai" w:hAnsiTheme="majorBidi" w:cstheme="majorBidi"/>
          <w:sz w:val="28"/>
          <w:szCs w:val="28"/>
          <w:rtl/>
        </w:rPr>
        <w:t xml:space="preserve">تقدم مؤسسة </w:t>
      </w:r>
      <w:r w:rsidRPr="00274771">
        <w:rPr>
          <w:rFonts w:asciiTheme="majorBidi" w:eastAsia="Dubai" w:hAnsiTheme="majorBidi" w:cstheme="majorBidi"/>
          <w:b/>
          <w:sz w:val="28"/>
          <w:szCs w:val="28"/>
          <w:rtl/>
        </w:rPr>
        <w:t>ماعت للسلام والتنمية وحقوق الإنسان</w:t>
      </w:r>
      <w:r w:rsidRPr="00274771">
        <w:rPr>
          <w:rFonts w:asciiTheme="majorBidi" w:eastAsia="Dubai" w:hAnsiTheme="majorBidi" w:cstheme="majorBidi"/>
          <w:sz w:val="28"/>
          <w:szCs w:val="28"/>
          <w:rtl/>
        </w:rPr>
        <w:t xml:space="preserve"> هذا التقرير إلى لجنة القضاء على جميع أشكال التمييز العنصري قبل مراجعة دولة قطر. ويقدم التقرير موجز ولمحة عامة عن التدابير التي قامت بها دولة قطر للامتثال لأحكام اتفاقية القضاء على جميع أشكال التمييز العنصري. والممارسات المتعلقة بالتمييز العنصري التي لا تزال سائدة في الواقع العملي. وأطلعت مؤسسة ماعت قبل إعداد هذا التقرير على التقرير الجامع للتقريرين الدوريين الثاني والعشرين والثالث والعشرين، والمقدم من دولة قطر في 23 أغسطس 2021 وقائمة المواضيع أو القضايا المتصلة بالتقرير الجامع المشار إليها سابقًا.</w:t>
      </w:r>
    </w:p>
    <w:p w14:paraId="7558A320" w14:textId="77777777" w:rsidR="00EF34CB" w:rsidRDefault="00EF34CB" w:rsidP="00EF34CB">
      <w:pPr>
        <w:bidi/>
        <w:spacing w:after="0" w:line="276" w:lineRule="auto"/>
        <w:jc w:val="both"/>
        <w:rPr>
          <w:rFonts w:asciiTheme="majorBidi" w:eastAsia="Dubai" w:hAnsiTheme="majorBidi" w:cstheme="majorBidi"/>
          <w:sz w:val="28"/>
          <w:szCs w:val="28"/>
          <w:rtl/>
        </w:rPr>
      </w:pPr>
      <w:r w:rsidRPr="00274771">
        <w:rPr>
          <w:rFonts w:asciiTheme="majorBidi" w:eastAsia="Dubai" w:hAnsiTheme="majorBidi" w:cstheme="majorBidi"/>
          <w:sz w:val="28"/>
          <w:szCs w:val="28"/>
          <w:rtl/>
        </w:rPr>
        <w:t>ويقدم التقرير بشكل خاص معلومات عن تنفيذ قطر للمادة الأولي من الاتفاقية المتعلقة بوضع تعريف للتمييز العنصري يتفق مع المادة الأولي من اتفاقية القضاء على التمييز العنصري بجانب تقييم امتثال قطر للمواد الثانية والثالثة والرابعة والسادسة والسابعة من الاتفاقية.</w:t>
      </w:r>
    </w:p>
    <w:p w14:paraId="418F74F9" w14:textId="77777777" w:rsidR="00EF34CB" w:rsidRPr="005801AD" w:rsidRDefault="00EF34CB" w:rsidP="00EF34CB">
      <w:pPr>
        <w:shd w:val="clear" w:color="auto" w:fill="D9E2F3" w:themeFill="accent5" w:themeFillTint="33"/>
        <w:bidi/>
        <w:spacing w:after="0" w:line="276" w:lineRule="auto"/>
        <w:jc w:val="both"/>
        <w:rPr>
          <w:rFonts w:asciiTheme="majorBidi" w:eastAsia="Dubai" w:hAnsiTheme="majorBidi" w:cstheme="majorBidi"/>
          <w:bCs/>
          <w:sz w:val="28"/>
          <w:szCs w:val="28"/>
        </w:rPr>
      </w:pPr>
      <w:r w:rsidRPr="005801AD">
        <w:rPr>
          <w:rFonts w:asciiTheme="majorBidi" w:eastAsia="Dubai" w:hAnsiTheme="majorBidi" w:cstheme="majorBidi"/>
          <w:bCs/>
          <w:sz w:val="28"/>
          <w:szCs w:val="28"/>
          <w:rtl/>
        </w:rPr>
        <w:t>تعريف للتمييز العنصري (المادة الأولى)</w:t>
      </w:r>
    </w:p>
    <w:p w14:paraId="378757D0" w14:textId="77777777" w:rsidR="00EF34CB" w:rsidRPr="00274771" w:rsidRDefault="00EF34CB" w:rsidP="00EF34CB">
      <w:pPr>
        <w:bidi/>
        <w:spacing w:after="0" w:line="276" w:lineRule="auto"/>
        <w:jc w:val="both"/>
        <w:rPr>
          <w:rFonts w:asciiTheme="majorBidi" w:eastAsia="Dubai" w:hAnsiTheme="majorBidi" w:cstheme="majorBidi"/>
          <w:sz w:val="28"/>
          <w:szCs w:val="28"/>
        </w:rPr>
      </w:pPr>
      <w:r w:rsidRPr="00274771">
        <w:rPr>
          <w:rFonts w:asciiTheme="majorBidi" w:eastAsia="Dubai" w:hAnsiTheme="majorBidi" w:cstheme="majorBidi"/>
          <w:sz w:val="28"/>
          <w:szCs w:val="28"/>
          <w:rtl/>
        </w:rPr>
        <w:t xml:space="preserve">أطلعت مؤسسة ماعت على التدابير الواردة في تقرير دولة قطر والتي تفيد بإن الإطار القانوني في دولة قطر يشمل مبدأ المساواة وعدم التمييز بشكل يتفق مع تعريف التمييز العنصري الوارد في الفقرة الأولي من المادة الأولي من اتفاقية القضاء على جميع أشكال التمييز العنصري، مع ذلك تلاحظ مؤسسة ماعت خلو الإطار التشريعي والقانوني في دولة قطر من تعريف للتمييز العنصري يتفق مع المادة الأولي من الاتفاقية على النحو الوارد في الملاحظات الختامية للجنة </w:t>
      </w:r>
      <w:r w:rsidRPr="00274771">
        <w:rPr>
          <w:rFonts w:asciiTheme="majorBidi" w:eastAsia="Dubai" w:hAnsiTheme="majorBidi" w:cstheme="majorBidi" w:hint="cs"/>
          <w:sz w:val="28"/>
          <w:szCs w:val="28"/>
          <w:rtl/>
        </w:rPr>
        <w:t>على</w:t>
      </w:r>
      <w:r w:rsidRPr="00274771">
        <w:rPr>
          <w:rFonts w:asciiTheme="majorBidi" w:eastAsia="Dubai" w:hAnsiTheme="majorBidi" w:cstheme="majorBidi"/>
          <w:sz w:val="28"/>
          <w:szCs w:val="28"/>
          <w:rtl/>
        </w:rPr>
        <w:t xml:space="preserve"> التقرير الدوري السابع عشر والثامن عشر لدولة قطر</w:t>
      </w:r>
      <w:r w:rsidRPr="00274771">
        <w:rPr>
          <w:rFonts w:asciiTheme="majorBidi" w:eastAsia="Dubai" w:hAnsiTheme="majorBidi" w:cstheme="majorBidi"/>
          <w:sz w:val="28"/>
          <w:szCs w:val="28"/>
          <w:vertAlign w:val="superscript"/>
        </w:rPr>
        <w:footnoteReference w:id="1"/>
      </w:r>
      <w:r w:rsidRPr="00274771">
        <w:rPr>
          <w:rFonts w:asciiTheme="majorBidi" w:eastAsia="Dubai" w:hAnsiTheme="majorBidi" w:cstheme="majorBidi"/>
          <w:sz w:val="28"/>
          <w:szCs w:val="28"/>
        </w:rPr>
        <w:t>.</w:t>
      </w:r>
    </w:p>
    <w:p w14:paraId="5E409ADB" w14:textId="77777777" w:rsidR="00EF34CB" w:rsidRPr="005801AD" w:rsidRDefault="00EF34CB" w:rsidP="00EF34CB">
      <w:pPr>
        <w:shd w:val="clear" w:color="auto" w:fill="D9E2F3" w:themeFill="accent5" w:themeFillTint="33"/>
        <w:bidi/>
        <w:spacing w:after="0" w:line="276" w:lineRule="auto"/>
        <w:jc w:val="both"/>
        <w:rPr>
          <w:rFonts w:asciiTheme="majorBidi" w:eastAsia="Dubai" w:hAnsiTheme="majorBidi" w:cstheme="majorBidi"/>
          <w:bCs/>
          <w:sz w:val="28"/>
          <w:szCs w:val="28"/>
        </w:rPr>
      </w:pPr>
      <w:r w:rsidRPr="005801AD">
        <w:rPr>
          <w:rFonts w:asciiTheme="majorBidi" w:eastAsia="Dubai" w:hAnsiTheme="majorBidi" w:cstheme="majorBidi"/>
          <w:bCs/>
          <w:sz w:val="28"/>
          <w:szCs w:val="28"/>
          <w:rtl/>
        </w:rPr>
        <w:t>التدابير الرامية لحظر التمييز العنصري (المادة الثانية)</w:t>
      </w:r>
    </w:p>
    <w:p w14:paraId="6F81AAA8" w14:textId="77777777" w:rsidR="00EF34CB" w:rsidRPr="00274771" w:rsidRDefault="00EF34CB" w:rsidP="00EF34CB">
      <w:pPr>
        <w:bidi/>
        <w:spacing w:after="0" w:line="276" w:lineRule="auto"/>
        <w:jc w:val="both"/>
        <w:rPr>
          <w:rFonts w:asciiTheme="majorBidi" w:eastAsia="Dubai" w:hAnsiTheme="majorBidi" w:cstheme="majorBidi"/>
          <w:sz w:val="28"/>
          <w:szCs w:val="28"/>
        </w:rPr>
      </w:pPr>
      <w:r w:rsidRPr="00274771">
        <w:rPr>
          <w:rFonts w:asciiTheme="majorBidi" w:eastAsia="Dubai" w:hAnsiTheme="majorBidi" w:cstheme="majorBidi"/>
          <w:sz w:val="28"/>
          <w:szCs w:val="28"/>
          <w:rtl/>
        </w:rPr>
        <w:t xml:space="preserve">أطلعت مؤسسة ماعت على التدابير التي قامت بها قطر من أجل تنفيذ المادة الثانية من الاتفاقية، ولاسيما إصدار القوانين الرامية لمناهضة التمييز </w:t>
      </w:r>
      <w:r w:rsidRPr="00274771">
        <w:rPr>
          <w:rFonts w:asciiTheme="majorBidi" w:eastAsia="Dubai" w:hAnsiTheme="majorBidi" w:cstheme="majorBidi"/>
          <w:sz w:val="28"/>
          <w:szCs w:val="28"/>
          <w:vertAlign w:val="superscript"/>
        </w:rPr>
        <w:footnoteReference w:id="2"/>
      </w:r>
      <w:r w:rsidRPr="00274771">
        <w:rPr>
          <w:rFonts w:asciiTheme="majorBidi" w:eastAsia="Dubai" w:hAnsiTheme="majorBidi" w:cstheme="majorBidi"/>
          <w:sz w:val="28"/>
          <w:szCs w:val="28"/>
          <w:rtl/>
        </w:rPr>
        <w:t xml:space="preserve">، بما في ذلك القانون رقم 17 لعام 2020 بشأن تحديد الحد الأدنى لأجور العمال والمستخدمين في المنازل. بالإضافة إلي المرسوم بقانون رقم 18 لعام  2020 بتعديل بعض أحكام قانون العمل مع ذلك لاحظت مؤسسة ماعت استمرار التمييز في الممارسة العملية ضد بعض الفئات سواء المواطنين أو الوافدين في المجتمع القطري، فرغم إن الدستور القطري يكفل في المادة 34 والمادة 35 المساواة بين الجنسين، لا تزال تتعرض النساء في قطر للعديد من أشكال التمييز العنصري، خاصة ما يتعلق بنظام ولاية الرجل، والذي يفرض علي المرأة القطرية العديد من القيود بسبب ولاية الرجل عليها، حيث لا تستطيع المرأة </w:t>
      </w:r>
      <w:r w:rsidRPr="00274771">
        <w:rPr>
          <w:rFonts w:asciiTheme="majorBidi" w:eastAsia="Dubai" w:hAnsiTheme="majorBidi" w:cstheme="majorBidi"/>
          <w:sz w:val="28"/>
          <w:szCs w:val="28"/>
          <w:rtl/>
        </w:rPr>
        <w:lastRenderedPageBreak/>
        <w:t>القطرية ممارسة العديد من الحقوق الأساسية أو الأنشطة بدون إذن ولي أمرها، ولا يمكن لها العمل ببعض الوظائف الحكومية أو إكمال دراستها أو شراء واستئجار شقق خاصة بهن أو السفر للعازبات دون أن تبلغ 25 عام إلا بإذن الوصي عليها، كما لا تستطيع المرأة القطرية منح الجنسية لزوجها أو أبنائها مقارنة بنفس الحق الذي يحظى به الرجل القطري.</w:t>
      </w:r>
      <w:r w:rsidRPr="00274771">
        <w:rPr>
          <w:rFonts w:asciiTheme="majorBidi" w:eastAsia="Dubai" w:hAnsiTheme="majorBidi" w:cstheme="majorBidi"/>
          <w:sz w:val="28"/>
          <w:szCs w:val="28"/>
          <w:vertAlign w:val="superscript"/>
        </w:rPr>
        <w:footnoteReference w:id="3"/>
      </w:r>
      <w:r w:rsidRPr="00274771">
        <w:rPr>
          <w:rFonts w:asciiTheme="majorBidi" w:eastAsia="Dubai" w:hAnsiTheme="majorBidi" w:cstheme="majorBidi"/>
          <w:sz w:val="28"/>
          <w:szCs w:val="28"/>
          <w:rtl/>
        </w:rPr>
        <w:t xml:space="preserve"> كما تعاني المرأة القطرية تمييزاً مجتمعياً ضدها فيما يتعلق بالمناصب السياسية، وهو ما يقلل من فرص توليها المناصب التنفيذية والتشريعية داخل قطر، حيث لا تتولى المرأة القطرية إلا 3 حقائب وزارية، وتشغل مقعدين فقط في مجلس الشورى بناء على تعيين أميري.</w:t>
      </w:r>
      <w:r w:rsidRPr="00274771">
        <w:rPr>
          <w:rFonts w:asciiTheme="majorBidi" w:eastAsia="Dubai" w:hAnsiTheme="majorBidi" w:cstheme="majorBidi"/>
          <w:sz w:val="28"/>
          <w:szCs w:val="28"/>
          <w:vertAlign w:val="superscript"/>
        </w:rPr>
        <w:footnoteReference w:id="4"/>
      </w:r>
      <w:r w:rsidRPr="00274771">
        <w:rPr>
          <w:rFonts w:asciiTheme="majorBidi" w:eastAsia="Dubai" w:hAnsiTheme="majorBidi" w:cstheme="majorBidi"/>
          <w:sz w:val="28"/>
          <w:szCs w:val="28"/>
          <w:rtl/>
        </w:rPr>
        <w:t xml:space="preserve"> ويتعارض ذلك مع الأحكام المتعلقة بالمشاركة السياسية والمشاركة في الشؤون العامة في العهد الدولي للحقوق المدنية والسياسية التي صادقت عليها دولة قطر.</w:t>
      </w:r>
    </w:p>
    <w:p w14:paraId="5C7CECD6" w14:textId="77777777" w:rsidR="00EF34CB" w:rsidRPr="00274771" w:rsidRDefault="00EF34CB" w:rsidP="00EF34CB">
      <w:pPr>
        <w:bidi/>
        <w:spacing w:after="0" w:line="276" w:lineRule="auto"/>
        <w:jc w:val="both"/>
        <w:rPr>
          <w:rFonts w:asciiTheme="majorBidi" w:eastAsia="Dubai" w:hAnsiTheme="majorBidi" w:cstheme="majorBidi"/>
          <w:sz w:val="28"/>
          <w:szCs w:val="28"/>
        </w:rPr>
      </w:pPr>
      <w:r w:rsidRPr="00274771">
        <w:rPr>
          <w:rFonts w:asciiTheme="majorBidi" w:eastAsia="Dubai" w:hAnsiTheme="majorBidi" w:cstheme="majorBidi"/>
          <w:sz w:val="28"/>
          <w:szCs w:val="28"/>
          <w:rtl/>
        </w:rPr>
        <w:t>كما واجهت المرأة القطرية تمييزًا فيما يخص الحصول على السكن فمن بين الثغرات التي يشملها الحق في السكن في قطر هو إن المرأة القطرية المطلقة التي ليس لديها أطفال غير متاح لها تملك العقارات، أما المرأة المطلقة التي لديها أطفال لا يحق لها تقديم طلب تملك الأراضي إلا بعد مرور خمس سنوات من الطلاق</w:t>
      </w:r>
      <w:r w:rsidRPr="00274771">
        <w:rPr>
          <w:rFonts w:asciiTheme="majorBidi" w:eastAsia="Dubai" w:hAnsiTheme="majorBidi" w:cstheme="majorBidi"/>
          <w:sz w:val="28"/>
          <w:szCs w:val="28"/>
          <w:vertAlign w:val="superscript"/>
        </w:rPr>
        <w:footnoteReference w:id="5"/>
      </w:r>
      <w:r w:rsidRPr="00274771">
        <w:rPr>
          <w:rFonts w:asciiTheme="majorBidi" w:eastAsia="Dubai" w:hAnsiTheme="majorBidi" w:cstheme="majorBidi"/>
          <w:sz w:val="28"/>
          <w:szCs w:val="28"/>
          <w:rtl/>
        </w:rPr>
        <w:t>. ولا يمكن للمرأة القطرية المتزوجة من أصحاب البطاقات المؤقتة أو من غير قطري الانتفاع بالسكن إلا إذا ثبٌت مرور خمسة سنوات متصلة لإقامتها في قطر قبل تقديم طلب الانتفاع بالأراضي</w:t>
      </w:r>
      <w:r w:rsidRPr="00274771">
        <w:rPr>
          <w:rFonts w:asciiTheme="majorBidi" w:eastAsia="Dubai" w:hAnsiTheme="majorBidi" w:cstheme="majorBidi"/>
          <w:sz w:val="28"/>
          <w:szCs w:val="28"/>
          <w:vertAlign w:val="superscript"/>
        </w:rPr>
        <w:footnoteReference w:id="6"/>
      </w:r>
      <w:r w:rsidRPr="00274771">
        <w:rPr>
          <w:rFonts w:asciiTheme="majorBidi" w:eastAsia="Dubai" w:hAnsiTheme="majorBidi" w:cstheme="majorBidi"/>
          <w:sz w:val="28"/>
          <w:szCs w:val="28"/>
          <w:rtl/>
        </w:rPr>
        <w:t>.  في سياق متصل عمق قانون الإسكان القطري من التمييز بين المواطن من أصول قطرية والقطري المُجنس، حيث قصر حق الانتفاع بالأرض والقرض على القطري الأصلي، وأتاح للقطري بالتجنس الاستفادة فقط بقيمة القرض مع حرمانه من الأحقية في الحصول على قطعة الأرض ما لم يمر 15 عاماً على حصوله على الجنسية القطرية.</w:t>
      </w:r>
    </w:p>
    <w:p w14:paraId="3F96A6AF" w14:textId="77777777" w:rsidR="00EF34CB" w:rsidRPr="00274771" w:rsidRDefault="00EF34CB" w:rsidP="00EF34CB">
      <w:pPr>
        <w:bidi/>
        <w:spacing w:after="0" w:line="276" w:lineRule="auto"/>
        <w:jc w:val="both"/>
        <w:rPr>
          <w:rFonts w:asciiTheme="majorBidi" w:eastAsia="Dubai" w:hAnsiTheme="majorBidi" w:cstheme="majorBidi"/>
          <w:sz w:val="28"/>
          <w:szCs w:val="28"/>
        </w:rPr>
      </w:pPr>
      <w:r w:rsidRPr="00274771">
        <w:rPr>
          <w:rFonts w:asciiTheme="majorBidi" w:eastAsia="Dubai" w:hAnsiTheme="majorBidi" w:cstheme="majorBidi"/>
          <w:sz w:val="28"/>
          <w:szCs w:val="28"/>
          <w:rtl/>
        </w:rPr>
        <w:t xml:space="preserve">في سياق الممارسات الأخرى التي تنطوي على تمييز لاحظت مؤسسة ماعت إنه </w:t>
      </w:r>
      <w:r w:rsidRPr="00274771">
        <w:rPr>
          <w:rFonts w:asciiTheme="majorBidi" w:eastAsia="Dubai" w:hAnsiTheme="majorBidi" w:cstheme="majorBidi"/>
          <w:color w:val="000000"/>
          <w:sz w:val="28"/>
          <w:szCs w:val="28"/>
          <w:highlight w:val="white"/>
          <w:rtl/>
        </w:rPr>
        <w:t xml:space="preserve">يجب على الذكور القطريين البالغين الحصول على إذن حكومي للزواج من أجانب، وهو ما لا يمنح للنساء القطريات الذين يحق لهم الزواج. كما يجوز للذكور التقدم بطلب ليس فقط للحصول على تصاريح الإقامة ولكن أيضًا للحصول على الجنسية لزوجاتهم الأجنبيات؛ في الوقت نفسه لا يجوز للقطريات التقدم بطلب الحصول على الجنسية لأزواجهن </w:t>
      </w:r>
      <w:r w:rsidRPr="00274771">
        <w:rPr>
          <w:rFonts w:asciiTheme="majorBidi" w:eastAsia="Dubai" w:hAnsiTheme="majorBidi" w:cstheme="majorBidi"/>
          <w:sz w:val="28"/>
          <w:szCs w:val="28"/>
          <w:highlight w:val="white"/>
          <w:rtl/>
        </w:rPr>
        <w:t>وأبنائهن</w:t>
      </w:r>
      <w:r w:rsidRPr="00274771">
        <w:rPr>
          <w:rFonts w:asciiTheme="majorBidi" w:eastAsia="Dubai" w:hAnsiTheme="majorBidi" w:cstheme="majorBidi"/>
          <w:color w:val="000000"/>
          <w:sz w:val="28"/>
          <w:szCs w:val="28"/>
          <w:highlight w:val="white"/>
          <w:vertAlign w:val="superscript"/>
        </w:rPr>
        <w:footnoteReference w:id="7"/>
      </w:r>
      <w:r w:rsidRPr="00274771">
        <w:rPr>
          <w:rFonts w:asciiTheme="majorBidi" w:eastAsia="Dubai" w:hAnsiTheme="majorBidi" w:cstheme="majorBidi"/>
          <w:color w:val="000000"/>
          <w:sz w:val="28"/>
          <w:szCs w:val="28"/>
          <w:highlight w:val="white"/>
        </w:rPr>
        <w:t>.</w:t>
      </w:r>
    </w:p>
    <w:p w14:paraId="1185525B" w14:textId="77777777" w:rsidR="00EF34CB" w:rsidRPr="00274771" w:rsidRDefault="00EF34CB" w:rsidP="00EF34CB">
      <w:pPr>
        <w:bidi/>
        <w:spacing w:after="0" w:line="276" w:lineRule="auto"/>
        <w:jc w:val="both"/>
        <w:rPr>
          <w:rFonts w:asciiTheme="majorBidi" w:eastAsia="Dubai" w:hAnsiTheme="majorBidi" w:cstheme="majorBidi"/>
          <w:sz w:val="28"/>
          <w:szCs w:val="28"/>
        </w:rPr>
      </w:pPr>
      <w:r w:rsidRPr="00274771">
        <w:rPr>
          <w:rFonts w:asciiTheme="majorBidi" w:eastAsia="Dubai" w:hAnsiTheme="majorBidi" w:cstheme="majorBidi"/>
          <w:sz w:val="28"/>
          <w:szCs w:val="28"/>
          <w:rtl/>
        </w:rPr>
        <w:t xml:space="preserve">في السياق ذاته لا يمكن لأبناء الأمهات القطريات والأزواج الأجانب التقدم بطلب للحصول على الجنسية إلا إذا حققوا مجموعة من الشروط شديدة التعقيد، بما في ذلك أن يكونوا مقيمين في قطر لمدة 25 عامًا على </w:t>
      </w:r>
      <w:r w:rsidRPr="00274771">
        <w:rPr>
          <w:rFonts w:asciiTheme="majorBidi" w:eastAsia="Dubai" w:hAnsiTheme="majorBidi" w:cstheme="majorBidi"/>
          <w:sz w:val="28"/>
          <w:szCs w:val="28"/>
          <w:rtl/>
        </w:rPr>
        <w:lastRenderedPageBreak/>
        <w:t>التوالي</w:t>
      </w:r>
      <w:r w:rsidRPr="00274771">
        <w:rPr>
          <w:rFonts w:asciiTheme="majorBidi" w:eastAsia="Dubai" w:hAnsiTheme="majorBidi" w:cstheme="majorBidi"/>
          <w:sz w:val="28"/>
          <w:szCs w:val="28"/>
          <w:vertAlign w:val="superscript"/>
        </w:rPr>
        <w:footnoteReference w:id="8"/>
      </w:r>
      <w:r w:rsidRPr="00274771">
        <w:rPr>
          <w:rFonts w:asciiTheme="majorBidi" w:eastAsia="Dubai" w:hAnsiTheme="majorBidi" w:cstheme="majorBidi"/>
          <w:sz w:val="28"/>
          <w:szCs w:val="28"/>
          <w:rtl/>
        </w:rPr>
        <w:t>. كما لاحظت مؤسسة ماعت استمرار تعرض فئة البدون أو عديمي الجنسية وأفراد قبيلة الغفران إلى التمييز أثناء الحصول على الخدمات الاجتماعية مثل الصحة والتعليم والسكن. كما لا يزال يتعرض العمال المهاجرون إلى التمييز ضدهم، فلا يحصل جميع العمال على ذات الراتب لذات الوظيفة، ويخضع العمال الأفارقة إلى العمل لساعات أطول وفي وظائف أشق من غيرهم من العمال المهاجرين.</w:t>
      </w:r>
    </w:p>
    <w:p w14:paraId="42B52B2D" w14:textId="77777777" w:rsidR="00EF34CB" w:rsidRPr="005801AD" w:rsidRDefault="00EF34CB" w:rsidP="00EF34CB">
      <w:pPr>
        <w:shd w:val="clear" w:color="auto" w:fill="D9E2F3" w:themeFill="accent5" w:themeFillTint="33"/>
        <w:bidi/>
        <w:spacing w:after="0" w:line="276" w:lineRule="auto"/>
        <w:jc w:val="both"/>
        <w:rPr>
          <w:rFonts w:asciiTheme="majorBidi" w:eastAsia="Dubai" w:hAnsiTheme="majorBidi" w:cstheme="majorBidi"/>
          <w:bCs/>
          <w:sz w:val="28"/>
          <w:szCs w:val="28"/>
        </w:rPr>
      </w:pPr>
      <w:r w:rsidRPr="005801AD">
        <w:rPr>
          <w:rFonts w:asciiTheme="majorBidi" w:eastAsia="Dubai" w:hAnsiTheme="majorBidi" w:cstheme="majorBidi"/>
          <w:bCs/>
          <w:sz w:val="28"/>
          <w:szCs w:val="28"/>
          <w:rtl/>
        </w:rPr>
        <w:t>منع وحظر ممارسات الفصل والعزل العنصري (المادة الثالثة)</w:t>
      </w:r>
    </w:p>
    <w:p w14:paraId="3B462714" w14:textId="77777777" w:rsidR="00EF34CB" w:rsidRPr="00274771" w:rsidRDefault="00EF34CB" w:rsidP="00EF34CB">
      <w:pPr>
        <w:bidi/>
        <w:spacing w:after="0" w:line="276" w:lineRule="auto"/>
        <w:jc w:val="both"/>
        <w:rPr>
          <w:rFonts w:asciiTheme="majorBidi" w:eastAsia="Dubai" w:hAnsiTheme="majorBidi" w:cstheme="majorBidi"/>
          <w:sz w:val="28"/>
          <w:szCs w:val="28"/>
        </w:rPr>
      </w:pPr>
      <w:r w:rsidRPr="00274771">
        <w:rPr>
          <w:rFonts w:asciiTheme="majorBidi" w:eastAsia="Dubai" w:hAnsiTheme="majorBidi" w:cstheme="majorBidi"/>
          <w:sz w:val="28"/>
          <w:szCs w:val="28"/>
          <w:rtl/>
        </w:rPr>
        <w:t xml:space="preserve">أطلعت مؤسسة ماعت على التدابير التي قامت بها دولة قطر لتنفيذ المادة الثالثة من الاتفاقية بما في </w:t>
      </w:r>
      <w:r w:rsidRPr="00274771">
        <w:rPr>
          <w:rFonts w:asciiTheme="majorBidi" w:eastAsia="Dubai" w:hAnsiTheme="majorBidi" w:cstheme="majorBidi" w:hint="cs"/>
          <w:sz w:val="28"/>
          <w:szCs w:val="28"/>
          <w:rtl/>
        </w:rPr>
        <w:t>ذلك الإشارة</w:t>
      </w:r>
      <w:r w:rsidRPr="00274771">
        <w:rPr>
          <w:rFonts w:asciiTheme="majorBidi" w:eastAsia="Dubai" w:hAnsiTheme="majorBidi" w:cstheme="majorBidi"/>
          <w:sz w:val="28"/>
          <w:szCs w:val="28"/>
          <w:rtl/>
        </w:rPr>
        <w:t xml:space="preserve"> الواردة في تقرير دولة قطر إنه لا يجوز في الدول التي توجد فيها أقليات أثنية أو دينية أو لغوية حرمان الأشخاص المنتسبون إلى الأقليات المذكورة من حق التمتع بثقافتهم الخاصة أو المجاهرة بدينهم وإقامة شعائرهم أو استخدام لغتهم بالاشتراك مع الأعضاء الآخرين في جماعتهم، </w:t>
      </w:r>
      <w:r w:rsidRPr="00274771">
        <w:rPr>
          <w:rFonts w:asciiTheme="majorBidi" w:eastAsia="Dubai" w:hAnsiTheme="majorBidi" w:cstheme="majorBidi" w:hint="cs"/>
          <w:sz w:val="28"/>
          <w:szCs w:val="28"/>
          <w:rtl/>
        </w:rPr>
        <w:t>على</w:t>
      </w:r>
      <w:r w:rsidRPr="00274771">
        <w:rPr>
          <w:rFonts w:asciiTheme="majorBidi" w:eastAsia="Dubai" w:hAnsiTheme="majorBidi" w:cstheme="majorBidi"/>
          <w:sz w:val="28"/>
          <w:szCs w:val="28"/>
          <w:rtl/>
        </w:rPr>
        <w:t xml:space="preserve"> النحو الوارد في المادة 27 من العهد الدولي للحقوق المدنية والسياسية التي صادقت عليه دولة قطر </w:t>
      </w:r>
      <w:r w:rsidRPr="00274771">
        <w:rPr>
          <w:rFonts w:asciiTheme="majorBidi" w:eastAsia="Dubai" w:hAnsiTheme="majorBidi" w:cstheme="majorBidi"/>
          <w:sz w:val="28"/>
          <w:szCs w:val="28"/>
          <w:vertAlign w:val="superscript"/>
        </w:rPr>
        <w:footnoteReference w:id="9"/>
      </w:r>
      <w:r w:rsidRPr="00274771">
        <w:rPr>
          <w:rFonts w:asciiTheme="majorBidi" w:eastAsia="Dubai" w:hAnsiTheme="majorBidi" w:cstheme="majorBidi"/>
          <w:sz w:val="28"/>
          <w:szCs w:val="28"/>
          <w:rtl/>
        </w:rPr>
        <w:t>. مع ذلك لاحظت مؤسسة ماعت الممارسات التمييزية والعنصرية في قطر وخاصة ضد الأقليات الدينية في دولة. علي سبيل المثال في مارس 2022 قالت جماعات حقوق الإنسان إن التمييز والقيود وانتهاكات حقوق الإنسان الذي يتعرض لها البهائيين في قطر قد تدفع أفراد هذه الطائفة إلي مغادرة الدولة</w:t>
      </w:r>
      <w:r w:rsidRPr="00274771">
        <w:rPr>
          <w:rFonts w:asciiTheme="majorBidi" w:eastAsia="Dubai" w:hAnsiTheme="majorBidi" w:cstheme="majorBidi"/>
          <w:sz w:val="28"/>
          <w:szCs w:val="28"/>
          <w:vertAlign w:val="superscript"/>
        </w:rPr>
        <w:footnoteReference w:id="10"/>
      </w:r>
      <w:r w:rsidRPr="00274771">
        <w:rPr>
          <w:rFonts w:asciiTheme="majorBidi" w:eastAsia="Dubai" w:hAnsiTheme="majorBidi" w:cstheme="majorBidi"/>
          <w:sz w:val="28"/>
          <w:szCs w:val="28"/>
          <w:rtl/>
        </w:rPr>
        <w:t>، وبشكل عام لاحظت مؤسسة ماعت إن الأشخاص المنتمين إلى مجتمعات الأقليات الدينية في قطر، بمن في ذلك المسيحيين والبهائيين والهندوس والبوذيين، لا يزالون يتعرضون لأنماط متعددة من القمع والاضطهاد والتمييز وانتهاكات حقوق الإنسان الأساسية، ولا يزالون يواجهون انتهاكات وتحديات متعددة تعيق اندماجهم في المجتمع بما في ذلك الانتهاكات والتحديات المتعلقة بالتعرض للاعتداءات الجسدية والإساءات العقلية والطرد والترحيل القسري، والتمييز في التوظيف، والحرمان من تجديد تصاريح الإقامة وتقلد المناصب القيادية كرئاسة الجامعات والحقائب الوزارية والوظائف التي تعد حساسة بالنسبة إلى الأمن القومي، فضلًا عن القيود المفروضة على التعبير الديني وبناء دور العبادة وإظهار الرموز الدينية الخاصة بهم، فوفقًا لإحصائيات موثوقة، فقد وقع أكثر من 100 هجوم واعتداء ممنهج على أماكن العبادة والمقابر والمباني المسيحية في قطر خلال عام 2021، وأجبرت السلطات القطرية اثنين على الأقل من المسحيين المغتربين على مغادرة قطر بزعم تورطهم في التبشير الديني خلال الفترة ما بين سبتمبر 2021 وأكتوبر 2022.</w:t>
      </w:r>
      <w:r w:rsidRPr="00274771">
        <w:rPr>
          <w:rFonts w:asciiTheme="majorBidi" w:eastAsia="Dubai" w:hAnsiTheme="majorBidi" w:cstheme="majorBidi"/>
          <w:sz w:val="28"/>
          <w:szCs w:val="28"/>
          <w:vertAlign w:val="superscript"/>
        </w:rPr>
        <w:footnoteReference w:id="11"/>
      </w:r>
    </w:p>
    <w:p w14:paraId="0D55F9EB" w14:textId="77777777" w:rsidR="00EF34CB" w:rsidRPr="005801AD" w:rsidRDefault="00EF34CB" w:rsidP="00EF34CB">
      <w:pPr>
        <w:shd w:val="clear" w:color="auto" w:fill="D9E2F3" w:themeFill="accent5" w:themeFillTint="33"/>
        <w:bidi/>
        <w:spacing w:after="0" w:line="276" w:lineRule="auto"/>
        <w:jc w:val="both"/>
        <w:rPr>
          <w:rFonts w:asciiTheme="majorBidi" w:eastAsia="Dubai" w:hAnsiTheme="majorBidi" w:cstheme="majorBidi"/>
          <w:bCs/>
          <w:sz w:val="28"/>
          <w:szCs w:val="28"/>
        </w:rPr>
      </w:pPr>
      <w:r w:rsidRPr="005801AD">
        <w:rPr>
          <w:rFonts w:asciiTheme="majorBidi" w:eastAsia="Dubai" w:hAnsiTheme="majorBidi" w:cstheme="majorBidi"/>
          <w:bCs/>
          <w:sz w:val="28"/>
          <w:szCs w:val="28"/>
          <w:rtl/>
        </w:rPr>
        <w:lastRenderedPageBreak/>
        <w:t>حظر الدعاية القائمة على الأفكار أو النظريات العنصرية (المادة الرابعة)</w:t>
      </w:r>
    </w:p>
    <w:p w14:paraId="36616312" w14:textId="77777777" w:rsidR="00EF34CB" w:rsidRPr="00274771" w:rsidRDefault="00EF34CB" w:rsidP="00EF34CB">
      <w:pPr>
        <w:bidi/>
        <w:spacing w:after="0" w:line="276" w:lineRule="auto"/>
        <w:jc w:val="both"/>
        <w:rPr>
          <w:rFonts w:asciiTheme="majorBidi" w:eastAsia="Dubai" w:hAnsiTheme="majorBidi" w:cstheme="majorBidi"/>
          <w:sz w:val="28"/>
          <w:szCs w:val="28"/>
        </w:rPr>
      </w:pPr>
      <w:r w:rsidRPr="00274771">
        <w:rPr>
          <w:rFonts w:asciiTheme="majorBidi" w:eastAsia="Dubai" w:hAnsiTheme="majorBidi" w:cstheme="majorBidi"/>
          <w:sz w:val="28"/>
          <w:szCs w:val="28"/>
          <w:rtl/>
        </w:rPr>
        <w:t>بموجب المادة الرابعة من الاتفاقية تشجب الدول الأطراف جميع الدعايات والتنظيمات القائمة على الأفكار أو النظريات القائلة بتفوق أي عرق أو أية جماعة من لون أو أصل اثني واحد، أو التي تحاول تبرير أو تعزيز أي شكل من أشكال الكراهية العنصرية والتمييز العنصري</w:t>
      </w:r>
      <w:r w:rsidRPr="00274771">
        <w:rPr>
          <w:rFonts w:asciiTheme="majorBidi" w:eastAsia="Dubai" w:hAnsiTheme="majorBidi" w:cstheme="majorBidi"/>
          <w:sz w:val="28"/>
          <w:szCs w:val="28"/>
          <w:vertAlign w:val="superscript"/>
        </w:rPr>
        <w:footnoteReference w:id="12"/>
      </w:r>
      <w:r w:rsidRPr="00274771">
        <w:rPr>
          <w:rFonts w:asciiTheme="majorBidi" w:eastAsia="Dubai" w:hAnsiTheme="majorBidi" w:cstheme="majorBidi"/>
          <w:sz w:val="28"/>
          <w:szCs w:val="28"/>
          <w:rtl/>
        </w:rPr>
        <w:t>، ولاحظت مؤسسة ماعت وجود مشروع قانون يتعلق بالأنشطة الإعلامية في قطر وهو مشروع القانون الذي وافق عليه مجلس الوزراء القطري في عام 2018 ومن المفترض أن يحظر مشروع القانون التمييز العنصري في الأنشطة الإعلامية من خلال التأكيد علي أن محظورات النشر يجب أن تتضمن كل ما يثير البغضاء والكراهية، ولعل من أهم مواد هذا المشروع هو عدم التمييز بين الصحفي القطري وغير القطري في العديد من الأحكام، كما أكد مشروع القانون علي ضرورة التزام الصحفيين بنبذ كل أشكال التحيز والتمييز العنصري ضد أي شخص خاصة المهاجرين واللاجئين في قطر.</w:t>
      </w:r>
      <w:r w:rsidRPr="00274771">
        <w:rPr>
          <w:rFonts w:asciiTheme="majorBidi" w:eastAsia="Dubai" w:hAnsiTheme="majorBidi" w:cstheme="majorBidi"/>
          <w:sz w:val="28"/>
          <w:szCs w:val="28"/>
          <w:vertAlign w:val="superscript"/>
        </w:rPr>
        <w:footnoteReference w:id="13"/>
      </w:r>
      <w:r w:rsidRPr="00274771">
        <w:rPr>
          <w:rFonts w:asciiTheme="majorBidi" w:eastAsia="Dubai" w:hAnsiTheme="majorBidi" w:cstheme="majorBidi"/>
          <w:sz w:val="28"/>
          <w:szCs w:val="28"/>
          <w:rtl/>
        </w:rPr>
        <w:t xml:space="preserve"> مع ذلك فإن مشروع القانون لم يتم إقراره حتى الآن.</w:t>
      </w:r>
    </w:p>
    <w:p w14:paraId="512273F1" w14:textId="77777777" w:rsidR="00EF34CB" w:rsidRPr="005801AD" w:rsidRDefault="00EF34CB" w:rsidP="00EF34CB">
      <w:pPr>
        <w:shd w:val="clear" w:color="auto" w:fill="D9E2F3" w:themeFill="accent5" w:themeFillTint="33"/>
        <w:bidi/>
        <w:spacing w:after="0" w:line="276" w:lineRule="auto"/>
        <w:jc w:val="both"/>
        <w:rPr>
          <w:rFonts w:asciiTheme="majorBidi" w:eastAsia="Dubai" w:hAnsiTheme="majorBidi" w:cstheme="majorBidi"/>
          <w:bCs/>
          <w:sz w:val="28"/>
          <w:szCs w:val="28"/>
        </w:rPr>
      </w:pPr>
      <w:r w:rsidRPr="005801AD">
        <w:rPr>
          <w:rFonts w:asciiTheme="majorBidi" w:eastAsia="Dubai" w:hAnsiTheme="majorBidi" w:cstheme="majorBidi"/>
          <w:bCs/>
          <w:sz w:val="28"/>
          <w:szCs w:val="28"/>
          <w:rtl/>
        </w:rPr>
        <w:t>اللجوء للمحاكم الوطنية (المادة السادسة)</w:t>
      </w:r>
    </w:p>
    <w:p w14:paraId="31C6CC8D" w14:textId="77777777" w:rsidR="00EF34CB" w:rsidRPr="00274771" w:rsidRDefault="00EF34CB" w:rsidP="00EF34CB">
      <w:pPr>
        <w:bidi/>
        <w:spacing w:after="0" w:line="276" w:lineRule="auto"/>
        <w:jc w:val="both"/>
        <w:rPr>
          <w:rFonts w:asciiTheme="majorBidi" w:eastAsia="Dubai" w:hAnsiTheme="majorBidi" w:cstheme="majorBidi"/>
          <w:sz w:val="28"/>
          <w:szCs w:val="28"/>
        </w:rPr>
      </w:pPr>
      <w:r w:rsidRPr="00274771">
        <w:rPr>
          <w:rFonts w:asciiTheme="majorBidi" w:eastAsia="Dubai" w:hAnsiTheme="majorBidi" w:cstheme="majorBidi"/>
          <w:sz w:val="28"/>
          <w:szCs w:val="28"/>
          <w:rtl/>
        </w:rPr>
        <w:t>لاحظت مؤسسة ماعت إن الإطار القانوني في دولة قطر يتيح لكل مواطن أو مقيم الحق في اللجوء إلى القضاء والقضاء هو صاحب الولاية العامة في نظر المنازعات الجنائية، والمنازعات المدنية والتجارية، ومنازعات الأسرة، والمنازعات الإدارية، وجميع المنازعات باستثناء أعمال السيادة والجنسية. كما وثقت مؤسسة ماعت صدور بعض الأحكام في جرائم خداع العمال المهاجرين، ففي فبراير 2023، حكمت المحكمة الجنائية الابتدائية على مواطنَين باكستانيين بالسجن لمدة 10 سنوات وغرامة تقدر بنحو 100,000 ريال قطري (27,470 دولار) لخداع امرأة باكستانية لزيارة قطر للسياحة واستغلالها لاحقاً في الاتجار بالجنس.</w:t>
      </w:r>
      <w:r w:rsidRPr="00274771">
        <w:rPr>
          <w:rFonts w:asciiTheme="majorBidi" w:eastAsia="Dubai" w:hAnsiTheme="majorBidi" w:cstheme="majorBidi"/>
          <w:sz w:val="28"/>
          <w:szCs w:val="28"/>
          <w:vertAlign w:val="superscript"/>
        </w:rPr>
        <w:footnoteReference w:id="14"/>
      </w:r>
      <w:r w:rsidRPr="00274771">
        <w:rPr>
          <w:rFonts w:asciiTheme="majorBidi" w:eastAsia="Dubai" w:hAnsiTheme="majorBidi" w:cstheme="majorBidi"/>
          <w:sz w:val="28"/>
          <w:szCs w:val="28"/>
          <w:rtl/>
        </w:rPr>
        <w:t xml:space="preserve"> مع ذلك لدي مؤسسة ماعت مخاوف متعددة بسبب العقبات الهيكلية التي لا تزال سارية في قطر </w:t>
      </w:r>
      <w:r w:rsidRPr="00274771">
        <w:rPr>
          <w:rFonts w:asciiTheme="majorBidi" w:eastAsia="Dubai" w:hAnsiTheme="majorBidi" w:cstheme="majorBidi"/>
          <w:i/>
          <w:sz w:val="28"/>
          <w:szCs w:val="28"/>
          <w:rtl/>
        </w:rPr>
        <w:t xml:space="preserve">اثناء محاولة وصول المهاجرين إلي العدالة، تبطئ من حصولهم علي </w:t>
      </w:r>
      <w:r w:rsidRPr="00274771">
        <w:rPr>
          <w:rFonts w:asciiTheme="majorBidi" w:eastAsia="Dubai" w:hAnsiTheme="majorBidi" w:cstheme="majorBidi"/>
          <w:sz w:val="28"/>
          <w:szCs w:val="28"/>
          <w:rtl/>
        </w:rPr>
        <w:t>سبل انتصاف فعال، أو الحصول علي جبر كاف وسريع عن الضرر الذي لحق بهم، علي النحو الذي حدده المقرر الخاص المعني بحقوق الإنسان للمهاجرين، وتشمل هذه العقبات، عدم التحقيق في الشكاوي المقدمة من العمال المهاجرين إزاء تعرضهم لانتهاكات حقوق الإنسان بما في ذلك شكاوي التأخر في تقاضي اجورهم المستحقة، والشكاوي المتعلقة بالتحفظ علي جوازات السفر وبطاقات الهوية الثبوتية والتهديد بالترحيل القسري لدولهم الأصلية. بالإضافة إلى طول مدة الإجراءات والتعنت في دفع التعويضات حتى بعد الحصول على أحكام قضائية</w:t>
      </w:r>
      <w:r w:rsidRPr="00274771">
        <w:rPr>
          <w:rFonts w:asciiTheme="majorBidi" w:eastAsia="Dubai" w:hAnsiTheme="majorBidi" w:cstheme="majorBidi"/>
          <w:sz w:val="28"/>
          <w:szCs w:val="28"/>
          <w:vertAlign w:val="superscript"/>
        </w:rPr>
        <w:footnoteReference w:id="15"/>
      </w:r>
      <w:r w:rsidRPr="00274771">
        <w:rPr>
          <w:rFonts w:asciiTheme="majorBidi" w:eastAsia="Dubai" w:hAnsiTheme="majorBidi" w:cstheme="majorBidi"/>
          <w:sz w:val="28"/>
          <w:szCs w:val="28"/>
          <w:rtl/>
        </w:rPr>
        <w:t xml:space="preserve">. في سياق متصل تؤيد مؤسسة ماعت ما جاء في قائمة القضايا المتصلة بالتقرير </w:t>
      </w:r>
      <w:r w:rsidRPr="00274771">
        <w:rPr>
          <w:rFonts w:asciiTheme="majorBidi" w:eastAsia="Dubai" w:hAnsiTheme="majorBidi" w:cstheme="majorBidi"/>
          <w:sz w:val="28"/>
          <w:szCs w:val="28"/>
          <w:rtl/>
        </w:rPr>
        <w:lastRenderedPageBreak/>
        <w:t>الجامع للتقريرين الدوريين الثاني والعشرين والثالث والعشرين لدولة قطر من وجود نقص في عدد وأنواع الشكاوى المتعلقة بالتمييز العنصري المقدمة إلى المحاكم والمؤسسات الوطنية الأخرى، ونتائج التحقيقات التي تم البت فيها، والعقوبات التي جري فرضها على المتهمين، والتعويضات التي مُنحت للضحايا</w:t>
      </w:r>
      <w:r w:rsidRPr="00274771">
        <w:rPr>
          <w:rFonts w:asciiTheme="majorBidi" w:eastAsia="Dubai" w:hAnsiTheme="majorBidi" w:cstheme="majorBidi"/>
          <w:sz w:val="28"/>
          <w:szCs w:val="28"/>
          <w:vertAlign w:val="superscript"/>
        </w:rPr>
        <w:footnoteReference w:id="16"/>
      </w:r>
      <w:r w:rsidRPr="00274771">
        <w:rPr>
          <w:rFonts w:asciiTheme="majorBidi" w:eastAsia="Dubai" w:hAnsiTheme="majorBidi" w:cstheme="majorBidi"/>
          <w:sz w:val="28"/>
          <w:szCs w:val="28"/>
        </w:rPr>
        <w:t>.</w:t>
      </w:r>
    </w:p>
    <w:p w14:paraId="32A21B8F" w14:textId="77777777" w:rsidR="00EF34CB" w:rsidRPr="005801AD" w:rsidRDefault="00EF34CB" w:rsidP="00EF34CB">
      <w:pPr>
        <w:shd w:val="clear" w:color="auto" w:fill="D9E2F3" w:themeFill="accent5" w:themeFillTint="33"/>
        <w:bidi/>
        <w:spacing w:after="0" w:line="276" w:lineRule="auto"/>
        <w:jc w:val="both"/>
        <w:rPr>
          <w:rFonts w:asciiTheme="majorBidi" w:eastAsia="Dubai" w:hAnsiTheme="majorBidi" w:cstheme="majorBidi"/>
          <w:bCs/>
          <w:sz w:val="28"/>
          <w:szCs w:val="28"/>
        </w:rPr>
      </w:pPr>
      <w:r w:rsidRPr="005801AD">
        <w:rPr>
          <w:rFonts w:asciiTheme="majorBidi" w:eastAsia="Dubai" w:hAnsiTheme="majorBidi" w:cstheme="majorBidi"/>
          <w:bCs/>
          <w:sz w:val="28"/>
          <w:szCs w:val="28"/>
          <w:rtl/>
        </w:rPr>
        <w:t>القضاء على التمييز في التعليم (المادة السابعة)</w:t>
      </w:r>
    </w:p>
    <w:p w14:paraId="10080ABA" w14:textId="77777777" w:rsidR="00EF34CB" w:rsidRPr="00274771" w:rsidRDefault="00EF34CB" w:rsidP="00EF34CB">
      <w:pPr>
        <w:bidi/>
        <w:spacing w:after="0" w:line="276" w:lineRule="auto"/>
        <w:jc w:val="both"/>
        <w:rPr>
          <w:rFonts w:asciiTheme="majorBidi" w:eastAsia="Dubai" w:hAnsiTheme="majorBidi" w:cstheme="majorBidi"/>
          <w:sz w:val="28"/>
          <w:szCs w:val="28"/>
        </w:rPr>
      </w:pPr>
      <w:r w:rsidRPr="00274771">
        <w:rPr>
          <w:rFonts w:asciiTheme="majorBidi" w:eastAsia="Dubai" w:hAnsiTheme="majorBidi" w:cstheme="majorBidi"/>
          <w:sz w:val="28"/>
          <w:szCs w:val="28"/>
          <w:rtl/>
        </w:rPr>
        <w:t>التعليم حق لكل مواطن وفقا للمادة 49 من دستور دولة قطر</w:t>
      </w:r>
      <w:r w:rsidRPr="00274771">
        <w:rPr>
          <w:rFonts w:asciiTheme="majorBidi" w:eastAsia="Dubai" w:hAnsiTheme="majorBidi" w:cstheme="majorBidi"/>
          <w:sz w:val="28"/>
          <w:szCs w:val="28"/>
          <w:vertAlign w:val="superscript"/>
        </w:rPr>
        <w:footnoteReference w:id="17"/>
      </w:r>
      <w:r w:rsidRPr="00274771">
        <w:rPr>
          <w:rFonts w:asciiTheme="majorBidi" w:eastAsia="Dubai" w:hAnsiTheme="majorBidi" w:cstheme="majorBidi"/>
          <w:sz w:val="28"/>
          <w:szCs w:val="28"/>
          <w:rtl/>
        </w:rPr>
        <w:t>، وينظم قانون رقم 9 لسنة 2017 بشأن تنظيم المدارس</w:t>
      </w:r>
      <w:r w:rsidRPr="00274771">
        <w:rPr>
          <w:rFonts w:asciiTheme="majorBidi" w:eastAsia="Dubai" w:hAnsiTheme="majorBidi" w:cstheme="majorBidi"/>
          <w:sz w:val="28"/>
          <w:szCs w:val="28"/>
          <w:vertAlign w:val="superscript"/>
        </w:rPr>
        <w:footnoteReference w:id="18"/>
      </w:r>
      <w:r w:rsidRPr="00274771">
        <w:rPr>
          <w:rFonts w:asciiTheme="majorBidi" w:eastAsia="Dubai" w:hAnsiTheme="majorBidi" w:cstheme="majorBidi"/>
          <w:sz w:val="28"/>
          <w:szCs w:val="28"/>
          <w:rtl/>
        </w:rPr>
        <w:t xml:space="preserve"> بجانب قانون رقم 25 لسنة 2001 بشأن التعليم الإلزامي الحق في الحصول على التعليم لجميع الأطفال المواطنين. في هذا السياق تنص المادة الرابعة من القانون رقم 9 لسنة 2017 بإن التعليم في المدارس حق لجميع المواطنين، ويحيل قبول الطلاب غير القطريين في المدارس إلى قرارات تنفيذية صادرة عن مجلس الوزراء</w:t>
      </w:r>
      <w:r w:rsidRPr="00274771">
        <w:rPr>
          <w:rFonts w:asciiTheme="majorBidi" w:eastAsia="Dubai" w:hAnsiTheme="majorBidi" w:cstheme="majorBidi"/>
          <w:sz w:val="28"/>
          <w:szCs w:val="28"/>
          <w:vertAlign w:val="superscript"/>
        </w:rPr>
        <w:footnoteReference w:id="19"/>
      </w:r>
      <w:r w:rsidRPr="00274771">
        <w:rPr>
          <w:rFonts w:asciiTheme="majorBidi" w:eastAsia="Dubai" w:hAnsiTheme="majorBidi" w:cstheme="majorBidi"/>
          <w:sz w:val="28"/>
          <w:szCs w:val="28"/>
          <w:rtl/>
        </w:rPr>
        <w:t>. ويلاحظ إن القانون قصر الحق في الحصول على التعليم في هذه المادة على أبناء المواطنين فحسب. ويتعارض ذلك مع الاتفاقية الخاصة بمكافحة التمييز في مجال التعليم التي تحظر التمييز في التعليم بناءً على أي اعتبارات مثل الأصل الوطني أو أي اعتبارات أخري</w:t>
      </w:r>
      <w:r w:rsidRPr="00274771">
        <w:rPr>
          <w:rFonts w:asciiTheme="majorBidi" w:eastAsia="Dubai" w:hAnsiTheme="majorBidi" w:cstheme="majorBidi"/>
          <w:sz w:val="28"/>
          <w:szCs w:val="28"/>
          <w:vertAlign w:val="superscript"/>
        </w:rPr>
        <w:footnoteReference w:id="20"/>
      </w:r>
      <w:r w:rsidRPr="00274771">
        <w:rPr>
          <w:rFonts w:asciiTheme="majorBidi" w:eastAsia="Dubai" w:hAnsiTheme="majorBidi" w:cstheme="majorBidi"/>
          <w:sz w:val="28"/>
          <w:szCs w:val="28"/>
        </w:rPr>
        <w:t>.</w:t>
      </w:r>
    </w:p>
    <w:p w14:paraId="1F9049E1" w14:textId="77777777" w:rsidR="00EF34CB" w:rsidRPr="00274771" w:rsidRDefault="00EF34CB" w:rsidP="00EF34CB">
      <w:pPr>
        <w:bidi/>
        <w:spacing w:after="0" w:line="276" w:lineRule="auto"/>
        <w:jc w:val="both"/>
        <w:rPr>
          <w:rFonts w:asciiTheme="majorBidi" w:eastAsia="Dubai" w:hAnsiTheme="majorBidi" w:cstheme="majorBidi"/>
          <w:sz w:val="28"/>
          <w:szCs w:val="28"/>
        </w:rPr>
      </w:pPr>
      <w:r w:rsidRPr="00274771">
        <w:rPr>
          <w:rFonts w:asciiTheme="majorBidi" w:eastAsia="Dubai" w:hAnsiTheme="majorBidi" w:cstheme="majorBidi"/>
          <w:sz w:val="28"/>
          <w:szCs w:val="28"/>
          <w:rtl/>
        </w:rPr>
        <w:t>ينص قانون التعليم الإلزامي المعدل بموجب القانون رقم 12 لسنة 2017 إن التعليم مجاني لجميع الأطفال منذ المرحلة الابتدائية وحتى نهاية المرحلة الإعدادية</w:t>
      </w:r>
      <w:r w:rsidRPr="00274771">
        <w:rPr>
          <w:rFonts w:asciiTheme="majorBidi" w:eastAsia="Dubai" w:hAnsiTheme="majorBidi" w:cstheme="majorBidi"/>
          <w:sz w:val="28"/>
          <w:szCs w:val="28"/>
          <w:vertAlign w:val="superscript"/>
        </w:rPr>
        <w:footnoteReference w:id="21"/>
      </w:r>
      <w:r w:rsidRPr="00274771">
        <w:rPr>
          <w:rFonts w:asciiTheme="majorBidi" w:eastAsia="Dubai" w:hAnsiTheme="majorBidi" w:cstheme="majorBidi"/>
          <w:sz w:val="28"/>
          <w:szCs w:val="28"/>
        </w:rPr>
        <w:t xml:space="preserve">، </w:t>
      </w:r>
      <w:r w:rsidRPr="005801AD">
        <w:rPr>
          <w:rFonts w:asciiTheme="majorBidi" w:eastAsia="Dubai" w:hAnsiTheme="majorBidi" w:cstheme="majorBidi"/>
          <w:b/>
          <w:bCs/>
          <w:sz w:val="28"/>
          <w:szCs w:val="28"/>
          <w:rtl/>
        </w:rPr>
        <w:t>مع ذلك تشير التقديرات بإن 61% من إجمالي المدارس في دولة قطر هي مدارس خاصة وهي مدارس في معظمها هادفة للربح</w:t>
      </w:r>
      <w:r w:rsidRPr="005801AD">
        <w:rPr>
          <w:rFonts w:asciiTheme="majorBidi" w:eastAsia="Dubai" w:hAnsiTheme="majorBidi" w:cstheme="majorBidi"/>
          <w:b/>
          <w:bCs/>
          <w:sz w:val="28"/>
          <w:szCs w:val="28"/>
          <w:vertAlign w:val="superscript"/>
        </w:rPr>
        <w:footnoteReference w:id="22"/>
      </w:r>
      <w:r w:rsidRPr="005801AD">
        <w:rPr>
          <w:rFonts w:asciiTheme="majorBidi" w:eastAsia="Dubai" w:hAnsiTheme="majorBidi" w:cstheme="majorBidi"/>
          <w:b/>
          <w:bCs/>
          <w:sz w:val="28"/>
          <w:szCs w:val="28"/>
        </w:rPr>
        <w:t>.</w:t>
      </w:r>
      <w:r w:rsidRPr="00274771">
        <w:rPr>
          <w:rFonts w:asciiTheme="majorBidi" w:eastAsia="Dubai" w:hAnsiTheme="majorBidi" w:cstheme="majorBidi"/>
          <w:sz w:val="28"/>
          <w:szCs w:val="28"/>
          <w:rtl/>
        </w:rPr>
        <w:t xml:space="preserve"> في سياق متصل ارتفعت الرسوم الدراسية بشكل خاص في المدارس الدولية التي تفرض رسوم مرتفعة للغاية</w:t>
      </w:r>
      <w:r w:rsidRPr="00274771">
        <w:rPr>
          <w:rFonts w:asciiTheme="majorBidi" w:eastAsia="Dubai" w:hAnsiTheme="majorBidi" w:cstheme="majorBidi"/>
          <w:sz w:val="28"/>
          <w:szCs w:val="28"/>
          <w:vertAlign w:val="superscript"/>
        </w:rPr>
        <w:footnoteReference w:id="23"/>
      </w:r>
      <w:r w:rsidRPr="00274771">
        <w:rPr>
          <w:rFonts w:asciiTheme="majorBidi" w:eastAsia="Dubai" w:hAnsiTheme="majorBidi" w:cstheme="majorBidi"/>
          <w:sz w:val="28"/>
          <w:szCs w:val="28"/>
          <w:rtl/>
        </w:rPr>
        <w:t>، في سياق متصل اشتكى بعض الوافدين في أحيان مختلفة من تكاليف الرسوم الدراسية لاسيما عند تأخر استلام مرتباتهم من قبل الشركات الذين يعملون فيها. تبلغ رسوم الكتب والمواصلات لوزارة التربية والتعليم نحو 2300 ريال وفي بعض الأحيان تمنح وزارة التربية والتعليم اعفاءً لصالح حملة الوثائق القطرية من دفع هذه الرسوم ولكن الإعفاء الوزاري لا يتخطى عامين، ويعاد فرض الرسوم عليهم مرة أخرى. بما يفرض أعباء على الطلبة غير القطريين وأسرهم.</w:t>
      </w:r>
    </w:p>
    <w:p w14:paraId="7D6EFB13" w14:textId="77777777" w:rsidR="00EF34CB" w:rsidRPr="00274771" w:rsidRDefault="00EF34CB" w:rsidP="00EF34CB">
      <w:pPr>
        <w:bidi/>
        <w:spacing w:after="0" w:line="276" w:lineRule="auto"/>
        <w:jc w:val="both"/>
        <w:rPr>
          <w:rFonts w:asciiTheme="majorBidi" w:eastAsia="Dubai" w:hAnsiTheme="majorBidi" w:cstheme="majorBidi"/>
          <w:sz w:val="28"/>
          <w:szCs w:val="28"/>
        </w:rPr>
      </w:pPr>
      <w:r w:rsidRPr="00274771">
        <w:rPr>
          <w:rFonts w:asciiTheme="majorBidi" w:eastAsia="Dubai" w:hAnsiTheme="majorBidi" w:cstheme="majorBidi"/>
          <w:sz w:val="28"/>
          <w:szCs w:val="28"/>
          <w:rtl/>
        </w:rPr>
        <w:t xml:space="preserve">في هذا السياق تحديدًا واجه أطفال فئة عديمي الجنسية لاسيما من قبيلة الغفران في دولة قطر، وما يعرف بعضهم  بحملة الوثائق "البدون" المشاكل نفسها في حصول أطفالهم على التعليم سواء الأساسي أو الجامعي، ويعتمد التسجيل في المدارس الحكومية سواء المجانية او المدارس الخاصة والدولية في قطر علي الحصول </w:t>
      </w:r>
      <w:r w:rsidRPr="00274771">
        <w:rPr>
          <w:rFonts w:asciiTheme="majorBidi" w:eastAsia="Dubai" w:hAnsiTheme="majorBidi" w:cstheme="majorBidi"/>
          <w:sz w:val="28"/>
          <w:szCs w:val="28"/>
          <w:rtl/>
        </w:rPr>
        <w:lastRenderedPageBreak/>
        <w:t>علي وثائق هوية صالحة، في ظل عدم قدرة معظم العائلات من إلحاق أطفالهم بالتعليم الابتدائي كونهم بلا جنسية، وفي أحيان قليلة للغاية تمكن البعض اعتماداً على العلاقات والأشخاص المتعاطفين معه لاسيما الأقارب والأهل، بالإضافة إلي مديري المدارس المٌتفهمين لمحنة تلك الفئة، لتسجيل أطفالهم</w:t>
      </w:r>
      <w:r w:rsidRPr="00274771">
        <w:rPr>
          <w:rFonts w:asciiTheme="majorBidi" w:eastAsia="Dubai" w:hAnsiTheme="majorBidi" w:cstheme="majorBidi"/>
          <w:sz w:val="28"/>
          <w:szCs w:val="28"/>
          <w:vertAlign w:val="superscript"/>
        </w:rPr>
        <w:footnoteReference w:id="24"/>
      </w:r>
      <w:r w:rsidRPr="00274771">
        <w:rPr>
          <w:rFonts w:asciiTheme="majorBidi" w:eastAsia="Dubai" w:hAnsiTheme="majorBidi" w:cstheme="majorBidi"/>
          <w:sz w:val="28"/>
          <w:szCs w:val="28"/>
        </w:rPr>
        <w:t>.</w:t>
      </w:r>
    </w:p>
    <w:p w14:paraId="25A30CE7" w14:textId="77777777" w:rsidR="00EF34CB" w:rsidRPr="00274771" w:rsidRDefault="00EF34CB" w:rsidP="00EF34CB">
      <w:pPr>
        <w:bidi/>
        <w:spacing w:after="0" w:line="276" w:lineRule="auto"/>
        <w:jc w:val="both"/>
        <w:rPr>
          <w:rFonts w:asciiTheme="majorBidi" w:eastAsia="Dubai" w:hAnsiTheme="majorBidi" w:cstheme="majorBidi"/>
          <w:sz w:val="28"/>
          <w:szCs w:val="28"/>
        </w:rPr>
      </w:pPr>
      <w:r w:rsidRPr="00274771">
        <w:rPr>
          <w:rFonts w:asciiTheme="majorBidi" w:eastAsia="Dubai" w:hAnsiTheme="majorBidi" w:cstheme="majorBidi"/>
          <w:sz w:val="28"/>
          <w:szCs w:val="28"/>
          <w:rtl/>
        </w:rPr>
        <w:t>في سياق متصل لم يستطع أي ممن سُحبت جنسيتهم قبل بلوغهم الثامنة عشرة متابعة التعليم الجامعي، حتى لو كان بإمكان عائلاتهم دفع الرسوم المقررة لذلك، أطلعت مؤسسة ماعت على شهادات عديدة لطلبة جامعيين ممن سحبت جنسية آبائهم، حيث رفضت جامعة قطر الحكومية في المرحلة النهائية تسجيل هؤلاء الطلاب. وشملت الإجراءات المعقدة الذي واجهت هؤلاء الطلبة الذين سُبحت جنسية عائلاتهم طلب إدارة الجامعة الحصول على موافقة وزارة الداخلية: وفي الغالب ما تمتنع وزارة الداخلية القطرية على الرد على هذه الطلبات ما يمنع الأطفال الذين أنهوا مرحلة التعليم الثانوي استكمال تعليمهم الجامعي.</w:t>
      </w:r>
      <w:r w:rsidRPr="00274771">
        <w:rPr>
          <w:rFonts w:asciiTheme="majorBidi" w:eastAsia="Dubai" w:hAnsiTheme="majorBidi" w:cstheme="majorBidi"/>
          <w:sz w:val="28"/>
          <w:szCs w:val="28"/>
          <w:vertAlign w:val="superscript"/>
        </w:rPr>
        <w:footnoteReference w:id="25"/>
      </w:r>
    </w:p>
    <w:p w14:paraId="7B32BD46" w14:textId="77777777" w:rsidR="00EF34CB" w:rsidRPr="005801AD" w:rsidRDefault="00EF34CB" w:rsidP="00EF34CB">
      <w:pPr>
        <w:shd w:val="clear" w:color="auto" w:fill="D9E2F3" w:themeFill="accent5" w:themeFillTint="33"/>
        <w:bidi/>
        <w:spacing w:after="0" w:line="276" w:lineRule="auto"/>
        <w:jc w:val="both"/>
        <w:rPr>
          <w:rFonts w:asciiTheme="majorBidi" w:eastAsia="Dubai" w:hAnsiTheme="majorBidi" w:cstheme="majorBidi"/>
          <w:bCs/>
          <w:sz w:val="28"/>
          <w:szCs w:val="28"/>
        </w:rPr>
      </w:pPr>
      <w:r w:rsidRPr="005801AD">
        <w:rPr>
          <w:rFonts w:asciiTheme="majorBidi" w:eastAsia="Dubai" w:hAnsiTheme="majorBidi" w:cstheme="majorBidi"/>
          <w:bCs/>
          <w:sz w:val="28"/>
          <w:szCs w:val="28"/>
          <w:rtl/>
        </w:rPr>
        <w:t>توصي مؤسسة ماعت بالآتي:</w:t>
      </w:r>
    </w:p>
    <w:p w14:paraId="649431F2" w14:textId="77777777" w:rsidR="00EF34CB" w:rsidRPr="00274771" w:rsidRDefault="00EF34CB" w:rsidP="00EF34CB">
      <w:pPr>
        <w:numPr>
          <w:ilvl w:val="0"/>
          <w:numId w:val="28"/>
        </w:numPr>
        <w:pBdr>
          <w:top w:val="nil"/>
          <w:left w:val="nil"/>
          <w:bottom w:val="nil"/>
          <w:right w:val="nil"/>
          <w:between w:val="nil"/>
        </w:pBdr>
        <w:bidi/>
        <w:spacing w:after="0" w:line="276" w:lineRule="auto"/>
        <w:jc w:val="both"/>
        <w:rPr>
          <w:rFonts w:asciiTheme="majorBidi" w:eastAsia="Dubai" w:hAnsiTheme="majorBidi" w:cstheme="majorBidi"/>
          <w:color w:val="000000"/>
          <w:sz w:val="28"/>
          <w:szCs w:val="28"/>
        </w:rPr>
      </w:pPr>
      <w:r w:rsidRPr="00274771">
        <w:rPr>
          <w:rFonts w:asciiTheme="majorBidi" w:eastAsia="Dubai" w:hAnsiTheme="majorBidi" w:cstheme="majorBidi"/>
          <w:color w:val="000000"/>
          <w:sz w:val="28"/>
          <w:szCs w:val="28"/>
          <w:rtl/>
        </w:rPr>
        <w:t>النظر في اعتماد تعريف للتمييز العنصري يتوافق مع التعريف الوارد في المادة الأولي من اتفاقية القضاء على جميع أشكال التمييز العنصري؛</w:t>
      </w:r>
    </w:p>
    <w:p w14:paraId="244CF326" w14:textId="77777777" w:rsidR="00EF34CB" w:rsidRPr="00274771" w:rsidRDefault="00EF34CB" w:rsidP="00EF34CB">
      <w:pPr>
        <w:numPr>
          <w:ilvl w:val="0"/>
          <w:numId w:val="28"/>
        </w:numPr>
        <w:pBdr>
          <w:top w:val="nil"/>
          <w:left w:val="nil"/>
          <w:bottom w:val="nil"/>
          <w:right w:val="nil"/>
          <w:between w:val="nil"/>
        </w:pBdr>
        <w:bidi/>
        <w:spacing w:after="0" w:line="276" w:lineRule="auto"/>
        <w:jc w:val="both"/>
        <w:rPr>
          <w:rFonts w:asciiTheme="majorBidi" w:eastAsia="Dubai" w:hAnsiTheme="majorBidi" w:cstheme="majorBidi"/>
          <w:color w:val="000000"/>
          <w:sz w:val="28"/>
          <w:szCs w:val="28"/>
        </w:rPr>
      </w:pPr>
      <w:r w:rsidRPr="00274771">
        <w:rPr>
          <w:rFonts w:asciiTheme="majorBidi" w:eastAsia="Dubai" w:hAnsiTheme="majorBidi" w:cstheme="majorBidi"/>
          <w:color w:val="000000"/>
          <w:sz w:val="28"/>
          <w:szCs w:val="28"/>
          <w:rtl/>
        </w:rPr>
        <w:t xml:space="preserve">النظر في تعديل أو إلغاء التشريعات والقوانين التي تكرس </w:t>
      </w:r>
      <w:r w:rsidRPr="00274771">
        <w:rPr>
          <w:rFonts w:asciiTheme="majorBidi" w:eastAsia="Dubai" w:hAnsiTheme="majorBidi" w:cstheme="majorBidi"/>
          <w:sz w:val="28"/>
          <w:szCs w:val="28"/>
          <w:rtl/>
        </w:rPr>
        <w:t>التمييز</w:t>
      </w:r>
      <w:r w:rsidRPr="00274771">
        <w:rPr>
          <w:rFonts w:asciiTheme="majorBidi" w:eastAsia="Dubai" w:hAnsiTheme="majorBidi" w:cstheme="majorBidi"/>
          <w:color w:val="000000"/>
          <w:sz w:val="28"/>
          <w:szCs w:val="28"/>
          <w:rtl/>
        </w:rPr>
        <w:t xml:space="preserve"> ضد الأشخاص المنتمين إلى الأقليات الدينية.</w:t>
      </w:r>
    </w:p>
    <w:p w14:paraId="3718B14D" w14:textId="77777777" w:rsidR="00EF34CB" w:rsidRPr="00274771" w:rsidRDefault="00EF34CB" w:rsidP="00EF34CB">
      <w:pPr>
        <w:numPr>
          <w:ilvl w:val="0"/>
          <w:numId w:val="28"/>
        </w:numPr>
        <w:pBdr>
          <w:top w:val="nil"/>
          <w:left w:val="nil"/>
          <w:bottom w:val="nil"/>
          <w:right w:val="nil"/>
          <w:between w:val="nil"/>
        </w:pBdr>
        <w:bidi/>
        <w:spacing w:after="0" w:line="276" w:lineRule="auto"/>
        <w:jc w:val="both"/>
        <w:rPr>
          <w:rFonts w:asciiTheme="majorBidi" w:eastAsia="Dubai" w:hAnsiTheme="majorBidi" w:cstheme="majorBidi"/>
          <w:color w:val="000000"/>
          <w:sz w:val="28"/>
          <w:szCs w:val="28"/>
        </w:rPr>
      </w:pPr>
      <w:r w:rsidRPr="00274771">
        <w:rPr>
          <w:rFonts w:asciiTheme="majorBidi" w:eastAsia="Dubai" w:hAnsiTheme="majorBidi" w:cstheme="majorBidi"/>
          <w:color w:val="000000"/>
          <w:sz w:val="28"/>
          <w:szCs w:val="28"/>
          <w:rtl/>
        </w:rPr>
        <w:t>العمل على إنهاء سياسات الطرد والترحيل القسري والتطهير الديني التي يتعرض لها الأفراد المنتمين إلى مجتمعات الأقليات الدينية ولا سيما البهائيين والمسيحيين.</w:t>
      </w:r>
    </w:p>
    <w:p w14:paraId="4956AF2A" w14:textId="77777777" w:rsidR="00EF34CB" w:rsidRPr="00274771" w:rsidRDefault="00EF34CB" w:rsidP="00EF34CB">
      <w:pPr>
        <w:numPr>
          <w:ilvl w:val="0"/>
          <w:numId w:val="28"/>
        </w:numPr>
        <w:pBdr>
          <w:top w:val="nil"/>
          <w:left w:val="nil"/>
          <w:bottom w:val="nil"/>
          <w:right w:val="nil"/>
          <w:between w:val="nil"/>
        </w:pBdr>
        <w:bidi/>
        <w:spacing w:after="0" w:line="276" w:lineRule="auto"/>
        <w:jc w:val="both"/>
        <w:rPr>
          <w:rFonts w:asciiTheme="majorBidi" w:eastAsia="Dubai" w:hAnsiTheme="majorBidi" w:cstheme="majorBidi"/>
          <w:color w:val="000000"/>
          <w:sz w:val="28"/>
          <w:szCs w:val="28"/>
        </w:rPr>
      </w:pPr>
      <w:r w:rsidRPr="00274771">
        <w:rPr>
          <w:rFonts w:asciiTheme="majorBidi" w:eastAsia="Dubai" w:hAnsiTheme="majorBidi" w:cstheme="majorBidi"/>
          <w:color w:val="000000"/>
          <w:sz w:val="28"/>
          <w:szCs w:val="28"/>
          <w:rtl/>
        </w:rPr>
        <w:t>النظر في تسريع وتيرة اعتماد مشروع قانون الأنشطة الإعلامية الذي يحظر العنصرية ضد المهاجرين في وسائل الإعلام</w:t>
      </w:r>
    </w:p>
    <w:p w14:paraId="1D8AB015" w14:textId="77777777" w:rsidR="00EF34CB" w:rsidRPr="00274771" w:rsidRDefault="00EF34CB" w:rsidP="00EF34CB">
      <w:pPr>
        <w:numPr>
          <w:ilvl w:val="0"/>
          <w:numId w:val="28"/>
        </w:numPr>
        <w:pBdr>
          <w:top w:val="nil"/>
          <w:left w:val="nil"/>
          <w:bottom w:val="nil"/>
          <w:right w:val="nil"/>
          <w:between w:val="nil"/>
        </w:pBdr>
        <w:bidi/>
        <w:spacing w:after="0" w:line="276" w:lineRule="auto"/>
        <w:jc w:val="both"/>
        <w:rPr>
          <w:rFonts w:asciiTheme="majorBidi" w:eastAsia="Dubai" w:hAnsiTheme="majorBidi" w:cstheme="majorBidi"/>
          <w:color w:val="000000"/>
          <w:sz w:val="28"/>
          <w:szCs w:val="28"/>
        </w:rPr>
      </w:pPr>
      <w:r w:rsidRPr="00274771">
        <w:rPr>
          <w:rFonts w:asciiTheme="majorBidi" w:eastAsia="Dubai" w:hAnsiTheme="majorBidi" w:cstheme="majorBidi"/>
          <w:color w:val="000000"/>
          <w:sz w:val="28"/>
          <w:szCs w:val="28"/>
          <w:rtl/>
        </w:rPr>
        <w:t>اتخاذ تدابير إضافية لضمان وصول العمال المهاجرين إلى العدالة وتحسين آليات الشكاوى وإتاحة المساعدة القانونية لجميع العمال المهاجرين وتحسين خدمة الترجمة الشفوية والتحريرية في المحاكم ولجان المنازعات العمالية؛</w:t>
      </w:r>
    </w:p>
    <w:p w14:paraId="6C91D697" w14:textId="77777777" w:rsidR="00EF34CB" w:rsidRPr="00274771" w:rsidRDefault="00EF34CB" w:rsidP="00EF34CB">
      <w:pPr>
        <w:numPr>
          <w:ilvl w:val="0"/>
          <w:numId w:val="28"/>
        </w:numPr>
        <w:pBdr>
          <w:top w:val="nil"/>
          <w:left w:val="nil"/>
          <w:bottom w:val="nil"/>
          <w:right w:val="nil"/>
          <w:between w:val="nil"/>
        </w:pBdr>
        <w:bidi/>
        <w:spacing w:after="0" w:line="276" w:lineRule="auto"/>
        <w:jc w:val="both"/>
        <w:rPr>
          <w:rFonts w:asciiTheme="majorBidi" w:eastAsia="Dubai" w:hAnsiTheme="majorBidi" w:cstheme="majorBidi"/>
          <w:color w:val="000000"/>
          <w:sz w:val="28"/>
          <w:szCs w:val="28"/>
        </w:rPr>
      </w:pPr>
      <w:r w:rsidRPr="00274771">
        <w:rPr>
          <w:rFonts w:asciiTheme="majorBidi" w:eastAsia="Dubai" w:hAnsiTheme="majorBidi" w:cstheme="majorBidi"/>
          <w:color w:val="000000"/>
          <w:sz w:val="28"/>
          <w:szCs w:val="28"/>
          <w:rtl/>
        </w:rPr>
        <w:t xml:space="preserve">ضرورة اتباع سياسات غير تمييزية فيما يتعلق بحصول المواطنين والوافدين في دولة قطر </w:t>
      </w:r>
      <w:r w:rsidRPr="00274771">
        <w:rPr>
          <w:rFonts w:asciiTheme="majorBidi" w:eastAsia="Dubai" w:hAnsiTheme="majorBidi" w:cstheme="majorBidi"/>
          <w:sz w:val="28"/>
          <w:szCs w:val="28"/>
          <w:rtl/>
        </w:rPr>
        <w:t>على</w:t>
      </w:r>
      <w:r w:rsidRPr="00274771">
        <w:rPr>
          <w:rFonts w:asciiTheme="majorBidi" w:eastAsia="Dubai" w:hAnsiTheme="majorBidi" w:cstheme="majorBidi"/>
          <w:color w:val="000000"/>
          <w:sz w:val="28"/>
          <w:szCs w:val="28"/>
          <w:rtl/>
        </w:rPr>
        <w:t xml:space="preserve"> التعليم.</w:t>
      </w:r>
    </w:p>
    <w:p w14:paraId="31E24B34" w14:textId="77777777" w:rsidR="00EF34CB" w:rsidRDefault="00EF34CB" w:rsidP="00EF34CB">
      <w:pPr>
        <w:bidi/>
        <w:spacing w:after="0" w:line="276" w:lineRule="auto"/>
        <w:rPr>
          <w:rFonts w:ascii="Dubai" w:eastAsia="Dubai" w:hAnsi="Dubai" w:cs="Dubai"/>
          <w:sz w:val="24"/>
          <w:szCs w:val="24"/>
        </w:rPr>
      </w:pPr>
    </w:p>
    <w:p w14:paraId="516BD68B" w14:textId="77777777" w:rsidR="00EF34CB" w:rsidRPr="00274771" w:rsidRDefault="00EF34CB" w:rsidP="00EF34CB">
      <w:pPr>
        <w:spacing w:line="276" w:lineRule="auto"/>
        <w:jc w:val="right"/>
        <w:rPr>
          <w:rtl/>
        </w:rPr>
      </w:pPr>
    </w:p>
    <w:p w14:paraId="213C11A3" w14:textId="4BB14BEB" w:rsidR="004F6EC6" w:rsidRPr="00EF34CB" w:rsidRDefault="004F6EC6" w:rsidP="00EF34CB">
      <w:pPr>
        <w:rPr>
          <w:rFonts w:asciiTheme="majorBidi" w:hAnsiTheme="majorBidi" w:cstheme="majorBidi"/>
          <w:sz w:val="28"/>
          <w:szCs w:val="28"/>
          <w:rtl/>
        </w:rPr>
      </w:pPr>
    </w:p>
    <w:sectPr w:rsidR="004F6EC6" w:rsidRPr="00EF34CB" w:rsidSect="004145E0">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EF3DA" w14:textId="77777777" w:rsidR="004145E0" w:rsidRDefault="004145E0" w:rsidP="004F6D5A">
      <w:pPr>
        <w:spacing w:after="0" w:line="240" w:lineRule="auto"/>
      </w:pPr>
      <w:r>
        <w:separator/>
      </w:r>
    </w:p>
  </w:endnote>
  <w:endnote w:type="continuationSeparator" w:id="0">
    <w:p w14:paraId="30858D99" w14:textId="77777777" w:rsidR="004145E0" w:rsidRDefault="004145E0"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Dubai">
    <w:panose1 w:val="020B0503030403030204"/>
    <w:charset w:val="00"/>
    <w:family w:val="swiss"/>
    <w:pitch w:val="variable"/>
    <w:sig w:usb0="80002067"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E86B5" w14:textId="77777777" w:rsidR="004145E0" w:rsidRDefault="004145E0" w:rsidP="004F6D5A">
      <w:pPr>
        <w:spacing w:after="0" w:line="240" w:lineRule="auto"/>
      </w:pPr>
      <w:r>
        <w:separator/>
      </w:r>
    </w:p>
  </w:footnote>
  <w:footnote w:type="continuationSeparator" w:id="0">
    <w:p w14:paraId="38ED23D2" w14:textId="77777777" w:rsidR="004145E0" w:rsidRDefault="004145E0" w:rsidP="004F6D5A">
      <w:pPr>
        <w:spacing w:after="0" w:line="240" w:lineRule="auto"/>
      </w:pPr>
      <w:r>
        <w:continuationSeparator/>
      </w:r>
    </w:p>
  </w:footnote>
  <w:footnote w:id="1">
    <w:p w14:paraId="3112655E" w14:textId="77777777" w:rsidR="00EF34CB" w:rsidRDefault="00EF34CB" w:rsidP="00EF34CB">
      <w:pPr>
        <w:pBdr>
          <w:top w:val="nil"/>
          <w:left w:val="nil"/>
          <w:bottom w:val="nil"/>
          <w:right w:val="nil"/>
          <w:between w:val="nil"/>
        </w:pBdr>
        <w:spacing w:after="0" w:line="240" w:lineRule="auto"/>
        <w:rPr>
          <w:color w:val="000000"/>
          <w:sz w:val="20"/>
          <w:szCs w:val="20"/>
        </w:rPr>
      </w:pPr>
      <w:r>
        <w:rPr>
          <w:vertAlign w:val="superscript"/>
        </w:rPr>
        <w:footnoteRef/>
      </w:r>
      <w:r>
        <w:rPr>
          <w:rFonts w:ascii="Calibri" w:eastAsia="Calibri" w:hAnsi="Calibri" w:cs="Calibri"/>
          <w:color w:val="000000"/>
          <w:sz w:val="20"/>
          <w:szCs w:val="20"/>
        </w:rPr>
        <w:t xml:space="preserve"> </w:t>
      </w:r>
      <w:bookmarkStart w:id="0" w:name="_Hlk162106255"/>
      <w:r>
        <w:rPr>
          <w:rFonts w:ascii="Calibri" w:eastAsia="Calibri" w:hAnsi="Calibri" w:cs="Calibri"/>
          <w:color w:val="000000"/>
          <w:sz w:val="20"/>
          <w:szCs w:val="20"/>
        </w:rPr>
        <w:t xml:space="preserve">Combined twenty-second and twenty-third reports submitted by Qatar under article 9 of the Convention, due in 2021, </w:t>
      </w:r>
      <w:hyperlink r:id="rId1">
        <w:r>
          <w:rPr>
            <w:rFonts w:ascii="Calibri" w:eastAsia="Calibri" w:hAnsi="Calibri" w:cs="Calibri"/>
            <w:color w:val="0563C1"/>
            <w:sz w:val="20"/>
            <w:szCs w:val="20"/>
            <w:u w:val="single"/>
          </w:rPr>
          <w:t>https://tinyurl.com/bdhzw5he</w:t>
        </w:r>
      </w:hyperlink>
      <w:r>
        <w:rPr>
          <w:rFonts w:ascii="Calibri" w:eastAsia="Calibri" w:hAnsi="Calibri" w:cs="Calibri"/>
          <w:color w:val="000000"/>
          <w:sz w:val="20"/>
          <w:szCs w:val="20"/>
        </w:rPr>
        <w:t xml:space="preserve"> </w:t>
      </w:r>
      <w:bookmarkEnd w:id="0"/>
    </w:p>
  </w:footnote>
  <w:footnote w:id="2">
    <w:p w14:paraId="29C79CF1" w14:textId="77777777" w:rsidR="00EF34CB" w:rsidRDefault="00EF34CB" w:rsidP="00EF34CB">
      <w:pPr>
        <w:pBdr>
          <w:top w:val="nil"/>
          <w:left w:val="nil"/>
          <w:bottom w:val="nil"/>
          <w:right w:val="nil"/>
          <w:between w:val="nil"/>
        </w:pBdr>
        <w:spacing w:after="0" w:line="240" w:lineRule="auto"/>
        <w:rPr>
          <w:color w:val="000000"/>
          <w:sz w:val="20"/>
          <w:szCs w:val="20"/>
        </w:rPr>
      </w:pPr>
      <w:r>
        <w:rPr>
          <w:vertAlign w:val="superscript"/>
        </w:rPr>
        <w:footnoteRef/>
      </w:r>
      <w:r>
        <w:rPr>
          <w:rFonts w:ascii="Calibri" w:eastAsia="Calibri" w:hAnsi="Calibri" w:cs="Calibri"/>
          <w:color w:val="000000"/>
          <w:sz w:val="20"/>
          <w:szCs w:val="20"/>
        </w:rPr>
        <w:t xml:space="preserve"> Ibid </w:t>
      </w:r>
    </w:p>
  </w:footnote>
  <w:footnote w:id="3">
    <w:p w14:paraId="69DCA290" w14:textId="77777777" w:rsidR="00EF34CB" w:rsidRDefault="00EF34CB" w:rsidP="00EF34CB">
      <w:pPr>
        <w:pBdr>
          <w:top w:val="nil"/>
          <w:left w:val="nil"/>
          <w:bottom w:val="nil"/>
          <w:right w:val="nil"/>
          <w:between w:val="nil"/>
        </w:pBdr>
        <w:bidi/>
        <w:spacing w:after="0" w:line="240" w:lineRule="auto"/>
        <w:rPr>
          <w:color w:val="000000"/>
          <w:sz w:val="20"/>
          <w:szCs w:val="20"/>
        </w:rPr>
      </w:pPr>
      <w:r>
        <w:rPr>
          <w:vertAlign w:val="superscript"/>
        </w:rPr>
        <w:footnoteRef/>
      </w:r>
      <w:r>
        <w:rPr>
          <w:rFonts w:ascii="Calibri" w:eastAsia="Calibri" w:hAnsi="Calibri" w:cs="Calibri"/>
          <w:color w:val="000000"/>
          <w:sz w:val="20"/>
          <w:szCs w:val="20"/>
          <w:rtl/>
        </w:rPr>
        <w:t xml:space="preserve"> في دائرة الأزمات: حالة حقوق الإنسان في المنطقة العربية 2022، التقرير السنوي السادي لمؤسسة ماعت حول أوضاع حقوق الإنسان في العالم العربي، 26 مارس 2023، </w:t>
      </w:r>
      <w:hyperlink r:id="rId2">
        <w:r>
          <w:rPr>
            <w:rFonts w:ascii="Calibri" w:eastAsia="Calibri" w:hAnsi="Calibri" w:cs="Calibri"/>
            <w:color w:val="0563C1"/>
            <w:sz w:val="20"/>
            <w:szCs w:val="20"/>
            <w:u w:val="single"/>
          </w:rPr>
          <w:t>http://tinyurl.com/yctx56ty</w:t>
        </w:r>
      </w:hyperlink>
    </w:p>
  </w:footnote>
  <w:footnote w:id="4">
    <w:p w14:paraId="5055666C" w14:textId="77777777" w:rsidR="00EF34CB" w:rsidRDefault="00EF34CB" w:rsidP="00EF34CB">
      <w:pPr>
        <w:pBdr>
          <w:top w:val="nil"/>
          <w:left w:val="nil"/>
          <w:bottom w:val="nil"/>
          <w:right w:val="nil"/>
          <w:between w:val="nil"/>
        </w:pBdr>
        <w:bidi/>
        <w:spacing w:after="0" w:line="240" w:lineRule="auto"/>
        <w:rPr>
          <w:color w:val="000000"/>
          <w:sz w:val="20"/>
          <w:szCs w:val="20"/>
        </w:rPr>
      </w:pPr>
      <w:r>
        <w:rPr>
          <w:vertAlign w:val="superscript"/>
        </w:rPr>
        <w:footnoteRef/>
      </w:r>
      <w:r>
        <w:rPr>
          <w:rFonts w:ascii="Calibri" w:eastAsia="Calibri" w:hAnsi="Calibri" w:cs="Calibri"/>
          <w:color w:val="000000"/>
          <w:sz w:val="20"/>
          <w:szCs w:val="20"/>
          <w:rtl/>
        </w:rPr>
        <w:t xml:space="preserve">  </w:t>
      </w:r>
      <w:bookmarkStart w:id="1" w:name="_Hlk162106819"/>
      <w:r>
        <w:rPr>
          <w:rFonts w:ascii="Calibri" w:eastAsia="Calibri" w:hAnsi="Calibri" w:cs="Calibri"/>
          <w:color w:val="000000"/>
          <w:sz w:val="20"/>
          <w:szCs w:val="20"/>
          <w:rtl/>
        </w:rPr>
        <w:t xml:space="preserve">أعضاء مجلس </w:t>
      </w:r>
      <w:r>
        <w:rPr>
          <w:rFonts w:hint="cs"/>
          <w:color w:val="000000"/>
          <w:sz w:val="20"/>
          <w:szCs w:val="20"/>
          <w:rtl/>
        </w:rPr>
        <w:t>الشورى</w:t>
      </w:r>
      <w:r>
        <w:rPr>
          <w:rFonts w:ascii="Calibri" w:eastAsia="Calibri" w:hAnsi="Calibri" w:cs="Calibri"/>
          <w:color w:val="000000"/>
          <w:sz w:val="20"/>
          <w:szCs w:val="20"/>
          <w:rtl/>
        </w:rPr>
        <w:t xml:space="preserve"> في قطر، </w:t>
      </w:r>
      <w:hyperlink r:id="rId3">
        <w:r>
          <w:rPr>
            <w:rFonts w:ascii="Calibri" w:eastAsia="Calibri" w:hAnsi="Calibri" w:cs="Calibri"/>
            <w:color w:val="0563C1"/>
            <w:sz w:val="20"/>
            <w:szCs w:val="20"/>
            <w:u w:val="single"/>
          </w:rPr>
          <w:t>http://tinyurl.com/my6e8bc</w:t>
        </w:r>
      </w:hyperlink>
      <w:bookmarkEnd w:id="1"/>
    </w:p>
  </w:footnote>
  <w:footnote w:id="5">
    <w:p w14:paraId="77471D97" w14:textId="77777777" w:rsidR="00EF34CB" w:rsidRDefault="00EF34CB" w:rsidP="00EF34CB">
      <w:pPr>
        <w:pBdr>
          <w:top w:val="nil"/>
          <w:left w:val="nil"/>
          <w:bottom w:val="nil"/>
          <w:right w:val="nil"/>
          <w:between w:val="nil"/>
        </w:pBdr>
        <w:bidi/>
        <w:spacing w:after="0" w:line="240" w:lineRule="auto"/>
        <w:rPr>
          <w:color w:val="000000"/>
          <w:sz w:val="20"/>
          <w:szCs w:val="20"/>
        </w:rPr>
      </w:pPr>
      <w:r>
        <w:rPr>
          <w:vertAlign w:val="superscript"/>
        </w:rPr>
        <w:footnoteRef/>
      </w:r>
      <w:r>
        <w:rPr>
          <w:rFonts w:ascii="Calibri" w:eastAsia="Calibri" w:hAnsi="Calibri" w:cs="Calibri"/>
          <w:color w:val="000000"/>
          <w:sz w:val="20"/>
          <w:szCs w:val="20"/>
          <w:rtl/>
        </w:rPr>
        <w:t xml:space="preserve">  قرار مجلس الوزراء رقم (17) لسنة 2007 بأولويات وضوابط الانتفاع بنظام الإسكان، الميزان، على الرابط التالي: </w:t>
      </w:r>
      <w:hyperlink r:id="rId4">
        <w:r>
          <w:rPr>
            <w:rFonts w:ascii="Calibri" w:eastAsia="Calibri" w:hAnsi="Calibri" w:cs="Calibri"/>
            <w:color w:val="0563C1"/>
            <w:sz w:val="20"/>
            <w:szCs w:val="20"/>
            <w:u w:val="single"/>
          </w:rPr>
          <w:t>https://bit.ly/3CzxFHS</w:t>
        </w:r>
      </w:hyperlink>
      <w:r>
        <w:rPr>
          <w:rFonts w:ascii="Calibri" w:eastAsia="Calibri" w:hAnsi="Calibri" w:cs="Calibri"/>
          <w:color w:val="000000"/>
          <w:sz w:val="20"/>
          <w:szCs w:val="20"/>
        </w:rPr>
        <w:t xml:space="preserve"> </w:t>
      </w:r>
    </w:p>
  </w:footnote>
  <w:footnote w:id="6">
    <w:p w14:paraId="7E471A52" w14:textId="77777777" w:rsidR="00EF34CB" w:rsidRDefault="00EF34CB" w:rsidP="00EF34CB">
      <w:pPr>
        <w:pBdr>
          <w:top w:val="nil"/>
          <w:left w:val="nil"/>
          <w:bottom w:val="nil"/>
          <w:right w:val="nil"/>
          <w:between w:val="nil"/>
        </w:pBdr>
        <w:bidi/>
        <w:spacing w:after="0" w:line="240" w:lineRule="auto"/>
        <w:rPr>
          <w:color w:val="000000"/>
          <w:sz w:val="20"/>
          <w:szCs w:val="20"/>
        </w:rPr>
      </w:pPr>
      <w:r>
        <w:rPr>
          <w:vertAlign w:val="superscript"/>
        </w:rPr>
        <w:footnoteRef/>
      </w:r>
      <w:r>
        <w:rPr>
          <w:rFonts w:ascii="Calibri" w:eastAsia="Calibri" w:hAnsi="Calibri" w:cs="Calibri"/>
          <w:color w:val="000000"/>
          <w:sz w:val="20"/>
          <w:szCs w:val="20"/>
          <w:rtl/>
        </w:rPr>
        <w:t xml:space="preserve">  قرار مجلس الوزراء رقم (17) لسنة 2007 بأولويات وضوابط الانتفاع بنظام الإسكان، الميزان، المادة 4، على الرابط التالي: </w:t>
      </w:r>
      <w:hyperlink r:id="rId5">
        <w:r>
          <w:rPr>
            <w:rFonts w:ascii="Calibri" w:eastAsia="Calibri" w:hAnsi="Calibri" w:cs="Calibri"/>
            <w:color w:val="0563C1"/>
            <w:sz w:val="20"/>
            <w:szCs w:val="20"/>
            <w:u w:val="single"/>
          </w:rPr>
          <w:t>https://bit.ly/3AclIGv</w:t>
        </w:r>
      </w:hyperlink>
      <w:r>
        <w:rPr>
          <w:rFonts w:ascii="Calibri" w:eastAsia="Calibri" w:hAnsi="Calibri" w:cs="Calibri"/>
          <w:color w:val="000000"/>
          <w:sz w:val="20"/>
          <w:szCs w:val="20"/>
        </w:rPr>
        <w:t xml:space="preserve"> </w:t>
      </w:r>
    </w:p>
  </w:footnote>
  <w:footnote w:id="7">
    <w:p w14:paraId="08C9AE5C" w14:textId="77777777" w:rsidR="00EF34CB" w:rsidRDefault="00EF34CB" w:rsidP="00EF34CB">
      <w:pPr>
        <w:pBdr>
          <w:top w:val="nil"/>
          <w:left w:val="nil"/>
          <w:bottom w:val="nil"/>
          <w:right w:val="nil"/>
          <w:between w:val="nil"/>
        </w:pBdr>
        <w:spacing w:after="0" w:line="240" w:lineRule="auto"/>
        <w:rPr>
          <w:color w:val="000000"/>
          <w:sz w:val="20"/>
          <w:szCs w:val="20"/>
        </w:rPr>
      </w:pPr>
      <w:r>
        <w:rPr>
          <w:vertAlign w:val="superscript"/>
        </w:rPr>
        <w:footnoteRef/>
      </w:r>
      <w:r>
        <w:rPr>
          <w:rFonts w:ascii="Calibri" w:eastAsia="Calibri" w:hAnsi="Calibri" w:cs="Calibri"/>
          <w:color w:val="000000"/>
          <w:sz w:val="20"/>
          <w:szCs w:val="20"/>
        </w:rPr>
        <w:t xml:space="preserve"> </w:t>
      </w:r>
      <w:bookmarkStart w:id="2" w:name="_Hlk162106928"/>
      <w:r>
        <w:rPr>
          <w:rFonts w:ascii="Calibri" w:eastAsia="Calibri" w:hAnsi="Calibri" w:cs="Calibri"/>
          <w:color w:val="000000"/>
          <w:sz w:val="20"/>
          <w:szCs w:val="20"/>
        </w:rPr>
        <w:t xml:space="preserve">Ibid, </w:t>
      </w:r>
      <w:hyperlink r:id="rId6">
        <w:r>
          <w:rPr>
            <w:rFonts w:ascii="Calibri" w:eastAsia="Calibri" w:hAnsi="Calibri" w:cs="Calibri"/>
            <w:color w:val="0563C1"/>
            <w:sz w:val="20"/>
            <w:szCs w:val="20"/>
            <w:u w:val="single"/>
          </w:rPr>
          <w:t>https://tinyurl.com/bdhzw5he</w:t>
        </w:r>
      </w:hyperlink>
      <w:r>
        <w:rPr>
          <w:rFonts w:ascii="Calibri" w:eastAsia="Calibri" w:hAnsi="Calibri" w:cs="Calibri"/>
          <w:color w:val="000000"/>
          <w:sz w:val="20"/>
          <w:szCs w:val="20"/>
        </w:rPr>
        <w:t xml:space="preserve"> </w:t>
      </w:r>
      <w:bookmarkEnd w:id="2"/>
    </w:p>
  </w:footnote>
  <w:footnote w:id="8">
    <w:p w14:paraId="3C32A88F" w14:textId="77777777" w:rsidR="00EF34CB" w:rsidRDefault="00EF34CB" w:rsidP="00EF34CB">
      <w:pPr>
        <w:pBdr>
          <w:top w:val="nil"/>
          <w:left w:val="nil"/>
          <w:bottom w:val="nil"/>
          <w:right w:val="nil"/>
          <w:between w:val="nil"/>
        </w:pBdr>
        <w:spacing w:after="0" w:line="240" w:lineRule="auto"/>
        <w:rPr>
          <w:color w:val="000000"/>
          <w:sz w:val="20"/>
          <w:szCs w:val="20"/>
        </w:rPr>
      </w:pPr>
      <w:r>
        <w:rPr>
          <w:vertAlign w:val="superscript"/>
        </w:rPr>
        <w:footnoteRef/>
      </w:r>
      <w:r>
        <w:rPr>
          <w:rFonts w:ascii="Calibri" w:eastAsia="Calibri" w:hAnsi="Calibri" w:cs="Calibri"/>
          <w:color w:val="000000"/>
          <w:sz w:val="20"/>
          <w:szCs w:val="20"/>
        </w:rPr>
        <w:t xml:space="preserve"> </w:t>
      </w:r>
      <w:bookmarkStart w:id="3" w:name="_Hlk162106945"/>
      <w:r>
        <w:rPr>
          <w:rFonts w:ascii="Calibri" w:eastAsia="Calibri" w:hAnsi="Calibri" w:cs="Calibri"/>
          <w:color w:val="000000"/>
          <w:sz w:val="20"/>
          <w:szCs w:val="20"/>
        </w:rPr>
        <w:t xml:space="preserve">2022 Country Reports on Human Rights Practices: Qatar, </w:t>
      </w:r>
      <w:hyperlink r:id="rId7">
        <w:r>
          <w:rPr>
            <w:rFonts w:ascii="Calibri" w:eastAsia="Calibri" w:hAnsi="Calibri" w:cs="Calibri"/>
            <w:color w:val="0563C1"/>
            <w:sz w:val="20"/>
            <w:szCs w:val="20"/>
            <w:u w:val="single"/>
          </w:rPr>
          <w:t>https://www.state.gov/reports/2022-country-reports-on-human-rights-practices/qatar/</w:t>
        </w:r>
      </w:hyperlink>
      <w:r>
        <w:rPr>
          <w:rFonts w:ascii="Calibri" w:eastAsia="Calibri" w:hAnsi="Calibri" w:cs="Calibri"/>
          <w:color w:val="000000"/>
          <w:sz w:val="20"/>
          <w:szCs w:val="20"/>
        </w:rPr>
        <w:t xml:space="preserve"> </w:t>
      </w:r>
      <w:bookmarkEnd w:id="3"/>
    </w:p>
  </w:footnote>
  <w:footnote w:id="9">
    <w:p w14:paraId="7E794512" w14:textId="77777777" w:rsidR="00EF34CB" w:rsidRDefault="00EF34CB" w:rsidP="00EF34CB">
      <w:pPr>
        <w:pBdr>
          <w:top w:val="nil"/>
          <w:left w:val="nil"/>
          <w:bottom w:val="nil"/>
          <w:right w:val="nil"/>
          <w:between w:val="nil"/>
        </w:pBdr>
        <w:spacing w:after="0" w:line="240" w:lineRule="auto"/>
        <w:rPr>
          <w:color w:val="000000"/>
          <w:sz w:val="20"/>
          <w:szCs w:val="20"/>
        </w:rPr>
      </w:pPr>
      <w:r>
        <w:rPr>
          <w:vertAlign w:val="superscript"/>
        </w:rPr>
        <w:footnoteRef/>
      </w:r>
      <w:r>
        <w:rPr>
          <w:rFonts w:ascii="Calibri" w:eastAsia="Calibri" w:hAnsi="Calibri" w:cs="Calibri"/>
          <w:color w:val="000000"/>
          <w:sz w:val="20"/>
          <w:szCs w:val="20"/>
        </w:rPr>
        <w:t xml:space="preserve"> Ibid </w:t>
      </w:r>
    </w:p>
  </w:footnote>
  <w:footnote w:id="10">
    <w:p w14:paraId="0D5BBC8D" w14:textId="77777777" w:rsidR="00EF34CB" w:rsidRDefault="00EF34CB" w:rsidP="00EF34CB">
      <w:pPr>
        <w:pBdr>
          <w:top w:val="nil"/>
          <w:left w:val="nil"/>
          <w:bottom w:val="nil"/>
          <w:right w:val="nil"/>
          <w:between w:val="nil"/>
        </w:pBdr>
        <w:spacing w:after="0" w:line="240" w:lineRule="auto"/>
        <w:rPr>
          <w:color w:val="000000"/>
          <w:sz w:val="20"/>
          <w:szCs w:val="20"/>
        </w:rPr>
      </w:pPr>
      <w:r>
        <w:rPr>
          <w:vertAlign w:val="superscript"/>
        </w:rPr>
        <w:footnoteRef/>
      </w:r>
      <w:r>
        <w:rPr>
          <w:rFonts w:ascii="Calibri" w:eastAsia="Calibri" w:hAnsi="Calibri" w:cs="Calibri"/>
          <w:color w:val="000000"/>
          <w:sz w:val="20"/>
          <w:szCs w:val="20"/>
        </w:rPr>
        <w:t xml:space="preserve"> </w:t>
      </w:r>
      <w:bookmarkStart w:id="4" w:name="_Hlk162107629"/>
      <w:r>
        <w:rPr>
          <w:rFonts w:ascii="Calibri" w:eastAsia="Calibri" w:hAnsi="Calibri" w:cs="Calibri"/>
          <w:color w:val="000000"/>
          <w:sz w:val="20"/>
          <w:szCs w:val="20"/>
        </w:rPr>
        <w:t xml:space="preserve">2022 Report on International Religious Freedom: Qatar, </w:t>
      </w:r>
      <w:hyperlink r:id="rId8">
        <w:r>
          <w:rPr>
            <w:rFonts w:ascii="Calibri" w:eastAsia="Calibri" w:hAnsi="Calibri" w:cs="Calibri"/>
            <w:color w:val="0563C1"/>
            <w:sz w:val="20"/>
            <w:szCs w:val="20"/>
            <w:u w:val="single"/>
          </w:rPr>
          <w:t>https://www.state.gov/reports/2022-report-on-international-religious-freedom/qatar/</w:t>
        </w:r>
      </w:hyperlink>
      <w:r>
        <w:rPr>
          <w:rFonts w:ascii="Calibri" w:eastAsia="Calibri" w:hAnsi="Calibri" w:cs="Calibri"/>
          <w:color w:val="000000"/>
          <w:sz w:val="20"/>
          <w:szCs w:val="20"/>
        </w:rPr>
        <w:t xml:space="preserve"> </w:t>
      </w:r>
      <w:bookmarkEnd w:id="4"/>
    </w:p>
  </w:footnote>
  <w:footnote w:id="11">
    <w:p w14:paraId="135D2E30" w14:textId="77777777" w:rsidR="00EF34CB" w:rsidRDefault="00EF34CB" w:rsidP="00EF34CB">
      <w:pPr>
        <w:pBdr>
          <w:top w:val="nil"/>
          <w:left w:val="nil"/>
          <w:bottom w:val="nil"/>
          <w:right w:val="nil"/>
          <w:between w:val="nil"/>
        </w:pBdr>
        <w:spacing w:after="0" w:line="240" w:lineRule="auto"/>
        <w:rPr>
          <w:color w:val="000000"/>
          <w:sz w:val="20"/>
          <w:szCs w:val="20"/>
        </w:rPr>
      </w:pPr>
      <w:r>
        <w:rPr>
          <w:vertAlign w:val="superscript"/>
        </w:rPr>
        <w:footnoteRef/>
      </w:r>
      <w:r>
        <w:rPr>
          <w:rFonts w:ascii="Calibri" w:eastAsia="Calibri" w:hAnsi="Calibri" w:cs="Calibri"/>
          <w:color w:val="000000"/>
          <w:sz w:val="20"/>
          <w:szCs w:val="20"/>
        </w:rPr>
        <w:t xml:space="preserve"> </w:t>
      </w:r>
      <w:bookmarkStart w:id="5" w:name="_Hlk162107655"/>
      <w:r>
        <w:rPr>
          <w:rFonts w:ascii="Calibri" w:eastAsia="Calibri" w:hAnsi="Calibri" w:cs="Calibri"/>
          <w:color w:val="000000"/>
          <w:sz w:val="20"/>
          <w:szCs w:val="20"/>
        </w:rPr>
        <w:t xml:space="preserve">In the Spotlight: Minority Rights in Qatar, Maat for Peace, Development and Human Rights, May 8, 2023, link: </w:t>
      </w:r>
      <w:hyperlink r:id="rId9">
        <w:r>
          <w:rPr>
            <w:rFonts w:ascii="Calibri" w:eastAsia="Calibri" w:hAnsi="Calibri" w:cs="Calibri"/>
            <w:color w:val="0563C1"/>
            <w:sz w:val="20"/>
            <w:szCs w:val="20"/>
            <w:u w:val="single"/>
          </w:rPr>
          <w:t>https://tinyl.io/AEzz</w:t>
        </w:r>
      </w:hyperlink>
      <w:r>
        <w:rPr>
          <w:rFonts w:ascii="Calibri" w:eastAsia="Calibri" w:hAnsi="Calibri" w:cs="Calibri"/>
          <w:color w:val="000000"/>
          <w:sz w:val="20"/>
          <w:szCs w:val="20"/>
        </w:rPr>
        <w:t xml:space="preserve"> </w:t>
      </w:r>
      <w:bookmarkEnd w:id="5"/>
    </w:p>
  </w:footnote>
  <w:footnote w:id="12">
    <w:p w14:paraId="78C1AD6B" w14:textId="77777777" w:rsidR="00EF34CB" w:rsidRDefault="00EF34CB" w:rsidP="00EF34CB">
      <w:pPr>
        <w:pBdr>
          <w:top w:val="nil"/>
          <w:left w:val="nil"/>
          <w:bottom w:val="nil"/>
          <w:right w:val="nil"/>
          <w:between w:val="nil"/>
        </w:pBdr>
        <w:spacing w:after="0" w:line="240" w:lineRule="auto"/>
        <w:rPr>
          <w:color w:val="000000"/>
          <w:sz w:val="20"/>
          <w:szCs w:val="20"/>
        </w:rPr>
      </w:pPr>
      <w:r>
        <w:rPr>
          <w:vertAlign w:val="superscript"/>
        </w:rPr>
        <w:footnoteRef/>
      </w:r>
      <w:r>
        <w:rPr>
          <w:rFonts w:ascii="Calibri" w:eastAsia="Calibri" w:hAnsi="Calibri" w:cs="Calibri"/>
          <w:color w:val="000000"/>
          <w:sz w:val="20"/>
          <w:szCs w:val="20"/>
        </w:rPr>
        <w:t xml:space="preserve"> </w:t>
      </w:r>
      <w:bookmarkStart w:id="6" w:name="_Hlk162107681"/>
      <w:r>
        <w:rPr>
          <w:rFonts w:ascii="Calibri" w:eastAsia="Calibri" w:hAnsi="Calibri" w:cs="Calibri"/>
          <w:color w:val="000000"/>
          <w:sz w:val="20"/>
          <w:szCs w:val="20"/>
        </w:rPr>
        <w:t xml:space="preserve">International Convention on the Elimination of All Forms of Racial Discrimination, </w:t>
      </w:r>
      <w:hyperlink r:id="rId10">
        <w:r>
          <w:rPr>
            <w:rFonts w:ascii="Calibri" w:eastAsia="Calibri" w:hAnsi="Calibri" w:cs="Calibri"/>
            <w:color w:val="0563C1"/>
            <w:sz w:val="20"/>
            <w:szCs w:val="20"/>
            <w:u w:val="single"/>
          </w:rPr>
          <w:t>https://tinyurl.com/4jn75htu</w:t>
        </w:r>
      </w:hyperlink>
      <w:r>
        <w:rPr>
          <w:rFonts w:ascii="Calibri" w:eastAsia="Calibri" w:hAnsi="Calibri" w:cs="Calibri"/>
          <w:color w:val="000000"/>
          <w:sz w:val="20"/>
          <w:szCs w:val="20"/>
        </w:rPr>
        <w:t xml:space="preserve"> </w:t>
      </w:r>
      <w:bookmarkEnd w:id="6"/>
    </w:p>
  </w:footnote>
  <w:footnote w:id="13">
    <w:p w14:paraId="3926D4BD" w14:textId="77777777" w:rsidR="00EF34CB" w:rsidRDefault="00EF34CB" w:rsidP="00EF34CB">
      <w:pPr>
        <w:pBdr>
          <w:top w:val="nil"/>
          <w:left w:val="nil"/>
          <w:bottom w:val="nil"/>
          <w:right w:val="nil"/>
          <w:between w:val="nil"/>
        </w:pBdr>
        <w:bidi/>
        <w:spacing w:after="0" w:line="240" w:lineRule="auto"/>
        <w:rPr>
          <w:color w:val="000000"/>
          <w:sz w:val="20"/>
          <w:szCs w:val="20"/>
        </w:rPr>
      </w:pPr>
      <w:r>
        <w:rPr>
          <w:vertAlign w:val="superscript"/>
        </w:rPr>
        <w:footnoteRef/>
      </w:r>
      <w:r>
        <w:rPr>
          <w:rFonts w:ascii="Calibri" w:eastAsia="Calibri" w:hAnsi="Calibri" w:cs="Calibri"/>
          <w:color w:val="000000"/>
          <w:sz w:val="20"/>
          <w:szCs w:val="20"/>
          <w:rtl/>
        </w:rPr>
        <w:t xml:space="preserve"> مجلس الوزراء يوافق على مشروع قانون بتنظيم المطبوعات والنشر والأنشطة الإعلامية، الشرق، 19 سبتمبر 2018، </w:t>
      </w:r>
      <w:hyperlink r:id="rId11">
        <w:r>
          <w:rPr>
            <w:rFonts w:ascii="Calibri" w:eastAsia="Calibri" w:hAnsi="Calibri" w:cs="Calibri"/>
            <w:color w:val="0563C1"/>
            <w:sz w:val="20"/>
            <w:szCs w:val="20"/>
            <w:u w:val="single"/>
          </w:rPr>
          <w:t>https://tinyurl.com/ye28wmbd</w:t>
        </w:r>
      </w:hyperlink>
    </w:p>
  </w:footnote>
  <w:footnote w:id="14">
    <w:p w14:paraId="21BC1BAC" w14:textId="77777777" w:rsidR="00EF34CB" w:rsidRDefault="00EF34CB" w:rsidP="00EF34CB">
      <w:pPr>
        <w:pBdr>
          <w:top w:val="nil"/>
          <w:left w:val="nil"/>
          <w:bottom w:val="nil"/>
          <w:right w:val="nil"/>
          <w:between w:val="nil"/>
        </w:pBdr>
        <w:bidi/>
        <w:spacing w:after="0" w:line="240" w:lineRule="auto"/>
        <w:rPr>
          <w:color w:val="000000"/>
          <w:sz w:val="20"/>
          <w:szCs w:val="20"/>
        </w:rPr>
      </w:pPr>
      <w:r>
        <w:rPr>
          <w:vertAlign w:val="superscript"/>
        </w:rPr>
        <w:footnoteRef/>
      </w:r>
      <w:r>
        <w:rPr>
          <w:rFonts w:ascii="Calibri" w:eastAsia="Calibri" w:hAnsi="Calibri" w:cs="Calibri"/>
          <w:color w:val="000000"/>
          <w:sz w:val="20"/>
          <w:szCs w:val="20"/>
          <w:rtl/>
        </w:rPr>
        <w:t xml:space="preserve">  تقرير الإتجار بالبشر لعام 2023: قطر، السفارة الامريكية في قطر، </w:t>
      </w:r>
      <w:hyperlink r:id="rId12">
        <w:r>
          <w:rPr>
            <w:rFonts w:ascii="Calibri" w:eastAsia="Calibri" w:hAnsi="Calibri" w:cs="Calibri"/>
            <w:color w:val="0563C1"/>
            <w:sz w:val="20"/>
            <w:szCs w:val="20"/>
            <w:u w:val="single"/>
          </w:rPr>
          <w:t>http://tinyurl.com/fu5bfumy</w:t>
        </w:r>
      </w:hyperlink>
      <w:r>
        <w:rPr>
          <w:rFonts w:ascii="Calibri" w:eastAsia="Calibri" w:hAnsi="Calibri" w:cs="Calibri"/>
          <w:color w:val="000000"/>
          <w:sz w:val="20"/>
          <w:szCs w:val="20"/>
        </w:rPr>
        <w:t xml:space="preserve"> </w:t>
      </w:r>
    </w:p>
  </w:footnote>
  <w:footnote w:id="15">
    <w:p w14:paraId="487E5420" w14:textId="77777777" w:rsidR="00EF34CB" w:rsidRDefault="00EF34CB" w:rsidP="00EF34CB">
      <w:pPr>
        <w:pBdr>
          <w:top w:val="nil"/>
          <w:left w:val="nil"/>
          <w:bottom w:val="nil"/>
          <w:right w:val="nil"/>
          <w:between w:val="nil"/>
        </w:pBdr>
        <w:bidi/>
        <w:spacing w:after="0" w:line="240" w:lineRule="auto"/>
        <w:rPr>
          <w:color w:val="000000"/>
          <w:sz w:val="20"/>
          <w:szCs w:val="20"/>
        </w:rPr>
      </w:pPr>
      <w:r>
        <w:rPr>
          <w:vertAlign w:val="superscript"/>
        </w:rPr>
        <w:footnoteRef/>
      </w:r>
      <w:r>
        <w:rPr>
          <w:rFonts w:ascii="Calibri" w:eastAsia="Calibri" w:hAnsi="Calibri" w:cs="Calibri"/>
          <w:color w:val="000000"/>
          <w:sz w:val="20"/>
          <w:szCs w:val="20"/>
          <w:rtl/>
        </w:rPr>
        <w:t xml:space="preserve"> عمل دائم بدون أجر: نضال العمال الأجانب في قطر من أجل العدالة، ص 11، على الرابط التالي: </w:t>
      </w:r>
      <w:hyperlink r:id="rId13">
        <w:r>
          <w:rPr>
            <w:rFonts w:ascii="Calibri" w:eastAsia="Calibri" w:hAnsi="Calibri" w:cs="Calibri"/>
            <w:color w:val="0563C1"/>
            <w:sz w:val="20"/>
            <w:szCs w:val="20"/>
            <w:u w:val="single"/>
          </w:rPr>
          <w:t>https://www.amnesty.org/en/wp-content/uploads/sites/9/2021/05/MDE2207932019ARABIC.pdf</w:t>
        </w:r>
      </w:hyperlink>
      <w:r>
        <w:rPr>
          <w:rFonts w:ascii="Calibri" w:eastAsia="Calibri" w:hAnsi="Calibri" w:cs="Calibri"/>
          <w:color w:val="000000"/>
          <w:sz w:val="20"/>
          <w:szCs w:val="20"/>
        </w:rPr>
        <w:t xml:space="preserve"> </w:t>
      </w:r>
    </w:p>
  </w:footnote>
  <w:footnote w:id="16">
    <w:p w14:paraId="316E23C5" w14:textId="77777777" w:rsidR="00EF34CB" w:rsidRDefault="00EF34CB" w:rsidP="00EF34CB">
      <w:pPr>
        <w:pBdr>
          <w:top w:val="nil"/>
          <w:left w:val="nil"/>
          <w:bottom w:val="nil"/>
          <w:right w:val="nil"/>
          <w:between w:val="nil"/>
        </w:pBdr>
        <w:spacing w:after="0" w:line="240" w:lineRule="auto"/>
        <w:rPr>
          <w:color w:val="000000"/>
          <w:sz w:val="20"/>
          <w:szCs w:val="20"/>
        </w:rPr>
      </w:pPr>
      <w:r>
        <w:rPr>
          <w:vertAlign w:val="superscript"/>
        </w:rPr>
        <w:footnoteRef/>
      </w:r>
      <w:r>
        <w:rPr>
          <w:rFonts w:ascii="Calibri" w:eastAsia="Calibri" w:hAnsi="Calibri" w:cs="Calibri"/>
          <w:color w:val="000000"/>
          <w:sz w:val="20"/>
          <w:szCs w:val="20"/>
        </w:rPr>
        <w:t xml:space="preserve"> </w:t>
      </w:r>
      <w:bookmarkStart w:id="7" w:name="_Hlk162107791"/>
      <w:r>
        <w:rPr>
          <w:rFonts w:ascii="Calibri" w:eastAsia="Calibri" w:hAnsi="Calibri" w:cs="Calibri"/>
          <w:color w:val="000000"/>
          <w:sz w:val="20"/>
          <w:szCs w:val="20"/>
        </w:rPr>
        <w:t xml:space="preserve">List of themes in relation to the combined twenty-second and twenty-third periodic reports of Qatar, </w:t>
      </w:r>
      <w:hyperlink r:id="rId14">
        <w:r>
          <w:rPr>
            <w:rFonts w:ascii="Calibri" w:eastAsia="Calibri" w:hAnsi="Calibri" w:cs="Calibri"/>
            <w:color w:val="0563C1"/>
            <w:sz w:val="20"/>
            <w:szCs w:val="20"/>
            <w:u w:val="single"/>
          </w:rPr>
          <w:t>https://tinyurl.com/m9me6s9x</w:t>
        </w:r>
      </w:hyperlink>
      <w:r>
        <w:rPr>
          <w:rFonts w:ascii="Calibri" w:eastAsia="Calibri" w:hAnsi="Calibri" w:cs="Calibri"/>
          <w:color w:val="000000"/>
          <w:sz w:val="20"/>
          <w:szCs w:val="20"/>
        </w:rPr>
        <w:t xml:space="preserve"> </w:t>
      </w:r>
      <w:bookmarkEnd w:id="7"/>
    </w:p>
  </w:footnote>
  <w:footnote w:id="17">
    <w:p w14:paraId="695F15BB" w14:textId="77777777" w:rsidR="00EF34CB" w:rsidRDefault="00EF34CB" w:rsidP="00EF34CB">
      <w:pPr>
        <w:pBdr>
          <w:top w:val="nil"/>
          <w:left w:val="nil"/>
          <w:bottom w:val="nil"/>
          <w:right w:val="nil"/>
          <w:between w:val="nil"/>
        </w:pBdr>
        <w:bidi/>
        <w:spacing w:after="0" w:line="240" w:lineRule="auto"/>
        <w:rPr>
          <w:color w:val="000000"/>
          <w:sz w:val="20"/>
          <w:szCs w:val="20"/>
        </w:rPr>
      </w:pPr>
      <w:r>
        <w:rPr>
          <w:vertAlign w:val="superscript"/>
        </w:rPr>
        <w:footnoteRef/>
      </w:r>
      <w:r>
        <w:rPr>
          <w:rFonts w:ascii="Calibri" w:eastAsia="Calibri" w:hAnsi="Calibri" w:cs="Calibri"/>
          <w:color w:val="000000"/>
          <w:sz w:val="20"/>
          <w:szCs w:val="20"/>
          <w:rtl/>
        </w:rPr>
        <w:t xml:space="preserve">  الدستور الدائم لدولة قطر، مادة 49، </w:t>
      </w:r>
      <w:hyperlink r:id="rId15">
        <w:r>
          <w:rPr>
            <w:rFonts w:ascii="Calibri" w:eastAsia="Calibri" w:hAnsi="Calibri" w:cs="Calibri"/>
            <w:color w:val="0563C1"/>
            <w:sz w:val="20"/>
            <w:szCs w:val="20"/>
            <w:u w:val="single"/>
          </w:rPr>
          <w:t>https://bit.ly/3Zfscki</w:t>
        </w:r>
      </w:hyperlink>
      <w:r>
        <w:rPr>
          <w:rFonts w:ascii="Calibri" w:eastAsia="Calibri" w:hAnsi="Calibri" w:cs="Calibri"/>
          <w:color w:val="000000"/>
          <w:sz w:val="20"/>
          <w:szCs w:val="20"/>
        </w:rPr>
        <w:t xml:space="preserve"> </w:t>
      </w:r>
    </w:p>
  </w:footnote>
  <w:footnote w:id="18">
    <w:p w14:paraId="7FD1869D" w14:textId="77777777" w:rsidR="00EF34CB" w:rsidRDefault="00EF34CB" w:rsidP="00EF34CB">
      <w:pPr>
        <w:pBdr>
          <w:top w:val="nil"/>
          <w:left w:val="nil"/>
          <w:bottom w:val="nil"/>
          <w:right w:val="nil"/>
          <w:between w:val="nil"/>
        </w:pBdr>
        <w:bidi/>
        <w:spacing w:after="0" w:line="240" w:lineRule="auto"/>
        <w:rPr>
          <w:color w:val="000000"/>
          <w:sz w:val="20"/>
          <w:szCs w:val="20"/>
        </w:rPr>
      </w:pPr>
      <w:r>
        <w:rPr>
          <w:vertAlign w:val="superscript"/>
        </w:rPr>
        <w:footnoteRef/>
      </w:r>
      <w:r>
        <w:rPr>
          <w:rFonts w:ascii="Calibri" w:eastAsia="Calibri" w:hAnsi="Calibri" w:cs="Calibri"/>
          <w:color w:val="000000"/>
          <w:sz w:val="20"/>
          <w:szCs w:val="20"/>
          <w:rtl/>
        </w:rPr>
        <w:t xml:space="preserve">  قانون رقم (9) لسنة 2017 بشأن تنظيم المدارس، </w:t>
      </w:r>
      <w:hyperlink r:id="rId16">
        <w:r>
          <w:rPr>
            <w:rFonts w:ascii="Calibri" w:eastAsia="Calibri" w:hAnsi="Calibri" w:cs="Calibri"/>
            <w:color w:val="0563C1"/>
            <w:sz w:val="20"/>
            <w:szCs w:val="20"/>
            <w:u w:val="single"/>
          </w:rPr>
          <w:t>https://bit.ly/41iZwbZ</w:t>
        </w:r>
      </w:hyperlink>
      <w:r>
        <w:rPr>
          <w:rFonts w:ascii="Calibri" w:eastAsia="Calibri" w:hAnsi="Calibri" w:cs="Calibri"/>
          <w:color w:val="000000"/>
          <w:sz w:val="20"/>
          <w:szCs w:val="20"/>
        </w:rPr>
        <w:t xml:space="preserve"> </w:t>
      </w:r>
    </w:p>
  </w:footnote>
  <w:footnote w:id="19">
    <w:p w14:paraId="24263384" w14:textId="77777777" w:rsidR="00EF34CB" w:rsidRDefault="00EF34CB" w:rsidP="00EF34CB">
      <w:pPr>
        <w:pBdr>
          <w:top w:val="nil"/>
          <w:left w:val="nil"/>
          <w:bottom w:val="nil"/>
          <w:right w:val="nil"/>
          <w:between w:val="nil"/>
        </w:pBdr>
        <w:bidi/>
        <w:spacing w:after="0" w:line="240" w:lineRule="auto"/>
        <w:rPr>
          <w:color w:val="000000"/>
          <w:sz w:val="20"/>
          <w:szCs w:val="20"/>
        </w:rPr>
      </w:pPr>
      <w:r>
        <w:rPr>
          <w:vertAlign w:val="superscript"/>
        </w:rPr>
        <w:footnoteRef/>
      </w:r>
      <w:r>
        <w:rPr>
          <w:rFonts w:ascii="Calibri" w:eastAsia="Calibri" w:hAnsi="Calibri" w:cs="Calibri"/>
          <w:color w:val="000000"/>
          <w:sz w:val="20"/>
          <w:szCs w:val="20"/>
          <w:rtl/>
        </w:rPr>
        <w:t xml:space="preserve">  المصدر السابق نفسه</w:t>
      </w:r>
    </w:p>
  </w:footnote>
  <w:footnote w:id="20">
    <w:p w14:paraId="689319CE" w14:textId="77777777" w:rsidR="00EF34CB" w:rsidRDefault="00EF34CB" w:rsidP="00EF34CB">
      <w:pPr>
        <w:pBdr>
          <w:top w:val="nil"/>
          <w:left w:val="nil"/>
          <w:bottom w:val="nil"/>
          <w:right w:val="nil"/>
          <w:between w:val="nil"/>
        </w:pBdr>
        <w:spacing w:after="0" w:line="240" w:lineRule="auto"/>
        <w:rPr>
          <w:color w:val="000000"/>
          <w:sz w:val="20"/>
          <w:szCs w:val="20"/>
        </w:rPr>
      </w:pPr>
      <w:r>
        <w:rPr>
          <w:vertAlign w:val="superscript"/>
        </w:rPr>
        <w:footnoteRef/>
      </w:r>
      <w:r>
        <w:rPr>
          <w:rFonts w:ascii="Calibri" w:eastAsia="Calibri" w:hAnsi="Calibri" w:cs="Calibri"/>
          <w:color w:val="000000"/>
          <w:sz w:val="20"/>
          <w:szCs w:val="20"/>
        </w:rPr>
        <w:t xml:space="preserve"> </w:t>
      </w:r>
      <w:bookmarkStart w:id="8" w:name="_Hlk162107892"/>
      <w:r>
        <w:rPr>
          <w:rFonts w:ascii="Calibri" w:eastAsia="Calibri" w:hAnsi="Calibri" w:cs="Calibri"/>
          <w:color w:val="000000"/>
          <w:sz w:val="20"/>
          <w:szCs w:val="20"/>
        </w:rPr>
        <w:t xml:space="preserve">Convention against Discrimination in Education, article 1, </w:t>
      </w:r>
      <w:hyperlink r:id="rId17">
        <w:r>
          <w:rPr>
            <w:rFonts w:ascii="Calibri" w:eastAsia="Calibri" w:hAnsi="Calibri" w:cs="Calibri"/>
            <w:color w:val="0563C1"/>
            <w:sz w:val="20"/>
            <w:szCs w:val="20"/>
            <w:u w:val="single"/>
          </w:rPr>
          <w:t>https://bit.ly/3KuvHze</w:t>
        </w:r>
      </w:hyperlink>
      <w:r>
        <w:rPr>
          <w:rFonts w:ascii="Calibri" w:eastAsia="Calibri" w:hAnsi="Calibri" w:cs="Calibri"/>
          <w:color w:val="000000"/>
          <w:sz w:val="20"/>
          <w:szCs w:val="20"/>
        </w:rPr>
        <w:t xml:space="preserve"> </w:t>
      </w:r>
      <w:bookmarkEnd w:id="8"/>
    </w:p>
  </w:footnote>
  <w:footnote w:id="21">
    <w:p w14:paraId="6E51DF48" w14:textId="77777777" w:rsidR="00EF34CB" w:rsidRDefault="00EF34CB" w:rsidP="00EF34CB">
      <w:pPr>
        <w:pBdr>
          <w:top w:val="nil"/>
          <w:left w:val="nil"/>
          <w:bottom w:val="nil"/>
          <w:right w:val="nil"/>
          <w:between w:val="nil"/>
        </w:pBdr>
        <w:bidi/>
        <w:spacing w:after="0" w:line="240" w:lineRule="auto"/>
        <w:rPr>
          <w:color w:val="000000"/>
          <w:sz w:val="20"/>
          <w:szCs w:val="20"/>
        </w:rPr>
      </w:pPr>
      <w:r>
        <w:rPr>
          <w:vertAlign w:val="superscript"/>
        </w:rPr>
        <w:footnoteRef/>
      </w:r>
      <w:r>
        <w:rPr>
          <w:rFonts w:ascii="Calibri" w:eastAsia="Calibri" w:hAnsi="Calibri" w:cs="Calibri"/>
          <w:color w:val="000000"/>
          <w:sz w:val="20"/>
          <w:szCs w:val="20"/>
          <w:rtl/>
        </w:rPr>
        <w:t xml:space="preserve">  قانون رقم (12) لسنة 2017 بتعديل بعض القوانين ذات الصلة بوزارة التعليم والتعليم العالي، </w:t>
      </w:r>
      <w:hyperlink r:id="rId18">
        <w:r>
          <w:rPr>
            <w:rFonts w:ascii="Calibri" w:eastAsia="Calibri" w:hAnsi="Calibri" w:cs="Calibri"/>
            <w:color w:val="0563C1"/>
            <w:sz w:val="20"/>
            <w:szCs w:val="20"/>
            <w:u w:val="single"/>
          </w:rPr>
          <w:t>https://bit.ly/3EtXqMO</w:t>
        </w:r>
      </w:hyperlink>
      <w:r>
        <w:rPr>
          <w:rFonts w:ascii="Calibri" w:eastAsia="Calibri" w:hAnsi="Calibri" w:cs="Calibri"/>
          <w:color w:val="000000"/>
          <w:sz w:val="20"/>
          <w:szCs w:val="20"/>
        </w:rPr>
        <w:t xml:space="preserve"> </w:t>
      </w:r>
    </w:p>
  </w:footnote>
  <w:footnote w:id="22">
    <w:p w14:paraId="55EFB920" w14:textId="77777777" w:rsidR="00EF34CB" w:rsidRDefault="00EF34CB" w:rsidP="00EF34CB">
      <w:pPr>
        <w:pBdr>
          <w:top w:val="nil"/>
          <w:left w:val="nil"/>
          <w:bottom w:val="nil"/>
          <w:right w:val="nil"/>
          <w:between w:val="nil"/>
        </w:pBdr>
        <w:spacing w:after="0" w:line="240" w:lineRule="auto"/>
        <w:rPr>
          <w:color w:val="000000"/>
          <w:sz w:val="20"/>
          <w:szCs w:val="20"/>
        </w:rPr>
      </w:pPr>
      <w:r>
        <w:rPr>
          <w:vertAlign w:val="superscript"/>
        </w:rPr>
        <w:footnoteRef/>
      </w:r>
      <w:r>
        <w:rPr>
          <w:rFonts w:ascii="Calibri" w:eastAsia="Calibri" w:hAnsi="Calibri" w:cs="Calibri"/>
          <w:color w:val="000000"/>
          <w:sz w:val="20"/>
          <w:szCs w:val="20"/>
        </w:rPr>
        <w:t xml:space="preserve"> </w:t>
      </w:r>
      <w:bookmarkStart w:id="9" w:name="_Hlk162107984"/>
      <w:r>
        <w:rPr>
          <w:rFonts w:ascii="Calibri" w:eastAsia="Calibri" w:hAnsi="Calibri" w:cs="Calibri"/>
          <w:color w:val="000000"/>
          <w:sz w:val="20"/>
          <w:szCs w:val="20"/>
        </w:rPr>
        <w:t xml:space="preserve">NON-STATE ACTORS IN EDUCATION, UNESCO Qatar, </w:t>
      </w:r>
      <w:hyperlink r:id="rId19">
        <w:r>
          <w:rPr>
            <w:rFonts w:ascii="Calibri" w:eastAsia="Calibri" w:hAnsi="Calibri" w:cs="Calibri"/>
            <w:color w:val="0563C1"/>
            <w:sz w:val="20"/>
            <w:szCs w:val="20"/>
            <w:u w:val="single"/>
          </w:rPr>
          <w:t>https://bit.ly/3xNuJqt</w:t>
        </w:r>
      </w:hyperlink>
      <w:r>
        <w:rPr>
          <w:rFonts w:ascii="Calibri" w:eastAsia="Calibri" w:hAnsi="Calibri" w:cs="Calibri"/>
          <w:color w:val="000000"/>
          <w:sz w:val="20"/>
          <w:szCs w:val="20"/>
        </w:rPr>
        <w:t xml:space="preserve"> </w:t>
      </w:r>
      <w:bookmarkEnd w:id="9"/>
    </w:p>
  </w:footnote>
  <w:footnote w:id="23">
    <w:p w14:paraId="689DF716" w14:textId="77777777" w:rsidR="00EF34CB" w:rsidRDefault="00EF34CB" w:rsidP="00EF34CB">
      <w:pPr>
        <w:pBdr>
          <w:top w:val="nil"/>
          <w:left w:val="nil"/>
          <w:bottom w:val="nil"/>
          <w:right w:val="nil"/>
          <w:between w:val="nil"/>
        </w:pBdr>
        <w:spacing w:after="0" w:line="240" w:lineRule="auto"/>
        <w:rPr>
          <w:color w:val="000000"/>
          <w:sz w:val="20"/>
          <w:szCs w:val="20"/>
        </w:rPr>
      </w:pPr>
      <w:r>
        <w:rPr>
          <w:vertAlign w:val="superscript"/>
        </w:rPr>
        <w:footnoteRef/>
      </w:r>
      <w:r>
        <w:rPr>
          <w:rFonts w:ascii="Calibri" w:eastAsia="Calibri" w:hAnsi="Calibri" w:cs="Calibri"/>
          <w:color w:val="000000"/>
          <w:sz w:val="20"/>
          <w:szCs w:val="20"/>
        </w:rPr>
        <w:t xml:space="preserve"> Ibid </w:t>
      </w:r>
    </w:p>
  </w:footnote>
  <w:footnote w:id="24">
    <w:p w14:paraId="0F1CE781" w14:textId="77777777" w:rsidR="00EF34CB" w:rsidRDefault="00EF34CB" w:rsidP="00EF34CB">
      <w:pPr>
        <w:pBdr>
          <w:top w:val="nil"/>
          <w:left w:val="nil"/>
          <w:bottom w:val="nil"/>
          <w:right w:val="nil"/>
          <w:between w:val="nil"/>
        </w:pBdr>
        <w:spacing w:after="0" w:line="240" w:lineRule="auto"/>
        <w:rPr>
          <w:color w:val="000000"/>
          <w:sz w:val="20"/>
          <w:szCs w:val="20"/>
        </w:rPr>
      </w:pPr>
      <w:r>
        <w:rPr>
          <w:vertAlign w:val="superscript"/>
        </w:rPr>
        <w:footnoteRef/>
      </w:r>
      <w:r>
        <w:rPr>
          <w:rFonts w:ascii="Calibri" w:eastAsia="Calibri" w:hAnsi="Calibri" w:cs="Calibri"/>
          <w:color w:val="000000"/>
          <w:sz w:val="20"/>
          <w:szCs w:val="20"/>
        </w:rPr>
        <w:t xml:space="preserve">  </w:t>
      </w:r>
      <w:bookmarkStart w:id="10" w:name="_Hlk162108028"/>
      <w:r>
        <w:rPr>
          <w:rFonts w:ascii="Calibri" w:eastAsia="Calibri" w:hAnsi="Calibri" w:cs="Calibri"/>
          <w:color w:val="000000"/>
          <w:sz w:val="20"/>
          <w:szCs w:val="20"/>
        </w:rPr>
        <w:t xml:space="preserve">Qatar: Families Arbitrarily Stripped of Citizenship, </w:t>
      </w:r>
      <w:hyperlink r:id="rId20">
        <w:r>
          <w:rPr>
            <w:rFonts w:ascii="Calibri" w:eastAsia="Calibri" w:hAnsi="Calibri" w:cs="Calibri"/>
            <w:color w:val="0563C1"/>
            <w:sz w:val="20"/>
            <w:szCs w:val="20"/>
            <w:u w:val="single"/>
          </w:rPr>
          <w:t>https://bit.ly/2VwEQiO</w:t>
        </w:r>
      </w:hyperlink>
      <w:r>
        <w:rPr>
          <w:rFonts w:ascii="Calibri" w:eastAsia="Calibri" w:hAnsi="Calibri" w:cs="Calibri"/>
          <w:color w:val="000000"/>
          <w:sz w:val="20"/>
          <w:szCs w:val="20"/>
        </w:rPr>
        <w:t xml:space="preserve"> </w:t>
      </w:r>
      <w:bookmarkEnd w:id="10"/>
    </w:p>
  </w:footnote>
  <w:footnote w:id="25">
    <w:p w14:paraId="62E9F18A" w14:textId="77777777" w:rsidR="00EF34CB" w:rsidRDefault="00EF34CB" w:rsidP="00EF34CB">
      <w:pPr>
        <w:pBdr>
          <w:top w:val="nil"/>
          <w:left w:val="nil"/>
          <w:bottom w:val="nil"/>
          <w:right w:val="nil"/>
          <w:between w:val="nil"/>
        </w:pBdr>
        <w:bidi/>
        <w:spacing w:after="0" w:line="240" w:lineRule="auto"/>
        <w:rPr>
          <w:color w:val="000000"/>
          <w:sz w:val="20"/>
          <w:szCs w:val="20"/>
        </w:rPr>
      </w:pPr>
      <w:r>
        <w:rPr>
          <w:vertAlign w:val="superscript"/>
        </w:rPr>
        <w:footnoteRef/>
      </w:r>
      <w:r>
        <w:rPr>
          <w:rFonts w:ascii="Calibri" w:eastAsia="Calibri" w:hAnsi="Calibri" w:cs="Calibri"/>
          <w:color w:val="000000"/>
          <w:sz w:val="20"/>
          <w:szCs w:val="20"/>
          <w:rtl/>
        </w:rPr>
        <w:t xml:space="preserve"> مصدر سابق، على الرابط التالي: </w:t>
      </w:r>
      <w:hyperlink r:id="rId21">
        <w:r>
          <w:rPr>
            <w:rFonts w:ascii="Calibri" w:eastAsia="Calibri" w:hAnsi="Calibri" w:cs="Calibri"/>
            <w:color w:val="0563C1"/>
            <w:sz w:val="20"/>
            <w:szCs w:val="20"/>
            <w:u w:val="single"/>
          </w:rPr>
          <w:t>https://bit.ly/3EtXqMO</w:t>
        </w:r>
      </w:hyperlink>
      <w:r>
        <w:rPr>
          <w:rFonts w:ascii="Calibri" w:eastAsia="Calibri" w:hAnsi="Calibri" w:cs="Calibri"/>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D82623"/>
    <w:multiLevelType w:val="multilevel"/>
    <w:tmpl w:val="9C0859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6643794">
    <w:abstractNumId w:val="13"/>
  </w:num>
  <w:num w:numId="2" w16cid:durableId="1872837545">
    <w:abstractNumId w:val="4"/>
  </w:num>
  <w:num w:numId="3" w16cid:durableId="1395853988">
    <w:abstractNumId w:val="1"/>
  </w:num>
  <w:num w:numId="4" w16cid:durableId="1433088168">
    <w:abstractNumId w:val="10"/>
  </w:num>
  <w:num w:numId="5" w16cid:durableId="548880514">
    <w:abstractNumId w:val="3"/>
  </w:num>
  <w:num w:numId="6" w16cid:durableId="1562444441">
    <w:abstractNumId w:val="21"/>
  </w:num>
  <w:num w:numId="7" w16cid:durableId="2106687212">
    <w:abstractNumId w:val="24"/>
  </w:num>
  <w:num w:numId="8" w16cid:durableId="1502812238">
    <w:abstractNumId w:val="26"/>
  </w:num>
  <w:num w:numId="9" w16cid:durableId="1306934831">
    <w:abstractNumId w:val="19"/>
  </w:num>
  <w:num w:numId="10" w16cid:durableId="1127119799">
    <w:abstractNumId w:val="22"/>
  </w:num>
  <w:num w:numId="11" w16cid:durableId="542446060">
    <w:abstractNumId w:val="16"/>
  </w:num>
  <w:num w:numId="12" w16cid:durableId="205873208">
    <w:abstractNumId w:val="25"/>
  </w:num>
  <w:num w:numId="13" w16cid:durableId="867110885">
    <w:abstractNumId w:val="15"/>
  </w:num>
  <w:num w:numId="14" w16cid:durableId="2131976447">
    <w:abstractNumId w:val="6"/>
  </w:num>
  <w:num w:numId="15" w16cid:durableId="1835684291">
    <w:abstractNumId w:val="17"/>
  </w:num>
  <w:num w:numId="16" w16cid:durableId="1857309151">
    <w:abstractNumId w:val="11"/>
  </w:num>
  <w:num w:numId="17" w16cid:durableId="146940342">
    <w:abstractNumId w:val="0"/>
  </w:num>
  <w:num w:numId="18" w16cid:durableId="191113676">
    <w:abstractNumId w:val="14"/>
  </w:num>
  <w:num w:numId="19" w16cid:durableId="2003925715">
    <w:abstractNumId w:val="2"/>
  </w:num>
  <w:num w:numId="20" w16cid:durableId="233589886">
    <w:abstractNumId w:val="8"/>
  </w:num>
  <w:num w:numId="21" w16cid:durableId="1304848174">
    <w:abstractNumId w:val="27"/>
  </w:num>
  <w:num w:numId="22" w16cid:durableId="2011906243">
    <w:abstractNumId w:val="9"/>
  </w:num>
  <w:num w:numId="23" w16cid:durableId="2111581637">
    <w:abstractNumId w:val="12"/>
  </w:num>
  <w:num w:numId="24" w16cid:durableId="994797510">
    <w:abstractNumId w:val="20"/>
  </w:num>
  <w:num w:numId="25" w16cid:durableId="833304255">
    <w:abstractNumId w:val="23"/>
  </w:num>
  <w:num w:numId="26" w16cid:durableId="269318422">
    <w:abstractNumId w:val="7"/>
  </w:num>
  <w:num w:numId="27" w16cid:durableId="908542406">
    <w:abstractNumId w:val="5"/>
  </w:num>
  <w:num w:numId="28" w16cid:durableId="18733730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495D"/>
    <w:rsid w:val="0004619A"/>
    <w:rsid w:val="00046C49"/>
    <w:rsid w:val="00086352"/>
    <w:rsid w:val="000A0E24"/>
    <w:rsid w:val="000B5D57"/>
    <w:rsid w:val="000C7C14"/>
    <w:rsid w:val="00101544"/>
    <w:rsid w:val="00156C09"/>
    <w:rsid w:val="00196443"/>
    <w:rsid w:val="001D6213"/>
    <w:rsid w:val="002257CD"/>
    <w:rsid w:val="002305C5"/>
    <w:rsid w:val="002D5B01"/>
    <w:rsid w:val="00320637"/>
    <w:rsid w:val="003319F3"/>
    <w:rsid w:val="003439F7"/>
    <w:rsid w:val="00372B51"/>
    <w:rsid w:val="0038184B"/>
    <w:rsid w:val="003A745E"/>
    <w:rsid w:val="004134D4"/>
    <w:rsid w:val="004145E0"/>
    <w:rsid w:val="00414D42"/>
    <w:rsid w:val="00436AE3"/>
    <w:rsid w:val="004650D2"/>
    <w:rsid w:val="00490571"/>
    <w:rsid w:val="004F28E4"/>
    <w:rsid w:val="004F6D5A"/>
    <w:rsid w:val="004F6EC6"/>
    <w:rsid w:val="005025C7"/>
    <w:rsid w:val="00505CB3"/>
    <w:rsid w:val="005132DF"/>
    <w:rsid w:val="00531689"/>
    <w:rsid w:val="00531CED"/>
    <w:rsid w:val="005612DD"/>
    <w:rsid w:val="0058685C"/>
    <w:rsid w:val="005B3A8D"/>
    <w:rsid w:val="005C3446"/>
    <w:rsid w:val="005E2E96"/>
    <w:rsid w:val="00640577"/>
    <w:rsid w:val="006412F6"/>
    <w:rsid w:val="00646A53"/>
    <w:rsid w:val="006807A3"/>
    <w:rsid w:val="00693967"/>
    <w:rsid w:val="00713444"/>
    <w:rsid w:val="0075015E"/>
    <w:rsid w:val="007A3C77"/>
    <w:rsid w:val="007C3E73"/>
    <w:rsid w:val="007E56C8"/>
    <w:rsid w:val="007F62CB"/>
    <w:rsid w:val="00823F46"/>
    <w:rsid w:val="00826C6D"/>
    <w:rsid w:val="00875304"/>
    <w:rsid w:val="008F2641"/>
    <w:rsid w:val="0091285A"/>
    <w:rsid w:val="009337BF"/>
    <w:rsid w:val="009412A9"/>
    <w:rsid w:val="009850AD"/>
    <w:rsid w:val="009D1F8F"/>
    <w:rsid w:val="009E290C"/>
    <w:rsid w:val="00A3448D"/>
    <w:rsid w:val="00A37636"/>
    <w:rsid w:val="00A537CE"/>
    <w:rsid w:val="00A81650"/>
    <w:rsid w:val="00A83C1E"/>
    <w:rsid w:val="00AF7FD1"/>
    <w:rsid w:val="00B35D5B"/>
    <w:rsid w:val="00B50DC2"/>
    <w:rsid w:val="00B53978"/>
    <w:rsid w:val="00B66916"/>
    <w:rsid w:val="00BA7411"/>
    <w:rsid w:val="00BB10FB"/>
    <w:rsid w:val="00BB2414"/>
    <w:rsid w:val="00BB2E0C"/>
    <w:rsid w:val="00BC2D2E"/>
    <w:rsid w:val="00C0706B"/>
    <w:rsid w:val="00C34E13"/>
    <w:rsid w:val="00C47923"/>
    <w:rsid w:val="00CC2F15"/>
    <w:rsid w:val="00CD5381"/>
    <w:rsid w:val="00D01C6A"/>
    <w:rsid w:val="00D11899"/>
    <w:rsid w:val="00DB04A9"/>
    <w:rsid w:val="00DF3596"/>
    <w:rsid w:val="00E3117B"/>
    <w:rsid w:val="00E4520A"/>
    <w:rsid w:val="00E45A93"/>
    <w:rsid w:val="00E55456"/>
    <w:rsid w:val="00EA2C34"/>
    <w:rsid w:val="00EA4670"/>
    <w:rsid w:val="00EB7424"/>
    <w:rsid w:val="00ED3ED2"/>
    <w:rsid w:val="00ED7702"/>
    <w:rsid w:val="00EF34CB"/>
    <w:rsid w:val="00EF597D"/>
    <w:rsid w:val="00F12C87"/>
    <w:rsid w:val="00F533B4"/>
    <w:rsid w:val="00F56B3D"/>
    <w:rsid w:val="00F94355"/>
    <w:rsid w:val="00FA13E3"/>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styleId="UnresolvedMention">
    <w:name w:val="Unresolved Mention"/>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state.gov/reports/2022-report-on-international-religious-freedom/qatar/" TargetMode="External"/><Relationship Id="rId13" Type="http://schemas.openxmlformats.org/officeDocument/2006/relationships/hyperlink" Target="https://www.amnesty.org/en/wp-content/uploads/sites/9/2021/05/MDE2207932019ARABIC.pdf" TargetMode="External"/><Relationship Id="rId18" Type="http://schemas.openxmlformats.org/officeDocument/2006/relationships/hyperlink" Target="https://bit.ly/3EtXqMO" TargetMode="External"/><Relationship Id="rId3" Type="http://schemas.openxmlformats.org/officeDocument/2006/relationships/hyperlink" Target="http://tinyurl.com/my6e8bc" TargetMode="External"/><Relationship Id="rId21" Type="http://schemas.openxmlformats.org/officeDocument/2006/relationships/hyperlink" Target="https://bit.ly/3EtXqMO" TargetMode="External"/><Relationship Id="rId7" Type="http://schemas.openxmlformats.org/officeDocument/2006/relationships/hyperlink" Target="https://www.state.gov/reports/2022-country-reports-on-human-rights-practices/qatar/" TargetMode="External"/><Relationship Id="rId12" Type="http://schemas.openxmlformats.org/officeDocument/2006/relationships/hyperlink" Target="http://tinyurl.com/fu5bfumy" TargetMode="External"/><Relationship Id="rId17" Type="http://schemas.openxmlformats.org/officeDocument/2006/relationships/hyperlink" Target="https://bit.ly/3KuvHze" TargetMode="External"/><Relationship Id="rId2" Type="http://schemas.openxmlformats.org/officeDocument/2006/relationships/hyperlink" Target="http://tinyurl.com/yctx56ty" TargetMode="External"/><Relationship Id="rId16" Type="http://schemas.openxmlformats.org/officeDocument/2006/relationships/hyperlink" Target="https://bit.ly/41iZwbZ" TargetMode="External"/><Relationship Id="rId20" Type="http://schemas.openxmlformats.org/officeDocument/2006/relationships/hyperlink" Target="https://bit.ly/2VwEQiO" TargetMode="External"/><Relationship Id="rId1" Type="http://schemas.openxmlformats.org/officeDocument/2006/relationships/hyperlink" Target="https://tinyurl.com/bdhzw5he" TargetMode="External"/><Relationship Id="rId6" Type="http://schemas.openxmlformats.org/officeDocument/2006/relationships/hyperlink" Target="https://tinyurl.com/bdhzw5he" TargetMode="External"/><Relationship Id="rId11" Type="http://schemas.openxmlformats.org/officeDocument/2006/relationships/hyperlink" Target="https://tinyurl.com/ye28wmbd" TargetMode="External"/><Relationship Id="rId5" Type="http://schemas.openxmlformats.org/officeDocument/2006/relationships/hyperlink" Target="https://bit.ly/3AclIGv" TargetMode="External"/><Relationship Id="rId15" Type="http://schemas.openxmlformats.org/officeDocument/2006/relationships/hyperlink" Target="https://bit.ly/3Zfscki" TargetMode="External"/><Relationship Id="rId10" Type="http://schemas.openxmlformats.org/officeDocument/2006/relationships/hyperlink" Target="https://tinyurl.com/4jn75htu" TargetMode="External"/><Relationship Id="rId19" Type="http://schemas.openxmlformats.org/officeDocument/2006/relationships/hyperlink" Target="https://bit.ly/3xNuJqt" TargetMode="External"/><Relationship Id="rId4" Type="http://schemas.openxmlformats.org/officeDocument/2006/relationships/hyperlink" Target="https://bit.ly/3CzxFHS" TargetMode="External"/><Relationship Id="rId9" Type="http://schemas.openxmlformats.org/officeDocument/2006/relationships/hyperlink" Target="https://tinyl.io/AEzz" TargetMode="External"/><Relationship Id="rId14" Type="http://schemas.openxmlformats.org/officeDocument/2006/relationships/hyperlink" Target="https://tinyurl.com/m9me6s9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16C68-DBD0-4ABF-85BB-D221620AF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1815</Words>
  <Characters>10347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3</cp:revision>
  <dcterms:created xsi:type="dcterms:W3CDTF">2024-03-23T15:49:00Z</dcterms:created>
  <dcterms:modified xsi:type="dcterms:W3CDTF">2024-03-23T15:54:00Z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