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E18FB81" w14:textId="7A88A905" w:rsidR="002065B5" w:rsidRDefault="00EA4307">
      <w:pPr>
        <w:jc w:val="center"/>
        <w:rPr>
          <w:rFonts w:ascii="Calibri" w:hAnsi="Calibri" w:cs="Times New Roman"/>
          <w:b/>
        </w:rPr>
      </w:pPr>
      <w:r>
        <w:rPr>
          <w:noProof/>
        </w:rPr>
        <w:drawing>
          <wp:anchor distT="0" distB="0" distL="114300" distR="114300" simplePos="0" relativeHeight="251658752" behindDoc="0" locked="0" layoutInCell="1" allowOverlap="1" wp14:anchorId="5A9FD6B3" wp14:editId="015B24E6">
            <wp:simplePos x="0" y="0"/>
            <wp:positionH relativeFrom="column">
              <wp:posOffset>3828209</wp:posOffset>
            </wp:positionH>
            <wp:positionV relativeFrom="paragraph">
              <wp:posOffset>66040</wp:posOffset>
            </wp:positionV>
            <wp:extent cx="1965960" cy="949960"/>
            <wp:effectExtent l="0" t="0" r="2540" b="2540"/>
            <wp:wrapNone/>
            <wp:docPr id="4" name="Picture 8" descr="Logo&#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Logo&#10;&#10;Description automatically generated with medium confidence"/>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65960" cy="9499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0" layoutInCell="0" allowOverlap="1" wp14:anchorId="2FB92B85" wp14:editId="297E8F7F">
            <wp:simplePos x="0" y="0"/>
            <wp:positionH relativeFrom="column">
              <wp:posOffset>1664335</wp:posOffset>
            </wp:positionH>
            <wp:positionV relativeFrom="paragraph">
              <wp:posOffset>149860</wp:posOffset>
            </wp:positionV>
            <wp:extent cx="1917700" cy="794385"/>
            <wp:effectExtent l="0" t="0" r="0" b="0"/>
            <wp:wrapTight wrapText="bothSides">
              <wp:wrapPolygon edited="0">
                <wp:start x="0" y="0"/>
                <wp:lineTo x="0" y="21410"/>
                <wp:lineTo x="21457" y="21410"/>
                <wp:lineTo x="21457" y="0"/>
                <wp:lineTo x="0" y="0"/>
              </wp:wrapPolygon>
            </wp:wrapTight>
            <wp:docPr id="3"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17700" cy="7943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0" locked="0" layoutInCell="0" allowOverlap="1" wp14:anchorId="1215C603" wp14:editId="685A298B">
            <wp:simplePos x="0" y="0"/>
            <wp:positionH relativeFrom="column">
              <wp:posOffset>-514985</wp:posOffset>
            </wp:positionH>
            <wp:positionV relativeFrom="paragraph">
              <wp:posOffset>150495</wp:posOffset>
            </wp:positionV>
            <wp:extent cx="1935480" cy="760730"/>
            <wp:effectExtent l="0" t="0" r="0" b="0"/>
            <wp:wrapTight wrapText="bothSides">
              <wp:wrapPolygon edited="0">
                <wp:start x="0" y="0"/>
                <wp:lineTo x="0" y="21275"/>
                <wp:lineTo x="21402" y="21275"/>
                <wp:lineTo x="21402" y="0"/>
                <wp:lineTo x="0" y="0"/>
              </wp:wrapPolygon>
            </wp:wrapTight>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35480" cy="76073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6F752BDF" w14:textId="77777777" w:rsidR="002065B5" w:rsidRDefault="002065B5">
      <w:pPr>
        <w:jc w:val="center"/>
        <w:rPr>
          <w:rFonts w:ascii="Calibri" w:hAnsi="Calibri" w:cs="Times New Roman"/>
          <w:b/>
        </w:rPr>
      </w:pPr>
    </w:p>
    <w:p w14:paraId="7D210A10" w14:textId="77777777" w:rsidR="002065B5" w:rsidRDefault="002065B5">
      <w:pPr>
        <w:jc w:val="center"/>
        <w:rPr>
          <w:rFonts w:ascii="Calibri" w:hAnsi="Calibri" w:cs="Times New Roman"/>
          <w:b/>
        </w:rPr>
      </w:pPr>
    </w:p>
    <w:p w14:paraId="778BF1FC" w14:textId="77777777" w:rsidR="002065B5" w:rsidRDefault="002065B5">
      <w:pPr>
        <w:jc w:val="center"/>
        <w:rPr>
          <w:rFonts w:ascii="Calibri" w:hAnsi="Calibri" w:cs="Times New Roman"/>
          <w:b/>
        </w:rPr>
      </w:pPr>
    </w:p>
    <w:p w14:paraId="4ECF3939" w14:textId="77777777" w:rsidR="002065B5" w:rsidRDefault="002065B5">
      <w:pPr>
        <w:jc w:val="center"/>
      </w:pPr>
    </w:p>
    <w:p w14:paraId="7ED3101A" w14:textId="77777777" w:rsidR="002065B5" w:rsidRDefault="002065B5">
      <w:pPr>
        <w:jc w:val="center"/>
      </w:pPr>
      <w:r>
        <w:rPr>
          <w:rFonts w:ascii="Calibri" w:hAnsi="Calibri" w:cs="Times New Roman"/>
          <w:b/>
        </w:rPr>
        <w:t>UN Committee on the Elimination of Discrimination against Women</w:t>
      </w:r>
    </w:p>
    <w:p w14:paraId="021DB1D5" w14:textId="77777777" w:rsidR="002065B5" w:rsidRDefault="002065B5" w:rsidP="001E0D13">
      <w:pPr>
        <w:jc w:val="center"/>
        <w:rPr>
          <w:rFonts w:ascii="Calibri" w:hAnsi="Calibri" w:cs="Times New Roman"/>
          <w:b/>
        </w:rPr>
      </w:pPr>
      <w:bookmarkStart w:id="0" w:name="__RefMoveTo__move175230338"/>
      <w:r>
        <w:rPr>
          <w:rFonts w:ascii="Calibri" w:hAnsi="Calibri" w:cs="Times New Roman"/>
          <w:b/>
        </w:rPr>
        <w:t xml:space="preserve">89th session </w:t>
      </w:r>
      <w:bookmarkEnd w:id="0"/>
      <w:r>
        <w:rPr>
          <w:rFonts w:ascii="Calibri" w:hAnsi="Calibri" w:cs="Times New Roman"/>
          <w:b/>
        </w:rPr>
        <w:t>(7 - 25 Oct 2024)</w:t>
      </w:r>
    </w:p>
    <w:p w14:paraId="483BD992" w14:textId="77777777" w:rsidR="002065B5" w:rsidRDefault="002065B5">
      <w:pPr>
        <w:jc w:val="center"/>
        <w:rPr>
          <w:rFonts w:ascii="Calibri" w:hAnsi="Calibri" w:cs="Times New Roman"/>
          <w:b/>
        </w:rPr>
      </w:pPr>
    </w:p>
    <w:p w14:paraId="3B16A1CA" w14:textId="77777777" w:rsidR="002065B5" w:rsidRPr="00951DD5" w:rsidRDefault="002065B5">
      <w:pPr>
        <w:jc w:val="center"/>
        <w:rPr>
          <w:rFonts w:ascii="Calibri" w:hAnsi="Calibri" w:cs="Times New Roman"/>
          <w:bCs/>
        </w:rPr>
      </w:pPr>
      <w:r w:rsidRPr="00951DD5">
        <w:rPr>
          <w:rFonts w:ascii="Calibri" w:hAnsi="Calibri" w:cs="Times New Roman"/>
          <w:bCs/>
        </w:rPr>
        <w:t>Shadow report submitted by</w:t>
      </w:r>
    </w:p>
    <w:p w14:paraId="6E499480" w14:textId="77777777" w:rsidR="002065B5" w:rsidRDefault="002065B5">
      <w:pPr>
        <w:jc w:val="center"/>
        <w:rPr>
          <w:rFonts w:ascii="Calibri" w:hAnsi="Calibri" w:cs="Times New Roman"/>
          <w:i/>
          <w:sz w:val="20"/>
          <w:szCs w:val="20"/>
        </w:rPr>
      </w:pPr>
      <w:r>
        <w:rPr>
          <w:rFonts w:ascii="Calibri" w:hAnsi="Calibri" w:cs="Times New Roman"/>
          <w:b/>
        </w:rPr>
        <w:t>FIDH - International Federation for Human Rights</w:t>
      </w:r>
    </w:p>
    <w:p w14:paraId="17D2F5B4" w14:textId="77777777" w:rsidR="002065B5" w:rsidRDefault="002065B5">
      <w:pPr>
        <w:jc w:val="center"/>
        <w:rPr>
          <w:rFonts w:ascii="Calibri" w:hAnsi="Calibri" w:cs="Times New Roman"/>
          <w:b/>
        </w:rPr>
      </w:pPr>
      <w:r>
        <w:rPr>
          <w:rFonts w:ascii="Calibri" w:hAnsi="Calibri" w:cs="Times New Roman"/>
          <w:b/>
        </w:rPr>
        <w:t>Center for Prisoners’ Rights</w:t>
      </w:r>
    </w:p>
    <w:p w14:paraId="1328AFF8" w14:textId="77777777" w:rsidR="00951DD5" w:rsidRDefault="00951DD5">
      <w:pPr>
        <w:jc w:val="center"/>
      </w:pPr>
      <w:r>
        <w:rPr>
          <w:rFonts w:ascii="Calibri" w:hAnsi="Calibri" w:cs="Times New Roman"/>
          <w:b/>
        </w:rPr>
        <w:t>World Coalition Against the Death Penalty</w:t>
      </w:r>
    </w:p>
    <w:p w14:paraId="1AF36BB4" w14:textId="77777777" w:rsidR="002065B5" w:rsidRDefault="002065B5"/>
    <w:p w14:paraId="07778B1F" w14:textId="77777777" w:rsidR="002065B5" w:rsidRDefault="002065B5">
      <w:pPr>
        <w:jc w:val="center"/>
        <w:rPr>
          <w:rFonts w:ascii="Calibri" w:hAnsi="Calibri" w:cs="Times New Roman"/>
        </w:rPr>
      </w:pPr>
      <w:r>
        <w:rPr>
          <w:rFonts w:ascii="Calibri" w:hAnsi="Calibri" w:cs="Times New Roman"/>
          <w:i/>
          <w:iCs/>
        </w:rPr>
        <w:t>6 September 2024</w:t>
      </w:r>
    </w:p>
    <w:p w14:paraId="1020D69E" w14:textId="77777777" w:rsidR="002065B5" w:rsidRDefault="002065B5">
      <w:pPr>
        <w:rPr>
          <w:rFonts w:ascii="Calibri" w:hAnsi="Calibri" w:cs="Times New Roman"/>
        </w:rPr>
      </w:pPr>
    </w:p>
    <w:p w14:paraId="56D62145" w14:textId="77777777" w:rsidR="002065B5" w:rsidRDefault="002065B5">
      <w:pPr>
        <w:rPr>
          <w:rFonts w:ascii="Calibri" w:hAnsi="Calibri" w:cs="Times New Roman"/>
        </w:rPr>
      </w:pPr>
      <w:r>
        <w:rPr>
          <w:rFonts w:ascii="Calibri" w:hAnsi="Calibri" w:cs="Times New Roman"/>
          <w:b/>
          <w:u w:val="single"/>
        </w:rPr>
        <w:t>FIDH</w:t>
      </w:r>
      <w:r>
        <w:rPr>
          <w:rFonts w:ascii="Calibri" w:hAnsi="Calibri" w:cs="Times New Roman"/>
        </w:rPr>
        <w:t xml:space="preserve"> represents 188 human rights organizations from 116 countries and territories. It </w:t>
      </w:r>
      <w:proofErr w:type="gramStart"/>
      <w:r>
        <w:rPr>
          <w:rFonts w:ascii="Calibri" w:hAnsi="Calibri" w:cs="Times New Roman"/>
        </w:rPr>
        <w:t>takes action</w:t>
      </w:r>
      <w:proofErr w:type="gramEnd"/>
      <w:r>
        <w:rPr>
          <w:rFonts w:ascii="Calibri" w:hAnsi="Calibri" w:cs="Times New Roman"/>
        </w:rPr>
        <w:t xml:space="preserve"> for the protection of victims of human rights violations, for the prevention of violations</w:t>
      </w:r>
      <w:r w:rsidR="00E460BC">
        <w:rPr>
          <w:rFonts w:ascii="Calibri" w:hAnsi="Calibri" w:cs="Times New Roman"/>
        </w:rPr>
        <w:t>,</w:t>
      </w:r>
      <w:r>
        <w:rPr>
          <w:rFonts w:ascii="Calibri" w:hAnsi="Calibri" w:cs="Times New Roman"/>
        </w:rPr>
        <w:t xml:space="preserve"> and to bring perpetrators to justice.</w:t>
      </w:r>
      <w:r>
        <w:rPr>
          <w:rFonts w:ascii="Calibri" w:hAnsi="Calibri" w:cs="Times New Roman"/>
          <w:b/>
          <w:i/>
        </w:rPr>
        <w:t xml:space="preserve"> </w:t>
      </w:r>
      <w:r>
        <w:rPr>
          <w:rFonts w:ascii="Calibri" w:hAnsi="Calibri" w:cs="Times New Roman"/>
        </w:rPr>
        <w:t>Established in 1922, FIDH works for the respect of all the rights set out in the Universal Declaration of Human Rights: civil and political rights, as well as economic, social and cultural rights.</w:t>
      </w:r>
      <w:r>
        <w:rPr>
          <w:rFonts w:ascii="Calibri" w:hAnsi="Calibri" w:cs="Times New Roman"/>
          <w:b/>
          <w:i/>
        </w:rPr>
        <w:t xml:space="preserve"> </w:t>
      </w:r>
      <w:r>
        <w:rPr>
          <w:rFonts w:ascii="Calibri" w:hAnsi="Calibri" w:cs="Times New Roman"/>
        </w:rPr>
        <w:t>Like its member organizations, FIDH is not linked to any party or religion and is independent from all governments.</w:t>
      </w:r>
    </w:p>
    <w:p w14:paraId="6FC744E8" w14:textId="77777777" w:rsidR="002065B5" w:rsidRDefault="002065B5">
      <w:pPr>
        <w:rPr>
          <w:rFonts w:ascii="Calibri" w:hAnsi="Calibri" w:cs="Times New Roman"/>
        </w:rPr>
      </w:pPr>
    </w:p>
    <w:p w14:paraId="4AAB6740" w14:textId="77777777" w:rsidR="002065B5" w:rsidRDefault="002065B5">
      <w:pPr>
        <w:rPr>
          <w:rFonts w:ascii="Calibri" w:hAnsi="Calibri" w:cs="Times New Roman"/>
        </w:rPr>
      </w:pPr>
      <w:r>
        <w:rPr>
          <w:rFonts w:ascii="Calibri" w:hAnsi="Calibri" w:cs="Times New Roman"/>
        </w:rPr>
        <w:t xml:space="preserve">The </w:t>
      </w:r>
      <w:r>
        <w:rPr>
          <w:rFonts w:ascii="Calibri" w:hAnsi="Calibri" w:cs="Times New Roman"/>
          <w:b/>
          <w:u w:val="single"/>
        </w:rPr>
        <w:t>Center for Prisoners’ Rights (CPR)</w:t>
      </w:r>
      <w:r>
        <w:rPr>
          <w:rFonts w:ascii="Calibri" w:hAnsi="Calibri" w:cs="Times New Roman"/>
        </w:rPr>
        <w:t xml:space="preserve"> was established in March 1995 as the first Japanese NGO specializing in prison reform. CPR’s goal is to reform Japanese prison conditions in accordance with international human rights standards and to abolish the death penalty. CPR is </w:t>
      </w:r>
      <w:r w:rsidR="00E460BC">
        <w:rPr>
          <w:rFonts w:ascii="Calibri" w:hAnsi="Calibri" w:cs="Times New Roman"/>
        </w:rPr>
        <w:t xml:space="preserve">a </w:t>
      </w:r>
      <w:r>
        <w:rPr>
          <w:rFonts w:ascii="Calibri" w:hAnsi="Calibri" w:cs="Times New Roman"/>
        </w:rPr>
        <w:t>member of FIDH.</w:t>
      </w:r>
    </w:p>
    <w:p w14:paraId="2CA4DC8A" w14:textId="77777777" w:rsidR="008C7C77" w:rsidRDefault="008C7C77">
      <w:pPr>
        <w:rPr>
          <w:rFonts w:ascii="Calibri" w:hAnsi="Calibri" w:cs="Times New Roman"/>
        </w:rPr>
      </w:pPr>
    </w:p>
    <w:p w14:paraId="4BAD6F40" w14:textId="77777777" w:rsidR="008C7C77" w:rsidRDefault="008C7C77">
      <w:pPr>
        <w:rPr>
          <w:rFonts w:ascii="Calibri" w:hAnsi="Calibri" w:cs="Times New Roman"/>
        </w:rPr>
      </w:pPr>
      <w:r>
        <w:rPr>
          <w:rFonts w:ascii="Calibri" w:hAnsi="Calibri" w:cs="Times New Roman"/>
        </w:rPr>
        <w:t xml:space="preserve">The </w:t>
      </w:r>
      <w:r w:rsidRPr="00E413A0">
        <w:rPr>
          <w:rFonts w:ascii="Calibri" w:hAnsi="Calibri" w:cs="Times New Roman"/>
          <w:b/>
          <w:bCs/>
          <w:u w:val="single"/>
        </w:rPr>
        <w:t>World Coalition Against the Death Penalty</w:t>
      </w:r>
      <w:r w:rsidRPr="00E413A0">
        <w:rPr>
          <w:rFonts w:ascii="Calibri" w:hAnsi="Calibri" w:cs="Times New Roman"/>
          <w:u w:val="single"/>
        </w:rPr>
        <w:t xml:space="preserve"> </w:t>
      </w:r>
      <w:r w:rsidRPr="00E413A0">
        <w:rPr>
          <w:rFonts w:ascii="Calibri" w:hAnsi="Calibri" w:cs="Times New Roman"/>
          <w:b/>
          <w:bCs/>
          <w:u w:val="single"/>
        </w:rPr>
        <w:t>(WCADP)</w:t>
      </w:r>
      <w:r>
        <w:rPr>
          <w:rFonts w:ascii="Calibri" w:hAnsi="Calibri" w:cs="Times New Roman"/>
        </w:rPr>
        <w:t xml:space="preserve"> </w:t>
      </w:r>
      <w:r w:rsidRPr="00012484">
        <w:rPr>
          <w:rFonts w:ascii="Calibri" w:hAnsi="Calibri" w:cs="Times New Roman"/>
        </w:rPr>
        <w:t>is a volunteer-based non-government</w:t>
      </w:r>
      <w:r w:rsidR="00CD3E47">
        <w:rPr>
          <w:rFonts w:ascii="Calibri" w:hAnsi="Calibri" w:cs="Times New Roman"/>
        </w:rPr>
        <w:t>al</w:t>
      </w:r>
      <w:r w:rsidRPr="00012484">
        <w:rPr>
          <w:rFonts w:ascii="Calibri" w:hAnsi="Calibri" w:cs="Times New Roman"/>
        </w:rPr>
        <w:t xml:space="preserve">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r>
        <w:rPr>
          <w:rFonts w:ascii="Calibri" w:hAnsi="Calibri" w:cs="Times New Roman"/>
        </w:rPr>
        <w:t>.</w:t>
      </w:r>
    </w:p>
    <w:p w14:paraId="5791D146" w14:textId="77777777" w:rsidR="005141FB" w:rsidRDefault="005141FB">
      <w:pPr>
        <w:rPr>
          <w:rFonts w:ascii="Calibri" w:hAnsi="Calibri" w:cs="Times New Roman"/>
        </w:rPr>
      </w:pPr>
    </w:p>
    <w:p w14:paraId="10166145" w14:textId="77777777" w:rsidR="002065B5" w:rsidRPr="005141FB" w:rsidRDefault="002065B5" w:rsidP="005141FB">
      <w:pPr>
        <w:rPr>
          <w:rFonts w:ascii="Calibri" w:hAnsi="Calibri" w:cs="Calibri"/>
          <w:b/>
          <w:bCs/>
        </w:rPr>
      </w:pPr>
      <w:r w:rsidRPr="005141FB">
        <w:rPr>
          <w:rFonts w:ascii="Calibri" w:hAnsi="Calibri" w:cs="Calibri"/>
        </w:rPr>
        <w:lastRenderedPageBreak/>
        <w:t>This shadow report is submitted by the Center for Prisoners’ Rights (CPR)</w:t>
      </w:r>
      <w:r w:rsidR="006F5FC5">
        <w:rPr>
          <w:rFonts w:ascii="Calibri" w:hAnsi="Calibri" w:cs="Calibri"/>
        </w:rPr>
        <w:t>,</w:t>
      </w:r>
      <w:r w:rsidRPr="005141FB">
        <w:rPr>
          <w:rFonts w:ascii="Calibri" w:hAnsi="Calibri" w:cs="Calibri"/>
        </w:rPr>
        <w:t xml:space="preserve"> the International Federation for Human Rights (FIDH)</w:t>
      </w:r>
      <w:r w:rsidR="006F5FC5">
        <w:rPr>
          <w:rFonts w:ascii="Calibri" w:hAnsi="Calibri" w:cs="Calibri"/>
        </w:rPr>
        <w:t xml:space="preserve">, and the </w:t>
      </w:r>
      <w:r w:rsidR="006F5FC5" w:rsidRPr="006F5FC5">
        <w:rPr>
          <w:rFonts w:ascii="Calibri" w:hAnsi="Calibri" w:cs="Calibri"/>
        </w:rPr>
        <w:t xml:space="preserve">World Coalition Against the Death Penalty (WCADP) </w:t>
      </w:r>
      <w:r w:rsidRPr="005141FB">
        <w:rPr>
          <w:rFonts w:ascii="Calibri" w:hAnsi="Calibri" w:cs="Calibri"/>
        </w:rPr>
        <w:t xml:space="preserve">for the review of </w:t>
      </w:r>
      <w:r w:rsidR="008277A5">
        <w:rPr>
          <w:rFonts w:ascii="Calibri" w:hAnsi="Calibri" w:cs="Calibri"/>
        </w:rPr>
        <w:t>Japan’s</w:t>
      </w:r>
      <w:r w:rsidRPr="005141FB">
        <w:rPr>
          <w:rFonts w:ascii="Calibri" w:hAnsi="Calibri" w:cs="Calibri"/>
        </w:rPr>
        <w:t xml:space="preserve"> </w:t>
      </w:r>
      <w:r w:rsidR="00206417">
        <w:rPr>
          <w:rFonts w:ascii="Calibri" w:hAnsi="Calibri" w:cs="Calibri"/>
        </w:rPr>
        <w:t>nin</w:t>
      </w:r>
      <w:r w:rsidRPr="005141FB">
        <w:rPr>
          <w:rFonts w:ascii="Calibri" w:hAnsi="Calibri" w:cs="Calibri"/>
        </w:rPr>
        <w:t>th periodic report by the United Nations (UN) Committee on the Elimination of Discrimination against Women. This report provides information on g</w:t>
      </w:r>
      <w:r w:rsidRPr="00115CA6">
        <w:rPr>
          <w:rFonts w:ascii="Calibri" w:hAnsi="Calibri" w:cs="Calibri"/>
        </w:rPr>
        <w:t>ender-based violence against women</w:t>
      </w:r>
      <w:r w:rsidRPr="005141FB">
        <w:rPr>
          <w:rFonts w:ascii="Calibri" w:hAnsi="Calibri" w:cs="Calibri"/>
        </w:rPr>
        <w:t xml:space="preserve"> in the context of the treatment of female prisoners.</w:t>
      </w:r>
    </w:p>
    <w:p w14:paraId="459E4AB0" w14:textId="77777777" w:rsidR="00175E51" w:rsidRPr="00012484" w:rsidRDefault="00175E51" w:rsidP="00012484">
      <w:pPr>
        <w:pStyle w:val="ListParagraph"/>
        <w:ind w:left="0" w:hanging="142"/>
        <w:rPr>
          <w:rFonts w:ascii="Calibri" w:hAnsi="Calibri" w:cs="Calibri"/>
        </w:rPr>
      </w:pPr>
    </w:p>
    <w:p w14:paraId="64A42BBC" w14:textId="77777777" w:rsidR="002065B5" w:rsidRDefault="00563C03" w:rsidP="009C7BF1">
      <w:pPr>
        <w:pStyle w:val="ListParagraph"/>
        <w:numPr>
          <w:ilvl w:val="0"/>
          <w:numId w:val="1"/>
        </w:numPr>
        <w:ind w:left="284" w:hanging="284"/>
        <w:jc w:val="left"/>
      </w:pPr>
      <w:r>
        <w:rPr>
          <w:rFonts w:ascii="Calibri" w:hAnsi="Calibri" w:cs="Calibri"/>
          <w:b/>
          <w:bCs/>
        </w:rPr>
        <w:t xml:space="preserve">Female prisoners </w:t>
      </w:r>
      <w:r w:rsidR="002065B5">
        <w:rPr>
          <w:rFonts w:ascii="Calibri" w:hAnsi="Calibri" w:cs="Calibri"/>
          <w:b/>
          <w:bCs/>
        </w:rPr>
        <w:t>under death sentence subjected to 24-hour monitoring by CCTV</w:t>
      </w:r>
    </w:p>
    <w:p w14:paraId="092EB76C" w14:textId="77777777" w:rsidR="002065B5" w:rsidRDefault="002065B5" w:rsidP="000B790E">
      <w:pPr>
        <w:pStyle w:val="ListParagraph"/>
        <w:ind w:left="0"/>
      </w:pPr>
    </w:p>
    <w:p w14:paraId="603F61D4" w14:textId="77777777" w:rsidR="000B790E" w:rsidRPr="000B790E" w:rsidRDefault="00EC07CD" w:rsidP="000B790E">
      <w:pPr>
        <w:pStyle w:val="ListParagraph"/>
        <w:ind w:left="0"/>
        <w:rPr>
          <w:rFonts w:ascii="Calibri" w:hAnsi="Calibri" w:cs="Calibri"/>
        </w:rPr>
      </w:pPr>
      <w:r>
        <w:rPr>
          <w:rFonts w:ascii="Calibri" w:hAnsi="Calibri" w:cs="Calibri"/>
        </w:rPr>
        <w:t>Japan’s</w:t>
      </w:r>
      <w:r w:rsidR="000B790E" w:rsidRPr="000B790E">
        <w:rPr>
          <w:rFonts w:ascii="Calibri" w:hAnsi="Calibri" w:cs="Calibri"/>
        </w:rPr>
        <w:t xml:space="preserve"> penitentiary system has</w:t>
      </w:r>
      <w:r>
        <w:rPr>
          <w:rFonts w:ascii="Calibri" w:hAnsi="Calibri" w:cs="Calibri"/>
        </w:rPr>
        <w:t xml:space="preserve"> failed</w:t>
      </w:r>
      <w:r w:rsidR="000B790E" w:rsidRPr="000B790E">
        <w:rPr>
          <w:rFonts w:ascii="Calibri" w:hAnsi="Calibri" w:cs="Calibri"/>
        </w:rPr>
        <w:t xml:space="preserve"> to meet the gender-specific needs of </w:t>
      </w:r>
      <w:r w:rsidR="00F926DA">
        <w:rPr>
          <w:rFonts w:ascii="Calibri" w:hAnsi="Calibri" w:cs="Calibri"/>
        </w:rPr>
        <w:t>female prisoners</w:t>
      </w:r>
      <w:r>
        <w:rPr>
          <w:rFonts w:ascii="Calibri" w:hAnsi="Calibri" w:cs="Calibri"/>
        </w:rPr>
        <w:t>. This failure</w:t>
      </w:r>
      <w:r w:rsidR="000B790E" w:rsidRPr="000B790E">
        <w:rPr>
          <w:rFonts w:ascii="Calibri" w:hAnsi="Calibri" w:cs="Calibri"/>
        </w:rPr>
        <w:t xml:space="preserve"> has had a significant impact on conditions for </w:t>
      </w:r>
      <w:r>
        <w:rPr>
          <w:rFonts w:ascii="Calibri" w:hAnsi="Calibri" w:cs="Calibri"/>
        </w:rPr>
        <w:t>female</w:t>
      </w:r>
      <w:r w:rsidR="000B790E" w:rsidRPr="000B790E">
        <w:rPr>
          <w:rFonts w:ascii="Calibri" w:hAnsi="Calibri" w:cs="Calibri"/>
        </w:rPr>
        <w:t xml:space="preserve"> prisoners and may, </w:t>
      </w:r>
      <w:r>
        <w:rPr>
          <w:rFonts w:ascii="Calibri" w:hAnsi="Calibri" w:cs="Calibri"/>
        </w:rPr>
        <w:t>under</w:t>
      </w:r>
      <w:r w:rsidR="000B790E" w:rsidRPr="000B790E">
        <w:rPr>
          <w:rFonts w:ascii="Calibri" w:hAnsi="Calibri" w:cs="Calibri"/>
        </w:rPr>
        <w:t xml:space="preserve"> certain circumstances, constitute discrimination </w:t>
      </w:r>
      <w:r>
        <w:rPr>
          <w:rFonts w:ascii="Calibri" w:hAnsi="Calibri" w:cs="Calibri"/>
        </w:rPr>
        <w:t>under</w:t>
      </w:r>
      <w:r w:rsidR="000B790E" w:rsidRPr="000B790E">
        <w:rPr>
          <w:rFonts w:ascii="Calibri" w:hAnsi="Calibri" w:cs="Calibri"/>
        </w:rPr>
        <w:t xml:space="preserve"> Article 1 of the Convention on the Elimination of All Forms of Discrimination against Women (CEDAW).</w:t>
      </w:r>
    </w:p>
    <w:p w14:paraId="7A98F9AC" w14:textId="77777777" w:rsidR="002065B5" w:rsidRDefault="002065B5"/>
    <w:p w14:paraId="59AF3EC2" w14:textId="6CAD9D8F" w:rsidR="002065B5" w:rsidRPr="000B790E" w:rsidRDefault="002065B5">
      <w:pPr>
        <w:pStyle w:val="ListParagraph"/>
        <w:ind w:left="0"/>
        <w:rPr>
          <w:rFonts w:ascii="Calibri" w:hAnsi="Calibri" w:cs="Calibri"/>
        </w:rPr>
      </w:pPr>
      <w:r w:rsidRPr="000B790E">
        <w:rPr>
          <w:rFonts w:ascii="Calibri" w:hAnsi="Calibri" w:cs="Calibri"/>
        </w:rPr>
        <w:t xml:space="preserve">The </w:t>
      </w:r>
      <w:r w:rsidR="00CC32E9" w:rsidRPr="005141FB">
        <w:rPr>
          <w:rFonts w:ascii="Calibri" w:hAnsi="Calibri" w:cs="Calibri"/>
        </w:rPr>
        <w:t>Committee on the Elimination of Discrimination against Women</w:t>
      </w:r>
      <w:r w:rsidRPr="000B790E">
        <w:rPr>
          <w:rFonts w:ascii="Calibri" w:hAnsi="Calibri" w:cs="Calibri"/>
        </w:rPr>
        <w:t xml:space="preserve">’s General Recommendation No. 33 highlights that “women suffer from discrimination in criminal cases owing </w:t>
      </w:r>
      <w:proofErr w:type="gramStart"/>
      <w:r w:rsidRPr="000B790E">
        <w:rPr>
          <w:rFonts w:ascii="Calibri" w:hAnsi="Calibri" w:cs="Calibri"/>
        </w:rPr>
        <w:t>to:</w:t>
      </w:r>
      <w:proofErr w:type="gramEnd"/>
      <w:r w:rsidRPr="000B790E">
        <w:rPr>
          <w:rFonts w:ascii="Calibri" w:hAnsi="Calibri" w:cs="Calibri"/>
        </w:rPr>
        <w:t xml:space="preserve"> a) a lack of gender-sensitive non-custodial alternatives to detention</w:t>
      </w:r>
      <w:r w:rsidR="002F04FA">
        <w:rPr>
          <w:rFonts w:ascii="Calibri" w:hAnsi="Calibri" w:cs="Calibri"/>
        </w:rPr>
        <w:t>;</w:t>
      </w:r>
      <w:r w:rsidRPr="000B790E">
        <w:rPr>
          <w:rFonts w:ascii="Calibri" w:hAnsi="Calibri" w:cs="Calibri"/>
        </w:rPr>
        <w:t xml:space="preserve"> b) a failure to meet the specific needs of women in detention</w:t>
      </w:r>
      <w:r w:rsidR="002F04FA">
        <w:rPr>
          <w:rFonts w:ascii="Calibri" w:hAnsi="Calibri" w:cs="Calibri"/>
        </w:rPr>
        <w:t>;</w:t>
      </w:r>
      <w:r w:rsidRPr="000B790E">
        <w:rPr>
          <w:rFonts w:ascii="Calibri" w:hAnsi="Calibri" w:cs="Calibri"/>
        </w:rPr>
        <w:t xml:space="preserve"> and c) an absence of gender-sensitive monitoring and independent review mechanisms.” </w:t>
      </w:r>
      <w:r w:rsidR="001E0D13">
        <w:rPr>
          <w:rFonts w:ascii="Calibri" w:hAnsi="Calibri" w:cs="Calibri"/>
        </w:rPr>
        <w:t xml:space="preserve">The </w:t>
      </w:r>
      <w:r w:rsidR="00570C9A" w:rsidRPr="005141FB">
        <w:rPr>
          <w:rFonts w:ascii="Calibri" w:hAnsi="Calibri" w:cs="Calibri"/>
        </w:rPr>
        <w:t xml:space="preserve">Committee </w:t>
      </w:r>
      <w:r w:rsidRPr="000B790E">
        <w:rPr>
          <w:rFonts w:ascii="Calibri" w:hAnsi="Calibri" w:cs="Calibri"/>
        </w:rPr>
        <w:t>recommends that states</w:t>
      </w:r>
      <w:r w:rsidR="00EC07CD">
        <w:rPr>
          <w:rFonts w:ascii="Calibri" w:hAnsi="Calibri" w:cs="Calibri"/>
        </w:rPr>
        <w:t xml:space="preserve"> party to the </w:t>
      </w:r>
      <w:r w:rsidR="00570C9A">
        <w:rPr>
          <w:rFonts w:ascii="Calibri" w:hAnsi="Calibri" w:cs="Calibri"/>
        </w:rPr>
        <w:t>CEDAW</w:t>
      </w:r>
      <w:r w:rsidR="00570C9A" w:rsidRPr="000B790E">
        <w:rPr>
          <w:rFonts w:ascii="Calibri" w:hAnsi="Calibri" w:cs="Calibri"/>
        </w:rPr>
        <w:t xml:space="preserve"> </w:t>
      </w:r>
      <w:r w:rsidRPr="000B790E">
        <w:rPr>
          <w:rFonts w:ascii="Calibri" w:hAnsi="Calibri" w:cs="Calibri"/>
        </w:rPr>
        <w:t>ensure that mechanisms are in place “to monitor places of detention; pay special attention to the situation of women prisoners; and apply international guidance and standards on the treatment of women in detention.”</w:t>
      </w:r>
    </w:p>
    <w:p w14:paraId="33077B4F" w14:textId="77777777" w:rsidR="0007392E" w:rsidRDefault="0007392E">
      <w:pPr>
        <w:pStyle w:val="ListParagraph"/>
        <w:ind w:left="0"/>
      </w:pPr>
    </w:p>
    <w:p w14:paraId="41124F94" w14:textId="77777777" w:rsidR="0007392E" w:rsidRDefault="0007392E" w:rsidP="0007392E">
      <w:r>
        <w:rPr>
          <w:rFonts w:ascii="Calibri" w:hAnsi="Calibri" w:cs="Calibri"/>
        </w:rPr>
        <w:t>According to the latest available official figures, at the end of 2023 there were 106 prisoners (99 men and seven women) under death sentence in Japan. Almost half of them (47 men and two women) were in Tokyo Detention House.</w:t>
      </w:r>
    </w:p>
    <w:p w14:paraId="7683BE59" w14:textId="77777777" w:rsidR="002065B5" w:rsidRDefault="002065B5">
      <w:pPr>
        <w:pStyle w:val="ListParagraph"/>
        <w:ind w:left="0"/>
      </w:pPr>
    </w:p>
    <w:p w14:paraId="372A5784" w14:textId="77777777" w:rsidR="002065B5" w:rsidRDefault="00EC07CD">
      <w:r>
        <w:rPr>
          <w:rFonts w:ascii="Calibri" w:hAnsi="Calibri" w:cs="Calibri"/>
        </w:rPr>
        <w:t>F</w:t>
      </w:r>
      <w:r w:rsidR="002065B5">
        <w:rPr>
          <w:rFonts w:ascii="Calibri" w:hAnsi="Calibri" w:cs="Calibri"/>
        </w:rPr>
        <w:t>emale prisoners under death sentence in Japan are subjected to solitary confinement and intrusive and continuous video surveillance.</w:t>
      </w:r>
    </w:p>
    <w:p w14:paraId="6E6C2E1B" w14:textId="77777777" w:rsidR="002065B5" w:rsidRDefault="002065B5">
      <w:pPr>
        <w:rPr>
          <w:rFonts w:ascii="Calibri" w:hAnsi="Calibri" w:cs="Calibri"/>
        </w:rPr>
      </w:pPr>
    </w:p>
    <w:p w14:paraId="4731A2C4" w14:textId="77777777" w:rsidR="002065B5" w:rsidRDefault="002065B5">
      <w:bookmarkStart w:id="1" w:name="__RefMoveTo__move175253900"/>
      <w:r>
        <w:rPr>
          <w:rFonts w:ascii="Calibri" w:hAnsi="Calibri" w:cs="Calibri"/>
        </w:rPr>
        <w:t>CPR research found that prisoners under death sentence are held in solitary confinement in 5.4-square-meter cells that are monitored 24 hours a day by closed-circuit TV (CCTV) cameras placed on the ceiling. All the prisoners’ activities are monitored and videotaped, including prisoners removing their clothes and underwear, as well as their use of toilets.</w:t>
      </w:r>
      <w:bookmarkEnd w:id="1"/>
    </w:p>
    <w:p w14:paraId="563E14B1" w14:textId="77777777" w:rsidR="002065B5" w:rsidRDefault="002065B5"/>
    <w:p w14:paraId="26AC9BD3" w14:textId="77777777" w:rsidR="002065B5" w:rsidRDefault="002065B5">
      <w:pPr>
        <w:rPr>
          <w:rFonts w:ascii="Calibri" w:hAnsi="Calibri" w:cs="Calibri"/>
        </w:rPr>
      </w:pPr>
      <w:r>
        <w:rPr>
          <w:rFonts w:ascii="Calibri" w:hAnsi="Calibri" w:cs="Calibri"/>
        </w:rPr>
        <w:lastRenderedPageBreak/>
        <w:t xml:space="preserve">In November 2022, in its concluding observation on </w:t>
      </w:r>
      <w:r w:rsidR="00DF6F5D">
        <w:rPr>
          <w:rFonts w:ascii="Calibri" w:hAnsi="Calibri" w:cs="Calibri"/>
        </w:rPr>
        <w:t>Japan’s</w:t>
      </w:r>
      <w:r>
        <w:rPr>
          <w:rFonts w:ascii="Calibri" w:hAnsi="Calibri" w:cs="Calibri"/>
        </w:rPr>
        <w:t xml:space="preserve"> seventh periodic report</w:t>
      </w:r>
      <w:r w:rsidR="00E152FF">
        <w:rPr>
          <w:rFonts w:ascii="Calibri" w:hAnsi="Calibri" w:cs="Calibri"/>
        </w:rPr>
        <w:t xml:space="preserve"> under the International Covenant on Civil and </w:t>
      </w:r>
      <w:proofErr w:type="spellStart"/>
      <w:r w:rsidR="00E152FF">
        <w:rPr>
          <w:rFonts w:ascii="Calibri" w:hAnsi="Calibri" w:cs="Calibri"/>
        </w:rPr>
        <w:t>Politcial</w:t>
      </w:r>
      <w:proofErr w:type="spellEnd"/>
      <w:r w:rsidR="00E152FF">
        <w:rPr>
          <w:rFonts w:ascii="Calibri" w:hAnsi="Calibri" w:cs="Calibri"/>
        </w:rPr>
        <w:t xml:space="preserve"> Rights (ICCPR)</w:t>
      </w:r>
      <w:r>
        <w:rPr>
          <w:rFonts w:ascii="Calibri" w:hAnsi="Calibri" w:cs="Calibri"/>
        </w:rPr>
        <w:t>, the UN Human Rights Committee (CCPR) recommend</w:t>
      </w:r>
      <w:r w:rsidR="0007392E">
        <w:rPr>
          <w:rFonts w:ascii="Calibri" w:hAnsi="Calibri" w:cs="Calibri"/>
        </w:rPr>
        <w:t>ed</w:t>
      </w:r>
      <w:r>
        <w:rPr>
          <w:rFonts w:ascii="Calibri" w:hAnsi="Calibri" w:cs="Calibri"/>
        </w:rPr>
        <w:t xml:space="preserve"> that Japanese authorities ensure </w:t>
      </w:r>
      <w:r w:rsidR="00C06E03">
        <w:rPr>
          <w:rFonts w:ascii="Calibri" w:hAnsi="Calibri" w:cs="Calibri"/>
        </w:rPr>
        <w:t xml:space="preserve">that </w:t>
      </w:r>
      <w:r>
        <w:rPr>
          <w:rFonts w:ascii="Calibri" w:hAnsi="Calibri" w:cs="Calibri"/>
        </w:rPr>
        <w:t>conditions for prisoners under death sentence do not amount to cruel, inhuman or degrading treatment or punishment by using 24-hour video surveillance only when strictly necessary and for as short a period possible.</w:t>
      </w:r>
      <w:r w:rsidR="0007392E">
        <w:rPr>
          <w:rStyle w:val="FootnoteReference"/>
          <w:rFonts w:ascii="Calibri" w:hAnsi="Calibri" w:cs="Calibri"/>
        </w:rPr>
        <w:footnoteReference w:id="1"/>
      </w:r>
    </w:p>
    <w:p w14:paraId="46E2B91B" w14:textId="77777777" w:rsidR="002065B5" w:rsidRDefault="002065B5">
      <w:pPr>
        <w:rPr>
          <w:rFonts w:ascii="Calibri" w:hAnsi="Calibri" w:cs="Calibri"/>
        </w:rPr>
      </w:pPr>
    </w:p>
    <w:p w14:paraId="02E41748" w14:textId="77777777" w:rsidR="002065B5" w:rsidRDefault="002065B5">
      <w:r>
        <w:rPr>
          <w:rFonts w:ascii="Calibri" w:hAnsi="Calibri" w:cs="Calibri"/>
        </w:rPr>
        <w:t xml:space="preserve">According to research </w:t>
      </w:r>
      <w:r w:rsidR="006721CD">
        <w:rPr>
          <w:rFonts w:ascii="Calibri" w:hAnsi="Calibri" w:cs="Calibri"/>
        </w:rPr>
        <w:t xml:space="preserve">conducted </w:t>
      </w:r>
      <w:r>
        <w:rPr>
          <w:rFonts w:ascii="Calibri" w:hAnsi="Calibri" w:cs="Calibri"/>
        </w:rPr>
        <w:t>by CPR</w:t>
      </w:r>
      <w:r w:rsidR="00F43427">
        <w:rPr>
          <w:rFonts w:ascii="Calibri" w:hAnsi="Calibri" w:cs="Calibri"/>
        </w:rPr>
        <w:t xml:space="preserve"> in August 2024</w:t>
      </w:r>
      <w:r>
        <w:rPr>
          <w:rFonts w:ascii="Calibri" w:hAnsi="Calibri" w:cs="Calibri"/>
        </w:rPr>
        <w:t>, there have been slight improvements in the monitoring of male prisoners under death sentence. In contrast, the situation for female prisoners under death sentence remained unchanged.</w:t>
      </w:r>
    </w:p>
    <w:p w14:paraId="035DC9CD" w14:textId="77777777" w:rsidR="002065B5" w:rsidRDefault="002065B5"/>
    <w:p w14:paraId="40136A22" w14:textId="77777777" w:rsidR="002065B5" w:rsidRDefault="002065B5">
      <w:pPr>
        <w:rPr>
          <w:rFonts w:ascii="Calibri" w:hAnsi="Calibri" w:cs="Calibri"/>
        </w:rPr>
      </w:pPr>
      <w:r>
        <w:rPr>
          <w:rFonts w:ascii="Calibri" w:hAnsi="Calibri" w:cs="Calibri"/>
        </w:rPr>
        <w:t xml:space="preserve">Previous research conducted by CPR </w:t>
      </w:r>
      <w:r w:rsidR="00662A48">
        <w:rPr>
          <w:rFonts w:ascii="Calibri" w:hAnsi="Calibri" w:cs="Calibri"/>
        </w:rPr>
        <w:t xml:space="preserve">in August 2022 and March 2023, </w:t>
      </w:r>
      <w:r>
        <w:rPr>
          <w:rFonts w:ascii="Calibri" w:hAnsi="Calibri" w:cs="Calibri"/>
        </w:rPr>
        <w:t xml:space="preserve">found that five out of the six prisoners under death sentence surveyed in Tokyo Detention House, including two women, and both prisoners under death sentence surveyed in Osaka Detention House, including a female prisoner, had been kept in solitary confinement and under 24-hour video surveillance. </w:t>
      </w:r>
      <w:r w:rsidR="00F05911">
        <w:rPr>
          <w:rFonts w:ascii="Calibri" w:hAnsi="Calibri" w:cs="Calibri"/>
        </w:rPr>
        <w:t>In August 2024</w:t>
      </w:r>
      <w:r>
        <w:rPr>
          <w:rFonts w:ascii="Calibri" w:hAnsi="Calibri" w:cs="Calibri"/>
        </w:rPr>
        <w:t xml:space="preserve">, CPR research found that the male prisoner </w:t>
      </w:r>
      <w:r w:rsidR="006904D1">
        <w:rPr>
          <w:rFonts w:ascii="Calibri" w:hAnsi="Calibri" w:cs="Calibri"/>
        </w:rPr>
        <w:t xml:space="preserve">under death sentence </w:t>
      </w:r>
      <w:r>
        <w:rPr>
          <w:rFonts w:ascii="Calibri" w:hAnsi="Calibri" w:cs="Calibri"/>
        </w:rPr>
        <w:t xml:space="preserve">in Osaka Detention House had been moved to </w:t>
      </w:r>
      <w:r w:rsidR="006904D1">
        <w:rPr>
          <w:rFonts w:ascii="Calibri" w:hAnsi="Calibri" w:cs="Calibri"/>
        </w:rPr>
        <w:t xml:space="preserve">a </w:t>
      </w:r>
      <w:r>
        <w:rPr>
          <w:rFonts w:ascii="Calibri" w:hAnsi="Calibri" w:cs="Calibri"/>
        </w:rPr>
        <w:t>cell without CCTV. However, other prisoners</w:t>
      </w:r>
      <w:r w:rsidR="006904D1">
        <w:rPr>
          <w:rFonts w:ascii="Calibri" w:hAnsi="Calibri" w:cs="Calibri"/>
        </w:rPr>
        <w:t xml:space="preserve"> under death sentence</w:t>
      </w:r>
      <w:r>
        <w:rPr>
          <w:rFonts w:ascii="Calibri" w:hAnsi="Calibri" w:cs="Calibri"/>
        </w:rPr>
        <w:t xml:space="preserve">, including the two women surveyed in Tokyo Detention House and the </w:t>
      </w:r>
      <w:r w:rsidR="005E1A8A">
        <w:rPr>
          <w:rFonts w:ascii="Calibri" w:hAnsi="Calibri" w:cs="Calibri"/>
        </w:rPr>
        <w:t>woman surveyed</w:t>
      </w:r>
      <w:r>
        <w:rPr>
          <w:rFonts w:ascii="Calibri" w:hAnsi="Calibri" w:cs="Calibri"/>
        </w:rPr>
        <w:t xml:space="preserve"> in Osaka Detention House, remained under 24-hour CCTV surveillance.</w:t>
      </w:r>
    </w:p>
    <w:p w14:paraId="43DB6EB7" w14:textId="77777777" w:rsidR="002065B5" w:rsidRDefault="002065B5">
      <w:pPr>
        <w:rPr>
          <w:rFonts w:ascii="Calibri" w:hAnsi="Calibri" w:cs="Calibri"/>
        </w:rPr>
      </w:pPr>
    </w:p>
    <w:p w14:paraId="543348E8" w14:textId="77777777" w:rsidR="002065B5" w:rsidRDefault="002065B5">
      <w:r>
        <w:rPr>
          <w:rFonts w:ascii="Calibri" w:hAnsi="Calibri" w:cs="Calibri"/>
        </w:rPr>
        <w:t xml:space="preserve">At the time of the publication of this report, three women </w:t>
      </w:r>
      <w:r w:rsidR="00A94FB6">
        <w:rPr>
          <w:rFonts w:ascii="Calibri" w:hAnsi="Calibri" w:cs="Calibri"/>
        </w:rPr>
        <w:t>under death sentence</w:t>
      </w:r>
      <w:r>
        <w:rPr>
          <w:rFonts w:ascii="Calibri" w:hAnsi="Calibri" w:cs="Calibri"/>
        </w:rPr>
        <w:t xml:space="preserve"> (two in Tokyo Detention House and one in Osaka Detention House) have been kept in CCTV monitored cells for between 11 and 22 years.</w:t>
      </w:r>
    </w:p>
    <w:p w14:paraId="4E80D1BC" w14:textId="77777777" w:rsidR="002065B5" w:rsidRDefault="002065B5"/>
    <w:p w14:paraId="3EFAF0E3" w14:textId="77777777" w:rsidR="002065B5" w:rsidRDefault="002065B5">
      <w:r>
        <w:rPr>
          <w:rFonts w:ascii="Calibri" w:hAnsi="Calibri" w:cs="Calibri"/>
        </w:rPr>
        <w:t>Placing person</w:t>
      </w:r>
      <w:r w:rsidR="00971ABE">
        <w:rPr>
          <w:rFonts w:ascii="Calibri" w:hAnsi="Calibri" w:cs="Calibri"/>
        </w:rPr>
        <w:t>s</w:t>
      </w:r>
      <w:r>
        <w:rPr>
          <w:rFonts w:ascii="Calibri" w:hAnsi="Calibri" w:cs="Calibri"/>
        </w:rPr>
        <w:t xml:space="preserve"> under permanent video surveillance whil</w:t>
      </w:r>
      <w:r w:rsidR="00EC07CD">
        <w:rPr>
          <w:rFonts w:ascii="Calibri" w:hAnsi="Calibri" w:cs="Calibri"/>
        </w:rPr>
        <w:t>e</w:t>
      </w:r>
      <w:r>
        <w:rPr>
          <w:rFonts w:ascii="Calibri" w:hAnsi="Calibri" w:cs="Calibri"/>
        </w:rPr>
        <w:t xml:space="preserve"> in detention </w:t>
      </w:r>
      <w:r w:rsidR="006E1C2B">
        <w:rPr>
          <w:rFonts w:ascii="Calibri" w:hAnsi="Calibri" w:cs="Calibri"/>
        </w:rPr>
        <w:t>is</w:t>
      </w:r>
      <w:r>
        <w:rPr>
          <w:rFonts w:ascii="Calibri" w:hAnsi="Calibri" w:cs="Calibri"/>
        </w:rPr>
        <w:t xml:space="preserve"> a serious </w:t>
      </w:r>
      <w:r w:rsidR="006E1C2B">
        <w:rPr>
          <w:rFonts w:ascii="Calibri" w:hAnsi="Calibri" w:cs="Calibri"/>
        </w:rPr>
        <w:t>violation of</w:t>
      </w:r>
      <w:r>
        <w:rPr>
          <w:rFonts w:ascii="Calibri" w:hAnsi="Calibri" w:cs="Calibri"/>
        </w:rPr>
        <w:t xml:space="preserve"> the</w:t>
      </w:r>
      <w:r w:rsidR="00971ABE">
        <w:rPr>
          <w:rFonts w:ascii="Calibri" w:hAnsi="Calibri" w:cs="Calibri"/>
        </w:rPr>
        <w:t>ir</w:t>
      </w:r>
      <w:r>
        <w:rPr>
          <w:rFonts w:ascii="Calibri" w:hAnsi="Calibri" w:cs="Calibri"/>
        </w:rPr>
        <w:t xml:space="preserve"> right to privacy. Furthermore</w:t>
      </w:r>
      <w:r w:rsidR="00DE7550">
        <w:rPr>
          <w:rFonts w:ascii="Calibri" w:hAnsi="Calibri" w:cs="Calibri"/>
        </w:rPr>
        <w:t>,</w:t>
      </w:r>
      <w:r>
        <w:rPr>
          <w:rFonts w:ascii="Calibri" w:hAnsi="Calibri" w:cs="Calibri"/>
        </w:rPr>
        <w:t xml:space="preserve"> male prison staff are allowed to view CCTV footage of </w:t>
      </w:r>
      <w:r w:rsidR="00971ABE">
        <w:rPr>
          <w:rFonts w:ascii="Calibri" w:hAnsi="Calibri" w:cs="Calibri"/>
        </w:rPr>
        <w:t xml:space="preserve">female </w:t>
      </w:r>
      <w:r>
        <w:rPr>
          <w:rFonts w:ascii="Calibri" w:hAnsi="Calibri" w:cs="Calibri"/>
        </w:rPr>
        <w:t>prisoners.</w:t>
      </w:r>
    </w:p>
    <w:p w14:paraId="3BF81B44" w14:textId="77777777" w:rsidR="002065B5" w:rsidRDefault="002065B5"/>
    <w:p w14:paraId="383AE1A3" w14:textId="77777777" w:rsidR="002065B5" w:rsidRDefault="002065B5">
      <w:r>
        <w:rPr>
          <w:rFonts w:ascii="Calibri" w:hAnsi="Calibri" w:cs="Calibri"/>
        </w:rPr>
        <w:t xml:space="preserve">According to </w:t>
      </w:r>
      <w:r w:rsidR="00504686">
        <w:rPr>
          <w:rFonts w:ascii="Calibri" w:hAnsi="Calibri" w:cs="Calibri"/>
        </w:rPr>
        <w:t>A</w:t>
      </w:r>
      <w:r>
        <w:rPr>
          <w:rFonts w:ascii="Calibri" w:hAnsi="Calibri" w:cs="Calibri"/>
        </w:rPr>
        <w:t xml:space="preserve">rticle 3 of the </w:t>
      </w:r>
      <w:r w:rsidR="00504686">
        <w:rPr>
          <w:rFonts w:ascii="Calibri" w:hAnsi="Calibri" w:cs="Calibri"/>
        </w:rPr>
        <w:t>CEDAW</w:t>
      </w:r>
      <w:r>
        <w:rPr>
          <w:rFonts w:ascii="Calibri" w:hAnsi="Calibri" w:cs="Calibri"/>
        </w:rPr>
        <w:t xml:space="preserve"> and </w:t>
      </w:r>
      <w:r w:rsidR="00504686">
        <w:rPr>
          <w:rFonts w:ascii="Calibri" w:hAnsi="Calibri" w:cs="Calibri"/>
        </w:rPr>
        <w:t>R</w:t>
      </w:r>
      <w:r>
        <w:rPr>
          <w:rFonts w:ascii="Calibri" w:hAnsi="Calibri" w:cs="Calibri"/>
        </w:rPr>
        <w:t xml:space="preserve">ule 81 of the UN Standard Minimum Rules for the Treatment of Prisoners (the </w:t>
      </w:r>
      <w:r w:rsidR="00C260A4">
        <w:rPr>
          <w:rFonts w:ascii="Calibri" w:hAnsi="Calibri" w:cs="Calibri"/>
        </w:rPr>
        <w:t>“</w:t>
      </w:r>
      <w:r>
        <w:rPr>
          <w:rFonts w:ascii="Calibri" w:hAnsi="Calibri" w:cs="Calibri"/>
        </w:rPr>
        <w:t>Nelson Mandela Rules</w:t>
      </w:r>
      <w:r w:rsidR="00C260A4">
        <w:rPr>
          <w:rFonts w:ascii="Calibri" w:hAnsi="Calibri" w:cs="Calibri"/>
        </w:rPr>
        <w:t>”</w:t>
      </w:r>
      <w:r>
        <w:rPr>
          <w:rFonts w:ascii="Calibri" w:hAnsi="Calibri" w:cs="Calibri"/>
        </w:rPr>
        <w:t xml:space="preserve">), </w:t>
      </w:r>
      <w:r w:rsidR="00504686">
        <w:rPr>
          <w:rFonts w:ascii="Calibri" w:hAnsi="Calibri" w:cs="Calibri"/>
        </w:rPr>
        <w:t>female</w:t>
      </w:r>
      <w:r>
        <w:rPr>
          <w:rFonts w:ascii="Calibri" w:hAnsi="Calibri" w:cs="Calibri"/>
        </w:rPr>
        <w:t xml:space="preserve"> </w:t>
      </w:r>
      <w:r w:rsidR="00504686">
        <w:rPr>
          <w:rFonts w:ascii="Calibri" w:hAnsi="Calibri" w:cs="Calibri"/>
        </w:rPr>
        <w:t>prisoner</w:t>
      </w:r>
      <w:r>
        <w:rPr>
          <w:rFonts w:ascii="Calibri" w:hAnsi="Calibri" w:cs="Calibri"/>
        </w:rPr>
        <w:t xml:space="preserve">s must be guarded only by </w:t>
      </w:r>
      <w:r w:rsidR="00504686">
        <w:rPr>
          <w:rFonts w:ascii="Calibri" w:hAnsi="Calibri" w:cs="Calibri"/>
        </w:rPr>
        <w:t>female</w:t>
      </w:r>
      <w:r>
        <w:rPr>
          <w:rFonts w:ascii="Calibri" w:hAnsi="Calibri" w:cs="Calibri"/>
        </w:rPr>
        <w:t xml:space="preserve"> guards. In its </w:t>
      </w:r>
      <w:r w:rsidR="00504686">
        <w:rPr>
          <w:rFonts w:ascii="Calibri" w:hAnsi="Calibri" w:cs="Calibri"/>
        </w:rPr>
        <w:t>G</w:t>
      </w:r>
      <w:r>
        <w:rPr>
          <w:rFonts w:ascii="Calibri" w:hAnsi="Calibri" w:cs="Calibri"/>
        </w:rPr>
        <w:t xml:space="preserve">eneral </w:t>
      </w:r>
      <w:r w:rsidR="00504686">
        <w:rPr>
          <w:rFonts w:ascii="Calibri" w:hAnsi="Calibri" w:cs="Calibri"/>
        </w:rPr>
        <w:t>R</w:t>
      </w:r>
      <w:r>
        <w:rPr>
          <w:rFonts w:ascii="Calibri" w:hAnsi="Calibri" w:cs="Calibri"/>
        </w:rPr>
        <w:t xml:space="preserve">ecommendation No. 19 (1992) on violence against women, the </w:t>
      </w:r>
      <w:r w:rsidR="00C63ED0">
        <w:rPr>
          <w:rFonts w:ascii="Calibri" w:hAnsi="Calibri" w:cs="Calibri"/>
        </w:rPr>
        <w:t xml:space="preserve">UN </w:t>
      </w:r>
      <w:r w:rsidR="00C63ED0" w:rsidRPr="00C63ED0">
        <w:rPr>
          <w:rFonts w:ascii="Calibri" w:hAnsi="Calibri" w:cs="Calibri"/>
        </w:rPr>
        <w:t xml:space="preserve">Committee on the Elimination of Discrimination against </w:t>
      </w:r>
      <w:r w:rsidR="00C63ED0" w:rsidRPr="00C63ED0">
        <w:rPr>
          <w:rFonts w:ascii="Calibri" w:hAnsi="Calibri" w:cs="Calibri"/>
        </w:rPr>
        <w:lastRenderedPageBreak/>
        <w:t>Women</w:t>
      </w:r>
      <w:r>
        <w:rPr>
          <w:rFonts w:ascii="Calibri" w:hAnsi="Calibri" w:cs="Calibri"/>
        </w:rPr>
        <w:t xml:space="preserve"> expressed its view that the violence that specifically targets women constitutes a violation of </w:t>
      </w:r>
      <w:r w:rsidR="00C63ED0">
        <w:rPr>
          <w:rFonts w:ascii="Calibri" w:hAnsi="Calibri" w:cs="Calibri"/>
        </w:rPr>
        <w:t>A</w:t>
      </w:r>
      <w:r>
        <w:rPr>
          <w:rFonts w:ascii="Calibri" w:hAnsi="Calibri" w:cs="Calibri"/>
        </w:rPr>
        <w:t xml:space="preserve">rticle 1 of the </w:t>
      </w:r>
      <w:r w:rsidR="00C63ED0">
        <w:rPr>
          <w:rFonts w:ascii="Calibri" w:hAnsi="Calibri" w:cs="Calibri"/>
        </w:rPr>
        <w:t>CEDAW</w:t>
      </w:r>
      <w:r>
        <w:rPr>
          <w:rFonts w:ascii="Calibri" w:hAnsi="Calibri" w:cs="Calibri"/>
        </w:rPr>
        <w:t xml:space="preserve">. In its decision in </w:t>
      </w:r>
      <w:r w:rsidRPr="00DD33D8">
        <w:rPr>
          <w:rFonts w:ascii="Calibri" w:hAnsi="Calibri" w:cs="Calibri"/>
          <w:i/>
          <w:iCs/>
        </w:rPr>
        <w:t>Abramova v. Belarus</w:t>
      </w:r>
      <w:r w:rsidR="00C63ED0">
        <w:rPr>
          <w:rFonts w:ascii="Calibri" w:hAnsi="Calibri" w:cs="Calibri"/>
        </w:rPr>
        <w:t>,</w:t>
      </w:r>
      <w:r w:rsidR="00C63ED0">
        <w:rPr>
          <w:rStyle w:val="FootnoteReference"/>
          <w:rFonts w:ascii="Calibri" w:hAnsi="Calibri" w:cs="Calibri"/>
        </w:rPr>
        <w:footnoteReference w:id="2"/>
      </w:r>
      <w:r>
        <w:rPr>
          <w:rFonts w:ascii="Calibri" w:hAnsi="Calibri" w:cs="Calibri"/>
        </w:rPr>
        <w:t xml:space="preserve"> the </w:t>
      </w:r>
      <w:r w:rsidR="00C63ED0">
        <w:rPr>
          <w:rFonts w:ascii="Calibri" w:hAnsi="Calibri" w:cs="Calibri"/>
        </w:rPr>
        <w:t xml:space="preserve">UN </w:t>
      </w:r>
      <w:r w:rsidR="00C63ED0" w:rsidRPr="00C63ED0">
        <w:rPr>
          <w:rFonts w:ascii="Calibri" w:hAnsi="Calibri" w:cs="Calibri"/>
        </w:rPr>
        <w:t>Committee on the Elimination of Discrimination against Women</w:t>
      </w:r>
      <w:r>
        <w:rPr>
          <w:rFonts w:ascii="Calibri" w:hAnsi="Calibri" w:cs="Calibri"/>
        </w:rPr>
        <w:t xml:space="preserve"> concluded that </w:t>
      </w:r>
      <w:r w:rsidR="00C63ED0">
        <w:rPr>
          <w:rFonts w:ascii="Calibri" w:hAnsi="Calibri" w:cs="Calibri"/>
        </w:rPr>
        <w:t xml:space="preserve">Belarus </w:t>
      </w:r>
      <w:r>
        <w:rPr>
          <w:rFonts w:ascii="Calibri" w:hAnsi="Calibri" w:cs="Calibri"/>
        </w:rPr>
        <w:t xml:space="preserve">violated </w:t>
      </w:r>
      <w:r w:rsidR="0018641B">
        <w:rPr>
          <w:rFonts w:ascii="Calibri" w:hAnsi="Calibri" w:cs="Calibri"/>
        </w:rPr>
        <w:t>A</w:t>
      </w:r>
      <w:r>
        <w:rPr>
          <w:rFonts w:ascii="Calibri" w:hAnsi="Calibri" w:cs="Calibri"/>
        </w:rPr>
        <w:t xml:space="preserve">rticle 1 of the </w:t>
      </w:r>
      <w:r w:rsidR="00B50930">
        <w:rPr>
          <w:rFonts w:ascii="Calibri" w:hAnsi="Calibri" w:cs="Calibri"/>
        </w:rPr>
        <w:t xml:space="preserve">CEDAW </w:t>
      </w:r>
      <w:r>
        <w:rPr>
          <w:rFonts w:ascii="Calibri" w:hAnsi="Calibri" w:cs="Calibri"/>
        </w:rPr>
        <w:t xml:space="preserve">by not providing conditions of detention that included special measures for </w:t>
      </w:r>
      <w:r w:rsidR="0018641B">
        <w:rPr>
          <w:rFonts w:ascii="Calibri" w:hAnsi="Calibri" w:cs="Calibri"/>
        </w:rPr>
        <w:t>female</w:t>
      </w:r>
      <w:r>
        <w:rPr>
          <w:rFonts w:ascii="Calibri" w:hAnsi="Calibri" w:cs="Calibri"/>
        </w:rPr>
        <w:t xml:space="preserve"> detainees</w:t>
      </w:r>
      <w:r w:rsidR="00C63ED0">
        <w:rPr>
          <w:rFonts w:ascii="Calibri" w:hAnsi="Calibri" w:cs="Calibri"/>
        </w:rPr>
        <w:t>.</w:t>
      </w:r>
    </w:p>
    <w:p w14:paraId="45EEED33" w14:textId="77777777" w:rsidR="002065B5" w:rsidRDefault="002065B5"/>
    <w:p w14:paraId="7A0EA633" w14:textId="77777777" w:rsidR="002065B5" w:rsidRDefault="002065B5">
      <w:r>
        <w:rPr>
          <w:rFonts w:ascii="Calibri" w:hAnsi="Calibri" w:cs="Calibri"/>
        </w:rPr>
        <w:t>The use of 24-hour surveillance cameras to videotape female prisoners, including their changing of clothes</w:t>
      </w:r>
      <w:r w:rsidR="006E1C2B">
        <w:rPr>
          <w:rFonts w:ascii="Calibri" w:hAnsi="Calibri" w:cs="Calibri"/>
        </w:rPr>
        <w:t>,</w:t>
      </w:r>
      <w:r>
        <w:rPr>
          <w:rFonts w:ascii="Calibri" w:hAnsi="Calibri" w:cs="Calibri"/>
        </w:rPr>
        <w:t xml:space="preserve"> </w:t>
      </w:r>
      <w:r w:rsidR="006E1C2B">
        <w:rPr>
          <w:rFonts w:ascii="Calibri" w:hAnsi="Calibri" w:cs="Calibri"/>
        </w:rPr>
        <w:t>using the toilet</w:t>
      </w:r>
      <w:r>
        <w:rPr>
          <w:rFonts w:ascii="Calibri" w:hAnsi="Calibri" w:cs="Calibri"/>
        </w:rPr>
        <w:t xml:space="preserve">, and the failure to prohibit male prison guards from viewing such videos, constitutes gender-based violence prohibited by the </w:t>
      </w:r>
      <w:r w:rsidR="00285F09">
        <w:rPr>
          <w:rFonts w:ascii="Calibri" w:hAnsi="Calibri" w:cs="Calibri"/>
        </w:rPr>
        <w:t>CEDAW</w:t>
      </w:r>
      <w:r>
        <w:rPr>
          <w:rFonts w:ascii="Calibri" w:hAnsi="Calibri" w:cs="Calibri"/>
        </w:rPr>
        <w:t>.</w:t>
      </w:r>
    </w:p>
    <w:p w14:paraId="1F0AE937" w14:textId="77777777" w:rsidR="006721CD" w:rsidRDefault="006721CD"/>
    <w:p w14:paraId="00A1B209" w14:textId="77777777" w:rsidR="002065B5" w:rsidRDefault="002065B5" w:rsidP="009C7BF1">
      <w:pPr>
        <w:pStyle w:val="ListParagraph"/>
        <w:numPr>
          <w:ilvl w:val="0"/>
          <w:numId w:val="1"/>
        </w:numPr>
        <w:ind w:left="284" w:hanging="284"/>
      </w:pPr>
      <w:r>
        <w:rPr>
          <w:rFonts w:ascii="Calibri" w:hAnsi="Calibri" w:cs="Calibri"/>
          <w:b/>
          <w:bCs/>
        </w:rPr>
        <w:t>Female prisoner forced to strip naked and watched by male prison guards</w:t>
      </w:r>
    </w:p>
    <w:p w14:paraId="5637A895" w14:textId="77777777" w:rsidR="002065B5" w:rsidRDefault="002065B5">
      <w:pPr>
        <w:rPr>
          <w:rFonts w:ascii="Calibri" w:hAnsi="Calibri" w:cs="Calibri"/>
        </w:rPr>
      </w:pPr>
    </w:p>
    <w:p w14:paraId="304B4781" w14:textId="77777777" w:rsidR="00DD1AF6" w:rsidRDefault="00DD1AF6" w:rsidP="00DD1AF6">
      <w:r>
        <w:rPr>
          <w:rFonts w:ascii="Calibri" w:hAnsi="Calibri" w:cs="Calibri"/>
        </w:rPr>
        <w:t xml:space="preserve">Japan fails to meet its obligations under </w:t>
      </w:r>
      <w:r w:rsidR="00504686">
        <w:rPr>
          <w:rFonts w:ascii="Calibri" w:hAnsi="Calibri" w:cs="Calibri"/>
        </w:rPr>
        <w:t>A</w:t>
      </w:r>
      <w:r>
        <w:rPr>
          <w:rFonts w:ascii="Calibri" w:hAnsi="Calibri" w:cs="Calibri"/>
        </w:rPr>
        <w:t xml:space="preserve">rticles 2 and 5(a) of the </w:t>
      </w:r>
      <w:r w:rsidR="00504686">
        <w:rPr>
          <w:rFonts w:ascii="Calibri" w:hAnsi="Calibri" w:cs="Calibri"/>
        </w:rPr>
        <w:t>CEDAW</w:t>
      </w:r>
      <w:r w:rsidR="003764B1">
        <w:rPr>
          <w:rFonts w:ascii="Calibri" w:hAnsi="Calibri" w:cs="Calibri"/>
        </w:rPr>
        <w:t xml:space="preserve"> by allowing male guards to </w:t>
      </w:r>
      <w:proofErr w:type="gramStart"/>
      <w:r w:rsidR="003764B1">
        <w:rPr>
          <w:rFonts w:ascii="Calibri" w:hAnsi="Calibri" w:cs="Calibri"/>
        </w:rPr>
        <w:t>be in charge of</w:t>
      </w:r>
      <w:proofErr w:type="gramEnd"/>
      <w:r w:rsidR="003764B1">
        <w:rPr>
          <w:rFonts w:ascii="Calibri" w:hAnsi="Calibri" w:cs="Calibri"/>
        </w:rPr>
        <w:t xml:space="preserve"> female prisoners,</w:t>
      </w:r>
    </w:p>
    <w:p w14:paraId="5302E9F7" w14:textId="77777777" w:rsidR="00DD1AF6" w:rsidRDefault="00DD1AF6">
      <w:pPr>
        <w:rPr>
          <w:rFonts w:ascii="Calibri" w:hAnsi="Calibri" w:cs="Calibri"/>
        </w:rPr>
      </w:pPr>
    </w:p>
    <w:p w14:paraId="31D69B39" w14:textId="77777777" w:rsidR="005E1A8A" w:rsidRDefault="003764B1" w:rsidP="005E1A8A">
      <w:r>
        <w:rPr>
          <w:rFonts w:ascii="Calibri" w:hAnsi="Calibri" w:cs="Calibri"/>
        </w:rPr>
        <w:t xml:space="preserve">One recent incident exemplifies this </w:t>
      </w:r>
      <w:r w:rsidR="00FD0D85">
        <w:rPr>
          <w:rFonts w:ascii="Calibri" w:hAnsi="Calibri" w:cs="Calibri"/>
        </w:rPr>
        <w:t>failure</w:t>
      </w:r>
      <w:r>
        <w:rPr>
          <w:rFonts w:ascii="Calibri" w:hAnsi="Calibri" w:cs="Calibri"/>
        </w:rPr>
        <w:t xml:space="preserve">. </w:t>
      </w:r>
      <w:r w:rsidR="002065B5">
        <w:rPr>
          <w:rFonts w:ascii="Calibri" w:hAnsi="Calibri" w:cs="Calibri"/>
        </w:rPr>
        <w:t xml:space="preserve">In August 2024, a female prisoner at </w:t>
      </w:r>
      <w:proofErr w:type="spellStart"/>
      <w:r w:rsidR="002065B5">
        <w:rPr>
          <w:rFonts w:ascii="Calibri" w:hAnsi="Calibri" w:cs="Calibri"/>
        </w:rPr>
        <w:t>Kasamatsu</w:t>
      </w:r>
      <w:proofErr w:type="spellEnd"/>
      <w:r w:rsidR="002065B5">
        <w:rPr>
          <w:rFonts w:ascii="Calibri" w:hAnsi="Calibri" w:cs="Calibri"/>
        </w:rPr>
        <w:t xml:space="preserve"> Prison, Gifu Prefecture, filed a lawsuit against the government, claiming that she was forced to remove all her clothes and </w:t>
      </w:r>
      <w:r w:rsidR="005E1A8A">
        <w:rPr>
          <w:rFonts w:ascii="Calibri" w:hAnsi="Calibri" w:cs="Calibri"/>
        </w:rPr>
        <w:t xml:space="preserve">to </w:t>
      </w:r>
      <w:r w:rsidR="002065B5">
        <w:rPr>
          <w:rFonts w:ascii="Calibri" w:hAnsi="Calibri" w:cs="Calibri"/>
        </w:rPr>
        <w:t xml:space="preserve">remain naked under the watch of </w:t>
      </w:r>
      <w:r w:rsidR="001A52F6">
        <w:rPr>
          <w:rFonts w:ascii="Calibri" w:hAnsi="Calibri" w:cs="Calibri"/>
        </w:rPr>
        <w:t>at least one</w:t>
      </w:r>
      <w:r w:rsidR="002065B5">
        <w:rPr>
          <w:rFonts w:ascii="Calibri" w:hAnsi="Calibri" w:cs="Calibri"/>
        </w:rPr>
        <w:t xml:space="preserve"> male prison officer. </w:t>
      </w:r>
      <w:r w:rsidR="00720E7C">
        <w:rPr>
          <w:rFonts w:ascii="Calibri" w:hAnsi="Calibri" w:cs="Calibri"/>
        </w:rPr>
        <w:t>CCTV footage showed that t</w:t>
      </w:r>
      <w:r w:rsidR="005E1A8A">
        <w:rPr>
          <w:rFonts w:ascii="Calibri" w:hAnsi="Calibri" w:cs="Calibri"/>
        </w:rPr>
        <w:t xml:space="preserve">he prisoner was then </w:t>
      </w:r>
      <w:r w:rsidR="005E1A8A" w:rsidRPr="005E1A8A">
        <w:rPr>
          <w:rFonts w:ascii="Calibri" w:hAnsi="Calibri" w:cs="Calibri"/>
        </w:rPr>
        <w:t>given a</w:t>
      </w:r>
      <w:r w:rsidR="005E1A8A">
        <w:rPr>
          <w:rFonts w:ascii="Calibri" w:hAnsi="Calibri" w:cs="Calibri"/>
        </w:rPr>
        <w:t xml:space="preserve"> prison uniform</w:t>
      </w:r>
      <w:r w:rsidR="005E1A8A" w:rsidRPr="005E1A8A">
        <w:rPr>
          <w:rFonts w:ascii="Calibri" w:hAnsi="Calibri" w:cs="Calibri"/>
        </w:rPr>
        <w:t xml:space="preserve"> </w:t>
      </w:r>
      <w:r w:rsidR="00720E7C">
        <w:rPr>
          <w:rFonts w:ascii="Calibri" w:hAnsi="Calibri" w:cs="Calibri"/>
        </w:rPr>
        <w:t xml:space="preserve">and that </w:t>
      </w:r>
      <w:r w:rsidR="005E1A8A" w:rsidRPr="005E1A8A">
        <w:rPr>
          <w:rFonts w:ascii="Calibri" w:hAnsi="Calibri" w:cs="Calibri"/>
        </w:rPr>
        <w:t xml:space="preserve">she </w:t>
      </w:r>
      <w:r w:rsidR="005E1A8A">
        <w:rPr>
          <w:rFonts w:ascii="Calibri" w:hAnsi="Calibri" w:cs="Calibri"/>
        </w:rPr>
        <w:t xml:space="preserve">attempted to </w:t>
      </w:r>
      <w:r w:rsidR="005E1A8A" w:rsidRPr="005E1A8A">
        <w:rPr>
          <w:rFonts w:ascii="Calibri" w:hAnsi="Calibri" w:cs="Calibri"/>
        </w:rPr>
        <w:t xml:space="preserve">strangle herself with the </w:t>
      </w:r>
      <w:r w:rsidR="005E1A8A">
        <w:rPr>
          <w:rFonts w:ascii="Calibri" w:hAnsi="Calibri" w:cs="Calibri"/>
        </w:rPr>
        <w:t>un</w:t>
      </w:r>
      <w:r w:rsidR="006E1C2B">
        <w:rPr>
          <w:rFonts w:ascii="Calibri" w:hAnsi="Calibri" w:cs="Calibri"/>
        </w:rPr>
        <w:t>i</w:t>
      </w:r>
      <w:r w:rsidR="005E1A8A">
        <w:rPr>
          <w:rFonts w:ascii="Calibri" w:hAnsi="Calibri" w:cs="Calibri"/>
        </w:rPr>
        <w:t>form</w:t>
      </w:r>
      <w:r w:rsidR="006E1C2B">
        <w:rPr>
          <w:rFonts w:ascii="Calibri" w:hAnsi="Calibri" w:cs="Calibri"/>
        </w:rPr>
        <w:t>. Thereafter</w:t>
      </w:r>
      <w:r w:rsidR="005E1A8A">
        <w:rPr>
          <w:rFonts w:ascii="Calibri" w:hAnsi="Calibri" w:cs="Calibri"/>
        </w:rPr>
        <w:t>, t</w:t>
      </w:r>
      <w:r w:rsidR="005E1A8A" w:rsidRPr="005E1A8A">
        <w:rPr>
          <w:rFonts w:ascii="Calibri" w:hAnsi="Calibri" w:cs="Calibri"/>
        </w:rPr>
        <w:t>he prison guards</w:t>
      </w:r>
      <w:r w:rsidR="00E62A8F">
        <w:rPr>
          <w:rFonts w:ascii="Calibri" w:hAnsi="Calibri" w:cs="Calibri" w:hint="eastAsia"/>
        </w:rPr>
        <w:t xml:space="preserve"> </w:t>
      </w:r>
      <w:r w:rsidR="005E1A8A" w:rsidRPr="005E1A8A">
        <w:rPr>
          <w:rFonts w:ascii="Calibri" w:hAnsi="Calibri" w:cs="Calibri"/>
        </w:rPr>
        <w:t xml:space="preserve">collected the </w:t>
      </w:r>
      <w:r w:rsidR="005E1A8A">
        <w:rPr>
          <w:rFonts w:ascii="Calibri" w:hAnsi="Calibri" w:cs="Calibri"/>
        </w:rPr>
        <w:t>uniform</w:t>
      </w:r>
      <w:r w:rsidR="005E1A8A" w:rsidRPr="005E1A8A">
        <w:rPr>
          <w:rFonts w:ascii="Calibri" w:hAnsi="Calibri" w:cs="Calibri"/>
        </w:rPr>
        <w:t xml:space="preserve"> and left her naked.</w:t>
      </w:r>
    </w:p>
    <w:p w14:paraId="110DA22A" w14:textId="77777777" w:rsidR="002065B5" w:rsidRDefault="002065B5" w:rsidP="005E1A8A"/>
    <w:p w14:paraId="5312F189" w14:textId="77777777" w:rsidR="002065B5" w:rsidRDefault="002065B5">
      <w:r>
        <w:rPr>
          <w:rFonts w:ascii="Calibri" w:hAnsi="Calibri" w:cs="Calibri"/>
        </w:rPr>
        <w:t xml:space="preserve">According to </w:t>
      </w:r>
      <w:r w:rsidR="00DD1AF6">
        <w:rPr>
          <w:rFonts w:ascii="Calibri" w:hAnsi="Calibri" w:cs="Calibri"/>
        </w:rPr>
        <w:t>R</w:t>
      </w:r>
      <w:r>
        <w:rPr>
          <w:rFonts w:ascii="Calibri" w:hAnsi="Calibri" w:cs="Calibri"/>
        </w:rPr>
        <w:t xml:space="preserve">ule 81 of the </w:t>
      </w:r>
      <w:r w:rsidR="00DD1AF6">
        <w:rPr>
          <w:rFonts w:ascii="Calibri" w:hAnsi="Calibri" w:cs="Calibri"/>
        </w:rPr>
        <w:t>“</w:t>
      </w:r>
      <w:r>
        <w:rPr>
          <w:rFonts w:ascii="Calibri" w:hAnsi="Calibri" w:cs="Calibri"/>
        </w:rPr>
        <w:t>Nelson Mandela Rules</w:t>
      </w:r>
      <w:r w:rsidR="00DD1AF6">
        <w:rPr>
          <w:rFonts w:ascii="Calibri" w:hAnsi="Calibri" w:cs="Calibri"/>
        </w:rPr>
        <w:t>”</w:t>
      </w:r>
      <w:r>
        <w:rPr>
          <w:rFonts w:ascii="Calibri" w:hAnsi="Calibri" w:cs="Calibri"/>
        </w:rPr>
        <w:t xml:space="preserve">: </w:t>
      </w:r>
      <w:r w:rsidR="00DD1AF6">
        <w:rPr>
          <w:rFonts w:ascii="Calibri" w:hAnsi="Calibri" w:cs="Calibri"/>
        </w:rPr>
        <w:t>“</w:t>
      </w:r>
      <w:r>
        <w:rPr>
          <w:rFonts w:ascii="Calibri" w:hAnsi="Calibri" w:cs="Calibri"/>
        </w:rPr>
        <w:t>(1) In a prison for both men and women, the part of the prison set aside for women shall be under the authority of a responsible woman staff member who shall have the custody of the keys of all that part of the prison. (2) No male staff member shall enter the part of the prison set aside for women unless accompanied by a woman staff member. (3) Women prisoners shall be attended and supervised only by women staff members.</w:t>
      </w:r>
      <w:r w:rsidR="00DD1AF6">
        <w:rPr>
          <w:rFonts w:ascii="Calibri" w:hAnsi="Calibri" w:cs="Calibri"/>
        </w:rPr>
        <w:t>”</w:t>
      </w:r>
    </w:p>
    <w:p w14:paraId="18C8EB2A" w14:textId="77777777" w:rsidR="002065B5" w:rsidRDefault="002065B5"/>
    <w:p w14:paraId="6EF26E4A" w14:textId="77777777" w:rsidR="002065B5" w:rsidRDefault="002065B5">
      <w:r>
        <w:rPr>
          <w:rFonts w:ascii="Calibri" w:hAnsi="Calibri" w:cs="Calibri"/>
        </w:rPr>
        <w:t xml:space="preserve">In its views adopted under </w:t>
      </w:r>
      <w:r w:rsidR="00DD1AF6">
        <w:rPr>
          <w:rFonts w:ascii="Calibri" w:hAnsi="Calibri" w:cs="Calibri"/>
        </w:rPr>
        <w:t>A</w:t>
      </w:r>
      <w:r>
        <w:rPr>
          <w:rFonts w:ascii="Calibri" w:hAnsi="Calibri" w:cs="Calibri"/>
        </w:rPr>
        <w:t>rticle 7(3) of the Optional Protocol</w:t>
      </w:r>
      <w:r w:rsidR="00944E4E">
        <w:rPr>
          <w:rFonts w:ascii="Calibri" w:hAnsi="Calibri" w:cs="Calibri"/>
        </w:rPr>
        <w:t xml:space="preserve"> to the CEDAW</w:t>
      </w:r>
      <w:r>
        <w:rPr>
          <w:rFonts w:ascii="Calibri" w:hAnsi="Calibri" w:cs="Calibri"/>
        </w:rPr>
        <w:t xml:space="preserve">, concerning Communication No. 133/2018, the </w:t>
      </w:r>
      <w:r w:rsidR="00DD1AF6">
        <w:rPr>
          <w:rFonts w:ascii="Calibri" w:hAnsi="Calibri" w:cs="Calibri"/>
        </w:rPr>
        <w:t xml:space="preserve">UN </w:t>
      </w:r>
      <w:r w:rsidR="00DD1AF6" w:rsidRPr="00C63ED0">
        <w:rPr>
          <w:rFonts w:ascii="Calibri" w:hAnsi="Calibri" w:cs="Calibri"/>
        </w:rPr>
        <w:t>Committee on the Elimination of Discrimination against Women</w:t>
      </w:r>
      <w:r w:rsidR="00DD1AF6">
        <w:rPr>
          <w:rFonts w:ascii="Calibri" w:hAnsi="Calibri" w:cs="Calibri"/>
        </w:rPr>
        <w:t xml:space="preserve"> </w:t>
      </w:r>
      <w:r>
        <w:rPr>
          <w:rFonts w:ascii="Calibri" w:hAnsi="Calibri" w:cs="Calibri"/>
        </w:rPr>
        <w:t>recall</w:t>
      </w:r>
      <w:r w:rsidR="00DD1AF6">
        <w:rPr>
          <w:rFonts w:ascii="Calibri" w:hAnsi="Calibri" w:cs="Calibri"/>
        </w:rPr>
        <w:t>ed</w:t>
      </w:r>
      <w:r>
        <w:rPr>
          <w:rFonts w:ascii="Calibri" w:hAnsi="Calibri" w:cs="Calibri"/>
        </w:rPr>
        <w:t xml:space="preserve"> that </w:t>
      </w:r>
      <w:r w:rsidR="00DD1AF6">
        <w:rPr>
          <w:rFonts w:ascii="Calibri" w:hAnsi="Calibri" w:cs="Calibri"/>
        </w:rPr>
        <w:t>“</w:t>
      </w:r>
      <w:r>
        <w:rPr>
          <w:rFonts w:ascii="Calibri" w:hAnsi="Calibri" w:cs="Calibri"/>
        </w:rPr>
        <w:t>respect for women prisoners’ privacy and dignity must be a high priority for prison staff.</w:t>
      </w:r>
      <w:r w:rsidR="00DD1AF6">
        <w:rPr>
          <w:rFonts w:ascii="Calibri" w:hAnsi="Calibri" w:cs="Calibri"/>
        </w:rPr>
        <w:t>”</w:t>
      </w:r>
      <w:r>
        <w:rPr>
          <w:rFonts w:ascii="Calibri" w:hAnsi="Calibri" w:cs="Calibri"/>
        </w:rPr>
        <w:t xml:space="preserve"> The Committee consider</w:t>
      </w:r>
      <w:r w:rsidR="00DD1AF6">
        <w:rPr>
          <w:rFonts w:ascii="Calibri" w:hAnsi="Calibri" w:cs="Calibri"/>
        </w:rPr>
        <w:t>ed</w:t>
      </w:r>
      <w:r>
        <w:rPr>
          <w:rFonts w:ascii="Calibri" w:hAnsi="Calibri" w:cs="Calibri"/>
        </w:rPr>
        <w:t xml:space="preserve"> that the </w:t>
      </w:r>
      <w:r>
        <w:rPr>
          <w:rFonts w:ascii="Calibri" w:hAnsi="Calibri" w:cs="Calibri"/>
        </w:rPr>
        <w:lastRenderedPageBreak/>
        <w:t xml:space="preserve">disrespectful treatment of </w:t>
      </w:r>
      <w:r w:rsidR="00DD1AF6">
        <w:rPr>
          <w:rFonts w:ascii="Calibri" w:hAnsi="Calibri" w:cs="Calibri"/>
        </w:rPr>
        <w:t>a female prisoner</w:t>
      </w:r>
      <w:r>
        <w:rPr>
          <w:rFonts w:ascii="Calibri" w:hAnsi="Calibri" w:cs="Calibri"/>
        </w:rPr>
        <w:t xml:space="preserve"> by penitentiary officials, namely male prison staff, including interference with her privacy, constitute</w:t>
      </w:r>
      <w:r w:rsidR="00DD1AF6">
        <w:rPr>
          <w:rFonts w:ascii="Calibri" w:hAnsi="Calibri" w:cs="Calibri"/>
        </w:rPr>
        <w:t>d</w:t>
      </w:r>
      <w:r>
        <w:rPr>
          <w:rFonts w:ascii="Calibri" w:hAnsi="Calibri" w:cs="Calibri"/>
        </w:rPr>
        <w:t xml:space="preserve"> sexual harassment and discrimination within the meaning of </w:t>
      </w:r>
      <w:r w:rsidR="00DD1AF6">
        <w:rPr>
          <w:rFonts w:ascii="Calibri" w:hAnsi="Calibri" w:cs="Calibri"/>
        </w:rPr>
        <w:t>A</w:t>
      </w:r>
      <w:r>
        <w:rPr>
          <w:rFonts w:ascii="Calibri" w:hAnsi="Calibri" w:cs="Calibri"/>
        </w:rPr>
        <w:t xml:space="preserve">rticles 1 and 5(a) of the </w:t>
      </w:r>
      <w:r w:rsidR="00DD1AF6">
        <w:rPr>
          <w:rFonts w:ascii="Calibri" w:hAnsi="Calibri" w:cs="Calibri"/>
        </w:rPr>
        <w:t>CEDAW</w:t>
      </w:r>
      <w:r>
        <w:rPr>
          <w:rFonts w:ascii="Calibri" w:hAnsi="Calibri" w:cs="Calibri"/>
        </w:rPr>
        <w:t xml:space="preserve">. The Committee </w:t>
      </w:r>
      <w:r w:rsidR="00DD1AF6">
        <w:rPr>
          <w:rFonts w:ascii="Calibri" w:hAnsi="Calibri" w:cs="Calibri"/>
        </w:rPr>
        <w:t>wa</w:t>
      </w:r>
      <w:r>
        <w:rPr>
          <w:rFonts w:ascii="Calibri" w:hAnsi="Calibri" w:cs="Calibri"/>
        </w:rPr>
        <w:t xml:space="preserve">s </w:t>
      </w:r>
      <w:r w:rsidR="00DD1AF6">
        <w:rPr>
          <w:rFonts w:ascii="Calibri" w:hAnsi="Calibri" w:cs="Calibri"/>
        </w:rPr>
        <w:t xml:space="preserve">also </w:t>
      </w:r>
      <w:r>
        <w:rPr>
          <w:rFonts w:ascii="Calibri" w:hAnsi="Calibri" w:cs="Calibri"/>
        </w:rPr>
        <w:t xml:space="preserve">of the opinion that sexual harassment </w:t>
      </w:r>
      <w:r w:rsidR="00DD1AF6">
        <w:rPr>
          <w:rFonts w:ascii="Calibri" w:hAnsi="Calibri" w:cs="Calibri"/>
        </w:rPr>
        <w:t>wa</w:t>
      </w:r>
      <w:r>
        <w:rPr>
          <w:rFonts w:ascii="Calibri" w:hAnsi="Calibri" w:cs="Calibri"/>
        </w:rPr>
        <w:t>s a form of gender-based violence.</w:t>
      </w:r>
      <w:r w:rsidR="00842866">
        <w:rPr>
          <w:rStyle w:val="FootnoteReference"/>
          <w:rFonts w:ascii="Calibri" w:hAnsi="Calibri" w:cs="Calibri"/>
        </w:rPr>
        <w:footnoteReference w:id="3"/>
      </w:r>
    </w:p>
    <w:p w14:paraId="657E0A63" w14:textId="77777777" w:rsidR="002065B5" w:rsidRDefault="002065B5">
      <w:pPr>
        <w:rPr>
          <w:rFonts w:ascii="Calibri" w:hAnsi="Calibri" w:cs="Calibri"/>
        </w:rPr>
      </w:pPr>
    </w:p>
    <w:p w14:paraId="2F615B65" w14:textId="77777777" w:rsidR="002065B5" w:rsidRDefault="002065B5" w:rsidP="009C7BF1">
      <w:pPr>
        <w:numPr>
          <w:ilvl w:val="0"/>
          <w:numId w:val="1"/>
        </w:numPr>
        <w:ind w:left="284" w:hanging="284"/>
      </w:pPr>
      <w:r>
        <w:rPr>
          <w:rFonts w:ascii="Calibri" w:hAnsi="Calibri" w:cs="Calibri"/>
          <w:b/>
          <w:bCs/>
        </w:rPr>
        <w:t xml:space="preserve">Use of handcuffs on </w:t>
      </w:r>
      <w:r w:rsidR="00072848">
        <w:rPr>
          <w:rFonts w:ascii="Calibri" w:hAnsi="Calibri" w:cs="Calibri"/>
          <w:b/>
          <w:bCs/>
        </w:rPr>
        <w:t xml:space="preserve">female </w:t>
      </w:r>
      <w:r>
        <w:rPr>
          <w:rFonts w:ascii="Calibri" w:hAnsi="Calibri" w:cs="Calibri"/>
          <w:b/>
          <w:bCs/>
        </w:rPr>
        <w:t>prisoners</w:t>
      </w:r>
      <w:r w:rsidR="00072848">
        <w:rPr>
          <w:rFonts w:ascii="Calibri" w:hAnsi="Calibri" w:cs="Calibri"/>
          <w:b/>
          <w:bCs/>
        </w:rPr>
        <w:t xml:space="preserve"> during childbirth</w:t>
      </w:r>
    </w:p>
    <w:p w14:paraId="44FC0CF4" w14:textId="77777777" w:rsidR="000B790E" w:rsidRDefault="000B790E">
      <w:pPr>
        <w:rPr>
          <w:rFonts w:ascii="Calibri" w:hAnsi="Calibri" w:cs="Calibri"/>
        </w:rPr>
      </w:pPr>
    </w:p>
    <w:p w14:paraId="1489CFA0" w14:textId="77777777" w:rsidR="002065B5" w:rsidRDefault="002065B5">
      <w:pPr>
        <w:rPr>
          <w:rFonts w:ascii="Calibri" w:hAnsi="Calibri" w:cs="Calibri"/>
        </w:rPr>
      </w:pPr>
      <w:r>
        <w:rPr>
          <w:rFonts w:ascii="Calibri" w:hAnsi="Calibri" w:cs="Calibri"/>
        </w:rPr>
        <w:t>Instrument</w:t>
      </w:r>
      <w:r w:rsidR="00653A8A">
        <w:rPr>
          <w:rFonts w:ascii="Calibri" w:hAnsi="Calibri" w:cs="Calibri"/>
        </w:rPr>
        <w:t>s</w:t>
      </w:r>
      <w:r>
        <w:rPr>
          <w:rFonts w:ascii="Calibri" w:hAnsi="Calibri" w:cs="Calibri"/>
        </w:rPr>
        <w:t xml:space="preserve"> of restraint have continued to be used on </w:t>
      </w:r>
      <w:r w:rsidR="00C260A4">
        <w:rPr>
          <w:rFonts w:ascii="Calibri" w:hAnsi="Calibri" w:cs="Calibri"/>
        </w:rPr>
        <w:t xml:space="preserve">female </w:t>
      </w:r>
      <w:r>
        <w:rPr>
          <w:rFonts w:ascii="Calibri" w:hAnsi="Calibri" w:cs="Calibri"/>
        </w:rPr>
        <w:t xml:space="preserve">prisoners </w:t>
      </w:r>
      <w:r w:rsidR="00C260A4">
        <w:rPr>
          <w:rFonts w:ascii="Calibri" w:hAnsi="Calibri" w:cs="Calibri"/>
        </w:rPr>
        <w:t xml:space="preserve">during childbirth, </w:t>
      </w:r>
      <w:r>
        <w:rPr>
          <w:rFonts w:ascii="Calibri" w:hAnsi="Calibri" w:cs="Calibri"/>
        </w:rPr>
        <w:t xml:space="preserve">in breach of a notice issued </w:t>
      </w:r>
      <w:r w:rsidR="006721CD">
        <w:rPr>
          <w:rFonts w:ascii="Calibri" w:hAnsi="Calibri" w:cs="Calibri"/>
        </w:rPr>
        <w:t xml:space="preserve">by the Ministry of Justice </w:t>
      </w:r>
      <w:r>
        <w:rPr>
          <w:rFonts w:ascii="Calibri" w:hAnsi="Calibri" w:cs="Calibri"/>
        </w:rPr>
        <w:t>in 2014. The use of such practice was confirmed by Justice Minister Ryuji Koizumi, who, on 8 February 2024, told the House of Representatives Budget Committee that there had been six recorded cases of the use of handcuffs on</w:t>
      </w:r>
      <w:r w:rsidR="00C260A4">
        <w:rPr>
          <w:rFonts w:ascii="Calibri" w:hAnsi="Calibri" w:cs="Calibri"/>
        </w:rPr>
        <w:t xml:space="preserve"> female prisoners during childbirth</w:t>
      </w:r>
      <w:r>
        <w:rPr>
          <w:rFonts w:ascii="Calibri" w:hAnsi="Calibri" w:cs="Calibri"/>
        </w:rPr>
        <w:t xml:space="preserve"> between 2014 and 2022.</w:t>
      </w:r>
    </w:p>
    <w:p w14:paraId="05EEDE95" w14:textId="77777777" w:rsidR="002065B5" w:rsidRDefault="002065B5">
      <w:pPr>
        <w:rPr>
          <w:rFonts w:ascii="Calibri" w:hAnsi="Calibri" w:cs="Calibri"/>
        </w:rPr>
      </w:pPr>
    </w:p>
    <w:p w14:paraId="37DDA91C" w14:textId="77777777" w:rsidR="002065B5" w:rsidRDefault="002065B5">
      <w:r>
        <w:rPr>
          <w:rFonts w:ascii="Calibri" w:hAnsi="Calibri" w:cs="Calibri"/>
        </w:rPr>
        <w:t xml:space="preserve">The use of restraints during labor, childbirth, and immediately after childbirth is inconsistent with international human rights standards. The UN Standard Minimum Rules for the Treatment of Prisoners prescribe </w:t>
      </w:r>
      <w:proofErr w:type="gramStart"/>
      <w:r>
        <w:rPr>
          <w:rFonts w:ascii="Calibri" w:hAnsi="Calibri" w:cs="Calibri"/>
        </w:rPr>
        <w:t>that instruments of restraint</w:t>
      </w:r>
      <w:proofErr w:type="gramEnd"/>
      <w:r>
        <w:rPr>
          <w:rFonts w:ascii="Calibri" w:hAnsi="Calibri" w:cs="Calibri"/>
        </w:rPr>
        <w:t xml:space="preserve"> “shall never be used on women during labor, during childbirth and immediately after childbirth” (Rule 48.2). Similarly, the UN Rules for the Treatment of Women Prisoners and Non-custodial Measures for Women Offenders (the “Bangkok Rules”) stipulate</w:t>
      </w:r>
      <w:r w:rsidR="00EE5F03">
        <w:rPr>
          <w:rFonts w:ascii="Calibri" w:hAnsi="Calibri" w:cs="Calibri"/>
        </w:rPr>
        <w:t xml:space="preserve"> </w:t>
      </w:r>
      <w:proofErr w:type="gramStart"/>
      <w:r w:rsidR="00EE5F03">
        <w:rPr>
          <w:rFonts w:ascii="Calibri" w:hAnsi="Calibri" w:cs="Calibri"/>
        </w:rPr>
        <w:t>that</w:t>
      </w:r>
      <w:r>
        <w:rPr>
          <w:rFonts w:ascii="Calibri" w:hAnsi="Calibri" w:cs="Calibri"/>
        </w:rPr>
        <w:t xml:space="preserve"> </w:t>
      </w:r>
      <w:r w:rsidR="00EE5F03">
        <w:rPr>
          <w:rFonts w:ascii="Calibri" w:hAnsi="Calibri" w:cs="Calibri"/>
        </w:rPr>
        <w:t>i</w:t>
      </w:r>
      <w:r>
        <w:rPr>
          <w:rFonts w:ascii="Calibri" w:hAnsi="Calibri" w:cs="Calibri"/>
        </w:rPr>
        <w:t>nstruments of restraint</w:t>
      </w:r>
      <w:proofErr w:type="gramEnd"/>
      <w:r>
        <w:rPr>
          <w:rFonts w:ascii="Calibri" w:hAnsi="Calibri" w:cs="Calibri"/>
        </w:rPr>
        <w:t xml:space="preserve"> </w:t>
      </w:r>
      <w:r w:rsidR="00EE5F03">
        <w:rPr>
          <w:rFonts w:ascii="Calibri" w:hAnsi="Calibri" w:cs="Calibri"/>
        </w:rPr>
        <w:t>“</w:t>
      </w:r>
      <w:r>
        <w:rPr>
          <w:rFonts w:ascii="Calibri" w:hAnsi="Calibri" w:cs="Calibri"/>
        </w:rPr>
        <w:t>shall never be used on women during labor, during birth and immediately after birth” (Rule 24).</w:t>
      </w:r>
    </w:p>
    <w:p w14:paraId="4DAD6CBD" w14:textId="77777777" w:rsidR="002065B5" w:rsidRDefault="002065B5"/>
    <w:p w14:paraId="11317923" w14:textId="77777777" w:rsidR="002065B5" w:rsidRDefault="002065B5" w:rsidP="009C7BF1">
      <w:pPr>
        <w:pStyle w:val="ListParagraph"/>
        <w:numPr>
          <w:ilvl w:val="0"/>
          <w:numId w:val="1"/>
        </w:numPr>
        <w:ind w:left="284" w:hanging="284"/>
      </w:pPr>
      <w:r w:rsidRPr="00EE5F03">
        <w:rPr>
          <w:rFonts w:ascii="Calibri" w:hAnsi="Calibri" w:cs="Calibri"/>
          <w:b/>
          <w:bCs/>
        </w:rPr>
        <w:t>Recommendation</w:t>
      </w:r>
      <w:r>
        <w:rPr>
          <w:rFonts w:ascii="Calibri" w:hAnsi="Calibri" w:cs="Calibri"/>
          <w:b/>
          <w:bCs/>
        </w:rPr>
        <w:t>s</w:t>
      </w:r>
    </w:p>
    <w:p w14:paraId="3200EB76" w14:textId="77777777" w:rsidR="002065B5" w:rsidRDefault="002065B5"/>
    <w:p w14:paraId="6855ED19" w14:textId="77777777" w:rsidR="00E10323" w:rsidRPr="00E10323" w:rsidRDefault="00E10323" w:rsidP="009C7BF1">
      <w:pPr>
        <w:pStyle w:val="BodyText"/>
        <w:widowControl/>
        <w:numPr>
          <w:ilvl w:val="0"/>
          <w:numId w:val="2"/>
        </w:numPr>
        <w:suppressAutoHyphens w:val="0"/>
        <w:spacing w:after="0" w:line="240" w:lineRule="auto"/>
        <w:ind w:left="284" w:hanging="284"/>
        <w:rPr>
          <w:rFonts w:ascii="Calibri" w:hAnsi="Calibri" w:cs="Calibri"/>
        </w:rPr>
      </w:pPr>
      <w:r w:rsidRPr="00E10323">
        <w:rPr>
          <w:rFonts w:ascii="Calibri" w:hAnsi="Calibri" w:cs="Calibri"/>
        </w:rPr>
        <w:t xml:space="preserve">Abolish the death penalty in all circumstances and replace it with a penalty that is fair, proportionate, and consistent with international human rights standards, and in the meantime adopt a </w:t>
      </w:r>
      <w:r w:rsidRPr="00012484">
        <w:rPr>
          <w:rFonts w:ascii="Calibri" w:hAnsi="Calibri" w:cs="Calibri"/>
          <w:i/>
          <w:iCs/>
        </w:rPr>
        <w:t>de jure</w:t>
      </w:r>
      <w:r w:rsidRPr="00E10323">
        <w:rPr>
          <w:rFonts w:ascii="Calibri" w:hAnsi="Calibri" w:cs="Calibri"/>
        </w:rPr>
        <w:t xml:space="preserve"> moratorium on judicial executions.</w:t>
      </w:r>
    </w:p>
    <w:p w14:paraId="4375D31D" w14:textId="77777777" w:rsidR="00175E51" w:rsidRPr="00175E51" w:rsidRDefault="00175E51" w:rsidP="009C7BF1">
      <w:pPr>
        <w:pStyle w:val="BodyText"/>
        <w:widowControl/>
        <w:numPr>
          <w:ilvl w:val="0"/>
          <w:numId w:val="2"/>
        </w:numPr>
        <w:suppressAutoHyphens w:val="0"/>
        <w:spacing w:after="0"/>
        <w:ind w:left="284" w:hanging="284"/>
        <w:rPr>
          <w:rFonts w:ascii="Calibri" w:hAnsi="Calibri" w:cs="Calibri"/>
        </w:rPr>
      </w:pPr>
      <w:r w:rsidRPr="00175E51">
        <w:rPr>
          <w:rFonts w:ascii="Calibri" w:hAnsi="Calibri" w:cs="Calibri"/>
        </w:rPr>
        <w:t>Ensure publicly available disaggregated data on people sentenced to death by age, age of</w:t>
      </w:r>
      <w:r>
        <w:rPr>
          <w:rFonts w:ascii="Calibri" w:hAnsi="Calibri" w:cs="Calibri"/>
        </w:rPr>
        <w:t xml:space="preserve"> </w:t>
      </w:r>
      <w:r w:rsidRPr="00175E51">
        <w:rPr>
          <w:rFonts w:ascii="Calibri" w:hAnsi="Calibri" w:cs="Calibri"/>
        </w:rPr>
        <w:t xml:space="preserve">dependent children (if any), sex, gender, </w:t>
      </w:r>
      <w:r>
        <w:rPr>
          <w:rFonts w:ascii="Calibri" w:hAnsi="Calibri" w:cs="Calibri"/>
        </w:rPr>
        <w:t xml:space="preserve">social class, </w:t>
      </w:r>
      <w:r w:rsidRPr="00175E51">
        <w:rPr>
          <w:rFonts w:ascii="Calibri" w:hAnsi="Calibri" w:cs="Calibri"/>
        </w:rPr>
        <w:t xml:space="preserve">nationality, ethnic group, disability, </w:t>
      </w:r>
      <w:r>
        <w:rPr>
          <w:rFonts w:ascii="Calibri" w:hAnsi="Calibri" w:cs="Calibri"/>
        </w:rPr>
        <w:t xml:space="preserve">existence of any co-accused, </w:t>
      </w:r>
      <w:r w:rsidRPr="00175E51">
        <w:rPr>
          <w:rFonts w:ascii="Calibri" w:hAnsi="Calibri" w:cs="Calibri"/>
        </w:rPr>
        <w:t>crime(s) of</w:t>
      </w:r>
      <w:r>
        <w:rPr>
          <w:rFonts w:ascii="Calibri" w:hAnsi="Calibri" w:cs="Calibri"/>
        </w:rPr>
        <w:t xml:space="preserve"> </w:t>
      </w:r>
      <w:r w:rsidRPr="00175E51">
        <w:rPr>
          <w:rFonts w:ascii="Calibri" w:hAnsi="Calibri" w:cs="Calibri"/>
        </w:rPr>
        <w:t xml:space="preserve">conviction, date of conviction, and </w:t>
      </w:r>
      <w:r w:rsidRPr="00175E51">
        <w:rPr>
          <w:rFonts w:ascii="Calibri" w:hAnsi="Calibri" w:cs="Calibri"/>
        </w:rPr>
        <w:lastRenderedPageBreak/>
        <w:t>date of execution (if applicable), to facilitate analysis of</w:t>
      </w:r>
      <w:r>
        <w:rPr>
          <w:rFonts w:ascii="Calibri" w:hAnsi="Calibri" w:cs="Calibri"/>
        </w:rPr>
        <w:t xml:space="preserve"> </w:t>
      </w:r>
      <w:r w:rsidRPr="00175E51">
        <w:rPr>
          <w:rFonts w:ascii="Calibri" w:hAnsi="Calibri" w:cs="Calibri"/>
        </w:rPr>
        <w:t xml:space="preserve">the demographics of women </w:t>
      </w:r>
      <w:r w:rsidR="006F0D81">
        <w:rPr>
          <w:rFonts w:ascii="Calibri" w:hAnsi="Calibri" w:cs="Calibri"/>
        </w:rPr>
        <w:t>under death sentence</w:t>
      </w:r>
      <w:r w:rsidR="00012484">
        <w:rPr>
          <w:rFonts w:ascii="Calibri" w:hAnsi="Calibri" w:cs="Calibri"/>
        </w:rPr>
        <w:t>.</w:t>
      </w:r>
    </w:p>
    <w:p w14:paraId="1A30E31E" w14:textId="77777777" w:rsidR="00563C03" w:rsidRPr="00563C03" w:rsidRDefault="00563C03" w:rsidP="009C7BF1">
      <w:pPr>
        <w:pStyle w:val="ListParagraph"/>
        <w:numPr>
          <w:ilvl w:val="0"/>
          <w:numId w:val="2"/>
        </w:numPr>
        <w:ind w:left="284" w:hanging="284"/>
        <w:rPr>
          <w:rFonts w:ascii="Calibri" w:hAnsi="Calibri" w:cs="Calibri"/>
        </w:rPr>
      </w:pPr>
      <w:r w:rsidRPr="00563C03">
        <w:rPr>
          <w:rFonts w:ascii="Calibri" w:hAnsi="Calibri" w:cs="Calibri"/>
        </w:rPr>
        <w:t>Ensure female prisoners, including those under death sentence, are treated in compliance with Japan’s obligations under international human rights law and in accordance with international standards, such as the “Nelson Mandela Rules” and the “Bangkok Rules.”</w:t>
      </w:r>
    </w:p>
    <w:p w14:paraId="6085B8BC" w14:textId="77777777" w:rsidR="002065B5" w:rsidRDefault="002065B5" w:rsidP="009C7BF1">
      <w:pPr>
        <w:pStyle w:val="ListParagraph"/>
        <w:numPr>
          <w:ilvl w:val="0"/>
          <w:numId w:val="2"/>
        </w:numPr>
        <w:ind w:left="284" w:hanging="284"/>
      </w:pPr>
      <w:r>
        <w:rPr>
          <w:rFonts w:ascii="Calibri" w:hAnsi="Calibri" w:cs="Calibri"/>
        </w:rPr>
        <w:t xml:space="preserve">Use 24-hour video surveillance of prisoners only when strictly necessary and for as short a period </w:t>
      </w:r>
      <w:r w:rsidR="00653A8A">
        <w:rPr>
          <w:rFonts w:ascii="Calibri" w:hAnsi="Calibri" w:cs="Calibri"/>
        </w:rPr>
        <w:t xml:space="preserve">as </w:t>
      </w:r>
      <w:r>
        <w:rPr>
          <w:rFonts w:ascii="Calibri" w:hAnsi="Calibri" w:cs="Calibri"/>
        </w:rPr>
        <w:t>possible.</w:t>
      </w:r>
    </w:p>
    <w:p w14:paraId="050CDF0A" w14:textId="77777777" w:rsidR="002065B5" w:rsidRDefault="002065B5" w:rsidP="009C7BF1">
      <w:pPr>
        <w:pStyle w:val="ListParagraph"/>
        <w:numPr>
          <w:ilvl w:val="0"/>
          <w:numId w:val="2"/>
        </w:numPr>
        <w:ind w:left="284" w:hanging="284"/>
      </w:pPr>
      <w:r>
        <w:rPr>
          <w:rFonts w:ascii="Calibri" w:hAnsi="Calibri" w:cs="Calibri"/>
        </w:rPr>
        <w:t>Prohibit male prison staff from viewing CCTV footage of female prisoners, including those under death sentence</w:t>
      </w:r>
      <w:r w:rsidRPr="00EE5F03">
        <w:rPr>
          <w:rFonts w:ascii="Calibri" w:hAnsi="Calibri" w:cs="Calibri"/>
        </w:rPr>
        <w:t>.</w:t>
      </w:r>
    </w:p>
    <w:p w14:paraId="59D534D5" w14:textId="77777777" w:rsidR="00653A8A" w:rsidRPr="00720E7C" w:rsidRDefault="002065B5" w:rsidP="009C7BF1">
      <w:pPr>
        <w:pStyle w:val="ListParagraph"/>
        <w:numPr>
          <w:ilvl w:val="0"/>
          <w:numId w:val="2"/>
        </w:numPr>
        <w:ind w:left="284" w:hanging="284"/>
      </w:pPr>
      <w:r w:rsidRPr="00DD33D8">
        <w:rPr>
          <w:rFonts w:ascii="Calibri" w:hAnsi="Calibri" w:cs="Calibri"/>
        </w:rPr>
        <w:t xml:space="preserve">Prohibit </w:t>
      </w:r>
      <w:r w:rsidRPr="00563C03">
        <w:rPr>
          <w:rFonts w:ascii="Calibri" w:hAnsi="Calibri" w:cs="Calibri"/>
        </w:rPr>
        <w:t>male prison</w:t>
      </w:r>
      <w:r w:rsidR="000B790E" w:rsidRPr="000B790E">
        <w:rPr>
          <w:rFonts w:ascii="Calibri" w:hAnsi="Calibri" w:cs="Calibri"/>
        </w:rPr>
        <w:t xml:space="preserve"> </w:t>
      </w:r>
      <w:r w:rsidRPr="00563C03">
        <w:rPr>
          <w:rFonts w:ascii="Calibri" w:hAnsi="Calibri" w:cs="Calibri"/>
        </w:rPr>
        <w:t xml:space="preserve">staff from observing naked female prisoners </w:t>
      </w:r>
      <w:r w:rsidRPr="000B790E">
        <w:rPr>
          <w:rFonts w:ascii="Calibri" w:hAnsi="Calibri" w:cs="Calibri"/>
        </w:rPr>
        <w:t xml:space="preserve">under </w:t>
      </w:r>
      <w:r w:rsidRPr="00563C03">
        <w:rPr>
          <w:rFonts w:ascii="Calibri" w:hAnsi="Calibri" w:cs="Calibri"/>
        </w:rPr>
        <w:t xml:space="preserve">any </w:t>
      </w:r>
      <w:r w:rsidRPr="000B790E">
        <w:rPr>
          <w:rFonts w:ascii="Calibri" w:hAnsi="Calibri" w:cs="Calibri"/>
        </w:rPr>
        <w:t>c</w:t>
      </w:r>
      <w:r w:rsidR="00563C03">
        <w:rPr>
          <w:rFonts w:ascii="Calibri" w:hAnsi="Calibri" w:cs="Calibri"/>
        </w:rPr>
        <w:t>i</w:t>
      </w:r>
      <w:r w:rsidRPr="000B790E">
        <w:rPr>
          <w:rFonts w:ascii="Calibri" w:hAnsi="Calibri" w:cs="Calibri"/>
        </w:rPr>
        <w:t>rcumstances</w:t>
      </w:r>
      <w:r w:rsidRPr="00563C03">
        <w:rPr>
          <w:rFonts w:ascii="Calibri" w:hAnsi="Calibri" w:cs="Calibri"/>
        </w:rPr>
        <w:t>.</w:t>
      </w:r>
    </w:p>
    <w:p w14:paraId="6358C40A" w14:textId="77777777" w:rsidR="000B790E" w:rsidRPr="000B790E" w:rsidRDefault="002065B5" w:rsidP="009C7BF1">
      <w:pPr>
        <w:pStyle w:val="ListParagraph"/>
        <w:numPr>
          <w:ilvl w:val="0"/>
          <w:numId w:val="2"/>
        </w:numPr>
        <w:ind w:left="284" w:hanging="284"/>
      </w:pPr>
      <w:r w:rsidRPr="00563C03">
        <w:rPr>
          <w:rFonts w:ascii="Calibri" w:hAnsi="Calibri" w:cs="Calibri"/>
        </w:rPr>
        <w:t xml:space="preserve">Prohibit </w:t>
      </w:r>
      <w:r w:rsidRPr="000B790E">
        <w:rPr>
          <w:rFonts w:ascii="Calibri" w:hAnsi="Calibri" w:cs="Calibri"/>
        </w:rPr>
        <w:t xml:space="preserve">the </w:t>
      </w:r>
      <w:r w:rsidRPr="00563C03">
        <w:rPr>
          <w:rFonts w:ascii="Calibri" w:hAnsi="Calibri" w:cs="Calibri"/>
        </w:rPr>
        <w:t>use of re</w:t>
      </w:r>
      <w:r w:rsidR="00DE7550">
        <w:rPr>
          <w:rFonts w:ascii="Calibri" w:hAnsi="Calibri" w:cs="Calibri"/>
        </w:rPr>
        <w:t>s</w:t>
      </w:r>
      <w:r w:rsidRPr="00563C03">
        <w:rPr>
          <w:rFonts w:ascii="Calibri" w:hAnsi="Calibri" w:cs="Calibri"/>
        </w:rPr>
        <w:t>train</w:t>
      </w:r>
      <w:r w:rsidR="00653A8A">
        <w:rPr>
          <w:rFonts w:ascii="Calibri" w:hAnsi="Calibri" w:cs="Calibri"/>
        </w:rPr>
        <w:t>t</w:t>
      </w:r>
      <w:r w:rsidRPr="00563C03">
        <w:rPr>
          <w:rFonts w:ascii="Calibri" w:hAnsi="Calibri" w:cs="Calibri"/>
        </w:rPr>
        <w:t>s on female prisoners during childbirth.</w:t>
      </w:r>
    </w:p>
    <w:p w14:paraId="5F65ACB7" w14:textId="77777777" w:rsidR="00F1293E" w:rsidRDefault="002065B5" w:rsidP="009C7BF1">
      <w:pPr>
        <w:pStyle w:val="ListParagraph"/>
        <w:numPr>
          <w:ilvl w:val="0"/>
          <w:numId w:val="2"/>
        </w:numPr>
        <w:ind w:left="284" w:hanging="284"/>
      </w:pPr>
      <w:r w:rsidRPr="000B790E">
        <w:rPr>
          <w:rFonts w:ascii="Calibri" w:hAnsi="Calibri" w:cs="Calibri"/>
        </w:rPr>
        <w:t xml:space="preserve">Take measures to ensure the protection of the dignity and privacy, as well as the physical and psychological safety, of </w:t>
      </w:r>
      <w:r w:rsidR="00563C03">
        <w:rPr>
          <w:rFonts w:ascii="Calibri" w:hAnsi="Calibri" w:cs="Calibri"/>
        </w:rPr>
        <w:t>female</w:t>
      </w:r>
      <w:r w:rsidRPr="000B790E">
        <w:rPr>
          <w:rFonts w:ascii="Calibri" w:hAnsi="Calibri" w:cs="Calibri"/>
        </w:rPr>
        <w:t xml:space="preserve"> detainees in all detention facilities, including adequate accommodation and materials required to meet women’s specific hygiene needs, in line with the </w:t>
      </w:r>
      <w:r w:rsidR="00563C03">
        <w:rPr>
          <w:rFonts w:ascii="Calibri" w:hAnsi="Calibri" w:cs="Calibri"/>
        </w:rPr>
        <w:t>CEDAW</w:t>
      </w:r>
      <w:r w:rsidR="00092919">
        <w:rPr>
          <w:rFonts w:ascii="Calibri" w:hAnsi="Calibri" w:cs="Calibri"/>
        </w:rPr>
        <w:t xml:space="preserve"> and</w:t>
      </w:r>
      <w:r w:rsidRPr="000B790E">
        <w:rPr>
          <w:rFonts w:ascii="Calibri" w:hAnsi="Calibri" w:cs="Calibri"/>
        </w:rPr>
        <w:t xml:space="preserve"> the </w:t>
      </w:r>
      <w:r w:rsidR="00563C03">
        <w:rPr>
          <w:rFonts w:ascii="Calibri" w:hAnsi="Calibri" w:cs="Calibri"/>
        </w:rPr>
        <w:t>“</w:t>
      </w:r>
      <w:r w:rsidRPr="000B790E">
        <w:rPr>
          <w:rFonts w:ascii="Calibri" w:hAnsi="Calibri" w:cs="Calibri"/>
        </w:rPr>
        <w:t>Bangkok Rules</w:t>
      </w:r>
      <w:r w:rsidR="00563C03">
        <w:rPr>
          <w:rFonts w:ascii="Calibri" w:hAnsi="Calibri" w:cs="Calibri"/>
        </w:rPr>
        <w:t>.”</w:t>
      </w:r>
    </w:p>
    <w:sectPr w:rsidR="00F1293E">
      <w:headerReference w:type="even" r:id="rId11"/>
      <w:headerReference w:type="default" r:id="rId12"/>
      <w:footerReference w:type="even" r:id="rId13"/>
      <w:footerReference w:type="default" r:id="rId14"/>
      <w:headerReference w:type="first" r:id="rId15"/>
      <w:footerReference w:type="first" r:id="rId16"/>
      <w:pgSz w:w="11906" w:h="16838"/>
      <w:pgMar w:top="1985" w:right="1701" w:bottom="1701" w:left="1701" w:header="720"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2366F0" w14:textId="77777777" w:rsidR="002C7ABC" w:rsidRDefault="002C7ABC">
      <w:r>
        <w:separator/>
      </w:r>
    </w:p>
  </w:endnote>
  <w:endnote w:type="continuationSeparator" w:id="0">
    <w:p w14:paraId="0B483F7B" w14:textId="77777777" w:rsidR="002C7ABC" w:rsidRDefault="002C7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1"/>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游明朝">
    <w:panose1 w:val="02020400000000000000"/>
    <w:charset w:val="80"/>
    <w:family w:val="roman"/>
    <w:pitch w:val="variable"/>
    <w:sig w:usb0="800002E7" w:usb1="2AC7FCFF" w:usb2="00000012" w:usb3="00000000" w:csb0="0002009F" w:csb1="00000000"/>
  </w:font>
  <w:font w:name="Cordia New">
    <w:panose1 w:val="020B0304020202020204"/>
    <w:charset w:val="00"/>
    <w:family w:val="swiss"/>
    <w:pitch w:val="variable"/>
    <w:sig w:usb0="81000003" w:usb1="00000000" w:usb2="00000000" w:usb3="00000000" w:csb0="00010001" w:csb1="00000000"/>
  </w:font>
  <w:font w:name="Liberation Sans">
    <w:altName w:val="Arial"/>
    <w:panose1 w:val="020B0604020202020204"/>
    <w:charset w:val="01"/>
    <w:family w:val="roman"/>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ptos Display">
    <w:panose1 w:val="020B0004020202020204"/>
    <w:charset w:val="00"/>
    <w:family w:val="swiss"/>
    <w:pitch w:val="variable"/>
    <w:sig w:usb0="20000287" w:usb1="00000003" w:usb2="00000000" w:usb3="00000000" w:csb0="0000019F" w:csb1="00000000"/>
  </w:font>
  <w:font w:name="Angsana New">
    <w:panose1 w:val="02020603050405020304"/>
    <w:charset w:val="DE"/>
    <w:family w:val="roman"/>
    <w:pitch w:val="variable"/>
    <w:sig w:usb0="81000003" w:usb1="00000000" w:usb2="00000000" w:usb3="00000000" w:csb0="00010001"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8DBABD" w14:textId="77777777" w:rsidR="002065B5" w:rsidRDefault="002065B5">
    <w:pPr>
      <w:pStyle w:val="Footer"/>
    </w:pPr>
    <w:r>
      <w:rPr>
        <w:rStyle w:val="PageNumber1"/>
      </w:rPr>
      <w:fldChar w:fldCharType="begin"/>
    </w:r>
    <w:r>
      <w:rPr>
        <w:rStyle w:val="PageNumber1"/>
      </w:rPr>
      <w:instrText xml:space="preserve"> PAGE </w:instrText>
    </w:r>
    <w:r>
      <w:rPr>
        <w:rStyle w:val="PageNumber1"/>
      </w:rPr>
      <w:fldChar w:fldCharType="separate"/>
    </w:r>
    <w:r>
      <w:rPr>
        <w:rStyle w:val="PageNumber1"/>
      </w:rPr>
      <w:t>0</w:t>
    </w:r>
    <w:r>
      <w:rPr>
        <w:rStyle w:val="PageNumber1"/>
      </w:rPr>
      <w:fldChar w:fldCharType="end"/>
    </w:r>
  </w:p>
  <w:p w14:paraId="3241B0A3" w14:textId="77777777" w:rsidR="002065B5" w:rsidRDefault="002065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B5199A" w14:textId="77777777" w:rsidR="002065B5" w:rsidRPr="000B790E" w:rsidRDefault="002065B5" w:rsidP="000B790E">
    <w:pPr>
      <w:pStyle w:val="Footer"/>
      <w:jc w:val="center"/>
      <w:rPr>
        <w:rFonts w:ascii="Calibri" w:hAnsi="Calibri" w:cs="Calibri"/>
      </w:rPr>
    </w:pPr>
    <w:r w:rsidRPr="000B790E">
      <w:rPr>
        <w:rStyle w:val="PageNumber1"/>
        <w:rFonts w:ascii="Calibri" w:hAnsi="Calibri" w:cs="Calibri"/>
      </w:rPr>
      <w:fldChar w:fldCharType="begin"/>
    </w:r>
    <w:r w:rsidRPr="000B790E">
      <w:rPr>
        <w:rStyle w:val="PageNumber1"/>
        <w:rFonts w:ascii="Calibri" w:hAnsi="Calibri" w:cs="Calibri"/>
      </w:rPr>
      <w:instrText xml:space="preserve"> PAGE </w:instrText>
    </w:r>
    <w:r w:rsidRPr="000B790E">
      <w:rPr>
        <w:rStyle w:val="PageNumber1"/>
        <w:rFonts w:ascii="Calibri" w:hAnsi="Calibri" w:cs="Calibri"/>
      </w:rPr>
      <w:fldChar w:fldCharType="separate"/>
    </w:r>
    <w:r w:rsidR="00DE7550">
      <w:rPr>
        <w:rStyle w:val="PageNumber1"/>
        <w:rFonts w:ascii="Calibri" w:hAnsi="Calibri" w:cs="Calibri"/>
        <w:noProof/>
      </w:rPr>
      <w:t>4</w:t>
    </w:r>
    <w:r w:rsidRPr="000B790E">
      <w:rPr>
        <w:rStyle w:val="PageNumber1"/>
        <w:rFonts w:ascii="Calibri" w:hAnsi="Calibri" w:cs="Calibri"/>
      </w:rPr>
      <w:fldChar w:fldCharType="end"/>
    </w:r>
  </w:p>
  <w:p w14:paraId="4FA3FE96" w14:textId="77777777" w:rsidR="002065B5" w:rsidRDefault="002065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CA5722" w14:textId="77777777" w:rsidR="002065B5" w:rsidRDefault="002065B5">
    <w:pPr>
      <w:pStyle w:val="Footer"/>
    </w:pPr>
    <w:r>
      <w:rPr>
        <w:rStyle w:val="PageNumber1"/>
      </w:rPr>
      <w:fldChar w:fldCharType="begin"/>
    </w:r>
    <w:r>
      <w:rPr>
        <w:rStyle w:val="PageNumber1"/>
      </w:rPr>
      <w:instrText xml:space="preserve"> PAGE </w:instrText>
    </w:r>
    <w:r>
      <w:rPr>
        <w:rStyle w:val="PageNumber1"/>
      </w:rPr>
      <w:fldChar w:fldCharType="separate"/>
    </w:r>
    <w:r>
      <w:rPr>
        <w:rStyle w:val="PageNumber1"/>
      </w:rPr>
      <w:t>9</w:t>
    </w:r>
    <w:r>
      <w:rPr>
        <w:rStyle w:val="PageNumber1"/>
      </w:rPr>
      <w:fldChar w:fldCharType="end"/>
    </w:r>
  </w:p>
  <w:p w14:paraId="217D8254" w14:textId="77777777" w:rsidR="002065B5" w:rsidRDefault="00206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6D1F67" w14:textId="77777777" w:rsidR="002C7ABC" w:rsidRDefault="002C7ABC">
      <w:r>
        <w:separator/>
      </w:r>
    </w:p>
  </w:footnote>
  <w:footnote w:type="continuationSeparator" w:id="0">
    <w:p w14:paraId="4A332A13" w14:textId="77777777" w:rsidR="002C7ABC" w:rsidRDefault="002C7ABC">
      <w:r>
        <w:continuationSeparator/>
      </w:r>
    </w:p>
  </w:footnote>
  <w:footnote w:id="1">
    <w:p w14:paraId="239D8CAB" w14:textId="77777777" w:rsidR="0007392E" w:rsidRPr="00842866" w:rsidRDefault="0007392E" w:rsidP="007F5C36">
      <w:pPr>
        <w:pStyle w:val="FootnoteText"/>
        <w:ind w:left="142" w:hanging="142"/>
        <w:rPr>
          <w:rFonts w:ascii="Calibri" w:hAnsi="Calibri" w:cs="Calibri"/>
          <w:i/>
          <w:iCs/>
          <w:sz w:val="18"/>
          <w:szCs w:val="18"/>
        </w:rPr>
      </w:pPr>
      <w:r w:rsidRPr="00842866">
        <w:rPr>
          <w:rStyle w:val="FootnoteReference"/>
          <w:rFonts w:ascii="Calibri" w:hAnsi="Calibri" w:cs="Calibri"/>
          <w:sz w:val="18"/>
          <w:szCs w:val="18"/>
        </w:rPr>
        <w:footnoteRef/>
      </w:r>
      <w:r w:rsidRPr="00842866">
        <w:rPr>
          <w:rFonts w:ascii="Calibri" w:hAnsi="Calibri" w:cs="Calibri"/>
          <w:sz w:val="18"/>
          <w:szCs w:val="18"/>
        </w:rPr>
        <w:t xml:space="preserve"> </w:t>
      </w:r>
      <w:r w:rsidR="00E05A20" w:rsidRPr="00842866">
        <w:rPr>
          <w:rFonts w:ascii="Calibri" w:hAnsi="Calibri" w:cs="Calibri"/>
          <w:sz w:val="18"/>
          <w:szCs w:val="18"/>
        </w:rPr>
        <w:t xml:space="preserve">UN Human Rights Committee, </w:t>
      </w:r>
      <w:r w:rsidR="00E05A20" w:rsidRPr="00842866">
        <w:rPr>
          <w:rFonts w:ascii="Calibri" w:hAnsi="Calibri" w:cs="Calibri"/>
          <w:i/>
          <w:iCs/>
          <w:sz w:val="18"/>
          <w:szCs w:val="18"/>
        </w:rPr>
        <w:t>Concluding observations on the seventh periodic report of</w:t>
      </w:r>
      <w:r w:rsidR="007F5C36" w:rsidRPr="00842866">
        <w:rPr>
          <w:rFonts w:ascii="Calibri" w:hAnsi="Calibri" w:cs="Calibri"/>
          <w:i/>
          <w:iCs/>
          <w:sz w:val="18"/>
          <w:szCs w:val="18"/>
        </w:rPr>
        <w:t xml:space="preserve"> </w:t>
      </w:r>
      <w:r w:rsidR="00E05A20" w:rsidRPr="00842866">
        <w:rPr>
          <w:rFonts w:ascii="Calibri" w:hAnsi="Calibri" w:cs="Calibri"/>
          <w:i/>
          <w:iCs/>
          <w:sz w:val="18"/>
          <w:szCs w:val="18"/>
        </w:rPr>
        <w:t>Japan</w:t>
      </w:r>
      <w:r w:rsidR="00E05A20" w:rsidRPr="00842866">
        <w:rPr>
          <w:rFonts w:ascii="Calibri" w:hAnsi="Calibri" w:cs="Calibri"/>
          <w:sz w:val="18"/>
          <w:szCs w:val="18"/>
        </w:rPr>
        <w:t>, 30 November 2022; UN Doc. CCPR/C/JPN/CO/7, para. 21</w:t>
      </w:r>
    </w:p>
  </w:footnote>
  <w:footnote w:id="2">
    <w:p w14:paraId="6E2A4D0B" w14:textId="77777777" w:rsidR="00C63ED0" w:rsidRPr="00842866" w:rsidRDefault="00C63ED0" w:rsidP="007F5C36">
      <w:pPr>
        <w:pStyle w:val="FootnoteText"/>
        <w:ind w:left="142" w:hanging="142"/>
        <w:rPr>
          <w:rFonts w:ascii="Calibri" w:hAnsi="Calibri" w:cs="Calibri"/>
          <w:sz w:val="18"/>
          <w:szCs w:val="18"/>
        </w:rPr>
      </w:pPr>
      <w:r w:rsidRPr="00842866">
        <w:rPr>
          <w:rStyle w:val="FootnoteReference"/>
          <w:rFonts w:ascii="Calibri" w:hAnsi="Calibri" w:cs="Calibri"/>
          <w:sz w:val="18"/>
          <w:szCs w:val="18"/>
        </w:rPr>
        <w:footnoteRef/>
      </w:r>
      <w:r w:rsidRPr="00842866">
        <w:rPr>
          <w:rFonts w:ascii="Calibri" w:hAnsi="Calibri" w:cs="Calibri"/>
          <w:sz w:val="18"/>
          <w:szCs w:val="18"/>
        </w:rPr>
        <w:t xml:space="preserve"> </w:t>
      </w:r>
      <w:r w:rsidR="00E05A20" w:rsidRPr="00842866">
        <w:rPr>
          <w:rFonts w:ascii="Calibri" w:hAnsi="Calibri" w:cs="Calibri"/>
          <w:sz w:val="18"/>
          <w:szCs w:val="18"/>
        </w:rPr>
        <w:t xml:space="preserve">UN Committee on the Elimination of Discrimination against Women, </w:t>
      </w:r>
      <w:r w:rsidR="00E05A20" w:rsidRPr="00842866">
        <w:rPr>
          <w:rFonts w:ascii="Calibri" w:hAnsi="Calibri" w:cs="Calibri"/>
          <w:i/>
          <w:iCs/>
          <w:sz w:val="18"/>
          <w:szCs w:val="18"/>
        </w:rPr>
        <w:t>Communication No. 23/2009</w:t>
      </w:r>
      <w:r w:rsidR="00E05A20" w:rsidRPr="00842866">
        <w:rPr>
          <w:rFonts w:ascii="Calibri" w:hAnsi="Calibri" w:cs="Calibri"/>
          <w:sz w:val="18"/>
          <w:szCs w:val="18"/>
        </w:rPr>
        <w:t xml:space="preserve">, 29 August 2011; UN Doc. </w:t>
      </w:r>
      <w:r w:rsidRPr="00842866">
        <w:rPr>
          <w:rFonts w:ascii="Calibri" w:hAnsi="Calibri" w:cs="Calibri"/>
          <w:sz w:val="18"/>
          <w:szCs w:val="18"/>
        </w:rPr>
        <w:t>CEDAW/C/49/D/23/2009</w:t>
      </w:r>
    </w:p>
  </w:footnote>
  <w:footnote w:id="3">
    <w:p w14:paraId="67DA7F6D" w14:textId="77777777" w:rsidR="00842866" w:rsidRPr="00842866" w:rsidRDefault="00842866" w:rsidP="00BE137D">
      <w:pPr>
        <w:pStyle w:val="FootnoteText"/>
        <w:ind w:left="142" w:hanging="142"/>
        <w:rPr>
          <w:rFonts w:ascii="Calibri" w:hAnsi="Calibri" w:cs="Calibri"/>
          <w:sz w:val="18"/>
          <w:szCs w:val="18"/>
        </w:rPr>
      </w:pPr>
      <w:r w:rsidRPr="00842866">
        <w:rPr>
          <w:rStyle w:val="FootnoteReference"/>
          <w:rFonts w:ascii="Calibri" w:hAnsi="Calibri" w:cs="Calibri"/>
          <w:sz w:val="18"/>
          <w:szCs w:val="18"/>
        </w:rPr>
        <w:footnoteRef/>
      </w:r>
      <w:r w:rsidRPr="00842866">
        <w:rPr>
          <w:rFonts w:ascii="Calibri" w:hAnsi="Calibri" w:cs="Calibri"/>
          <w:sz w:val="18"/>
          <w:szCs w:val="18"/>
        </w:rPr>
        <w:t xml:space="preserve"> Committee on the Elimination of Discrimination against Women, </w:t>
      </w:r>
      <w:r w:rsidRPr="00E413A0">
        <w:rPr>
          <w:rFonts w:ascii="Calibri" w:hAnsi="Calibri" w:cs="Calibri"/>
          <w:i/>
          <w:iCs/>
          <w:sz w:val="18"/>
          <w:szCs w:val="18"/>
        </w:rPr>
        <w:t>Views adopted by the Committee under article 7 (3) of the Optional Protocol, concerning Communication No. 133/2018</w:t>
      </w:r>
      <w:r w:rsidRPr="00842866">
        <w:rPr>
          <w:rFonts w:ascii="Calibri" w:hAnsi="Calibri" w:cs="Calibri"/>
          <w:sz w:val="18"/>
          <w:szCs w:val="18"/>
        </w:rPr>
        <w:t>, 7 December 2020; UN Doc. CEDAW/C/77/D/133/2018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5CB707" w14:textId="77777777" w:rsidR="00012484" w:rsidRDefault="000124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6BE4AA" w14:textId="77777777" w:rsidR="00012484" w:rsidRDefault="000124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38F7D0" w14:textId="77777777" w:rsidR="00012484" w:rsidRDefault="000124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C494D762"/>
    <w:name w:val="WWNum1"/>
    <w:lvl w:ilvl="0">
      <w:start w:val="1"/>
      <w:numFmt w:val="decimal"/>
      <w:lvlText w:val="%1."/>
      <w:lvlJc w:val="left"/>
      <w:pPr>
        <w:tabs>
          <w:tab w:val="num" w:pos="0"/>
        </w:tabs>
        <w:ind w:left="440" w:hanging="440"/>
      </w:pPr>
      <w:rPr>
        <w:rFonts w:ascii="Calibri" w:hAnsi="Calibri" w:cs="Calibri" w:hint="default"/>
        <w:b/>
        <w:bCs/>
      </w:rPr>
    </w:lvl>
    <w:lvl w:ilvl="1">
      <w:start w:val="1"/>
      <w:numFmt w:val="aiueoFullWidth"/>
      <w:lvlText w:val="(%2)"/>
      <w:lvlJc w:val="left"/>
      <w:pPr>
        <w:tabs>
          <w:tab w:val="num" w:pos="0"/>
        </w:tabs>
        <w:ind w:left="880" w:hanging="440"/>
      </w:pPr>
    </w:lvl>
    <w:lvl w:ilvl="2">
      <w:start w:val="1"/>
      <w:numFmt w:val="decimalEnclosedCircle"/>
      <w:lvlText w:val="%3"/>
      <w:lvlJc w:val="left"/>
      <w:pPr>
        <w:tabs>
          <w:tab w:val="num" w:pos="0"/>
        </w:tabs>
        <w:ind w:left="1320" w:hanging="440"/>
      </w:pPr>
    </w:lvl>
    <w:lvl w:ilvl="3">
      <w:start w:val="1"/>
      <w:numFmt w:val="decimal"/>
      <w:lvlText w:val="%4."/>
      <w:lvlJc w:val="left"/>
      <w:pPr>
        <w:tabs>
          <w:tab w:val="num" w:pos="0"/>
        </w:tabs>
        <w:ind w:left="1760" w:hanging="440"/>
      </w:pPr>
    </w:lvl>
    <w:lvl w:ilvl="4">
      <w:start w:val="1"/>
      <w:numFmt w:val="aiueoFullWidth"/>
      <w:lvlText w:val="(%5)"/>
      <w:lvlJc w:val="left"/>
      <w:pPr>
        <w:tabs>
          <w:tab w:val="num" w:pos="0"/>
        </w:tabs>
        <w:ind w:left="2200" w:hanging="440"/>
      </w:pPr>
    </w:lvl>
    <w:lvl w:ilvl="5">
      <w:start w:val="1"/>
      <w:numFmt w:val="decimalEnclosedCircle"/>
      <w:lvlText w:val="%6"/>
      <w:lvlJc w:val="left"/>
      <w:pPr>
        <w:tabs>
          <w:tab w:val="num" w:pos="0"/>
        </w:tabs>
        <w:ind w:left="2640" w:hanging="440"/>
      </w:pPr>
    </w:lvl>
    <w:lvl w:ilvl="6">
      <w:start w:val="1"/>
      <w:numFmt w:val="decimal"/>
      <w:lvlText w:val="%7."/>
      <w:lvlJc w:val="left"/>
      <w:pPr>
        <w:tabs>
          <w:tab w:val="num" w:pos="0"/>
        </w:tabs>
        <w:ind w:left="3080" w:hanging="440"/>
      </w:pPr>
    </w:lvl>
    <w:lvl w:ilvl="7">
      <w:start w:val="1"/>
      <w:numFmt w:val="aiueoFullWidth"/>
      <w:lvlText w:val="(%8)"/>
      <w:lvlJc w:val="left"/>
      <w:pPr>
        <w:tabs>
          <w:tab w:val="num" w:pos="0"/>
        </w:tabs>
        <w:ind w:left="3520" w:hanging="440"/>
      </w:pPr>
    </w:lvl>
    <w:lvl w:ilvl="8">
      <w:start w:val="1"/>
      <w:numFmt w:val="decimalEnclosedCircle"/>
      <w:lvlText w:val="%9"/>
      <w:lvlJc w:val="left"/>
      <w:pPr>
        <w:tabs>
          <w:tab w:val="num" w:pos="0"/>
        </w:tabs>
        <w:ind w:left="3960" w:hanging="440"/>
      </w:pPr>
    </w:lvl>
  </w:abstractNum>
  <w:abstractNum w:abstractNumId="1" w15:restartNumberingAfterBreak="0">
    <w:nsid w:val="00000002"/>
    <w:multiLevelType w:val="multilevel"/>
    <w:tmpl w:val="00000002"/>
    <w:name w:val="WWNum5"/>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DFA6C53"/>
    <w:multiLevelType w:val="hybridMultilevel"/>
    <w:tmpl w:val="F3407B72"/>
    <w:lvl w:ilvl="0" w:tplc="5928AFFC">
      <w:start w:val="1"/>
      <w:numFmt w:val="decimal"/>
      <w:lvlText w:val="%1."/>
      <w:lvlJc w:val="left"/>
      <w:pPr>
        <w:ind w:left="360" w:hanging="360"/>
      </w:pPr>
      <w:rPr>
        <w:b w:val="0"/>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56234F6F"/>
    <w:multiLevelType w:val="hybridMultilevel"/>
    <w:tmpl w:val="15301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60501429">
    <w:abstractNumId w:val="0"/>
  </w:num>
  <w:num w:numId="2" w16cid:durableId="1201241978">
    <w:abstractNumId w:val="1"/>
  </w:num>
  <w:num w:numId="3" w16cid:durableId="940845355">
    <w:abstractNumId w:val="2"/>
  </w:num>
  <w:num w:numId="4" w16cid:durableId="148906877">
    <w:abstractNumId w:val="4"/>
  </w:num>
  <w:num w:numId="5" w16cid:durableId="4819664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4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4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FA4"/>
    <w:rsid w:val="00007E80"/>
    <w:rsid w:val="00012484"/>
    <w:rsid w:val="000211A3"/>
    <w:rsid w:val="00072848"/>
    <w:rsid w:val="0007392E"/>
    <w:rsid w:val="00092919"/>
    <w:rsid w:val="000B0C91"/>
    <w:rsid w:val="000B790E"/>
    <w:rsid w:val="000E5E18"/>
    <w:rsid w:val="00115CA6"/>
    <w:rsid w:val="0013203C"/>
    <w:rsid w:val="00133500"/>
    <w:rsid w:val="00143143"/>
    <w:rsid w:val="00143B56"/>
    <w:rsid w:val="00175E51"/>
    <w:rsid w:val="00182E7A"/>
    <w:rsid w:val="0018641B"/>
    <w:rsid w:val="001A52F6"/>
    <w:rsid w:val="001C7C33"/>
    <w:rsid w:val="001D2B6E"/>
    <w:rsid w:val="001D327C"/>
    <w:rsid w:val="001E0D13"/>
    <w:rsid w:val="00206417"/>
    <w:rsid w:val="002065B5"/>
    <w:rsid w:val="00213B34"/>
    <w:rsid w:val="0022556D"/>
    <w:rsid w:val="00233DCD"/>
    <w:rsid w:val="00240849"/>
    <w:rsid w:val="00280D71"/>
    <w:rsid w:val="002813C1"/>
    <w:rsid w:val="00285F09"/>
    <w:rsid w:val="002B0579"/>
    <w:rsid w:val="002C7ABC"/>
    <w:rsid w:val="002E32CD"/>
    <w:rsid w:val="002F04FA"/>
    <w:rsid w:val="002F26D2"/>
    <w:rsid w:val="002F4CDC"/>
    <w:rsid w:val="00326E2B"/>
    <w:rsid w:val="00347C53"/>
    <w:rsid w:val="003764B1"/>
    <w:rsid w:val="003A0592"/>
    <w:rsid w:val="00451D3E"/>
    <w:rsid w:val="00496438"/>
    <w:rsid w:val="00504686"/>
    <w:rsid w:val="005141FB"/>
    <w:rsid w:val="00537AF1"/>
    <w:rsid w:val="0055550D"/>
    <w:rsid w:val="00563C03"/>
    <w:rsid w:val="00570C9A"/>
    <w:rsid w:val="0057339A"/>
    <w:rsid w:val="00591766"/>
    <w:rsid w:val="00594E35"/>
    <w:rsid w:val="005E0FA4"/>
    <w:rsid w:val="005E1A8A"/>
    <w:rsid w:val="00627B5D"/>
    <w:rsid w:val="006524B4"/>
    <w:rsid w:val="00653A8A"/>
    <w:rsid w:val="00662A48"/>
    <w:rsid w:val="00665036"/>
    <w:rsid w:val="006721CD"/>
    <w:rsid w:val="006904D1"/>
    <w:rsid w:val="006C7B8D"/>
    <w:rsid w:val="006E1C2B"/>
    <w:rsid w:val="006F0D81"/>
    <w:rsid w:val="006F5FC5"/>
    <w:rsid w:val="00720E7C"/>
    <w:rsid w:val="00782E69"/>
    <w:rsid w:val="00796CB9"/>
    <w:rsid w:val="00797309"/>
    <w:rsid w:val="007A43A4"/>
    <w:rsid w:val="007B3F5D"/>
    <w:rsid w:val="007F5C36"/>
    <w:rsid w:val="00803353"/>
    <w:rsid w:val="008277A5"/>
    <w:rsid w:val="0084137D"/>
    <w:rsid w:val="00842866"/>
    <w:rsid w:val="00851AA0"/>
    <w:rsid w:val="00866121"/>
    <w:rsid w:val="008915BD"/>
    <w:rsid w:val="008C7C77"/>
    <w:rsid w:val="009206E7"/>
    <w:rsid w:val="00944E4E"/>
    <w:rsid w:val="00946D72"/>
    <w:rsid w:val="00951DD5"/>
    <w:rsid w:val="00971ABE"/>
    <w:rsid w:val="009B0B31"/>
    <w:rsid w:val="009B6CB2"/>
    <w:rsid w:val="009C7BF1"/>
    <w:rsid w:val="00A40EAE"/>
    <w:rsid w:val="00A4123B"/>
    <w:rsid w:val="00A50E6F"/>
    <w:rsid w:val="00A847CC"/>
    <w:rsid w:val="00A94FB6"/>
    <w:rsid w:val="00AA0405"/>
    <w:rsid w:val="00AE3F40"/>
    <w:rsid w:val="00B02AA8"/>
    <w:rsid w:val="00B34B86"/>
    <w:rsid w:val="00B50930"/>
    <w:rsid w:val="00B64A92"/>
    <w:rsid w:val="00B93A31"/>
    <w:rsid w:val="00B943C3"/>
    <w:rsid w:val="00B96A80"/>
    <w:rsid w:val="00BD5410"/>
    <w:rsid w:val="00BE137D"/>
    <w:rsid w:val="00BE1B6C"/>
    <w:rsid w:val="00C06E03"/>
    <w:rsid w:val="00C260A4"/>
    <w:rsid w:val="00C63ED0"/>
    <w:rsid w:val="00CC32E9"/>
    <w:rsid w:val="00CD3E47"/>
    <w:rsid w:val="00D332DC"/>
    <w:rsid w:val="00D35100"/>
    <w:rsid w:val="00D519F8"/>
    <w:rsid w:val="00DA5CE9"/>
    <w:rsid w:val="00DD1AF6"/>
    <w:rsid w:val="00DD2559"/>
    <w:rsid w:val="00DD33D8"/>
    <w:rsid w:val="00DE112C"/>
    <w:rsid w:val="00DE7550"/>
    <w:rsid w:val="00DF6F5D"/>
    <w:rsid w:val="00E05A20"/>
    <w:rsid w:val="00E10323"/>
    <w:rsid w:val="00E152FF"/>
    <w:rsid w:val="00E153BE"/>
    <w:rsid w:val="00E2353A"/>
    <w:rsid w:val="00E413A0"/>
    <w:rsid w:val="00E44AE4"/>
    <w:rsid w:val="00E460BC"/>
    <w:rsid w:val="00E52DBA"/>
    <w:rsid w:val="00E55F22"/>
    <w:rsid w:val="00E62A8F"/>
    <w:rsid w:val="00EA4307"/>
    <w:rsid w:val="00EC07CD"/>
    <w:rsid w:val="00ED509A"/>
    <w:rsid w:val="00EE5F03"/>
    <w:rsid w:val="00F05911"/>
    <w:rsid w:val="00F1293E"/>
    <w:rsid w:val="00F43427"/>
    <w:rsid w:val="00F77728"/>
    <w:rsid w:val="00F926DA"/>
    <w:rsid w:val="00FD0D85"/>
  </w:rsids>
  <m:mathPr>
    <m:mathFont m:val="Cambria Math"/>
    <m:brkBin m:val="before"/>
    <m:brkBinSub m:val="--"/>
    <m:smallFrac m:val="0"/>
    <m:dispDef/>
    <m:lMargin m:val="0"/>
    <m:rMargin m:val="0"/>
    <m:defJc m:val="centerGroup"/>
    <m:wrapIndent m:val="1440"/>
    <m:intLim m:val="subSup"/>
    <m:naryLim m:val="undOvr"/>
  </m:mathPr>
  <w:themeFontLang w:val="en-TH" w:bidi="th-TH"/>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oNotEmbedSmartTags/>
  <w:decimalSymbol w:val="."/>
  <w:listSeparator w:val=","/>
  <w14:docId w14:val="3CBCC384"/>
  <w15:chartTrackingRefBased/>
  <w15:docId w15:val="{C710DE41-C663-8041-9C61-E5F5B3B87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游明朝" w:hAnsi="Times New Roman" w:cs="Times New Roman"/>
        <w:lang w:val="en-TH"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jc w:val="both"/>
    </w:pPr>
    <w:rPr>
      <w:rFonts w:ascii="游明朝" w:hAnsi="游明朝" w:cs="Cordia New"/>
      <w:kern w:val="2"/>
      <w:sz w:val="24"/>
      <w:szCs w:val="24"/>
      <w:lang w:val="en-US" w:eastAsia="ja-JP"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erChar">
    <w:name w:val="Footer Char"/>
    <w:rPr>
      <w:sz w:val="24"/>
      <w:szCs w:val="24"/>
    </w:rPr>
  </w:style>
  <w:style w:type="character" w:customStyle="1" w:styleId="PageNumber1">
    <w:name w:val="Page Number1"/>
    <w:basedOn w:val="DefaultParagraphFont"/>
  </w:style>
  <w:style w:type="character" w:customStyle="1" w:styleId="CommentReference1">
    <w:name w:val="Comment Reference1"/>
    <w:rPr>
      <w:sz w:val="16"/>
      <w:szCs w:val="16"/>
    </w:rPr>
  </w:style>
  <w:style w:type="character" w:customStyle="1" w:styleId="CommentTextChar">
    <w:name w:val="Comment Text Char"/>
    <w:rPr>
      <w:sz w:val="20"/>
      <w:szCs w:val="20"/>
    </w:rPr>
  </w:style>
  <w:style w:type="character" w:customStyle="1" w:styleId="CommentSubjectChar">
    <w:name w:val="Comment Subject Char"/>
    <w:rPr>
      <w:b/>
      <w:bCs/>
      <w:sz w:val="20"/>
      <w:szCs w:val="20"/>
    </w:rPr>
  </w:style>
  <w:style w:type="character" w:customStyle="1" w:styleId="ListLabel1">
    <w:name w:val="ListLabel 1"/>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character" w:customStyle="1" w:styleId="ListLabel10">
    <w:name w:val="ListLabel 10"/>
  </w:style>
  <w:style w:type="character" w:customStyle="1" w:styleId="ListLabel11">
    <w:name w:val="ListLabel 11"/>
  </w:style>
  <w:style w:type="character" w:customStyle="1" w:styleId="ListLabel12">
    <w:name w:val="ListLabel 12"/>
  </w:style>
  <w:style w:type="character" w:customStyle="1" w:styleId="ListLabel13">
    <w:name w:val="ListLabel 13"/>
  </w:style>
  <w:style w:type="character" w:customStyle="1" w:styleId="ListLabel14">
    <w:name w:val="ListLabel 14"/>
  </w:style>
  <w:style w:type="character" w:customStyle="1" w:styleId="ListLabel15">
    <w:name w:val="ListLabel 15"/>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style>
  <w:style w:type="character" w:customStyle="1" w:styleId="ListLabel25">
    <w:name w:val="ListLabel 25"/>
  </w:style>
  <w:style w:type="character" w:customStyle="1" w:styleId="ListLabel26">
    <w:name w:val="ListLabel 26"/>
  </w:style>
  <w:style w:type="character" w:customStyle="1" w:styleId="ListLabel27">
    <w:name w:val="ListLabel 27"/>
  </w:style>
  <w:style w:type="character" w:customStyle="1" w:styleId="ListLabel28">
    <w:name w:val="ListLabel 28"/>
  </w:style>
  <w:style w:type="character" w:customStyle="1" w:styleId="ListLabel29">
    <w:name w:val="ListLabel 29"/>
  </w:style>
  <w:style w:type="character" w:customStyle="1" w:styleId="ListLabel30">
    <w:name w:val="ListLabel 30"/>
  </w:style>
  <w:style w:type="character" w:customStyle="1" w:styleId="ListLabel31">
    <w:name w:val="ListLabel 31"/>
  </w:style>
  <w:style w:type="character" w:customStyle="1" w:styleId="ListLabel32">
    <w:name w:val="ListLabel 32"/>
  </w:style>
  <w:style w:type="character" w:customStyle="1" w:styleId="ListLabel33">
    <w:name w:val="ListLabel 33"/>
  </w:style>
  <w:style w:type="character" w:customStyle="1" w:styleId="ListLabel34">
    <w:name w:val="ListLabel 34"/>
  </w:style>
  <w:style w:type="character" w:customStyle="1" w:styleId="ListLabel35">
    <w:name w:val="ListLabel 35"/>
  </w:style>
  <w:style w:type="character" w:customStyle="1" w:styleId="ListLabel36">
    <w:name w:val="ListLabel 36"/>
  </w:style>
  <w:style w:type="character" w:customStyle="1" w:styleId="ListLabel37">
    <w:name w:val="ListLabel 37"/>
  </w:style>
  <w:style w:type="character" w:customStyle="1" w:styleId="ListLabel38">
    <w:name w:val="ListLabel 38"/>
    <w:rPr>
      <w:rFonts w:cs="Courier New"/>
    </w:rPr>
  </w:style>
  <w:style w:type="character" w:customStyle="1" w:styleId="ListLabel39">
    <w:name w:val="ListLabel 39"/>
  </w:style>
  <w:style w:type="character" w:customStyle="1" w:styleId="ListLabel40">
    <w:name w:val="ListLabel 40"/>
  </w:style>
  <w:style w:type="character" w:customStyle="1" w:styleId="ListLabel41">
    <w:name w:val="ListLabel 41"/>
    <w:rPr>
      <w:rFonts w:cs="Courier New"/>
    </w:rPr>
  </w:style>
  <w:style w:type="character" w:customStyle="1" w:styleId="ListLabel42">
    <w:name w:val="ListLabel 42"/>
  </w:style>
  <w:style w:type="character" w:customStyle="1" w:styleId="ListLabel43">
    <w:name w:val="ListLabel 43"/>
  </w:style>
  <w:style w:type="character" w:customStyle="1" w:styleId="ListLabel44">
    <w:name w:val="ListLabel 44"/>
    <w:rPr>
      <w:rFonts w:cs="Courier New"/>
    </w:rPr>
  </w:style>
  <w:style w:type="character" w:customStyle="1" w:styleId="ListLabel45">
    <w:name w:val="ListLabel 45"/>
  </w:style>
  <w:style w:type="character" w:styleId="LineNumber">
    <w:name w:val="line number"/>
  </w:style>
  <w:style w:type="character" w:styleId="Hyperlink">
    <w:name w:val="Hyperlink"/>
    <w:rPr>
      <w:color w:val="000080"/>
      <w:u w:val="single"/>
    </w:rPr>
  </w:style>
  <w:style w:type="character" w:customStyle="1" w:styleId="Caractresdenotedebasdepage">
    <w:name w:val="Caractères de note de bas de page"/>
  </w:style>
  <w:style w:type="character" w:styleId="FootnoteReference">
    <w:name w:val="footnote reference"/>
    <w:uiPriority w:val="99"/>
    <w:rPr>
      <w:vertAlign w:val="superscript"/>
    </w:rPr>
  </w:style>
  <w:style w:type="paragraph" w:customStyle="1" w:styleId="Titre1">
    <w:name w:val="Titre1"/>
    <w:basedOn w:val="Normal"/>
    <w:next w:val="BodyTex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rPr>
  </w:style>
  <w:style w:type="paragraph" w:customStyle="1" w:styleId="Index">
    <w:name w:val="Index"/>
    <w:basedOn w:val="Normal"/>
    <w:pPr>
      <w:suppressLineNumbers/>
    </w:pPr>
    <w:rPr>
      <w:rFonts w:cs="Lohit Devanagari"/>
    </w:rPr>
  </w:style>
  <w:style w:type="paragraph" w:styleId="ListParagraph">
    <w:name w:val="List Paragraph"/>
    <w:basedOn w:val="Normal"/>
    <w:qFormat/>
    <w:pPr>
      <w:ind w:left="840"/>
    </w:pPr>
  </w:style>
  <w:style w:type="paragraph" w:customStyle="1" w:styleId="En-tteetpieddepage">
    <w:name w:val="En-tête et pied de page"/>
    <w:basedOn w:val="Normal"/>
  </w:style>
  <w:style w:type="paragraph" w:styleId="Footer">
    <w:name w:val="footer"/>
    <w:basedOn w:val="Normal"/>
    <w:pPr>
      <w:tabs>
        <w:tab w:val="center" w:pos="4680"/>
        <w:tab w:val="right" w:pos="9360"/>
      </w:tabs>
    </w:pPr>
  </w:style>
  <w:style w:type="paragraph" w:styleId="Revision">
    <w:name w:val="Revision"/>
    <w:pPr>
      <w:suppressAutoHyphens/>
    </w:pPr>
    <w:rPr>
      <w:rFonts w:ascii="游明朝" w:hAnsi="游明朝" w:cs="Cordia New"/>
      <w:kern w:val="2"/>
      <w:sz w:val="24"/>
      <w:szCs w:val="24"/>
      <w:lang w:val="en-US" w:eastAsia="ja-JP" w:bidi="ar-SA"/>
    </w:rPr>
  </w:style>
  <w:style w:type="paragraph" w:customStyle="1" w:styleId="CommentText1">
    <w:name w:val="Comment Text1"/>
    <w:basedOn w:val="Normal"/>
    <w:rPr>
      <w:sz w:val="20"/>
      <w:szCs w:val="20"/>
    </w:rPr>
  </w:style>
  <w:style w:type="paragraph" w:customStyle="1" w:styleId="CommentSubject1">
    <w:name w:val="Comment Subject1"/>
    <w:basedOn w:val="CommentText1"/>
    <w:next w:val="CommentText1"/>
    <w:rPr>
      <w:b/>
      <w:bCs/>
    </w:rPr>
  </w:style>
  <w:style w:type="paragraph" w:styleId="FootnoteText">
    <w:name w:val="footnote text"/>
    <w:basedOn w:val="Normal"/>
    <w:link w:val="FootnoteTextChar"/>
    <w:uiPriority w:val="99"/>
    <w:pPr>
      <w:suppressLineNumbers/>
      <w:ind w:left="340" w:hanging="340"/>
    </w:pPr>
    <w:rPr>
      <w:sz w:val="20"/>
      <w:szCs w:val="20"/>
    </w:rPr>
  </w:style>
  <w:style w:type="paragraph" w:styleId="Header">
    <w:name w:val="header"/>
    <w:basedOn w:val="Normal"/>
    <w:link w:val="HeaderChar"/>
    <w:uiPriority w:val="99"/>
    <w:unhideWhenUsed/>
    <w:rsid w:val="00A847CC"/>
    <w:pPr>
      <w:tabs>
        <w:tab w:val="center" w:pos="4680"/>
        <w:tab w:val="right" w:pos="9360"/>
      </w:tabs>
    </w:pPr>
  </w:style>
  <w:style w:type="character" w:customStyle="1" w:styleId="HeaderChar">
    <w:name w:val="Header Char"/>
    <w:link w:val="Header"/>
    <w:uiPriority w:val="99"/>
    <w:rsid w:val="00A847CC"/>
    <w:rPr>
      <w:rFonts w:ascii="游明朝" w:eastAsia="游明朝" w:hAnsi="游明朝" w:cs="Cordia New"/>
      <w:kern w:val="2"/>
      <w:sz w:val="24"/>
      <w:szCs w:val="24"/>
      <w:lang w:val="en-US" w:eastAsia="ja-JP" w:bidi="ar-SA"/>
    </w:rPr>
  </w:style>
  <w:style w:type="character" w:styleId="CommentReference">
    <w:name w:val="annotation reference"/>
    <w:uiPriority w:val="99"/>
    <w:semiHidden/>
    <w:unhideWhenUsed/>
    <w:rsid w:val="00563C03"/>
    <w:rPr>
      <w:sz w:val="16"/>
      <w:szCs w:val="16"/>
    </w:rPr>
  </w:style>
  <w:style w:type="paragraph" w:styleId="CommentText">
    <w:name w:val="annotation text"/>
    <w:basedOn w:val="Normal"/>
    <w:link w:val="CommentTextChar1"/>
    <w:uiPriority w:val="99"/>
    <w:unhideWhenUsed/>
    <w:rsid w:val="00563C03"/>
    <w:rPr>
      <w:sz w:val="20"/>
      <w:szCs w:val="20"/>
    </w:rPr>
  </w:style>
  <w:style w:type="character" w:customStyle="1" w:styleId="CommentTextChar1">
    <w:name w:val="Comment Text Char1"/>
    <w:link w:val="CommentText"/>
    <w:uiPriority w:val="99"/>
    <w:rsid w:val="00563C03"/>
    <w:rPr>
      <w:rFonts w:ascii="游明朝" w:eastAsia="游明朝" w:hAnsi="游明朝" w:cs="Cordia New"/>
      <w:kern w:val="2"/>
      <w:lang w:val="en-US" w:eastAsia="ja-JP" w:bidi="ar-SA"/>
    </w:rPr>
  </w:style>
  <w:style w:type="paragraph" w:styleId="CommentSubject">
    <w:name w:val="annotation subject"/>
    <w:basedOn w:val="CommentText"/>
    <w:next w:val="CommentText"/>
    <w:link w:val="CommentSubjectChar1"/>
    <w:uiPriority w:val="99"/>
    <w:semiHidden/>
    <w:unhideWhenUsed/>
    <w:rsid w:val="00563C03"/>
    <w:rPr>
      <w:b/>
      <w:bCs/>
    </w:rPr>
  </w:style>
  <w:style w:type="character" w:customStyle="1" w:styleId="CommentSubjectChar1">
    <w:name w:val="Comment Subject Char1"/>
    <w:link w:val="CommentSubject"/>
    <w:uiPriority w:val="99"/>
    <w:semiHidden/>
    <w:rsid w:val="00563C03"/>
    <w:rPr>
      <w:rFonts w:ascii="游明朝" w:eastAsia="游明朝" w:hAnsi="游明朝" w:cs="Cordia New"/>
      <w:b/>
      <w:bCs/>
      <w:kern w:val="2"/>
      <w:lang w:val="en-US" w:eastAsia="ja-JP" w:bidi="ar-SA"/>
    </w:rPr>
  </w:style>
  <w:style w:type="paragraph" w:styleId="BalloonText">
    <w:name w:val="Balloon Text"/>
    <w:basedOn w:val="Normal"/>
    <w:link w:val="BalloonTextChar"/>
    <w:uiPriority w:val="99"/>
    <w:semiHidden/>
    <w:unhideWhenUsed/>
    <w:rsid w:val="002F04FA"/>
    <w:rPr>
      <w:rFonts w:ascii="Tahoma" w:hAnsi="Tahoma" w:cs="Tahoma"/>
      <w:sz w:val="16"/>
      <w:szCs w:val="16"/>
    </w:rPr>
  </w:style>
  <w:style w:type="character" w:customStyle="1" w:styleId="BalloonTextChar">
    <w:name w:val="Balloon Text Char"/>
    <w:link w:val="BalloonText"/>
    <w:uiPriority w:val="99"/>
    <w:semiHidden/>
    <w:rsid w:val="002F04FA"/>
    <w:rPr>
      <w:rFonts w:ascii="Tahoma" w:hAnsi="Tahoma" w:cs="Tahoma"/>
      <w:kern w:val="2"/>
      <w:sz w:val="16"/>
      <w:szCs w:val="16"/>
      <w:lang w:eastAsia="ja-JP" w:bidi="ar-SA"/>
    </w:rPr>
  </w:style>
  <w:style w:type="character" w:customStyle="1" w:styleId="normaltextrun">
    <w:name w:val="normaltextrun"/>
    <w:basedOn w:val="DefaultParagraphFont"/>
    <w:rsid w:val="008C7C77"/>
  </w:style>
  <w:style w:type="paragraph" w:styleId="NormalWeb">
    <w:name w:val="Normal (Web)"/>
    <w:basedOn w:val="Normal"/>
    <w:uiPriority w:val="99"/>
    <w:rsid w:val="00DA5CE9"/>
    <w:pPr>
      <w:widowControl/>
      <w:suppressAutoHyphens w:val="0"/>
      <w:spacing w:before="100" w:beforeAutospacing="1" w:after="100" w:afterAutospacing="1"/>
      <w:jc w:val="left"/>
    </w:pPr>
    <w:rPr>
      <w:rFonts w:ascii="Times New Roman" w:eastAsia="Times New Roman" w:hAnsi="Times New Roman" w:cs="Times New Roman"/>
      <w:kern w:val="0"/>
      <w:lang w:eastAsia="en-US"/>
    </w:rPr>
  </w:style>
  <w:style w:type="character" w:customStyle="1" w:styleId="FootnoteTextChar">
    <w:name w:val="Footnote Text Char"/>
    <w:link w:val="FootnoteText"/>
    <w:uiPriority w:val="99"/>
    <w:rsid w:val="00496438"/>
    <w:rPr>
      <w:rFonts w:ascii="游明朝" w:hAnsi="游明朝" w:cs="Cordia New"/>
      <w:kern w:val="2"/>
      <w:lang w:val="en-US" w:eastAsia="ja-JP"/>
    </w:rPr>
  </w:style>
  <w:style w:type="character" w:styleId="UnresolvedMention">
    <w:name w:val="Unresolved Mention"/>
    <w:uiPriority w:val="99"/>
    <w:semiHidden/>
    <w:unhideWhenUsed/>
    <w:rsid w:val="009206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6BD1F3-5C26-4C2A-AF4A-40648484CEC3}">
  <ds:schemaRefs>
    <ds:schemaRef ds:uri="http://schemas.openxmlformats.org/officeDocument/2006/bibliography"/>
  </ds:schemaRefs>
</ds:datastoreItem>
</file>

<file path=customXml/itemProps2.xml><?xml version="1.0" encoding="utf-8"?>
<ds:datastoreItem xmlns:ds="http://schemas.openxmlformats.org/officeDocument/2006/customXml" ds:itemID="{8D263620-6DB2-49C7-8C80-6EAA2CF7EE18}"/>
</file>

<file path=customXml/itemProps3.xml><?xml version="1.0" encoding="utf-8"?>
<ds:datastoreItem xmlns:ds="http://schemas.openxmlformats.org/officeDocument/2006/customXml" ds:itemID="{203BCA01-2141-4C73-86D1-0F4C311F521C}"/>
</file>

<file path=docProps/app.xml><?xml version="1.0" encoding="utf-8"?>
<Properties xmlns="http://schemas.openxmlformats.org/officeDocument/2006/extended-properties" xmlns:vt="http://schemas.openxmlformats.org/officeDocument/2006/docPropsVTypes">
  <Template>Normal.dotm</Template>
  <TotalTime>3</TotalTime>
  <Pages>6</Pages>
  <Words>1683</Words>
  <Characters>9596</Characters>
  <Application>Microsoft Office Word</Application>
  <DocSecurity>0</DocSecurity>
  <Lines>79</Lines>
  <Paragraphs>22</Paragraphs>
  <ScaleCrop>false</ScaleCrop>
  <HeadingPairs>
    <vt:vector size="6" baseType="variant">
      <vt:variant>
        <vt:lpstr>Title</vt:lpstr>
      </vt:variant>
      <vt:variant>
        <vt:i4>1</vt:i4>
      </vt:variant>
      <vt:variant>
        <vt:lpstr>タイトル</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11257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Teppei Ono</dc:creator>
  <cp:keywords/>
  <cp:lastModifiedBy>Andrea</cp:lastModifiedBy>
  <cp:revision>3</cp:revision>
  <cp:lastPrinted>2024-09-06T16:34:00Z</cp:lastPrinted>
  <dcterms:created xsi:type="dcterms:W3CDTF">2024-09-06T17:05:00Z</dcterms:created>
  <dcterms:modified xsi:type="dcterms:W3CDTF">2024-09-06T17:08:00Z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