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84A53" w14:textId="77777777" w:rsidR="00780669" w:rsidRDefault="00000000">
      <w:pPr>
        <w:keepNext/>
        <w:keepLines/>
        <w:tabs>
          <w:tab w:val="right" w:pos="851"/>
        </w:tabs>
        <w:spacing w:before="240"/>
        <w:ind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SUBMISSION</w:t>
      </w:r>
      <w:r>
        <w:rPr>
          <w:rFonts w:ascii="Times New Roman" w:eastAsia="Times New Roman" w:hAnsi="Times New Roman" w:cs="Times New Roman"/>
          <w:b/>
          <w:sz w:val="24"/>
          <w:szCs w:val="24"/>
          <w:vertAlign w:val="superscript"/>
        </w:rPr>
        <w:footnoteReference w:id="1"/>
      </w:r>
      <w:r>
        <w:rPr>
          <w:rFonts w:ascii="Times New Roman" w:eastAsia="Times New Roman" w:hAnsi="Times New Roman" w:cs="Times New Roman"/>
          <w:b/>
          <w:sz w:val="24"/>
          <w:szCs w:val="24"/>
        </w:rPr>
        <w:t xml:space="preserve"> BY THE CENTER FOR MIGRANT ADVOCACY PHILIPPINES (</w:t>
      </w:r>
      <w:proofErr w:type="gramStart"/>
      <w:r>
        <w:rPr>
          <w:rFonts w:ascii="Times New Roman" w:eastAsia="Times New Roman" w:hAnsi="Times New Roman" w:cs="Times New Roman"/>
          <w:b/>
          <w:sz w:val="24"/>
          <w:szCs w:val="24"/>
        </w:rPr>
        <w:t>CMA)  TO</w:t>
      </w:r>
      <w:proofErr w:type="gramEnd"/>
      <w:r>
        <w:rPr>
          <w:rFonts w:ascii="Times New Roman" w:eastAsia="Times New Roman" w:hAnsi="Times New Roman" w:cs="Times New Roman"/>
          <w:b/>
          <w:sz w:val="24"/>
          <w:szCs w:val="24"/>
        </w:rPr>
        <w:t xml:space="preserve"> THE COMMITTEE ON MIGRANT WORKERS (CMW) FOR THE THIRD PERIODIC REPORTING OF THE PHILIPPINES </w:t>
      </w:r>
    </w:p>
    <w:p w14:paraId="7AB820AD" w14:textId="77777777" w:rsidR="00780669" w:rsidRDefault="00000000">
      <w:pPr>
        <w:keepNext/>
        <w:keepLines/>
        <w:tabs>
          <w:tab w:val="right" w:pos="851"/>
        </w:tabs>
        <w:spacing w:before="240"/>
        <w:ind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27 February 2023</w:t>
      </w:r>
    </w:p>
    <w:p w14:paraId="04CA747A" w14:textId="77777777" w:rsidR="00780669" w:rsidRDefault="00780669">
      <w:pPr>
        <w:keepNext/>
        <w:keepLines/>
        <w:tabs>
          <w:tab w:val="right" w:pos="851"/>
        </w:tabs>
        <w:spacing w:before="240"/>
        <w:ind w:hanging="2"/>
        <w:jc w:val="center"/>
        <w:rPr>
          <w:rFonts w:ascii="Times New Roman" w:eastAsia="Times New Roman" w:hAnsi="Times New Roman" w:cs="Times New Roman"/>
          <w:b/>
          <w:sz w:val="24"/>
          <w:szCs w:val="24"/>
        </w:rPr>
      </w:pPr>
    </w:p>
    <w:p w14:paraId="65E327E3" w14:textId="77777777" w:rsidR="00780669" w:rsidRDefault="00000000">
      <w:pPr>
        <w:numPr>
          <w:ilvl w:val="0"/>
          <w:numId w:val="4"/>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567E18D0" w14:textId="77777777" w:rsidR="00780669" w:rsidRDefault="00780669">
      <w:pPr>
        <w:spacing w:line="240" w:lineRule="auto"/>
        <w:ind w:left="720"/>
        <w:jc w:val="both"/>
        <w:rPr>
          <w:rFonts w:ascii="Times New Roman" w:eastAsia="Times New Roman" w:hAnsi="Times New Roman" w:cs="Times New Roman"/>
          <w:b/>
          <w:sz w:val="24"/>
          <w:szCs w:val="24"/>
        </w:rPr>
      </w:pPr>
    </w:p>
    <w:p w14:paraId="3E8ACC3D" w14:textId="77777777" w:rsidR="00780669" w:rsidRDefault="00000000">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Center for Migrant Advocacy Philippines (CMA) is an independent Civil Society Organization (CSO) in the Philippines that works for the rights and welfare of Overseas Filipino Workers (OFWs) and their families through policy advocacy, facilitation of assistance to distressed OFWs, information, research and education work, networking in the country and abroad, and capacity building for migrant organizations and local government units. </w:t>
      </w:r>
    </w:p>
    <w:p w14:paraId="6DCA107B" w14:textId="77777777" w:rsidR="00780669" w:rsidRDefault="00780669">
      <w:pPr>
        <w:spacing w:line="240" w:lineRule="auto"/>
        <w:ind w:left="720"/>
        <w:jc w:val="both"/>
        <w:rPr>
          <w:rFonts w:ascii="Times New Roman" w:eastAsia="Times New Roman" w:hAnsi="Times New Roman" w:cs="Times New Roman"/>
          <w:sz w:val="24"/>
          <w:szCs w:val="24"/>
        </w:rPr>
      </w:pPr>
    </w:p>
    <w:p w14:paraId="7BE73418" w14:textId="77777777" w:rsidR="00780669" w:rsidRDefault="00000000">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Hybrid consultations with relevant stakeholders in the country and overseas were convened to prepare for this report.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CMA also cited several past researches to add more context to the report.</w:t>
      </w:r>
    </w:p>
    <w:p w14:paraId="6FC66ED5" w14:textId="77777777" w:rsidR="00780669" w:rsidRDefault="00000000">
      <w:pPr>
        <w:keepNext/>
        <w:keepLines/>
        <w:numPr>
          <w:ilvl w:val="0"/>
          <w:numId w:val="5"/>
        </w:numPr>
        <w:tabs>
          <w:tab w:val="right" w:pos="851"/>
        </w:tabs>
        <w:spacing w:before="360" w:after="240" w:line="240" w:lineRule="auto"/>
        <w:ind w:left="567" w:right="567"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Positive Aspects</w:t>
      </w:r>
    </w:p>
    <w:p w14:paraId="2A96D3CC" w14:textId="77777777" w:rsidR="00780669"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legislations that impact on the rights of OFWs and families were passed recently: </w:t>
      </w:r>
    </w:p>
    <w:p w14:paraId="7747FAAB" w14:textId="77777777" w:rsidR="00780669" w:rsidRDefault="00000000">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 11199 or the Social Security Act of 2018 was signed into law on February 7, 2019. It mandated enrollment of all OFWs to the SSS program.  Social security benefits –both short and long-term benefits, especially old-age pensions are urgent and relevant to OFWs, the majority of whom are in countries of destination </w:t>
      </w:r>
      <w:proofErr w:type="gramStart"/>
      <w:r>
        <w:rPr>
          <w:rFonts w:ascii="Times New Roman" w:eastAsia="Times New Roman" w:hAnsi="Times New Roman" w:cs="Times New Roman"/>
          <w:sz w:val="24"/>
          <w:szCs w:val="24"/>
        </w:rPr>
        <w:t>that  provide</w:t>
      </w:r>
      <w:proofErr w:type="gramEnd"/>
      <w:r>
        <w:rPr>
          <w:rFonts w:ascii="Times New Roman" w:eastAsia="Times New Roman" w:hAnsi="Times New Roman" w:cs="Times New Roman"/>
          <w:sz w:val="24"/>
          <w:szCs w:val="24"/>
        </w:rPr>
        <w:t xml:space="preserve"> little or no access to social security and social protection programs. The program however is not fully appreciated by land-based OFWs because payment of premiums is borne 100% by the OFWs as foreign employers are not compelled to share contributions since they are outside the jurisdiction of Philippine laws. </w:t>
      </w:r>
    </w:p>
    <w:p w14:paraId="1F686FDA" w14:textId="77777777" w:rsidR="00780669" w:rsidRDefault="00000000">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RA11223 or the Universal Health Care Act was signed into law on February 20, 2019. The law creates 2 types of membership to the program. All overseas Filipinos including OFWs are categorized as direct contributors as opposed to indirect contributors. The OFWs were lukewarm to the law because they argued that while </w:t>
      </w:r>
      <w:r>
        <w:rPr>
          <w:rFonts w:ascii="Times New Roman" w:eastAsia="Times New Roman" w:hAnsi="Times New Roman" w:cs="Times New Roman"/>
          <w:sz w:val="24"/>
          <w:szCs w:val="24"/>
        </w:rPr>
        <w:lastRenderedPageBreak/>
        <w:t xml:space="preserve">overseas, they are provided health and medical insurance by their employers. Their contribution under this law and under the SSS law are perceived as burdensome to OFWs –many of whom are in low-waged occupations. </w:t>
      </w:r>
    </w:p>
    <w:p w14:paraId="0497D03F" w14:textId="77777777" w:rsidR="00780669" w:rsidRDefault="00000000">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RA11641 or the Department of Migrant Workers Act was signed into law on December 31, 2021. It absorbs 7 offices of government whose mandate is on OFWs. The new law impacts on the operationalization of the other laws above. </w:t>
      </w:r>
    </w:p>
    <w:p w14:paraId="4F1CB064" w14:textId="77777777" w:rsidR="00780669" w:rsidRDefault="00780669">
      <w:pPr>
        <w:spacing w:line="240" w:lineRule="auto"/>
        <w:jc w:val="both"/>
        <w:rPr>
          <w:rFonts w:ascii="Times New Roman" w:eastAsia="Times New Roman" w:hAnsi="Times New Roman" w:cs="Times New Roman"/>
          <w:sz w:val="24"/>
          <w:szCs w:val="24"/>
        </w:rPr>
      </w:pPr>
    </w:p>
    <w:p w14:paraId="1AA7CC50"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above, a major challenge is to ensure that the OFWs and families are informed about these legislations and how these will translate into better and improved programs and services to the migrant sector. </w:t>
      </w:r>
    </w:p>
    <w:p w14:paraId="3255E6B0" w14:textId="77777777" w:rsidR="00780669" w:rsidRDefault="00000000">
      <w:pPr>
        <w:keepNext/>
        <w:keepLines/>
        <w:numPr>
          <w:ilvl w:val="0"/>
          <w:numId w:val="5"/>
        </w:numPr>
        <w:tabs>
          <w:tab w:val="right" w:pos="851"/>
        </w:tabs>
        <w:spacing w:before="360" w:after="240" w:line="240" w:lineRule="auto"/>
        <w:ind w:left="567" w:right="567"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Principal subjects of concern and recommendations</w:t>
      </w:r>
    </w:p>
    <w:p w14:paraId="247FCEAC" w14:textId="77777777" w:rsidR="00780669" w:rsidRDefault="00000000">
      <w:pPr>
        <w:keepNext/>
        <w:keepLines/>
        <w:tabs>
          <w:tab w:val="right" w:pos="851"/>
        </w:tabs>
        <w:spacing w:before="360" w:after="240" w:line="240" w:lineRule="auto"/>
        <w:ind w:right="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General measures of implementation (arts. 73 and 84)</w:t>
      </w:r>
    </w:p>
    <w:p w14:paraId="56286311"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Legislation and application </w:t>
      </w:r>
    </w:p>
    <w:p w14:paraId="666D610F" w14:textId="77777777" w:rsidR="00780669" w:rsidRDefault="00000000">
      <w:pPr>
        <w:keepNext/>
        <w:keepLines/>
        <w:tabs>
          <w:tab w:val="right" w:pos="851"/>
        </w:tabs>
        <w:spacing w:before="24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Republic Act 11862 or the Expanded Anti-Trafficking Law was signed into law in June 2022. Section 4m of the law states that it shall be an act of trafficking in </w:t>
      </w:r>
      <w:proofErr w:type="gramStart"/>
      <w:r>
        <w:rPr>
          <w:rFonts w:ascii="Times New Roman" w:eastAsia="Times New Roman" w:hAnsi="Times New Roman" w:cs="Times New Roman"/>
          <w:sz w:val="24"/>
          <w:szCs w:val="24"/>
        </w:rPr>
        <w:t>person  “</w:t>
      </w:r>
      <w:proofErr w:type="gramEnd"/>
      <w:r>
        <w:rPr>
          <w:rFonts w:ascii="Times New Roman" w:eastAsia="Times New Roman" w:hAnsi="Times New Roman" w:cs="Times New Roman"/>
          <w:sz w:val="24"/>
          <w:szCs w:val="24"/>
        </w:rPr>
        <w:t>(m) to recruit, transport, obtain, transfer harbor, maintain, offer, hire, provide, receive, or adopt a child for deployment abroad as a migrant worker. Provided, that when the victim is a child, the means to commit these unlawful acts as enumerated in the first paragraph of this section shall not be necessary: Provided further, that in the case of overseas domestic work, a ‘child’ means a person below twenty-four (24) years old.”</w:t>
      </w:r>
      <w:r>
        <w:rPr>
          <w:rFonts w:ascii="Times New Roman" w:eastAsia="Times New Roman" w:hAnsi="Times New Roman" w:cs="Times New Roman"/>
          <w:sz w:val="24"/>
          <w:szCs w:val="24"/>
          <w:vertAlign w:val="superscript"/>
        </w:rPr>
        <w:footnoteReference w:id="3"/>
      </w:r>
    </w:p>
    <w:p w14:paraId="0D316D25" w14:textId="77777777" w:rsidR="00780669"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This provision contravenes the UN Convention on the Rights of the Child,</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UN Convention on the Elimination of All Forms of Discrimination against Women,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ILO Convention on </w:t>
      </w:r>
      <w:r>
        <w:rPr>
          <w:rFonts w:ascii="Times New Roman" w:eastAsia="Times New Roman" w:hAnsi="Times New Roman" w:cs="Times New Roman"/>
          <w:sz w:val="24"/>
          <w:szCs w:val="24"/>
        </w:rPr>
        <w:lastRenderedPageBreak/>
        <w:t>Minimum Age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and the ILO Convention on Decent Work for Domestic Workers,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all of which, the Philippines has ratified, which assert that a child is a person under 18 years old. </w:t>
      </w:r>
    </w:p>
    <w:p w14:paraId="3C34DF1C" w14:textId="77777777" w:rsidR="00780669"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It discriminates against migrant domestic workers, many of whom are women, disempowers women, and does not protect their rights. </w:t>
      </w:r>
    </w:p>
    <w:p w14:paraId="536017A0" w14:textId="77777777" w:rsidR="00780669"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In July 2022, the POEA issued Advisory No. 43-2022 which affirmed the provision under Section 4 (m) of RA11862 and thereby increased the minimum age for a migrant domestic worker from 23 years old to 24 years old.  With RA 11862 taking effect, the POEA estimated that it will affect 1,000 to 2,000 household service workers who are ready for deployment. Moreover, based on the 2020 PSA Survey on Overseas Filipino Workers, 4.4% (77,880) of the 1.77 million recorded OFWs are women aged 15 to 24 years old. </w:t>
      </w:r>
    </w:p>
    <w:p w14:paraId="287748E4" w14:textId="77777777" w:rsidR="00780669" w:rsidRDefault="00000000">
      <w:pPr>
        <w:spacing w:before="240" w:after="240" w:line="240" w:lineRule="auto"/>
        <w:jc w:val="both"/>
        <w:rPr>
          <w:rFonts w:ascii="Times New Roman" w:eastAsia="Times New Roman" w:hAnsi="Times New Roman" w:cs="Times New Roman"/>
          <w:b/>
          <w:sz w:val="24"/>
          <w:szCs w:val="24"/>
          <w:highlight w:val="cyan"/>
        </w:rPr>
      </w:pPr>
      <w:r>
        <w:rPr>
          <w:rFonts w:ascii="Times New Roman" w:eastAsia="Times New Roman" w:hAnsi="Times New Roman" w:cs="Times New Roman"/>
          <w:sz w:val="24"/>
          <w:szCs w:val="24"/>
        </w:rPr>
        <w:t>6. CMA requests the Committee to urge the State Party’s Legislative Body to revoke section 4m of RA11862.</w:t>
      </w:r>
    </w:p>
    <w:p w14:paraId="03341EA9" w14:textId="77777777" w:rsidR="00780669" w:rsidRDefault="00000000">
      <w:pPr>
        <w:keepNext/>
        <w:keepLines/>
        <w:tabs>
          <w:tab w:val="right" w:pos="851"/>
        </w:tabs>
        <w:spacing w:before="24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Data Collection</w:t>
      </w:r>
    </w:p>
    <w:p w14:paraId="0188E5FB"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To date, the government has failed to implement the Shared Government Information System for Migration, mandated as far back as the passage of RA 8042, the Magna Carta of Migrant Workers, in 1995. </w:t>
      </w:r>
      <w:r>
        <w:rPr>
          <w:rFonts w:ascii="Times New Roman" w:eastAsia="Times New Roman" w:hAnsi="Times New Roman" w:cs="Times New Roman"/>
          <w:sz w:val="24"/>
          <w:szCs w:val="24"/>
          <w:highlight w:val="white"/>
        </w:rPr>
        <w:t>Effective and efficient collection and sharing of timely data between and among agencies relevant to migrant workers and their families are a requisite to the development and delivery of appropriate programs and services.</w:t>
      </w:r>
      <w:r>
        <w:rPr>
          <w:rFonts w:ascii="Times New Roman" w:eastAsia="Times New Roman" w:hAnsi="Times New Roman" w:cs="Times New Roman"/>
          <w:sz w:val="24"/>
          <w:szCs w:val="24"/>
          <w:highlight w:val="white"/>
          <w:vertAlign w:val="superscript"/>
        </w:rPr>
        <w:footnoteReference w:id="8"/>
      </w:r>
    </w:p>
    <w:p w14:paraId="7BEB8495" w14:textId="77777777" w:rsidR="00780669"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 CMA requests the Committee to urge the State Party to set up and </w:t>
      </w:r>
      <w:proofErr w:type="spellStart"/>
      <w:r>
        <w:rPr>
          <w:rFonts w:ascii="Times New Roman" w:eastAsia="Times New Roman" w:hAnsi="Times New Roman" w:cs="Times New Roman"/>
          <w:sz w:val="24"/>
          <w:szCs w:val="24"/>
          <w:highlight w:val="white"/>
        </w:rPr>
        <w:t>operationalise</w:t>
      </w:r>
      <w:proofErr w:type="spellEnd"/>
      <w:r>
        <w:rPr>
          <w:rFonts w:ascii="Times New Roman" w:eastAsia="Times New Roman" w:hAnsi="Times New Roman" w:cs="Times New Roman"/>
          <w:sz w:val="24"/>
          <w:szCs w:val="24"/>
          <w:highlight w:val="white"/>
        </w:rPr>
        <w:t xml:space="preserve"> the Shared Government Information System on Migration. With the creation of the Department of Migrant Workers (DMW</w:t>
      </w:r>
      <w:proofErr w:type="gramStart"/>
      <w:r>
        <w:rPr>
          <w:rFonts w:ascii="Times New Roman" w:eastAsia="Times New Roman" w:hAnsi="Times New Roman" w:cs="Times New Roman"/>
          <w:sz w:val="24"/>
          <w:szCs w:val="24"/>
          <w:highlight w:val="white"/>
        </w:rPr>
        <w:t>),  the</w:t>
      </w:r>
      <w:proofErr w:type="gramEnd"/>
      <w:r>
        <w:rPr>
          <w:rFonts w:ascii="Times New Roman" w:eastAsia="Times New Roman" w:hAnsi="Times New Roman" w:cs="Times New Roman"/>
          <w:sz w:val="24"/>
          <w:szCs w:val="24"/>
          <w:highlight w:val="white"/>
        </w:rPr>
        <w:t xml:space="preserve"> work will entail less effort in terms of inter-agency coordination since it has absorbed key offices under its wing. </w:t>
      </w:r>
    </w:p>
    <w:p w14:paraId="154A3406" w14:textId="77777777" w:rsidR="00780669" w:rsidRDefault="00000000">
      <w:pPr>
        <w:keepNext/>
        <w:keepLines/>
        <w:tabs>
          <w:tab w:val="right" w:pos="851"/>
        </w:tabs>
        <w:spacing w:before="240" w:after="120" w:line="240" w:lineRule="auto"/>
        <w:ind w:right="9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Training on and dissemination of the Convention </w:t>
      </w:r>
    </w:p>
    <w:p w14:paraId="5ABA8034"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Stakeholders including LGUS from the two consultations could not recall activities by the State Party for the purpose of disseminating information about the Convention. The representative of a migrant NGO also reported that there is not enough orientation from the government on migrant rights, especially in remote areas of BARMM (Bangsamoro Autonomous Region of Muslim Mindanao), where many migrant domestic workers originate. </w:t>
      </w:r>
    </w:p>
    <w:p w14:paraId="3FD5234E" w14:textId="77777777" w:rsidR="00780669" w:rsidRDefault="00780669">
      <w:pPr>
        <w:spacing w:line="240" w:lineRule="auto"/>
        <w:jc w:val="both"/>
        <w:rPr>
          <w:rFonts w:ascii="Times New Roman" w:eastAsia="Times New Roman" w:hAnsi="Times New Roman" w:cs="Times New Roman"/>
          <w:sz w:val="24"/>
          <w:szCs w:val="24"/>
        </w:rPr>
      </w:pPr>
    </w:p>
    <w:p w14:paraId="6EB84E0F"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10. What is noticeable instead were efforts of the State Party to raise awareness on the Global Compact for Safe, orderly, and regular migration. </w:t>
      </w:r>
    </w:p>
    <w:p w14:paraId="2F9796C7" w14:textId="77777777" w:rsidR="00780669" w:rsidRDefault="00780669">
      <w:pPr>
        <w:spacing w:line="240" w:lineRule="auto"/>
        <w:jc w:val="both"/>
        <w:rPr>
          <w:rFonts w:ascii="Times New Roman" w:eastAsia="Times New Roman" w:hAnsi="Times New Roman" w:cs="Times New Roman"/>
          <w:sz w:val="24"/>
          <w:szCs w:val="24"/>
        </w:rPr>
      </w:pPr>
    </w:p>
    <w:p w14:paraId="6580178C"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CMA suggests to the Committee to request the State Party to include the Convention in their education and information campaigning in order to strengthen the rights principles of the GCM. </w:t>
      </w:r>
    </w:p>
    <w:p w14:paraId="7E144C18" w14:textId="77777777" w:rsidR="00780669" w:rsidRDefault="00780669">
      <w:pPr>
        <w:spacing w:line="240" w:lineRule="auto"/>
        <w:jc w:val="both"/>
        <w:rPr>
          <w:rFonts w:ascii="Times New Roman" w:eastAsia="Times New Roman" w:hAnsi="Times New Roman" w:cs="Times New Roman"/>
          <w:sz w:val="24"/>
          <w:szCs w:val="24"/>
        </w:rPr>
      </w:pPr>
    </w:p>
    <w:p w14:paraId="6BB826AF" w14:textId="77777777" w:rsidR="00780669"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General principles (arts. 7 and 83)</w:t>
      </w:r>
    </w:p>
    <w:p w14:paraId="12B0EC0E"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Non-Discrimination </w:t>
      </w:r>
    </w:p>
    <w:p w14:paraId="285C9EE4"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At the height of the COVID-19 pandemic where lockdowns were imposed, CMA received reports from partner organizations in the communities that OFW families in the Philippines were not provided humanitarian food packs from their local governments because they were assumed to be relatively doing well because of their OFW family members who should be sending them remittances. On several occasions, CMA intervened to make sure the families received food aid.</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04486773" w14:textId="77777777" w:rsidR="00780669" w:rsidRDefault="00780669">
      <w:pPr>
        <w:spacing w:after="120" w:line="240" w:lineRule="auto"/>
        <w:jc w:val="both"/>
        <w:rPr>
          <w:rFonts w:ascii="Times New Roman" w:eastAsia="Times New Roman" w:hAnsi="Times New Roman" w:cs="Times New Roman"/>
          <w:sz w:val="24"/>
          <w:szCs w:val="24"/>
        </w:rPr>
      </w:pPr>
    </w:p>
    <w:p w14:paraId="68B5595A" w14:textId="77777777" w:rsidR="00780669" w:rsidRDefault="00000000">
      <w:pPr>
        <w:numPr>
          <w:ilvl w:val="0"/>
          <w:numId w:val="5"/>
        </w:num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Principal subjects of concern and recommendations. General measures of implementation (arts. 73 and 84)</w:t>
      </w:r>
    </w:p>
    <w:p w14:paraId="1031C2D7" w14:textId="77777777" w:rsidR="00780669" w:rsidRDefault="00780669">
      <w:pPr>
        <w:spacing w:after="120" w:line="240" w:lineRule="auto"/>
        <w:jc w:val="both"/>
        <w:rPr>
          <w:rFonts w:ascii="Times New Roman" w:eastAsia="Times New Roman" w:hAnsi="Times New Roman" w:cs="Times New Roman"/>
          <w:sz w:val="24"/>
          <w:szCs w:val="24"/>
        </w:rPr>
      </w:pPr>
    </w:p>
    <w:p w14:paraId="600C7038"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It should likewise be reiterated that women migrant workers, particularly domestic workers, continue to be the subject of abuses. In CMA’s case referral work, they constitute 66% of its average 182 annual cases from 2014-2021, requiring more attention from the government.</w:t>
      </w:r>
    </w:p>
    <w:p w14:paraId="583A046F"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Right to an effective remedy</w:t>
      </w:r>
    </w:p>
    <w:p w14:paraId="44C90C56"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A research study of OFW cases from 2015-2019 that were decided by the Supreme Court revealed that for OFW money claims cases, it took, on average, 7.2 years for the cases to go through the entire judicial process. This estimate was counted from the day the complaint was filed to the day it was decided by the Supreme Court. This is concrete evidence of the slow judicial system which has burdened OFWs for years. OFWs also complain that they do not have the financial resources to see through the justice processes.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Because of this, most OFWs prefer amicable settlements where most of the time they accept lesser payment than they are lawfully entitled to</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This then creates a system where those that are at fault such as foreign employers or abusive recruitment agencies are not held properly accountable to their actions.</w:t>
      </w:r>
    </w:p>
    <w:p w14:paraId="6FEB1C4D"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The </w:t>
      </w:r>
      <w:proofErr w:type="gramStart"/>
      <w:r>
        <w:rPr>
          <w:rFonts w:ascii="Times New Roman" w:eastAsia="Times New Roman" w:hAnsi="Times New Roman" w:cs="Times New Roman"/>
          <w:sz w:val="24"/>
          <w:szCs w:val="24"/>
        </w:rPr>
        <w:t>Single Entry</w:t>
      </w:r>
      <w:proofErr w:type="gramEnd"/>
      <w:r>
        <w:rPr>
          <w:rFonts w:ascii="Times New Roman" w:eastAsia="Times New Roman" w:hAnsi="Times New Roman" w:cs="Times New Roman"/>
          <w:sz w:val="24"/>
          <w:szCs w:val="24"/>
        </w:rPr>
        <w:t xml:space="preserve"> Approach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is an administrative approach that provides fast, accessible, and just settlement procedures to avoid labor conflicts turning into full-scale labor cases. It aims to be a form of conciliation-mediation intervention and acts as a neutral party in the amicable </w:t>
      </w:r>
      <w:r>
        <w:rPr>
          <w:rFonts w:ascii="Times New Roman" w:eastAsia="Times New Roman" w:hAnsi="Times New Roman" w:cs="Times New Roman"/>
          <w:sz w:val="24"/>
          <w:szCs w:val="24"/>
        </w:rPr>
        <w:lastRenderedPageBreak/>
        <w:t>settling of labor disputes.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Its objective is to work with the established labor dispute settlement mechanisms of the State party.</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29A9A6BE"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As the study pointed out,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has helped several OFWs in cases against their foreign employers. However, OFWs may sometimes be disadvantaged when the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takes place onsite where migrants must face the employers they are complaining against. The </w:t>
      </w:r>
      <w:proofErr w:type="spellStart"/>
      <w:r>
        <w:rPr>
          <w:rFonts w:ascii="Times New Roman" w:eastAsia="Times New Roman" w:hAnsi="Times New Roman" w:cs="Times New Roman"/>
          <w:sz w:val="24"/>
          <w:szCs w:val="24"/>
        </w:rPr>
        <w:t>Kafalah</w:t>
      </w:r>
      <w:proofErr w:type="spellEnd"/>
      <w:r>
        <w:rPr>
          <w:rFonts w:ascii="Times New Roman" w:eastAsia="Times New Roman" w:hAnsi="Times New Roman" w:cs="Times New Roman"/>
          <w:sz w:val="24"/>
          <w:szCs w:val="24"/>
        </w:rPr>
        <w:t xml:space="preserve"> System in the GCC aggravates the imbalance of power between the OFW and the employer.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rules bar the participation of lawyers in the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conferences but OFWs are not barred from seeking legal advice before the scheduled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It may be helpful for OFWs to have access to legal advice even online so they can better equip themselves.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Consequently, settlement onsite through </w:t>
      </w:r>
      <w:proofErr w:type="spellStart"/>
      <w:r>
        <w:rPr>
          <w:rFonts w:ascii="Times New Roman" w:eastAsia="Times New Roman" w:hAnsi="Times New Roman" w:cs="Times New Roman"/>
          <w:sz w:val="24"/>
          <w:szCs w:val="24"/>
        </w:rPr>
        <w:t>SEnA</w:t>
      </w:r>
      <w:proofErr w:type="spellEnd"/>
      <w:r>
        <w:rPr>
          <w:rFonts w:ascii="Times New Roman" w:eastAsia="Times New Roman" w:hAnsi="Times New Roman" w:cs="Times New Roman"/>
          <w:sz w:val="24"/>
          <w:szCs w:val="24"/>
        </w:rPr>
        <w:t xml:space="preserve"> weakens the bargaining power of the aggrieved OFWs if and when they will invoke the joint and several liability provision for money claims under RA8042 as amended by RA10022. </w:t>
      </w:r>
    </w:p>
    <w:p w14:paraId="6C6E88BC" w14:textId="77777777" w:rsidR="00780669" w:rsidRDefault="00780669">
      <w:pPr>
        <w:spacing w:after="120" w:line="240" w:lineRule="auto"/>
        <w:jc w:val="both"/>
        <w:rPr>
          <w:rFonts w:ascii="Times New Roman" w:eastAsia="Times New Roman" w:hAnsi="Times New Roman" w:cs="Times New Roman"/>
          <w:sz w:val="24"/>
          <w:szCs w:val="24"/>
        </w:rPr>
      </w:pPr>
    </w:p>
    <w:p w14:paraId="67807999" w14:textId="77777777" w:rsidR="00780669" w:rsidRDefault="00000000">
      <w:pPr>
        <w:spacing w:after="120" w:line="240" w:lineRule="auto"/>
        <w:ind w:right="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rights of all migrant workers and members of their families (arts. 8-35)</w:t>
      </w:r>
    </w:p>
    <w:p w14:paraId="46C5D29A" w14:textId="77777777" w:rsidR="00780669" w:rsidRDefault="00000000">
      <w:pPr>
        <w:spacing w:after="120" w:line="240" w:lineRule="auto"/>
        <w:ind w:right="567"/>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exploitation and other forms of ill-treatment</w:t>
      </w:r>
    </w:p>
    <w:p w14:paraId="2E2D26A1"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From CMA’s cases alone, averaging 183 a year, problems/complaints from women migrant workers, mostly domestic workers to the Gulf states, topped by KSA, UAE, Kuwait and Qatar, averaged 66%, reaching up to a high of 72% from 2014 -2021. Problems/complaints were topped by wage and illegal deduction problems, physical/verbal abuse including overwork, stranded/unemployed/undocumented OFWs, contract substitution, illnesses and deaths. There were 14 cases sexual harassment/abuse/rape received from 2014-2019. This trend continued in 2020-2021, with wage problems still the number 1 problem/complaint followed by psychological abuse, physical/sexual abuse and rape, insufficient food and lack of rest/sleep. In 2020, 1-3 MDW reported physical/sexual abuse/rape per month. 16 women reported physical abuse, 6 sexual abuse and 3 rape.</w:t>
      </w:r>
    </w:p>
    <w:p w14:paraId="152FA94F"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During the height of the Covid-19 pandemic, CMA joined the global campaign for justice against wage theft initiated by Migrant Forum in Asia by documenting thoroughly cases of wage theft against OFWs from June 2020 to December 2021. A total of 158 cases of wage theft were contributed in the Global Campaign Tally sheet. </w:t>
      </w:r>
      <w:proofErr w:type="gramStart"/>
      <w:r>
        <w:rPr>
          <w:rFonts w:ascii="Times New Roman" w:eastAsia="Times New Roman" w:hAnsi="Times New Roman" w:cs="Times New Roman"/>
          <w:sz w:val="24"/>
          <w:szCs w:val="24"/>
        </w:rPr>
        <w:t>Ninety Nine</w:t>
      </w:r>
      <w:proofErr w:type="gramEnd"/>
      <w:r>
        <w:rPr>
          <w:rFonts w:ascii="Times New Roman" w:eastAsia="Times New Roman" w:hAnsi="Times New Roman" w:cs="Times New Roman"/>
          <w:sz w:val="24"/>
          <w:szCs w:val="24"/>
        </w:rPr>
        <w:t xml:space="preserve"> of these cases that were registered in the campaign website lost wages on average of US$4,242 per worker</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Add to this were returned OFWs in 2020 whose contacts were pre-terminated and were not paid their separation or compensation pay numbering approximately 934 from 8,332 OFW returnees surveyed by IOM and an additional 1,416 who did not get their final wages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These cases of wage theft do not include the earlier cases of some 12,000 OFWs who were not paid by their employers in Saudi </w:t>
      </w:r>
      <w:r>
        <w:rPr>
          <w:rFonts w:ascii="Times New Roman" w:eastAsia="Times New Roman" w:hAnsi="Times New Roman" w:cs="Times New Roman"/>
          <w:sz w:val="24"/>
          <w:szCs w:val="24"/>
        </w:rPr>
        <w:lastRenderedPageBreak/>
        <w:t>Arabia in 2015-2016 when the price of crude oil dropped. Amount owed was estimated at $500 M.</w:t>
      </w:r>
      <w:r>
        <w:rPr>
          <w:rFonts w:ascii="Times New Roman" w:eastAsia="Times New Roman" w:hAnsi="Times New Roman" w:cs="Times New Roman"/>
          <w:sz w:val="24"/>
          <w:szCs w:val="24"/>
          <w:vertAlign w:val="superscript"/>
        </w:rPr>
        <w:footnoteReference w:id="17"/>
      </w:r>
    </w:p>
    <w:p w14:paraId="607F05BA"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CMA urges the Committee to request the State Party to create a task force dedicated to recuperating the unpaid wages and other benefits of OFWs, negotiate and forge partnerships with other origin countries and destination countries and other relevant stakeholders, and develop avenues to </w:t>
      </w:r>
      <w:proofErr w:type="gramStart"/>
      <w:r>
        <w:rPr>
          <w:rFonts w:ascii="Times New Roman" w:eastAsia="Times New Roman" w:hAnsi="Times New Roman" w:cs="Times New Roman"/>
          <w:sz w:val="24"/>
          <w:szCs w:val="24"/>
        </w:rPr>
        <w:t>fast track</w:t>
      </w:r>
      <w:proofErr w:type="gramEnd"/>
      <w:r>
        <w:rPr>
          <w:rFonts w:ascii="Times New Roman" w:eastAsia="Times New Roman" w:hAnsi="Times New Roman" w:cs="Times New Roman"/>
          <w:sz w:val="24"/>
          <w:szCs w:val="24"/>
        </w:rPr>
        <w:t xml:space="preserve"> resolution of the cases, among others.  </w:t>
      </w:r>
    </w:p>
    <w:p w14:paraId="040B9C19"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Security</w:t>
      </w:r>
    </w:p>
    <w:p w14:paraId="4C70114C"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 The State party’s social security programs are extended to OFWs.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benefits that these programs provide are important to the OFWs considering how a number of them are in destination countries that are exclusionary or discriminatory against low-skilled or low-waged migrants. In June 2021, SSS reported an </w:t>
      </w:r>
      <w:proofErr w:type="spellStart"/>
      <w:r>
        <w:rPr>
          <w:rFonts w:ascii="Times New Roman" w:eastAsia="Times New Roman" w:hAnsi="Times New Roman" w:cs="Times New Roman"/>
          <w:sz w:val="24"/>
          <w:szCs w:val="24"/>
        </w:rPr>
        <w:t>all time</w:t>
      </w:r>
      <w:proofErr w:type="spellEnd"/>
      <w:r>
        <w:rPr>
          <w:rFonts w:ascii="Times New Roman" w:eastAsia="Times New Roman" w:hAnsi="Times New Roman" w:cs="Times New Roman"/>
          <w:sz w:val="24"/>
          <w:szCs w:val="24"/>
        </w:rPr>
        <w:t>-high membership of OFWs to SSS at 1.34 M</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With SSS membership now mandated by </w:t>
      </w:r>
      <w:proofErr w:type="gramStart"/>
      <w:r>
        <w:rPr>
          <w:rFonts w:ascii="Times New Roman" w:eastAsia="Times New Roman" w:hAnsi="Times New Roman" w:cs="Times New Roman"/>
          <w:sz w:val="24"/>
          <w:szCs w:val="24"/>
        </w:rPr>
        <w:t>law,  it</w:t>
      </w:r>
      <w:proofErr w:type="gramEnd"/>
      <w:r>
        <w:rPr>
          <w:rFonts w:ascii="Times New Roman" w:eastAsia="Times New Roman" w:hAnsi="Times New Roman" w:cs="Times New Roman"/>
          <w:sz w:val="24"/>
          <w:szCs w:val="24"/>
        </w:rPr>
        <w:t xml:space="preserve"> is hoped that more OFWs will have access to old-age pension programs. However, it should be noted that the continuous payments for the programs such as </w:t>
      </w:r>
      <w:proofErr w:type="spellStart"/>
      <w:r>
        <w:rPr>
          <w:rFonts w:ascii="Times New Roman" w:eastAsia="Times New Roman" w:hAnsi="Times New Roman" w:cs="Times New Roman"/>
          <w:sz w:val="24"/>
          <w:szCs w:val="24"/>
        </w:rPr>
        <w:t>Philhealth</w:t>
      </w:r>
      <w:proofErr w:type="spellEnd"/>
      <w:r>
        <w:rPr>
          <w:rFonts w:ascii="Times New Roman" w:eastAsia="Times New Roman" w:hAnsi="Times New Roman" w:cs="Times New Roman"/>
          <w:sz w:val="24"/>
          <w:szCs w:val="24"/>
        </w:rPr>
        <w:t>, SSS, and Pag-</w:t>
      </w:r>
      <w:proofErr w:type="spellStart"/>
      <w:r>
        <w:rPr>
          <w:rFonts w:ascii="Times New Roman" w:eastAsia="Times New Roman" w:hAnsi="Times New Roman" w:cs="Times New Roman"/>
          <w:sz w:val="24"/>
          <w:szCs w:val="24"/>
        </w:rPr>
        <w:t>Ibig</w:t>
      </w:r>
      <w:proofErr w:type="spellEnd"/>
      <w:r>
        <w:rPr>
          <w:rFonts w:ascii="Times New Roman" w:eastAsia="Times New Roman" w:hAnsi="Times New Roman" w:cs="Times New Roman"/>
          <w:sz w:val="24"/>
          <w:szCs w:val="24"/>
        </w:rPr>
        <w:t xml:space="preserve"> may sometimes be unsustainable for some OFWs. The mandatory nature of some of these programs make them unfeasible for some and even a burden for others, especially if taken into consideration the increasing premiums. Additionally, a lot of OFWs also remain unaware of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benefits of social protection programs not only for them but also for their families. </w:t>
      </w:r>
    </w:p>
    <w:p w14:paraId="02545C84"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CMA requests the Committee to urge the State Party to be pro-active in information and education campaigns on the importance of social security and social protection as element of decent work and for relevant agencies to support and promote enrolment to SSS of OFWs. </w:t>
      </w:r>
    </w:p>
    <w:p w14:paraId="796DE780"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Birth registration and nationality</w:t>
      </w:r>
    </w:p>
    <w:p w14:paraId="08571882"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Based on consultations with the UNHCR, not having a diplomatic post in Sabah where Filipinos are concentrated, birth registration through consular reach outs and insufficient information campaign for birth registration remain a challenge. This is given that the Philippine embassy is in Kuala Lumpur and going there entails time and cost that ordinary Filipinos in Sabah are concerned about. </w:t>
      </w:r>
    </w:p>
    <w:p w14:paraId="1053F923"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OFW mothers who have undocumented status in the country of destination, for fear of being identified by law enforcers that may lead to eventual deportation, may decide not to register the birth of their children until they are </w:t>
      </w:r>
      <w:proofErr w:type="spellStart"/>
      <w:r>
        <w:rPr>
          <w:rFonts w:ascii="Times New Roman" w:eastAsia="Times New Roman" w:hAnsi="Times New Roman" w:cs="Times New Roman"/>
          <w:sz w:val="24"/>
          <w:szCs w:val="24"/>
        </w:rPr>
        <w:t>grown ups</w:t>
      </w:r>
      <w:proofErr w:type="spellEnd"/>
      <w:r>
        <w:rPr>
          <w:rFonts w:ascii="Times New Roman" w:eastAsia="Times New Roman" w:hAnsi="Times New Roman" w:cs="Times New Roman"/>
          <w:sz w:val="24"/>
          <w:szCs w:val="24"/>
        </w:rPr>
        <w:t xml:space="preserve"> as stateless persons. </w:t>
      </w:r>
    </w:p>
    <w:p w14:paraId="00897941"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Right to be informed and dissemination</w:t>
      </w:r>
    </w:p>
    <w:p w14:paraId="34FD554E"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In light of the COVID-19 pandemic, the State party devised initiatives meant to help migrant workers and their families. However, information concerning these initiatives were not well-disseminated and in certain cases go unnoticed by OFWs. The Filipino community organizations and networks are crucial in this regard as most information concerning the programs were relayed by them or were spread through word of mouth. OFWs affirmed that their primary source of information was through social media, specifically through Facebook. They relied more on their </w:t>
      </w:r>
      <w:r>
        <w:rPr>
          <w:rFonts w:ascii="Times New Roman" w:eastAsia="Times New Roman" w:hAnsi="Times New Roman" w:cs="Times New Roman"/>
          <w:sz w:val="24"/>
          <w:szCs w:val="24"/>
        </w:rPr>
        <w:lastRenderedPageBreak/>
        <w:t>employers and the host governments’ media outlets for additional information. OFWs tend to depend on social media posts that are easily accessible to them rather than through the official accounts of the State party’s Embassies or POLOs.</w:t>
      </w:r>
      <w:r>
        <w:rPr>
          <w:rFonts w:ascii="Times New Roman" w:eastAsia="Times New Roman" w:hAnsi="Times New Roman" w:cs="Times New Roman"/>
          <w:sz w:val="24"/>
          <w:szCs w:val="24"/>
          <w:vertAlign w:val="superscript"/>
        </w:rPr>
        <w:footnoteReference w:id="19"/>
      </w:r>
    </w:p>
    <w:p w14:paraId="75BE6EFF"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Other rights of migrant workers and members of their families who are </w:t>
      </w:r>
      <w:r>
        <w:rPr>
          <w:rFonts w:ascii="Times New Roman" w:eastAsia="Times New Roman" w:hAnsi="Times New Roman" w:cs="Times New Roman"/>
          <w:b/>
          <w:sz w:val="24"/>
          <w:szCs w:val="24"/>
          <w:u w:val="single"/>
        </w:rPr>
        <w:t>documented or in a regular situation</w:t>
      </w:r>
      <w:r>
        <w:rPr>
          <w:rFonts w:ascii="Times New Roman" w:eastAsia="Times New Roman" w:hAnsi="Times New Roman" w:cs="Times New Roman"/>
          <w:b/>
          <w:sz w:val="24"/>
          <w:szCs w:val="24"/>
        </w:rPr>
        <w:t xml:space="preserve"> (arts. 36-56)</w:t>
      </w:r>
    </w:p>
    <w:p w14:paraId="25B513ED"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Right to vote and to be elected in State of origin</w:t>
      </w:r>
    </w:p>
    <w:p w14:paraId="2ECA40E4"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For the 2022 national elections, overseas voter turnout was 38.61%, the highest in all overseas voting exercises since 2004. There </w:t>
      </w:r>
      <w:proofErr w:type="gramStart"/>
      <w:r>
        <w:rPr>
          <w:rFonts w:ascii="Times New Roman" w:eastAsia="Times New Roman" w:hAnsi="Times New Roman" w:cs="Times New Roman"/>
          <w:sz w:val="24"/>
          <w:szCs w:val="24"/>
        </w:rPr>
        <w:t>were  1,697,215</w:t>
      </w:r>
      <w:proofErr w:type="gramEnd"/>
      <w:r>
        <w:rPr>
          <w:rFonts w:ascii="Times New Roman" w:eastAsia="Times New Roman" w:hAnsi="Times New Roman" w:cs="Times New Roman"/>
          <w:sz w:val="24"/>
          <w:szCs w:val="24"/>
        </w:rPr>
        <w:t xml:space="preserve"> registered overseas voters, with 63% women voters and 37%  men voters. For the 2022 national elections, the Commission on Elections (COMELEC) requested Congress a budget of PHP 510 million for </w:t>
      </w:r>
      <w:proofErr w:type="gramStart"/>
      <w:r>
        <w:rPr>
          <w:rFonts w:ascii="Times New Roman" w:eastAsia="Times New Roman" w:hAnsi="Times New Roman" w:cs="Times New Roman"/>
          <w:sz w:val="24"/>
          <w:szCs w:val="24"/>
        </w:rPr>
        <w:t>the  implementation</w:t>
      </w:r>
      <w:proofErr w:type="gramEnd"/>
      <w:r>
        <w:rPr>
          <w:rFonts w:ascii="Times New Roman" w:eastAsia="Times New Roman" w:hAnsi="Times New Roman" w:cs="Times New Roman"/>
          <w:sz w:val="24"/>
          <w:szCs w:val="24"/>
        </w:rPr>
        <w:t xml:space="preserve"> of the overseas voting exercise. They were given PHP 111 million, a measly 21.8% of the requested funding. This put at risk the provision of adequate postage for places where postal voting was the mode of voting, and at a time when the pandemic still threatened the lives of overseas Filipinos and OFWs.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202843D8"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While overseas Filipinos have regained the right to vote in Philippine elections, twenty years ago, it was only a partial right because a) they are constraint to vote for national positions only (President, Vice President, Senate and Party List Representatives); b) they cannot vote for members of Congress, province, town/city and barangay positions;  c) while overseas, they cannot run for any positions and be voted upon; and, d) a very small number of seafarers are able to vote because they are at sea and currently, RA10590 amending RA9189 or the Overseas Absentee Voting Law of 2003, the COMELEC is not authorized to decide on full automation of the overseas electoral system.</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43BF8737"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With the fourth revolution and digitalization in our midst however, and local migration governance increasingly becoming visible in terms of its importance because it is at the communities that the migrants and their families are, the time has come to demand for full suffrage right for overseas Filipinos including the OFWs. </w:t>
      </w:r>
    </w:p>
    <w:p w14:paraId="25B32957"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CMA requests the Committee to urge the Philippine Congress to provide adequate funding for the full implementation of overseas voting and for the State Party to seriously study possibilities to accord full suffrage right to overseas Filipino voters and pursue the direction of an automated election system. </w:t>
      </w:r>
    </w:p>
    <w:p w14:paraId="6545B8B5" w14:textId="77777777" w:rsidR="00780669" w:rsidRDefault="00780669">
      <w:pPr>
        <w:spacing w:after="120" w:line="240" w:lineRule="auto"/>
        <w:ind w:left="567" w:right="567"/>
        <w:jc w:val="both"/>
        <w:rPr>
          <w:rFonts w:ascii="Times New Roman" w:eastAsia="Times New Roman" w:hAnsi="Times New Roman" w:cs="Times New Roman"/>
          <w:sz w:val="24"/>
          <w:szCs w:val="24"/>
        </w:rPr>
      </w:pPr>
    </w:p>
    <w:p w14:paraId="3ECBEA3F" w14:textId="77777777" w:rsidR="00780669" w:rsidRDefault="00000000">
      <w:pPr>
        <w:spacing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Family Reunification</w:t>
      </w:r>
    </w:p>
    <w:p w14:paraId="2FE63B58"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29. In 2020, 70.3% of the 59.6% women OFWs deployed were engaged in elementary occupations that paid the lowest wages. As such, they cannot bring in their family members, even if they want </w:t>
      </w:r>
      <w:r>
        <w:rPr>
          <w:rFonts w:ascii="Times New Roman" w:eastAsia="Times New Roman" w:hAnsi="Times New Roman" w:cs="Times New Roman"/>
          <w:sz w:val="24"/>
          <w:szCs w:val="24"/>
        </w:rPr>
        <w:lastRenderedPageBreak/>
        <w:t xml:space="preserve">to. This is the case also for male OFWs in low-waged occupations too. This is the paradox of labor migration – that families have to be separated in order to preserve the family. And the set up works just fine for the Philippines and the countries of destination. For the former, the families left behind are the sure guarantors that remittance will be sent regularly back home. </w:t>
      </w:r>
    </w:p>
    <w:p w14:paraId="2E7F6B3F"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This is further asserted by the POEA-DMW rules on recruitment and deployment of workers which included in the OFW obligations to “provide the family ample financial and moral support and to communicate regularly and preserve the integrity of the family.” Failure to do so will meet the penalty of suspension from overseas employment program of 6 months to 1 year.</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69422647"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For the latter, destination countries will not be ‘burdened’ by extra services they have to provide for the family members of the OFWs.  This set up is common for low-waged migrants. For skilled workers, there is little or no prohibition to bring their families with them. In fact, for many of the highly-skilled migrants, the package of benefits does include bringing along their family members. </w:t>
      </w:r>
    </w:p>
    <w:p w14:paraId="29C35C31"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In this situation, CMA asks the question –why the double standards which have social costs and reinforces a structure of privilege, status and discrimination? </w:t>
      </w:r>
    </w:p>
    <w:p w14:paraId="46B49AF1"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 CMA requests the Committee to urge the State Party to work alongside destination countries to invest in developing measures and programs that will enable families to be together regardless of their type of occupations.   </w:t>
      </w:r>
    </w:p>
    <w:p w14:paraId="19A8F2E9"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Provisions applicable to particular categories of migrant workers and members of their families (articles 57 – 63)</w:t>
      </w:r>
    </w:p>
    <w:p w14:paraId="017B8294"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t>Frontier and seasonal workers</w:t>
      </w:r>
    </w:p>
    <w:p w14:paraId="7A4D2880" w14:textId="77777777" w:rsidR="00780669" w:rsidRDefault="00000000">
      <w:pPr>
        <w:keepNext/>
        <w:keepLines/>
        <w:tabs>
          <w:tab w:val="right" w:pos="851"/>
        </w:tabs>
        <w:spacing w:before="24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In recent years, OFWs are recruited and deployed to Korea as workers in agriculture and/or fisheries on the basis of a Memorandum of Understanding under the Seasonal Worker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(SWP) of Korea between the local governments in Korea and the Philippines.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To date, MOUs have been forged with over a hundred LGUs in the Philippines and the total number of OFWs recruited and deployed is more than 2,418</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7D17B44D"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The SWP </w:t>
      </w:r>
      <w:proofErr w:type="gramStart"/>
      <w:r>
        <w:rPr>
          <w:rFonts w:ascii="Times New Roman" w:eastAsia="Times New Roman" w:hAnsi="Times New Roman" w:cs="Times New Roman"/>
          <w:sz w:val="24"/>
          <w:szCs w:val="24"/>
        </w:rPr>
        <w:t>is  an</w:t>
      </w:r>
      <w:proofErr w:type="gramEnd"/>
      <w:r>
        <w:rPr>
          <w:rFonts w:ascii="Times New Roman" w:eastAsia="Times New Roman" w:hAnsi="Times New Roman" w:cs="Times New Roman"/>
          <w:sz w:val="24"/>
          <w:szCs w:val="24"/>
        </w:rPr>
        <w:t xml:space="preserve"> employment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in Korea to respond to acute labor shortage in agriculture and fisheries. Migrant workers are recruited to work for 90 days under a </w:t>
      </w:r>
      <w:proofErr w:type="gramStart"/>
      <w:r>
        <w:rPr>
          <w:rFonts w:ascii="Times New Roman" w:eastAsia="Times New Roman" w:hAnsi="Times New Roman" w:cs="Times New Roman"/>
          <w:sz w:val="24"/>
          <w:szCs w:val="24"/>
        </w:rPr>
        <w:t>short term</w:t>
      </w:r>
      <w:proofErr w:type="gramEnd"/>
      <w:r>
        <w:rPr>
          <w:rFonts w:ascii="Times New Roman" w:eastAsia="Times New Roman" w:hAnsi="Times New Roman" w:cs="Times New Roman"/>
          <w:sz w:val="24"/>
          <w:szCs w:val="24"/>
        </w:rPr>
        <w:t xml:space="preserve"> employment visa C4 or E8 for seasonal employment for 5 months.</w:t>
      </w:r>
    </w:p>
    <w:p w14:paraId="116CF8D1"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9233BC"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A concerning issue is the fact that recruitment and deployment of OFWs is a tightly regulated activity and only authorized entities may do so. In this case, local governments in the Philippines are not authorized to recruit workers. Following this logic, these LGUs may be circumventing the POEA-DMW rules and they can be charged for illegal recruitment. To date however, the POEA-DMW responds to queries of individual LGUs but fall short in explicitly stepping in to claim its mandate, inform and educate the LGUs and the communities about the SWP and how they can possibly avail of the program legitimately so LGUs do not violate the POEA-DMW rules. The </w:t>
      </w:r>
      <w:r>
        <w:rPr>
          <w:rFonts w:ascii="Times New Roman" w:eastAsia="Times New Roman" w:hAnsi="Times New Roman" w:cs="Times New Roman"/>
          <w:sz w:val="24"/>
          <w:szCs w:val="24"/>
        </w:rPr>
        <w:lastRenderedPageBreak/>
        <w:t xml:space="preserve">OFWs under the SWP may also fall outside the radar of the Migrant Worker Office in Korea since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is not officially recognized by the DMW.  </w:t>
      </w:r>
    </w:p>
    <w:p w14:paraId="2FD7638D" w14:textId="77777777" w:rsidR="00780669" w:rsidRDefault="00780669">
      <w:pPr>
        <w:spacing w:line="240" w:lineRule="auto"/>
        <w:jc w:val="both"/>
        <w:rPr>
          <w:rFonts w:ascii="Times New Roman" w:eastAsia="Times New Roman" w:hAnsi="Times New Roman" w:cs="Times New Roman"/>
          <w:sz w:val="24"/>
          <w:szCs w:val="24"/>
        </w:rPr>
      </w:pPr>
    </w:p>
    <w:p w14:paraId="7512F129"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A Technical Working Group was formed by the POEA-DMA to look into the issue but still no definitive action on their part</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In the meantime, more LGUs continue to forge MOUs with their counterparts in Korea</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while some returned OFWs have already filed complaints against their LGUs because of their negative experience in Korea.</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p>
    <w:p w14:paraId="72BAA309" w14:textId="77777777" w:rsidR="00780669" w:rsidRDefault="00780669">
      <w:pPr>
        <w:spacing w:line="240" w:lineRule="auto"/>
        <w:jc w:val="both"/>
        <w:rPr>
          <w:rFonts w:ascii="Times New Roman" w:eastAsia="Times New Roman" w:hAnsi="Times New Roman" w:cs="Times New Roman"/>
          <w:sz w:val="24"/>
          <w:szCs w:val="24"/>
        </w:rPr>
      </w:pPr>
    </w:p>
    <w:p w14:paraId="7D0D74E5"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Furthermore, upon scrutiny of a draft MOU that was submitted to CMA by an LGU for advice, CMA noted that many of the provisions work against the interest of the workers. For example, there is provision for the worker to provide a return assurance deposit to the LGU which will be returned to the worker once back in the country. If the worker does not return as scheduled, the deposit money will be forfeited and kept by the LGU. Despite the lack of information on </w:t>
      </w:r>
      <w:proofErr w:type="gramStart"/>
      <w:r>
        <w:rPr>
          <w:rFonts w:ascii="Times New Roman" w:eastAsia="Times New Roman" w:hAnsi="Times New Roman" w:cs="Times New Roman"/>
          <w:sz w:val="24"/>
          <w:szCs w:val="24"/>
        </w:rPr>
        <w:t>SWP,  OFWs</w:t>
      </w:r>
      <w:proofErr w:type="gramEnd"/>
      <w:r>
        <w:rPr>
          <w:rFonts w:ascii="Times New Roman" w:eastAsia="Times New Roman" w:hAnsi="Times New Roman" w:cs="Times New Roman"/>
          <w:sz w:val="24"/>
          <w:szCs w:val="24"/>
        </w:rPr>
        <w:t xml:space="preserve"> are attracted to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This situation is rife for corruption since the applicants are so many compared to the small number that will be recruited and deployed. </w:t>
      </w:r>
    </w:p>
    <w:p w14:paraId="084A734D" w14:textId="77777777" w:rsidR="00780669" w:rsidRDefault="00780669">
      <w:pPr>
        <w:spacing w:line="240" w:lineRule="auto"/>
        <w:jc w:val="both"/>
        <w:rPr>
          <w:rFonts w:ascii="Times New Roman" w:eastAsia="Times New Roman" w:hAnsi="Times New Roman" w:cs="Times New Roman"/>
          <w:sz w:val="24"/>
          <w:szCs w:val="24"/>
        </w:rPr>
      </w:pPr>
    </w:p>
    <w:p w14:paraId="2B35F910" w14:textId="77777777" w:rsidR="00780669"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 CMA requests the Committee to seek clarity from the State party in order to take immediate action to issue clear guidelines, labor standards and to engage as well in a massive information campaign about the SWP.</w:t>
      </w:r>
    </w:p>
    <w:p w14:paraId="50A0951B" w14:textId="77777777" w:rsidR="00780669" w:rsidRDefault="00000000">
      <w:pPr>
        <w:spacing w:line="240" w:lineRule="auto"/>
        <w:ind w:left="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8512C9"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 of sound, equitable, humane and lawful conditions in connection with international migration of workers and members of their families (arts. 64-71)</w:t>
      </w:r>
    </w:p>
    <w:p w14:paraId="7B2E8B06" w14:textId="77777777" w:rsidR="00780669" w:rsidRDefault="00000000">
      <w:pPr>
        <w:keepNext/>
        <w:keepLines/>
        <w:tabs>
          <w:tab w:val="right" w:pos="851"/>
        </w:tabs>
        <w:spacing w:before="240" w:after="120" w:line="240" w:lineRule="auto"/>
        <w:ind w:right="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International cooperation with countries of transit and destination</w:t>
      </w:r>
    </w:p>
    <w:p w14:paraId="4398557F"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40. RA 10022 reiterates the importance of the State party entering into Bilateral Labor Agreements (BLAs) with other countries hosting OFWs. Section 4 of this law dictates that the State party will only deploy its migrant workers to countries where their rights are protected. </w:t>
      </w:r>
    </w:p>
    <w:p w14:paraId="4614CDC4"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OFWs are deployed in more than 230 countries and territories across the globe.  If this </w:t>
      </w:r>
      <w:proofErr w:type="gramStart"/>
      <w:r>
        <w:rPr>
          <w:rFonts w:ascii="Times New Roman" w:eastAsia="Times New Roman" w:hAnsi="Times New Roman" w:cs="Times New Roman"/>
          <w:sz w:val="24"/>
          <w:szCs w:val="24"/>
        </w:rPr>
        <w:t>were  the</w:t>
      </w:r>
      <w:proofErr w:type="gramEnd"/>
      <w:r>
        <w:rPr>
          <w:rFonts w:ascii="Times New Roman" w:eastAsia="Times New Roman" w:hAnsi="Times New Roman" w:cs="Times New Roman"/>
          <w:sz w:val="24"/>
          <w:szCs w:val="24"/>
        </w:rPr>
        <w:t xml:space="preserve"> case, does this mean that all of these destinations satisfy the criteria for deployment under Section 4? </w:t>
      </w:r>
    </w:p>
    <w:p w14:paraId="2726AFDF" w14:textId="77777777" w:rsidR="00780669" w:rsidRDefault="00780669">
      <w:pPr>
        <w:spacing w:after="120" w:line="240" w:lineRule="auto"/>
        <w:jc w:val="both"/>
        <w:rPr>
          <w:rFonts w:ascii="Times New Roman" w:eastAsia="Times New Roman" w:hAnsi="Times New Roman" w:cs="Times New Roman"/>
          <w:sz w:val="24"/>
          <w:szCs w:val="24"/>
        </w:rPr>
      </w:pPr>
    </w:p>
    <w:p w14:paraId="1235C56C"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CMA proposes to the Committee to request the State Party to revisit Section 4 and come up with concrete measures to assess its efficacy. </w:t>
      </w:r>
    </w:p>
    <w:p w14:paraId="33E377AF"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The recent death of </w:t>
      </w:r>
      <w:proofErr w:type="spellStart"/>
      <w:r>
        <w:rPr>
          <w:rFonts w:ascii="Times New Roman" w:eastAsia="Times New Roman" w:hAnsi="Times New Roman" w:cs="Times New Roman"/>
          <w:sz w:val="24"/>
          <w:szCs w:val="24"/>
        </w:rPr>
        <w:t>Jullebee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Ranara</w:t>
      </w:r>
      <w:proofErr w:type="spellEnd"/>
      <w:r>
        <w:rPr>
          <w:rFonts w:ascii="Times New Roman" w:eastAsia="Times New Roman" w:hAnsi="Times New Roman" w:cs="Times New Roman"/>
          <w:sz w:val="24"/>
          <w:szCs w:val="24"/>
        </w:rPr>
        <w:t xml:space="preserve">, a domestic worker that was found raped, murdered, and burnt in Kuwait, triggered calls to review existing BLAs. </w:t>
      </w:r>
      <w:proofErr w:type="spellStart"/>
      <w:r>
        <w:rPr>
          <w:rFonts w:ascii="Times New Roman" w:eastAsia="Times New Roman" w:hAnsi="Times New Roman" w:cs="Times New Roman"/>
          <w:sz w:val="24"/>
          <w:szCs w:val="24"/>
        </w:rPr>
        <w:t>Ranara’s</w:t>
      </w:r>
      <w:proofErr w:type="spellEnd"/>
      <w:r>
        <w:rPr>
          <w:rFonts w:ascii="Times New Roman" w:eastAsia="Times New Roman" w:hAnsi="Times New Roman" w:cs="Times New Roman"/>
          <w:sz w:val="24"/>
          <w:szCs w:val="24"/>
        </w:rPr>
        <w:t xml:space="preserve"> case has brought to light concerning gaps in current BLAs. Specifically, it has shed a light on the lack of explicit provisions regarding the protocols of investigation and prosecution of criminal offenses committed against </w:t>
      </w:r>
      <w:r>
        <w:rPr>
          <w:rFonts w:ascii="Times New Roman" w:eastAsia="Times New Roman" w:hAnsi="Times New Roman" w:cs="Times New Roman"/>
          <w:sz w:val="24"/>
          <w:szCs w:val="24"/>
        </w:rPr>
        <w:lastRenderedPageBreak/>
        <w:t>OFWs and the access to justice of OFWs and their families.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It should also be noted that there is a lack of explicit provisions concerning the prohibition of confiscation of travel and identity documents of Filipino domestic workers particularly in the BLAs and agreements of the State party with Saudi Arabia and Jordan.</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14:paraId="387337EF" w14:textId="77777777" w:rsidR="0078066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 </w:t>
      </w:r>
      <w:proofErr w:type="spellStart"/>
      <w:r>
        <w:rPr>
          <w:rFonts w:ascii="Times New Roman" w:eastAsia="Times New Roman" w:hAnsi="Times New Roman" w:cs="Times New Roman"/>
          <w:sz w:val="24"/>
          <w:szCs w:val="24"/>
        </w:rPr>
        <w:t>Ranara</w:t>
      </w:r>
      <w:proofErr w:type="spellEnd"/>
      <w:r>
        <w:rPr>
          <w:rFonts w:ascii="Times New Roman" w:eastAsia="Times New Roman" w:hAnsi="Times New Roman" w:cs="Times New Roman"/>
          <w:sz w:val="24"/>
          <w:szCs w:val="24"/>
        </w:rPr>
        <w:t xml:space="preserve"> was not the first OFW to brutally die in the hands of their employer in Kuwait in recent years.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Additionally, CMA was also referred to the case of Naty Galap </w:t>
      </w:r>
      <w:proofErr w:type="spellStart"/>
      <w:r>
        <w:rPr>
          <w:rFonts w:ascii="Times New Roman" w:eastAsia="Times New Roman" w:hAnsi="Times New Roman" w:cs="Times New Roman"/>
          <w:sz w:val="24"/>
          <w:szCs w:val="24"/>
        </w:rPr>
        <w:t>Tocnang</w:t>
      </w:r>
      <w:proofErr w:type="spellEnd"/>
      <w:r>
        <w:rPr>
          <w:rFonts w:ascii="Times New Roman" w:eastAsia="Times New Roman" w:hAnsi="Times New Roman" w:cs="Times New Roman"/>
          <w:sz w:val="24"/>
          <w:szCs w:val="24"/>
        </w:rPr>
        <w:t xml:space="preserve">, an OFW in Kuwait who died under mysterious circumstances. Her case was put forward by her daughter to CMA, almost a year after the reported demise of her mother. She sought CMA’s </w:t>
      </w:r>
      <w:proofErr w:type="gramStart"/>
      <w:r>
        <w:rPr>
          <w:rFonts w:ascii="Times New Roman" w:eastAsia="Times New Roman" w:hAnsi="Times New Roman" w:cs="Times New Roman"/>
          <w:sz w:val="24"/>
          <w:szCs w:val="24"/>
        </w:rPr>
        <w:t>help  after</w:t>
      </w:r>
      <w:proofErr w:type="gramEnd"/>
      <w:r>
        <w:rPr>
          <w:rFonts w:ascii="Times New Roman" w:eastAsia="Times New Roman" w:hAnsi="Times New Roman" w:cs="Times New Roman"/>
          <w:sz w:val="24"/>
          <w:szCs w:val="24"/>
        </w:rPr>
        <w:t xml:space="preserve"> receiving confusing accounts from her mother’s employer, co-worker, and Embassy personnel concerning her mother’s death.</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Aside from the confusing reports that she received from multiple sources, she was also unaware of the death benefits that the family was entitled to. Through CMA the family was able to receive the death benefits under the mandatory insurance provision of RA10022. </w:t>
      </w:r>
    </w:p>
    <w:p w14:paraId="3735B0FA" w14:textId="77777777" w:rsidR="00780669" w:rsidRDefault="00000000">
      <w:pPr>
        <w:spacing w:after="120" w:line="240" w:lineRule="auto"/>
        <w:jc w:val="both"/>
        <w:rPr>
          <w:rFonts w:ascii="Times New Roman" w:eastAsia="Times New Roman" w:hAnsi="Times New Roman" w:cs="Times New Roman"/>
          <w:b/>
          <w:sz w:val="24"/>
          <w:szCs w:val="24"/>
          <w:highlight w:val="cyan"/>
        </w:rPr>
      </w:pPr>
      <w:r>
        <w:rPr>
          <w:rFonts w:ascii="Times New Roman" w:eastAsia="Times New Roman" w:hAnsi="Times New Roman" w:cs="Times New Roman"/>
          <w:sz w:val="24"/>
          <w:szCs w:val="24"/>
        </w:rPr>
        <w:t>44. The State party does not lack in BLAs and MOAs with other countries. It should be recognized that most BLAs signed by the State party include provisions concerning the creation of Joint Committees or Joint Working Groups from both parties. However, there are no definite provisions that detail the schedule of meetings of these committees and how often they must meet to ensure the monitoring of the BLAs. It should also be noted that several of the State party’s BLAs such as those with Saudi Arabia, Lebanon, and Jordan have no provisions concerning periodic and independent evaluations.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There is a lack of systemic monitoring and evaluation mechanisms that can properly assess the implementation of the BLAs.</w:t>
      </w:r>
    </w:p>
    <w:p w14:paraId="21D348E7" w14:textId="77777777" w:rsidR="00780669" w:rsidRDefault="00000000">
      <w:pPr>
        <w:tabs>
          <w:tab w:val="right" w:pos="851"/>
        </w:tabs>
        <w:spacing w:after="120" w:line="240" w:lineRule="auto"/>
        <w:ind w:right="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Return and reintegration</w:t>
      </w:r>
    </w:p>
    <w:p w14:paraId="41A096D7" w14:textId="77777777" w:rsidR="00780669"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45. The State party provided a repatriation program for OFWs that were displaced by the pandemic. </w:t>
      </w:r>
      <w:r>
        <w:rPr>
          <w:rFonts w:ascii="Times New Roman" w:eastAsia="Times New Roman" w:hAnsi="Times New Roman" w:cs="Times New Roman"/>
          <w:sz w:val="24"/>
          <w:szCs w:val="24"/>
          <w:highlight w:val="white"/>
        </w:rPr>
        <w:t xml:space="preserve">The State party also developed several programs including DOLE-AKAP which aimed to provide financial assistance to vulnerable and returning OFWs affected by the pandemic. </w:t>
      </w:r>
    </w:p>
    <w:p w14:paraId="48C7968A" w14:textId="77777777" w:rsidR="00780669"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Registration for the DOLE-AKAP program is online. This system proved to be difficult for several OFWs including those that belong to older populations. In several cases, the POLOs had to instruct the OFWs how to submit their applications step-by-step which required a lot of time and effort from both parties. Several OFWs also asked if they can submit their documents through social media messaging platforms since they are more familiar with them. Additionally, the distribution of financial assistance was also a challenge for both the POLOs and OFWs because of mobility restrictions and logistical details of the bank-to-bank transfer system. This is because some OFWs do not have personal bank accounts that can accept the financial assistance directly. </w:t>
      </w:r>
      <w:r>
        <w:rPr>
          <w:rFonts w:ascii="Times New Roman" w:eastAsia="Times New Roman" w:hAnsi="Times New Roman" w:cs="Times New Roman"/>
          <w:sz w:val="24"/>
          <w:szCs w:val="24"/>
          <w:highlight w:val="white"/>
        </w:rPr>
        <w:lastRenderedPageBreak/>
        <w:t>There was also confusion as to whether OFWs can avail the DOLE-AKAP in conjunction with other assistance programs as POLOs tend to have different rules concerning the matter.</w:t>
      </w:r>
      <w:r>
        <w:rPr>
          <w:rFonts w:ascii="Times New Roman" w:eastAsia="Times New Roman" w:hAnsi="Times New Roman" w:cs="Times New Roman"/>
          <w:sz w:val="24"/>
          <w:szCs w:val="24"/>
          <w:highlight w:val="white"/>
          <w:vertAlign w:val="superscript"/>
        </w:rPr>
        <w:footnoteReference w:id="33"/>
      </w:r>
    </w:p>
    <w:p w14:paraId="2BE6FD35" w14:textId="77777777" w:rsidR="00780669" w:rsidRDefault="00000000">
      <w:pPr>
        <w:spacing w:after="120" w:line="240" w:lineRule="auto"/>
        <w:jc w:val="both"/>
        <w:rPr>
          <w:rFonts w:ascii="Times New Roman" w:eastAsia="Times New Roman" w:hAnsi="Times New Roman" w:cs="Times New Roman"/>
          <w:sz w:val="24"/>
          <w:szCs w:val="24"/>
          <w:highlight w:val="white"/>
          <w:vertAlign w:val="superscript"/>
        </w:rPr>
      </w:pPr>
      <w:r>
        <w:rPr>
          <w:rFonts w:ascii="Times New Roman" w:eastAsia="Times New Roman" w:hAnsi="Times New Roman" w:cs="Times New Roman"/>
          <w:sz w:val="24"/>
          <w:szCs w:val="24"/>
          <w:highlight w:val="white"/>
        </w:rPr>
        <w:t xml:space="preserve">47. In 2020-2021, CMA helped 486 repatriated OFWs displaced by the pandemic follow up their one-time DOLE-AKAP cash assistance ($200) following the long delay of its release or lack of updates. Some were released after 3-6 months, one after a year. </w:t>
      </w:r>
    </w:p>
    <w:p w14:paraId="578CA242" w14:textId="77777777" w:rsidR="00780669"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A government research</w:t>
      </w:r>
      <w:r>
        <w:rPr>
          <w:rFonts w:ascii="Times New Roman" w:eastAsia="Times New Roman" w:hAnsi="Times New Roman" w:cs="Times New Roman"/>
          <w:sz w:val="24"/>
          <w:szCs w:val="24"/>
          <w:highlight w:val="white"/>
          <w:vertAlign w:val="superscript"/>
        </w:rPr>
        <w:footnoteReference w:id="34"/>
      </w:r>
      <w:r>
        <w:rPr>
          <w:rFonts w:ascii="Times New Roman" w:eastAsia="Times New Roman" w:hAnsi="Times New Roman" w:cs="Times New Roman"/>
          <w:sz w:val="24"/>
          <w:szCs w:val="24"/>
          <w:highlight w:val="white"/>
        </w:rPr>
        <w:t xml:space="preserve"> found that assistance from different stakeholders were largely for relief rather than reintegration. It identified gaps in mental health and psychosocial services (</w:t>
      </w:r>
      <w:proofErr w:type="gramStart"/>
      <w:r>
        <w:rPr>
          <w:rFonts w:ascii="Times New Roman" w:eastAsia="Times New Roman" w:hAnsi="Times New Roman" w:cs="Times New Roman"/>
          <w:sz w:val="24"/>
          <w:szCs w:val="24"/>
          <w:highlight w:val="white"/>
        </w:rPr>
        <w:t>e.g.</w:t>
      </w:r>
      <w:proofErr w:type="gramEnd"/>
      <w:r>
        <w:rPr>
          <w:rFonts w:ascii="Times New Roman" w:eastAsia="Times New Roman" w:hAnsi="Times New Roman" w:cs="Times New Roman"/>
          <w:sz w:val="24"/>
          <w:szCs w:val="24"/>
          <w:highlight w:val="white"/>
        </w:rPr>
        <w:t xml:space="preserve"> for abused returnees) e.g. 95% of surveyed OFWs who experienced (repeated) stranding, multiple quarantine and suffering trauma did not receive mental health and psychosocial services like counseling and therapy sessions.</w:t>
      </w:r>
    </w:p>
    <w:p w14:paraId="4939AD2B" w14:textId="77777777" w:rsidR="00780669"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49. Another government study</w:t>
      </w:r>
      <w:r>
        <w:rPr>
          <w:rFonts w:ascii="Times New Roman" w:eastAsia="Times New Roman" w:hAnsi="Times New Roman" w:cs="Times New Roman"/>
          <w:sz w:val="24"/>
          <w:szCs w:val="24"/>
          <w:highlight w:val="white"/>
          <w:vertAlign w:val="superscript"/>
        </w:rPr>
        <w:footnoteReference w:id="35"/>
      </w:r>
      <w:r>
        <w:rPr>
          <w:rFonts w:ascii="Times New Roman" w:eastAsia="Times New Roman" w:hAnsi="Times New Roman" w:cs="Times New Roman"/>
          <w:sz w:val="24"/>
          <w:szCs w:val="24"/>
          <w:highlight w:val="white"/>
        </w:rPr>
        <w:t xml:space="preserve"> has already identified factors influencing migrant return and reintegration. Its recommendations should guide the DMW in advancing reintegration programming including strengthening coordination between national and local governments and among stakeholders.</w:t>
      </w:r>
    </w:p>
    <w:p w14:paraId="44B539BD" w14:textId="77777777" w:rsidR="00780669"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50. In terms of reintegration programs in general, a representative of ACHIEVE reported that not much is heard about health programs, in particular with HIV-AIDS which has been afflicting more OFWs as per DoH’s monthly registry. Many private recruitment agencies require HIV tests even if destination countries do not require it. The NGO ACHIEVE reported that this </w:t>
      </w:r>
      <w:proofErr w:type="gramStart"/>
      <w:r>
        <w:rPr>
          <w:rFonts w:ascii="Times New Roman" w:eastAsia="Times New Roman" w:hAnsi="Times New Roman" w:cs="Times New Roman"/>
          <w:sz w:val="24"/>
          <w:szCs w:val="24"/>
          <w:highlight w:val="white"/>
        </w:rPr>
        <w:t>means  that</w:t>
      </w:r>
      <w:proofErr w:type="gramEnd"/>
      <w:r>
        <w:rPr>
          <w:rFonts w:ascii="Times New Roman" w:eastAsia="Times New Roman" w:hAnsi="Times New Roman" w:cs="Times New Roman"/>
          <w:sz w:val="24"/>
          <w:szCs w:val="24"/>
          <w:highlight w:val="white"/>
        </w:rPr>
        <w:t xml:space="preserve"> the affected OFWs are unable to return to work abroad which is a violation of their right to work. In addition, both Siquijor and BARRM migrant NGOs reported the lack of government mental health programs for returning OFWs unlike before. The Siquijor representative also added the lack of medical assistance for returning OFWs. These OFW group representatives also reported the continuing need for financial literacy training.</w:t>
      </w:r>
    </w:p>
    <w:p w14:paraId="7774EFCF" w14:textId="77777777" w:rsidR="00780669" w:rsidRDefault="00780669">
      <w:pPr>
        <w:tabs>
          <w:tab w:val="right" w:pos="851"/>
        </w:tabs>
        <w:spacing w:after="120" w:line="240" w:lineRule="auto"/>
        <w:ind w:right="567"/>
        <w:jc w:val="both"/>
        <w:rPr>
          <w:rFonts w:ascii="Times New Roman" w:eastAsia="Times New Roman" w:hAnsi="Times New Roman" w:cs="Times New Roman"/>
          <w:b/>
          <w:sz w:val="24"/>
          <w:szCs w:val="24"/>
          <w:highlight w:val="cyan"/>
        </w:rPr>
      </w:pPr>
    </w:p>
    <w:p w14:paraId="5C20C478" w14:textId="77777777" w:rsidR="00780669" w:rsidRDefault="00780669">
      <w:pPr>
        <w:spacing w:after="120" w:line="240" w:lineRule="auto"/>
        <w:ind w:right="567"/>
        <w:jc w:val="both"/>
        <w:rPr>
          <w:rFonts w:ascii="Times New Roman" w:eastAsia="Times New Roman" w:hAnsi="Times New Roman" w:cs="Times New Roman"/>
          <w:sz w:val="24"/>
          <w:szCs w:val="24"/>
        </w:rPr>
      </w:pPr>
    </w:p>
    <w:sectPr w:rsidR="00780669">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D967" w14:textId="77777777" w:rsidR="001D6B24" w:rsidRDefault="001D6B24">
      <w:pPr>
        <w:spacing w:line="240" w:lineRule="auto"/>
      </w:pPr>
      <w:r>
        <w:separator/>
      </w:r>
    </w:p>
  </w:endnote>
  <w:endnote w:type="continuationSeparator" w:id="0">
    <w:p w14:paraId="1A4FA2E5" w14:textId="77777777" w:rsidR="001D6B24" w:rsidRDefault="001D6B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52A29" w14:textId="77777777" w:rsidR="00780669" w:rsidRDefault="00000000">
    <w:pPr>
      <w:jc w:val="right"/>
    </w:pPr>
    <w:r>
      <w:fldChar w:fldCharType="begin"/>
    </w:r>
    <w:r>
      <w:instrText>PAGE</w:instrText>
    </w:r>
    <w:r>
      <w:fldChar w:fldCharType="separate"/>
    </w:r>
    <w:r w:rsidR="007324B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BE28E" w14:textId="77777777" w:rsidR="00780669" w:rsidRDefault="00000000">
    <w:pPr>
      <w:jc w:val="right"/>
    </w:pPr>
    <w:r>
      <w:fldChar w:fldCharType="begin"/>
    </w:r>
    <w:r>
      <w:instrText>PAGE</w:instrText>
    </w:r>
    <w:r>
      <w:fldChar w:fldCharType="separate"/>
    </w:r>
    <w:r w:rsidR="007324B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4D669" w14:textId="77777777" w:rsidR="001D6B24" w:rsidRDefault="001D6B24">
      <w:pPr>
        <w:spacing w:line="240" w:lineRule="auto"/>
      </w:pPr>
      <w:r>
        <w:separator/>
      </w:r>
    </w:p>
  </w:footnote>
  <w:footnote w:type="continuationSeparator" w:id="0">
    <w:p w14:paraId="4E305488" w14:textId="77777777" w:rsidR="001D6B24" w:rsidRDefault="001D6B24">
      <w:pPr>
        <w:spacing w:line="240" w:lineRule="auto"/>
      </w:pPr>
      <w:r>
        <w:continuationSeparator/>
      </w:r>
    </w:p>
  </w:footnote>
  <w:footnote w:id="1">
    <w:p w14:paraId="41BCBDA5" w14:textId="77777777" w:rsidR="00780669" w:rsidRDefault="00000000">
      <w:pPr>
        <w:spacing w:line="240" w:lineRule="auto"/>
        <w:rPr>
          <w:sz w:val="18"/>
          <w:szCs w:val="18"/>
        </w:rPr>
      </w:pPr>
      <w:r>
        <w:rPr>
          <w:vertAlign w:val="superscript"/>
        </w:rPr>
        <w:footnoteRef/>
      </w:r>
      <w:r>
        <w:rPr>
          <w:sz w:val="18"/>
          <w:szCs w:val="18"/>
        </w:rPr>
        <w:t xml:space="preserve"> This submission may be posted in the </w:t>
      </w:r>
      <w:proofErr w:type="gramStart"/>
      <w:r>
        <w:rPr>
          <w:sz w:val="18"/>
          <w:szCs w:val="18"/>
        </w:rPr>
        <w:t>CMW  webpage</w:t>
      </w:r>
      <w:proofErr w:type="gramEnd"/>
      <w:r>
        <w:rPr>
          <w:sz w:val="18"/>
          <w:szCs w:val="18"/>
        </w:rPr>
        <w:t xml:space="preserve"> for public information purposes. </w:t>
      </w:r>
    </w:p>
  </w:footnote>
  <w:footnote w:id="2">
    <w:p w14:paraId="00C42808" w14:textId="77777777" w:rsidR="00780669" w:rsidRDefault="00000000">
      <w:pPr>
        <w:spacing w:line="240" w:lineRule="auto"/>
        <w:jc w:val="both"/>
        <w:rPr>
          <w:sz w:val="18"/>
          <w:szCs w:val="18"/>
        </w:rPr>
      </w:pPr>
      <w:r>
        <w:rPr>
          <w:vertAlign w:val="superscript"/>
        </w:rPr>
        <w:footnoteRef/>
      </w:r>
      <w:r>
        <w:rPr>
          <w:sz w:val="18"/>
          <w:szCs w:val="18"/>
        </w:rPr>
        <w:t xml:space="preserve"> The consultations took place on January 27 and January 31 in hybrid formats. It was participated in by some 83 individuals representing migrant organizations in the country and overseas, other relevant stakeholders and local government units. </w:t>
      </w:r>
    </w:p>
  </w:footnote>
  <w:footnote w:id="3">
    <w:p w14:paraId="00405A28" w14:textId="77777777" w:rsidR="00780669" w:rsidRDefault="00000000">
      <w:pPr>
        <w:spacing w:line="240" w:lineRule="auto"/>
        <w:jc w:val="both"/>
        <w:rPr>
          <w:sz w:val="18"/>
          <w:szCs w:val="18"/>
        </w:rPr>
      </w:pPr>
      <w:r>
        <w:rPr>
          <w:vertAlign w:val="superscript"/>
        </w:rPr>
        <w:footnoteRef/>
      </w:r>
      <w:r>
        <w:rPr>
          <w:sz w:val="18"/>
          <w:szCs w:val="18"/>
        </w:rPr>
        <w:t xml:space="preserve"> </w:t>
      </w:r>
      <w:r>
        <w:rPr>
          <w:i/>
          <w:sz w:val="18"/>
          <w:szCs w:val="18"/>
        </w:rPr>
        <w:t>Convention on the Rights of the Child</w:t>
      </w:r>
      <w:r>
        <w:rPr>
          <w:sz w:val="18"/>
          <w:szCs w:val="18"/>
        </w:rPr>
        <w:t xml:space="preserve">, Article 1 states that “a </w:t>
      </w:r>
      <w:r>
        <w:rPr>
          <w:color w:val="4A4A4A"/>
          <w:sz w:val="18"/>
          <w:szCs w:val="18"/>
        </w:rPr>
        <w:t>child means every human being below the age of eighteen years unless under the law applicable to the child, majority is attained earlier.”</w:t>
      </w:r>
      <w:hyperlink r:id="rId1">
        <w:r>
          <w:rPr>
            <w:color w:val="4A4A4A"/>
            <w:sz w:val="18"/>
            <w:szCs w:val="18"/>
          </w:rPr>
          <w:t xml:space="preserve"> </w:t>
        </w:r>
      </w:hyperlink>
      <w:hyperlink r:id="rId2">
        <w:r>
          <w:rPr>
            <w:color w:val="1155CC"/>
            <w:sz w:val="18"/>
            <w:szCs w:val="18"/>
            <w:u w:val="single"/>
          </w:rPr>
          <w:t>https://www.ohchr.org/en/instruments-mechanisms/instruments/convention-rights-child</w:t>
        </w:r>
      </w:hyperlink>
    </w:p>
  </w:footnote>
  <w:footnote w:id="4">
    <w:p w14:paraId="3FCF5A31" w14:textId="77777777" w:rsidR="00780669" w:rsidRDefault="00000000">
      <w:pPr>
        <w:spacing w:line="240" w:lineRule="auto"/>
        <w:rPr>
          <w:sz w:val="18"/>
          <w:szCs w:val="18"/>
        </w:rPr>
      </w:pPr>
      <w:r>
        <w:rPr>
          <w:vertAlign w:val="superscript"/>
        </w:rPr>
        <w:footnoteRef/>
      </w:r>
      <w:r>
        <w:rPr>
          <w:sz w:val="18"/>
          <w:szCs w:val="18"/>
        </w:rPr>
        <w:t xml:space="preserve"> Ibid.</w:t>
      </w:r>
    </w:p>
  </w:footnote>
  <w:footnote w:id="5">
    <w:p w14:paraId="10C3EED8" w14:textId="77777777" w:rsidR="00780669" w:rsidRDefault="00000000">
      <w:pPr>
        <w:spacing w:line="240" w:lineRule="auto"/>
        <w:jc w:val="both"/>
        <w:rPr>
          <w:color w:val="4A4A4A"/>
          <w:sz w:val="18"/>
          <w:szCs w:val="18"/>
        </w:rPr>
      </w:pPr>
      <w:r>
        <w:rPr>
          <w:vertAlign w:val="superscript"/>
        </w:rPr>
        <w:footnoteRef/>
      </w:r>
      <w:r>
        <w:rPr>
          <w:sz w:val="18"/>
          <w:szCs w:val="18"/>
        </w:rPr>
        <w:t xml:space="preserve"> </w:t>
      </w:r>
      <w:r>
        <w:rPr>
          <w:i/>
          <w:sz w:val="18"/>
          <w:szCs w:val="18"/>
        </w:rPr>
        <w:t>UN Convention on the Elimination of All Forms of Discrimination Against Women</w:t>
      </w:r>
      <w:r>
        <w:rPr>
          <w:sz w:val="18"/>
          <w:szCs w:val="18"/>
        </w:rPr>
        <w:t xml:space="preserve">, Article 1 which elaborates on “discrimination </w:t>
      </w:r>
      <w:r>
        <w:rPr>
          <w:color w:val="4A4A4A"/>
          <w:sz w:val="18"/>
          <w:szCs w:val="18"/>
        </w:rPr>
        <w:t>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Pr>
          <w:sz w:val="18"/>
          <w:szCs w:val="18"/>
        </w:rPr>
        <w:t xml:space="preserve"> Article 2f </w:t>
      </w:r>
      <w:proofErr w:type="gramStart"/>
      <w:r>
        <w:rPr>
          <w:color w:val="4A4A4A"/>
          <w:sz w:val="18"/>
          <w:szCs w:val="18"/>
        </w:rPr>
        <w:t>To</w:t>
      </w:r>
      <w:proofErr w:type="gramEnd"/>
      <w:r>
        <w:rPr>
          <w:color w:val="4A4A4A"/>
          <w:sz w:val="18"/>
          <w:szCs w:val="18"/>
        </w:rPr>
        <w:t xml:space="preserve"> take all appropriate measures, including legislation, to modify or abolish existing laws, regulations, customs and practices which constitute discrimination against women</w:t>
      </w:r>
    </w:p>
    <w:p w14:paraId="47AE84CC" w14:textId="77777777" w:rsidR="00780669" w:rsidRDefault="00000000">
      <w:pPr>
        <w:spacing w:line="240" w:lineRule="auto"/>
        <w:jc w:val="both"/>
        <w:rPr>
          <w:sz w:val="18"/>
          <w:szCs w:val="18"/>
        </w:rPr>
      </w:pPr>
      <w:hyperlink r:id="rId3">
        <w:r>
          <w:rPr>
            <w:color w:val="1155CC"/>
            <w:sz w:val="18"/>
            <w:szCs w:val="18"/>
            <w:u w:val="single"/>
          </w:rPr>
          <w:t>https://www.ohchr.org/en/instruments-mechanisms/instruments/convention-elimination-all-forms-discrimination-against-women</w:t>
        </w:r>
      </w:hyperlink>
      <w:r>
        <w:rPr>
          <w:color w:val="4A4A4A"/>
          <w:sz w:val="18"/>
          <w:szCs w:val="18"/>
        </w:rPr>
        <w:t xml:space="preserve">; Further, under CEDAW General Recommendation 26 on Women Migrant Workers, Paragraph 24a recommendation to countries of origin states are urged to </w:t>
      </w:r>
      <w:r>
        <w:rPr>
          <w:sz w:val="18"/>
          <w:szCs w:val="18"/>
        </w:rPr>
        <w:t>lift discriminatory bans or restrictions on migration: States parties should repeal sex-specific bans and discriminatory restrictions on women’s migration on the basis of age, marital status, pregnancy or maternity status. They should lift restrictions that require women to get permission from their spouse or male guardian to obtain a passport or to travel (article 2 (f)</w:t>
      </w:r>
      <w:proofErr w:type="gramStart"/>
      <w:r>
        <w:rPr>
          <w:sz w:val="18"/>
          <w:szCs w:val="18"/>
        </w:rPr>
        <w:t xml:space="preserve">); </w:t>
      </w:r>
      <w:r>
        <w:rPr>
          <w:color w:val="4A4A4A"/>
          <w:sz w:val="18"/>
          <w:szCs w:val="18"/>
        </w:rPr>
        <w:t xml:space="preserve"> https://tbinternet.ohchr.org/Treaties/CEDAW/Shared%20Documents/1_Global/CEDAW_C_2009_WP-1_R_7138_E.pdf</w:t>
      </w:r>
      <w:proofErr w:type="gramEnd"/>
    </w:p>
  </w:footnote>
  <w:footnote w:id="6">
    <w:p w14:paraId="0D296605" w14:textId="77777777" w:rsidR="00780669" w:rsidRDefault="00000000">
      <w:pPr>
        <w:spacing w:line="240" w:lineRule="auto"/>
        <w:jc w:val="both"/>
        <w:rPr>
          <w:sz w:val="18"/>
          <w:szCs w:val="18"/>
        </w:rPr>
      </w:pPr>
      <w:r>
        <w:rPr>
          <w:vertAlign w:val="superscript"/>
        </w:rPr>
        <w:footnoteRef/>
      </w:r>
      <w:r>
        <w:rPr>
          <w:i/>
          <w:sz w:val="18"/>
          <w:szCs w:val="18"/>
        </w:rPr>
        <w:t xml:space="preserve"> ILO Convention on Minimum Age </w:t>
      </w:r>
      <w:r>
        <w:rPr>
          <w:color w:val="333333"/>
          <w:sz w:val="18"/>
          <w:szCs w:val="18"/>
        </w:rPr>
        <w:t xml:space="preserve">Article 3, 11. The minimum age for admission to any type of employment or work which by its nature or the circumstances in which it is carried out is likely to </w:t>
      </w:r>
      <w:proofErr w:type="spellStart"/>
      <w:r>
        <w:rPr>
          <w:color w:val="333333"/>
          <w:sz w:val="18"/>
          <w:szCs w:val="18"/>
        </w:rPr>
        <w:t>jeopardise</w:t>
      </w:r>
      <w:proofErr w:type="spellEnd"/>
      <w:r>
        <w:rPr>
          <w:color w:val="333333"/>
          <w:sz w:val="18"/>
          <w:szCs w:val="18"/>
        </w:rPr>
        <w:t xml:space="preserve"> the health, safety or morals of young persons shall not be less than 18 years. The Philippines specified 15 years old as the working age when it ratified C138 in June 1998. https://www.ilo.org/dyn/normlex/en/f?p=1000:11200:0::NO:11200:P11200_COUNTRY_ID:102970</w:t>
      </w:r>
    </w:p>
  </w:footnote>
  <w:footnote w:id="7">
    <w:p w14:paraId="083B947A" w14:textId="77777777" w:rsidR="00780669" w:rsidRDefault="00000000">
      <w:pPr>
        <w:spacing w:line="240" w:lineRule="auto"/>
        <w:jc w:val="both"/>
        <w:rPr>
          <w:sz w:val="18"/>
          <w:szCs w:val="18"/>
        </w:rPr>
      </w:pPr>
      <w:r>
        <w:rPr>
          <w:vertAlign w:val="superscript"/>
        </w:rPr>
        <w:footnoteRef/>
      </w:r>
      <w:r>
        <w:rPr>
          <w:sz w:val="18"/>
          <w:szCs w:val="18"/>
        </w:rPr>
        <w:t xml:space="preserve"> </w:t>
      </w:r>
      <w:r>
        <w:rPr>
          <w:i/>
          <w:sz w:val="18"/>
          <w:szCs w:val="18"/>
        </w:rPr>
        <w:t>ILO Convention 189 on Decent Work for Domestic Workers</w:t>
      </w:r>
      <w:r>
        <w:rPr>
          <w:sz w:val="18"/>
          <w:szCs w:val="18"/>
        </w:rPr>
        <w:t xml:space="preserve"> Article 4 states: </w:t>
      </w:r>
    </w:p>
    <w:p w14:paraId="70BBCACF" w14:textId="77777777" w:rsidR="00780669" w:rsidRDefault="00000000">
      <w:pPr>
        <w:spacing w:line="240" w:lineRule="auto"/>
        <w:jc w:val="both"/>
        <w:rPr>
          <w:color w:val="333333"/>
          <w:sz w:val="18"/>
          <w:szCs w:val="18"/>
        </w:rPr>
      </w:pPr>
      <w:r>
        <w:rPr>
          <w:color w:val="333333"/>
          <w:sz w:val="18"/>
          <w:szCs w:val="18"/>
        </w:rPr>
        <w:t xml:space="preserve">1. Each Member shall set a minimum age for domestic workers consistent with the provisions of the Minimum Age Convention, 1973 (No. 138), and the Worst Forms of Child </w:t>
      </w:r>
      <w:proofErr w:type="spellStart"/>
      <w:r>
        <w:rPr>
          <w:color w:val="333333"/>
          <w:sz w:val="18"/>
          <w:szCs w:val="18"/>
        </w:rPr>
        <w:t>Labour</w:t>
      </w:r>
      <w:proofErr w:type="spellEnd"/>
      <w:r>
        <w:rPr>
          <w:color w:val="333333"/>
          <w:sz w:val="18"/>
          <w:szCs w:val="18"/>
        </w:rPr>
        <w:t xml:space="preserve"> Convention, 1999 (No. 182), and not lower than that established by national laws and regulations for workers generally. </w:t>
      </w:r>
    </w:p>
    <w:p w14:paraId="6F6053C5" w14:textId="77777777" w:rsidR="00780669" w:rsidRDefault="00000000">
      <w:pPr>
        <w:spacing w:line="240" w:lineRule="auto"/>
        <w:jc w:val="both"/>
        <w:rPr>
          <w:color w:val="333333"/>
          <w:sz w:val="18"/>
          <w:szCs w:val="18"/>
        </w:rPr>
      </w:pPr>
      <w:r>
        <w:rPr>
          <w:color w:val="333333"/>
          <w:sz w:val="18"/>
          <w:szCs w:val="18"/>
        </w:rPr>
        <w:t>2. Each Member shall take measures to ensure that work performed by domestic workers who are under the age of 18 and above the minimum age of employment does not deprive them of compulsory education, or interfere with opportunities to participate in further education or vocational training. https://www.ilo.org/dyn/normlex/en/f?p=NORMLEXPUB:12100:0::NO::P12100_ILO_CODE:C189</w:t>
      </w:r>
    </w:p>
  </w:footnote>
  <w:footnote w:id="8">
    <w:p w14:paraId="5D7A8E0C" w14:textId="77777777" w:rsidR="00780669" w:rsidRDefault="00000000">
      <w:pPr>
        <w:spacing w:line="240" w:lineRule="auto"/>
        <w:rPr>
          <w:sz w:val="18"/>
          <w:szCs w:val="18"/>
        </w:rPr>
      </w:pPr>
      <w:r>
        <w:rPr>
          <w:vertAlign w:val="superscript"/>
        </w:rPr>
        <w:footnoteRef/>
      </w:r>
      <w:r>
        <w:rPr>
          <w:sz w:val="18"/>
          <w:szCs w:val="18"/>
        </w:rPr>
        <w:t xml:space="preserve"> </w:t>
      </w:r>
      <w:hyperlink r:id="rId4">
        <w:r>
          <w:rPr>
            <w:color w:val="1155CC"/>
            <w:sz w:val="18"/>
            <w:szCs w:val="18"/>
            <w:u w:val="single"/>
          </w:rPr>
          <w:t>https://www.officialgazette.gov.ph/2000/01/20/executive-order-no-203-s-2000/</w:t>
        </w:r>
      </w:hyperlink>
    </w:p>
    <w:p w14:paraId="41A84856" w14:textId="77777777" w:rsidR="00780669" w:rsidRDefault="00780669">
      <w:pPr>
        <w:spacing w:line="240" w:lineRule="auto"/>
        <w:rPr>
          <w:sz w:val="20"/>
          <w:szCs w:val="20"/>
        </w:rPr>
      </w:pPr>
    </w:p>
  </w:footnote>
  <w:footnote w:id="9">
    <w:p w14:paraId="6FEBED3F" w14:textId="77777777" w:rsidR="00780669" w:rsidRDefault="00000000">
      <w:pPr>
        <w:spacing w:line="240" w:lineRule="auto"/>
        <w:jc w:val="both"/>
        <w:rPr>
          <w:sz w:val="18"/>
          <w:szCs w:val="18"/>
        </w:rPr>
      </w:pPr>
      <w:r>
        <w:rPr>
          <w:vertAlign w:val="superscript"/>
        </w:rPr>
        <w:footnoteRef/>
      </w:r>
      <w:r>
        <w:rPr>
          <w:sz w:val="18"/>
          <w:szCs w:val="18"/>
        </w:rPr>
        <w:t xml:space="preserve"> Two OFW single mothers who were sisters-in-law from Kuwait and Macau requested the assistance of CMA so their daughters who were under the care of the grandmother could receive food aid. CMA requested OWWA who obliged. When the neighbors saw the ‘extra’ food packs being delivered, the neighbors interrogated the grandmother why they were receiving ‘extra’ food packs. </w:t>
      </w:r>
    </w:p>
  </w:footnote>
  <w:footnote w:id="10">
    <w:p w14:paraId="48F97A34" w14:textId="77777777" w:rsidR="00780669" w:rsidRDefault="00000000">
      <w:pPr>
        <w:spacing w:line="240" w:lineRule="auto"/>
        <w:rPr>
          <w:sz w:val="18"/>
          <w:szCs w:val="18"/>
        </w:rPr>
      </w:pPr>
      <w:r>
        <w:rPr>
          <w:vertAlign w:val="superscript"/>
        </w:rPr>
        <w:footnoteRef/>
      </w:r>
      <w:r>
        <w:rPr>
          <w:sz w:val="20"/>
          <w:szCs w:val="20"/>
        </w:rPr>
        <w:t xml:space="preserve"> </w:t>
      </w:r>
      <w:r>
        <w:rPr>
          <w:sz w:val="18"/>
          <w:szCs w:val="18"/>
        </w:rPr>
        <w:t>https://chr.gov.ph/wp-content/uploads/2021/08/06182021_CHR-OFW-POLICY-PAPER_HSR_Gaps-in-Access-to-Justice.pdf</w:t>
      </w:r>
    </w:p>
  </w:footnote>
  <w:footnote w:id="11">
    <w:p w14:paraId="25D20185" w14:textId="77777777" w:rsidR="00780669" w:rsidRDefault="00000000">
      <w:pPr>
        <w:spacing w:line="240" w:lineRule="auto"/>
        <w:rPr>
          <w:sz w:val="18"/>
          <w:szCs w:val="18"/>
        </w:rPr>
      </w:pPr>
      <w:r>
        <w:rPr>
          <w:vertAlign w:val="superscript"/>
        </w:rPr>
        <w:footnoteRef/>
      </w:r>
      <w:r>
        <w:rPr>
          <w:sz w:val="18"/>
          <w:szCs w:val="18"/>
        </w:rPr>
        <w:t xml:space="preserve"> In a study by CMA, it was found that based on records of the NLRC, an average of 73.22% of total money claims filed by migrant domestic workers during 2015-2017 were disposed through settlements and not through decisions on the merits of the cases. </w:t>
      </w:r>
      <w:hyperlink r:id="rId5">
        <w:r>
          <w:rPr>
            <w:color w:val="1155CC"/>
            <w:sz w:val="18"/>
            <w:szCs w:val="18"/>
            <w:u w:val="single"/>
          </w:rPr>
          <w:t>https://centerformigrantadvocacy.com/migrant-domestic-workers-access-to-justice-2018/</w:t>
        </w:r>
      </w:hyperlink>
    </w:p>
    <w:p w14:paraId="049122FD" w14:textId="77777777" w:rsidR="00780669" w:rsidRDefault="00780669">
      <w:pPr>
        <w:spacing w:line="240" w:lineRule="auto"/>
        <w:rPr>
          <w:sz w:val="20"/>
          <w:szCs w:val="20"/>
        </w:rPr>
      </w:pPr>
    </w:p>
  </w:footnote>
  <w:footnote w:id="12">
    <w:p w14:paraId="4EF7E4F4" w14:textId="77777777" w:rsidR="00780669" w:rsidRDefault="00000000">
      <w:pPr>
        <w:spacing w:line="240" w:lineRule="auto"/>
        <w:rPr>
          <w:sz w:val="18"/>
          <w:szCs w:val="18"/>
        </w:rPr>
      </w:pPr>
      <w:r>
        <w:rPr>
          <w:vertAlign w:val="superscript"/>
        </w:rPr>
        <w:footnoteRef/>
      </w:r>
      <w:r>
        <w:rPr>
          <w:sz w:val="18"/>
          <w:szCs w:val="18"/>
        </w:rPr>
        <w:t xml:space="preserve"> https://www.dole.gov.ph/sena-contents/</w:t>
      </w:r>
    </w:p>
  </w:footnote>
  <w:footnote w:id="13">
    <w:p w14:paraId="17174274" w14:textId="77777777" w:rsidR="00780669" w:rsidRDefault="00000000">
      <w:pPr>
        <w:spacing w:line="240" w:lineRule="auto"/>
        <w:jc w:val="both"/>
        <w:rPr>
          <w:sz w:val="18"/>
          <w:szCs w:val="18"/>
        </w:rPr>
      </w:pPr>
      <w:r>
        <w:rPr>
          <w:vertAlign w:val="superscript"/>
        </w:rPr>
        <w:footnoteRef/>
      </w:r>
      <w:r>
        <w:rPr>
          <w:sz w:val="20"/>
          <w:szCs w:val="20"/>
        </w:rPr>
        <w:t xml:space="preserve"> </w:t>
      </w:r>
      <w:r>
        <w:rPr>
          <w:sz w:val="18"/>
          <w:szCs w:val="18"/>
        </w:rPr>
        <w:t>https://car.dole.gov.ph/news/sena-mandatory-conciliation-and-mediation-of-labor-disputes/#:~:text=The%20SEnA%20was%20established%20to,DOLE%20and%20its%20attached%20agencies.</w:t>
      </w:r>
    </w:p>
  </w:footnote>
  <w:footnote w:id="14">
    <w:p w14:paraId="725D1F80" w14:textId="77777777" w:rsidR="00780669" w:rsidRDefault="00000000">
      <w:pPr>
        <w:spacing w:line="240" w:lineRule="auto"/>
        <w:jc w:val="both"/>
        <w:rPr>
          <w:sz w:val="18"/>
          <w:szCs w:val="18"/>
        </w:rPr>
      </w:pPr>
      <w:r>
        <w:rPr>
          <w:vertAlign w:val="superscript"/>
        </w:rPr>
        <w:footnoteRef/>
      </w:r>
      <w:r>
        <w:rPr>
          <w:sz w:val="18"/>
          <w:szCs w:val="18"/>
        </w:rPr>
        <w:t xml:space="preserve">Commission on Human Rights of the Philippines and Atty. Henry A. </w:t>
      </w:r>
      <w:proofErr w:type="spellStart"/>
      <w:r>
        <w:rPr>
          <w:sz w:val="18"/>
          <w:szCs w:val="18"/>
        </w:rPr>
        <w:t>Rojas</w:t>
      </w:r>
      <w:hyperlink r:id="rId6">
        <w:r>
          <w:rPr>
            <w:sz w:val="18"/>
            <w:szCs w:val="18"/>
          </w:rPr>
          <w:t>,</w:t>
        </w:r>
      </w:hyperlink>
      <w:hyperlink r:id="rId7">
        <w:r>
          <w:rPr>
            <w:sz w:val="18"/>
            <w:szCs w:val="18"/>
          </w:rPr>
          <w:t>“Gaps</w:t>
        </w:r>
        <w:proofErr w:type="spellEnd"/>
        <w:r>
          <w:rPr>
            <w:sz w:val="18"/>
            <w:szCs w:val="18"/>
          </w:rPr>
          <w:t xml:space="preserve"> in Access to Justice : The Overseas Filipino Workers’ Experience, An Initial Analysis of Philippine Jurisprudence on Labor Migration,”</w:t>
        </w:r>
      </w:hyperlink>
      <w:hyperlink r:id="rId8">
        <w:r>
          <w:rPr>
            <w:sz w:val="18"/>
            <w:szCs w:val="18"/>
          </w:rPr>
          <w:t xml:space="preserve"> 2021, Available at: </w:t>
        </w:r>
      </w:hyperlink>
      <w:hyperlink r:id="rId9">
        <w:r>
          <w:rPr>
            <w:color w:val="1155CC"/>
            <w:sz w:val="18"/>
            <w:szCs w:val="18"/>
            <w:u w:val="single"/>
          </w:rPr>
          <w:t>https://chr.gov.ph/wp-content/uploads/2021/08/06182021_CHR-OFW-POLICY-PAPER_HSR_Gaps-in-Access-to-Justice.pdf</w:t>
        </w:r>
      </w:hyperlink>
      <w:r>
        <w:rPr>
          <w:sz w:val="18"/>
          <w:szCs w:val="18"/>
        </w:rPr>
        <w:t xml:space="preserve">.  </w:t>
      </w:r>
    </w:p>
  </w:footnote>
  <w:footnote w:id="15">
    <w:p w14:paraId="798E56A6" w14:textId="77777777" w:rsidR="00780669" w:rsidRDefault="00000000">
      <w:pPr>
        <w:spacing w:line="240" w:lineRule="auto"/>
        <w:rPr>
          <w:sz w:val="18"/>
          <w:szCs w:val="18"/>
        </w:rPr>
      </w:pPr>
      <w:r>
        <w:rPr>
          <w:vertAlign w:val="superscript"/>
        </w:rPr>
        <w:footnoteRef/>
      </w:r>
      <w:r>
        <w:rPr>
          <w:sz w:val="18"/>
          <w:szCs w:val="18"/>
        </w:rPr>
        <w:t xml:space="preserve"> https://justiceforwagetheft.org/entity/9bckmq655ap?file=16454497686693kyxqxz1x2p.pdf</w:t>
      </w:r>
    </w:p>
  </w:footnote>
  <w:footnote w:id="16">
    <w:p w14:paraId="649F26E6" w14:textId="77777777" w:rsidR="00780669" w:rsidRDefault="00000000">
      <w:pPr>
        <w:spacing w:line="240" w:lineRule="auto"/>
        <w:rPr>
          <w:sz w:val="18"/>
          <w:szCs w:val="18"/>
        </w:rPr>
      </w:pPr>
      <w:r>
        <w:rPr>
          <w:vertAlign w:val="superscript"/>
        </w:rPr>
        <w:footnoteRef/>
      </w:r>
      <w:r>
        <w:rPr>
          <w:sz w:val="20"/>
          <w:szCs w:val="20"/>
        </w:rPr>
        <w:t xml:space="preserve"> </w:t>
      </w:r>
      <w:r>
        <w:rPr>
          <w:sz w:val="18"/>
          <w:szCs w:val="18"/>
        </w:rPr>
        <w:t>https://returnandreintegration.iom.int/en/resources/report/covid-19-impact-assessment-returned-overseas-filipino-workers</w:t>
      </w:r>
    </w:p>
  </w:footnote>
  <w:footnote w:id="17">
    <w:p w14:paraId="48A4247D" w14:textId="77777777" w:rsidR="00780669" w:rsidRDefault="00000000">
      <w:pPr>
        <w:spacing w:line="240" w:lineRule="auto"/>
        <w:rPr>
          <w:sz w:val="18"/>
          <w:szCs w:val="18"/>
        </w:rPr>
      </w:pPr>
      <w:r>
        <w:rPr>
          <w:vertAlign w:val="superscript"/>
        </w:rPr>
        <w:footnoteRef/>
      </w:r>
      <w:r>
        <w:rPr>
          <w:sz w:val="18"/>
          <w:szCs w:val="18"/>
        </w:rPr>
        <w:t xml:space="preserve"> https://globalnation.inquirer.net/208536/saudi-pledges-p30-5b-to-settle-unpaid-wages-of-ofws</w:t>
      </w:r>
    </w:p>
  </w:footnote>
  <w:footnote w:id="18">
    <w:p w14:paraId="5C18AE91" w14:textId="77777777" w:rsidR="00780669" w:rsidRDefault="00000000">
      <w:pPr>
        <w:spacing w:line="240" w:lineRule="auto"/>
        <w:rPr>
          <w:sz w:val="18"/>
          <w:szCs w:val="18"/>
        </w:rPr>
      </w:pPr>
      <w:r>
        <w:rPr>
          <w:vertAlign w:val="superscript"/>
        </w:rPr>
        <w:footnoteRef/>
      </w:r>
      <w:r>
        <w:rPr>
          <w:sz w:val="20"/>
          <w:szCs w:val="20"/>
        </w:rPr>
        <w:t xml:space="preserve"> </w:t>
      </w:r>
      <w:r>
        <w:rPr>
          <w:sz w:val="18"/>
          <w:szCs w:val="18"/>
        </w:rPr>
        <w:t>https://www.sss.gov.ph/sss/appmanager/pages.jsp?page=PR2021_052#:~:text=The%20Social%20Security%20System%20(SSS,the%20same%20period%20in%202020.</w:t>
      </w:r>
    </w:p>
  </w:footnote>
  <w:footnote w:id="19">
    <w:p w14:paraId="39EDE4BE" w14:textId="77777777" w:rsidR="00780669" w:rsidRDefault="00000000">
      <w:pPr>
        <w:spacing w:line="240" w:lineRule="auto"/>
        <w:jc w:val="both"/>
        <w:rPr>
          <w:sz w:val="18"/>
          <w:szCs w:val="18"/>
        </w:rPr>
      </w:pPr>
      <w:r>
        <w:rPr>
          <w:vertAlign w:val="superscript"/>
        </w:rPr>
        <w:footnoteRef/>
      </w:r>
      <w:r>
        <w:rPr>
          <w:sz w:val="18"/>
          <w:szCs w:val="18"/>
        </w:rPr>
        <w:t xml:space="preserve"> </w:t>
      </w:r>
      <w:hyperlink r:id="rId10">
        <w:r>
          <w:rPr>
            <w:sz w:val="18"/>
            <w:szCs w:val="18"/>
          </w:rPr>
          <w:t>Center for Migrant Advocacy, “Frontlines in Migration Governance : A Study on the Response of the Philippine Overseas Labor Offices during the COVID-19 Pandemic”</w:t>
        </w:r>
      </w:hyperlink>
      <w:hyperlink r:id="rId11">
        <w:r>
          <w:rPr>
            <w:sz w:val="18"/>
            <w:szCs w:val="18"/>
          </w:rPr>
          <w:t xml:space="preserve">, 2020, Available at: </w:t>
        </w:r>
      </w:hyperlink>
      <w:hyperlink r:id="rId12">
        <w:r>
          <w:rPr>
            <w:sz w:val="18"/>
            <w:szCs w:val="18"/>
          </w:rPr>
          <w:t>https://centerformigrantadvocacy.files.wordpress.com/2021/03/frontlines-in-migration-governance-version-2-1.pdf.</w:t>
        </w:r>
      </w:hyperlink>
    </w:p>
  </w:footnote>
  <w:footnote w:id="20">
    <w:p w14:paraId="766D0E5C" w14:textId="77777777" w:rsidR="00780669" w:rsidRDefault="00000000">
      <w:pPr>
        <w:spacing w:line="240" w:lineRule="auto"/>
        <w:jc w:val="both"/>
        <w:rPr>
          <w:sz w:val="18"/>
          <w:szCs w:val="18"/>
        </w:rPr>
      </w:pPr>
      <w:r>
        <w:rPr>
          <w:vertAlign w:val="superscript"/>
        </w:rPr>
        <w:footnoteRef/>
      </w:r>
      <w:r>
        <w:rPr>
          <w:sz w:val="18"/>
          <w:szCs w:val="18"/>
        </w:rPr>
        <w:t xml:space="preserve"> On February 14, 2022, CMA gathered signatures for an urgent call to action to support the overseas Filipinos’ vote by providing adequate funding for its implementation. The letter was sent to President Duterte, the Commission on Elections Committee on Overseas Voting, Department of Budget and Management.  </w:t>
      </w:r>
      <w:hyperlink r:id="rId13">
        <w:r>
          <w:rPr>
            <w:color w:val="1155CC"/>
            <w:sz w:val="18"/>
            <w:szCs w:val="18"/>
            <w:u w:val="single"/>
          </w:rPr>
          <w:t>https://www.facebook.com/photo/?fbid=5221326461323161&amp;set=pcb.5221395457982928</w:t>
        </w:r>
      </w:hyperlink>
      <w:r>
        <w:rPr>
          <w:sz w:val="18"/>
          <w:szCs w:val="18"/>
        </w:rPr>
        <w:t>.</w:t>
      </w:r>
    </w:p>
  </w:footnote>
  <w:footnote w:id="21">
    <w:p w14:paraId="50CCC83F" w14:textId="77777777" w:rsidR="00780669"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RA10590 Section 28 –Limits the authority of </w:t>
      </w:r>
      <w:r>
        <w:rPr>
          <w:sz w:val="18"/>
          <w:szCs w:val="18"/>
          <w:highlight w:val="white"/>
        </w:rPr>
        <w:t xml:space="preserve">Comelec to exploring only other modes or systems Using Automated Election System and submit such reports and/or recommendations to the Joint Congressional Oversight Committee." </w:t>
      </w:r>
    </w:p>
  </w:footnote>
  <w:footnote w:id="22">
    <w:p w14:paraId="5B2AF738" w14:textId="77777777" w:rsidR="00780669"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Draft DMW Rules and Regulations. Rule VII on Code of Discipline for OFWs, Section 270 on Obligations and Rule V on Disciplinary Action Against OFWs, Section 177. </w:t>
      </w:r>
    </w:p>
  </w:footnote>
  <w:footnote w:id="23">
    <w:p w14:paraId="1A5B137C" w14:textId="77777777" w:rsidR="00780669" w:rsidRDefault="00000000">
      <w:pPr>
        <w:spacing w:line="240" w:lineRule="auto"/>
        <w:rPr>
          <w:sz w:val="18"/>
          <w:szCs w:val="18"/>
        </w:rPr>
      </w:pPr>
      <w:r>
        <w:rPr>
          <w:vertAlign w:val="superscript"/>
        </w:rPr>
        <w:footnoteRef/>
      </w:r>
      <w:r>
        <w:rPr>
          <w:sz w:val="18"/>
          <w:szCs w:val="18"/>
        </w:rPr>
        <w:t xml:space="preserve"> https://www.immigration.go.kr/immigration_eng/1860/subview.do</w:t>
      </w:r>
    </w:p>
  </w:footnote>
  <w:footnote w:id="24">
    <w:p w14:paraId="3307445B" w14:textId="77777777" w:rsidR="00780669" w:rsidRDefault="00000000">
      <w:pPr>
        <w:spacing w:line="240" w:lineRule="auto"/>
        <w:rPr>
          <w:sz w:val="20"/>
          <w:szCs w:val="20"/>
        </w:rPr>
      </w:pPr>
      <w:r>
        <w:rPr>
          <w:vertAlign w:val="superscript"/>
        </w:rPr>
        <w:footnoteRef/>
      </w:r>
      <w:r>
        <w:rPr>
          <w:sz w:val="20"/>
          <w:szCs w:val="20"/>
        </w:rPr>
        <w:t xml:space="preserve"> National Assembly (of Korea) Statistics as of October 11, 2022. </w:t>
      </w:r>
    </w:p>
  </w:footnote>
  <w:footnote w:id="25">
    <w:p w14:paraId="38D61566" w14:textId="77777777" w:rsidR="00780669" w:rsidRDefault="00000000">
      <w:pPr>
        <w:spacing w:line="240" w:lineRule="auto"/>
        <w:jc w:val="both"/>
        <w:rPr>
          <w:sz w:val="18"/>
          <w:szCs w:val="18"/>
        </w:rPr>
      </w:pPr>
      <w:r>
        <w:rPr>
          <w:vertAlign w:val="superscript"/>
        </w:rPr>
        <w:footnoteRef/>
      </w:r>
      <w:r>
        <w:rPr>
          <w:sz w:val="18"/>
          <w:szCs w:val="18"/>
        </w:rPr>
        <w:t xml:space="preserve"> Shared to CMA by POEA-DMW during its virtual meeting on February 9, 2023.</w:t>
      </w:r>
    </w:p>
  </w:footnote>
  <w:footnote w:id="26">
    <w:p w14:paraId="07FFC8B1" w14:textId="77777777" w:rsidR="00780669" w:rsidRDefault="00000000">
      <w:pPr>
        <w:spacing w:line="240" w:lineRule="auto"/>
        <w:jc w:val="both"/>
        <w:rPr>
          <w:sz w:val="18"/>
          <w:szCs w:val="18"/>
        </w:rPr>
      </w:pPr>
      <w:r>
        <w:rPr>
          <w:vertAlign w:val="superscript"/>
        </w:rPr>
        <w:footnoteRef/>
      </w:r>
      <w:r>
        <w:rPr>
          <w:sz w:val="20"/>
          <w:szCs w:val="20"/>
        </w:rPr>
        <w:t xml:space="preserve"> </w:t>
      </w:r>
      <w:hyperlink r:id="rId14">
        <w:r>
          <w:rPr>
            <w:color w:val="1155CC"/>
            <w:sz w:val="18"/>
            <w:szCs w:val="18"/>
            <w:u w:val="single"/>
          </w:rPr>
          <w:t>https://z-upload.facebook.com/OpinYonLaguna/posts/3221675138161772</w:t>
        </w:r>
      </w:hyperlink>
      <w:r>
        <w:rPr>
          <w:sz w:val="18"/>
          <w:szCs w:val="18"/>
        </w:rPr>
        <w:t xml:space="preserve">; </w:t>
      </w:r>
      <w:hyperlink r:id="rId15">
        <w:r>
          <w:rPr>
            <w:color w:val="1155CC"/>
            <w:sz w:val="18"/>
            <w:szCs w:val="18"/>
            <w:u w:val="single"/>
          </w:rPr>
          <w:t>https://southluzon.politics.com.ph/2022/06/23/cavinti-lgu-signs-moa-with-korea-for-the-hiring-of-seasonal-workers/</w:t>
        </w:r>
      </w:hyperlink>
      <w:r>
        <w:rPr>
          <w:sz w:val="18"/>
          <w:szCs w:val="18"/>
        </w:rPr>
        <w:t>; https://pia.gov.ph/news/2022/11/04/3-pampanga-mayors-korean-city-partner-for-agri-jobs</w:t>
      </w:r>
    </w:p>
  </w:footnote>
  <w:footnote w:id="27">
    <w:p w14:paraId="7AC2F195" w14:textId="77777777" w:rsidR="00780669" w:rsidRDefault="00000000">
      <w:pPr>
        <w:spacing w:line="240" w:lineRule="auto"/>
        <w:rPr>
          <w:sz w:val="18"/>
          <w:szCs w:val="18"/>
        </w:rPr>
      </w:pPr>
      <w:r>
        <w:rPr>
          <w:vertAlign w:val="superscript"/>
        </w:rPr>
        <w:footnoteRef/>
      </w:r>
      <w:r>
        <w:rPr>
          <w:sz w:val="18"/>
          <w:szCs w:val="18"/>
        </w:rPr>
        <w:t xml:space="preserve"> </w:t>
      </w:r>
      <w:hyperlink r:id="rId16">
        <w:r>
          <w:rPr>
            <w:color w:val="1155CC"/>
            <w:sz w:val="18"/>
            <w:szCs w:val="18"/>
            <w:u w:val="single"/>
          </w:rPr>
          <w:t>https://www.youtube.com/watch?v=qI3Sy51mo44</w:t>
        </w:r>
      </w:hyperlink>
    </w:p>
  </w:footnote>
  <w:footnote w:id="28">
    <w:p w14:paraId="23BAE5AE" w14:textId="77777777" w:rsidR="00780669" w:rsidRDefault="00000000">
      <w:pPr>
        <w:spacing w:line="240" w:lineRule="auto"/>
        <w:rPr>
          <w:sz w:val="18"/>
          <w:szCs w:val="18"/>
        </w:rPr>
      </w:pPr>
      <w:r>
        <w:rPr>
          <w:vertAlign w:val="superscript"/>
        </w:rPr>
        <w:footnoteRef/>
      </w:r>
      <w:r>
        <w:rPr>
          <w:sz w:val="20"/>
          <w:szCs w:val="20"/>
        </w:rPr>
        <w:t xml:space="preserve"> </w:t>
      </w:r>
      <w:r>
        <w:rPr>
          <w:sz w:val="18"/>
          <w:szCs w:val="18"/>
        </w:rPr>
        <w:t>https://www.pna.gov.ph/articles/1194540</w:t>
      </w:r>
    </w:p>
  </w:footnote>
  <w:footnote w:id="29">
    <w:p w14:paraId="540A0420" w14:textId="77777777" w:rsidR="00780669" w:rsidRDefault="00000000">
      <w:pPr>
        <w:spacing w:line="240" w:lineRule="auto"/>
        <w:jc w:val="both"/>
        <w:rPr>
          <w:sz w:val="18"/>
          <w:szCs w:val="18"/>
        </w:rPr>
      </w:pPr>
      <w:r>
        <w:rPr>
          <w:vertAlign w:val="superscript"/>
        </w:rPr>
        <w:footnoteRef/>
      </w:r>
      <w:r>
        <w:rPr>
          <w:sz w:val="18"/>
          <w:szCs w:val="18"/>
        </w:rPr>
        <w:t xml:space="preserve">  </w:t>
      </w:r>
      <w:hyperlink r:id="rId17">
        <w:r>
          <w:rPr>
            <w:sz w:val="18"/>
            <w:szCs w:val="18"/>
          </w:rPr>
          <w:t>Center for Migrant Advocacy,</w:t>
        </w:r>
      </w:hyperlink>
      <w:hyperlink r:id="rId18">
        <w:r>
          <w:rPr>
            <w:sz w:val="18"/>
            <w:szCs w:val="18"/>
          </w:rPr>
          <w:t>“Translating Rights: A Study on Bilateral Labor Agreements Between the Philippines and Saudi Arabia, Jordan, and Lebanon,”</w:t>
        </w:r>
      </w:hyperlink>
      <w:hyperlink r:id="rId19">
        <w:r>
          <w:rPr>
            <w:sz w:val="18"/>
            <w:szCs w:val="18"/>
          </w:rPr>
          <w:t xml:space="preserve"> 2020, Available at: </w:t>
        </w:r>
      </w:hyperlink>
      <w:hyperlink r:id="rId20">
        <w:r>
          <w:rPr>
            <w:color w:val="1155CC"/>
            <w:sz w:val="18"/>
            <w:szCs w:val="18"/>
            <w:u w:val="single"/>
          </w:rPr>
          <w:t>https://centerformigrantadvocacy.files.wordpress.com/2021/01/bla-study-v.-2.pdf</w:t>
        </w:r>
      </w:hyperlink>
      <w:r>
        <w:rPr>
          <w:sz w:val="18"/>
          <w:szCs w:val="18"/>
        </w:rPr>
        <w:t xml:space="preserve">. </w:t>
      </w:r>
    </w:p>
  </w:footnote>
  <w:footnote w:id="30">
    <w:p w14:paraId="1F4D1725" w14:textId="77777777" w:rsidR="00780669" w:rsidRDefault="00000000">
      <w:pPr>
        <w:spacing w:line="240" w:lineRule="auto"/>
        <w:rPr>
          <w:sz w:val="20"/>
          <w:szCs w:val="20"/>
        </w:rPr>
      </w:pPr>
      <w:r>
        <w:rPr>
          <w:vertAlign w:val="superscript"/>
        </w:rPr>
        <w:footnoteRef/>
      </w:r>
    </w:p>
    <w:p w14:paraId="6B7D9FE9" w14:textId="77777777" w:rsidR="00780669" w:rsidRDefault="00000000">
      <w:pPr>
        <w:spacing w:line="240" w:lineRule="auto"/>
        <w:jc w:val="both"/>
        <w:rPr>
          <w:sz w:val="18"/>
          <w:szCs w:val="18"/>
        </w:rPr>
      </w:pPr>
      <w:hyperlink r:id="rId21">
        <w:r>
          <w:rPr>
            <w:color w:val="1155CC"/>
            <w:sz w:val="18"/>
            <w:szCs w:val="18"/>
            <w:u w:val="single"/>
          </w:rPr>
          <w:t>https://www.cnnphilippines.com/news/2023/1/28/NBI-starts-autopsy-on-remains-of-OFW-killed-in-Kuwait.html</w:t>
        </w:r>
      </w:hyperlink>
      <w:r>
        <w:rPr>
          <w:sz w:val="18"/>
          <w:szCs w:val="18"/>
        </w:rPr>
        <w:t xml:space="preserve">; Other cases that have been publicized are those of Joanna </w:t>
      </w:r>
      <w:proofErr w:type="spellStart"/>
      <w:r>
        <w:rPr>
          <w:sz w:val="18"/>
          <w:szCs w:val="18"/>
        </w:rPr>
        <w:t>Demafelis</w:t>
      </w:r>
      <w:proofErr w:type="spellEnd"/>
      <w:r>
        <w:rPr>
          <w:sz w:val="18"/>
          <w:szCs w:val="18"/>
        </w:rPr>
        <w:t xml:space="preserve"> who was found dead in a freezer in 2018 and the cases of Constancia Lago Dayag and </w:t>
      </w:r>
      <w:proofErr w:type="spellStart"/>
      <w:r>
        <w:rPr>
          <w:sz w:val="18"/>
          <w:szCs w:val="18"/>
        </w:rPr>
        <w:t>Jeanelyn</w:t>
      </w:r>
      <w:proofErr w:type="spellEnd"/>
      <w:r>
        <w:rPr>
          <w:sz w:val="18"/>
          <w:szCs w:val="18"/>
        </w:rPr>
        <w:t xml:space="preserve"> </w:t>
      </w:r>
      <w:proofErr w:type="spellStart"/>
      <w:r>
        <w:rPr>
          <w:sz w:val="18"/>
          <w:szCs w:val="18"/>
        </w:rPr>
        <w:t>Villavende</w:t>
      </w:r>
      <w:proofErr w:type="spellEnd"/>
      <w:r>
        <w:rPr>
          <w:sz w:val="18"/>
          <w:szCs w:val="18"/>
        </w:rPr>
        <w:t xml:space="preserve"> who were both pronounced dead on arrival in 2019.</w:t>
      </w:r>
    </w:p>
  </w:footnote>
  <w:footnote w:id="31">
    <w:p w14:paraId="4D6C93B2" w14:textId="77777777" w:rsidR="00780669" w:rsidRDefault="00000000">
      <w:pPr>
        <w:spacing w:line="240" w:lineRule="auto"/>
        <w:jc w:val="both"/>
        <w:rPr>
          <w:sz w:val="18"/>
          <w:szCs w:val="18"/>
        </w:rPr>
      </w:pPr>
      <w:r>
        <w:rPr>
          <w:vertAlign w:val="superscript"/>
        </w:rPr>
        <w:footnoteRef/>
      </w:r>
      <w:r>
        <w:rPr>
          <w:sz w:val="20"/>
          <w:szCs w:val="20"/>
        </w:rPr>
        <w:t xml:space="preserve"> </w:t>
      </w:r>
      <w:r>
        <w:rPr>
          <w:sz w:val="18"/>
          <w:szCs w:val="18"/>
        </w:rPr>
        <w:t>https://www.licas.news/2022/04/26/deaths-of-asian-migrant-workers-in-gulf-states-mostly-unexplained-unnecessary-says-report/</w:t>
      </w:r>
    </w:p>
  </w:footnote>
  <w:footnote w:id="32">
    <w:p w14:paraId="596AFCCA" w14:textId="77777777" w:rsidR="00780669" w:rsidRDefault="00000000">
      <w:pPr>
        <w:spacing w:line="240" w:lineRule="auto"/>
        <w:jc w:val="both"/>
        <w:rPr>
          <w:sz w:val="18"/>
          <w:szCs w:val="18"/>
        </w:rPr>
      </w:pPr>
      <w:r>
        <w:rPr>
          <w:vertAlign w:val="superscript"/>
        </w:rPr>
        <w:footnoteRef/>
      </w:r>
      <w:r>
        <w:rPr>
          <w:sz w:val="18"/>
          <w:szCs w:val="18"/>
        </w:rPr>
        <w:t xml:space="preserve">  </w:t>
      </w:r>
      <w:hyperlink r:id="rId22">
        <w:r>
          <w:rPr>
            <w:sz w:val="18"/>
            <w:szCs w:val="18"/>
          </w:rPr>
          <w:t>Center for Migrant Advocacy,</w:t>
        </w:r>
      </w:hyperlink>
      <w:hyperlink r:id="rId23">
        <w:r>
          <w:rPr>
            <w:sz w:val="18"/>
            <w:szCs w:val="18"/>
          </w:rPr>
          <w:t>“Translating Rights: A Study on Bilateral Labor Agreements Between the Philippines and Saudi Arabia, Jordan, and Lebanon,”</w:t>
        </w:r>
      </w:hyperlink>
      <w:hyperlink r:id="rId24">
        <w:r>
          <w:rPr>
            <w:sz w:val="18"/>
            <w:szCs w:val="18"/>
          </w:rPr>
          <w:t xml:space="preserve"> 2020, Available at: </w:t>
        </w:r>
      </w:hyperlink>
      <w:hyperlink r:id="rId25">
        <w:r>
          <w:rPr>
            <w:color w:val="1155CC"/>
            <w:sz w:val="18"/>
            <w:szCs w:val="18"/>
            <w:u w:val="single"/>
          </w:rPr>
          <w:t>https://centerformigrantadvocacy.files.wordpress.com/2021/01/bla-study-v.-2.pdf</w:t>
        </w:r>
      </w:hyperlink>
      <w:r>
        <w:rPr>
          <w:sz w:val="18"/>
          <w:szCs w:val="18"/>
        </w:rPr>
        <w:t xml:space="preserve">. </w:t>
      </w:r>
    </w:p>
  </w:footnote>
  <w:footnote w:id="33">
    <w:p w14:paraId="7870A526" w14:textId="77777777" w:rsidR="00780669" w:rsidRDefault="00000000">
      <w:pPr>
        <w:spacing w:line="240" w:lineRule="auto"/>
        <w:jc w:val="both"/>
        <w:rPr>
          <w:sz w:val="20"/>
          <w:szCs w:val="20"/>
        </w:rPr>
      </w:pPr>
      <w:r>
        <w:rPr>
          <w:vertAlign w:val="superscript"/>
        </w:rPr>
        <w:footnoteRef/>
      </w:r>
      <w:r>
        <w:rPr>
          <w:sz w:val="20"/>
          <w:szCs w:val="20"/>
        </w:rPr>
        <w:t xml:space="preserve"> </w:t>
      </w:r>
      <w:r>
        <w:rPr>
          <w:sz w:val="18"/>
          <w:szCs w:val="18"/>
        </w:rPr>
        <w:t xml:space="preserve"> </w:t>
      </w:r>
      <w:hyperlink r:id="rId26">
        <w:r>
          <w:rPr>
            <w:sz w:val="18"/>
            <w:szCs w:val="18"/>
          </w:rPr>
          <w:t xml:space="preserve">Center for Migrant Advocacy, “Frontlines in Migration </w:t>
        </w:r>
        <w:proofErr w:type="gramStart"/>
        <w:r>
          <w:rPr>
            <w:sz w:val="18"/>
            <w:szCs w:val="18"/>
          </w:rPr>
          <w:t>Governance :</w:t>
        </w:r>
        <w:proofErr w:type="gramEnd"/>
        <w:r>
          <w:rPr>
            <w:sz w:val="18"/>
            <w:szCs w:val="18"/>
          </w:rPr>
          <w:t xml:space="preserve"> A Study on the Response of the Philippine Overseas Labor Offices during the COVID-19 Pandemic.”</w:t>
        </w:r>
      </w:hyperlink>
    </w:p>
  </w:footnote>
  <w:footnote w:id="34">
    <w:p w14:paraId="147CA5DB" w14:textId="77777777" w:rsidR="00780669"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An analysis of OFW return experiences and program challenges amid the Covid 19 pandemic: Advancing an alternative reintegration governance framework  </w:t>
      </w:r>
      <w:hyperlink r:id="rId27">
        <w:r>
          <w:rPr>
            <w:color w:val="1155CC"/>
            <w:sz w:val="18"/>
            <w:szCs w:val="18"/>
            <w:u w:val="single"/>
          </w:rPr>
          <w:t>Downloads (dole.gov.ph)</w:t>
        </w:r>
      </w:hyperlink>
    </w:p>
  </w:footnote>
  <w:footnote w:id="35">
    <w:p w14:paraId="0CF39090" w14:textId="77777777" w:rsidR="00780669" w:rsidRDefault="00000000">
      <w:pPr>
        <w:spacing w:line="240" w:lineRule="auto"/>
        <w:jc w:val="both"/>
        <w:rPr>
          <w:sz w:val="18"/>
          <w:szCs w:val="18"/>
        </w:rPr>
      </w:pPr>
      <w:r>
        <w:rPr>
          <w:vertAlign w:val="superscript"/>
        </w:rPr>
        <w:footnoteRef/>
      </w:r>
      <w:r>
        <w:rPr>
          <w:sz w:val="18"/>
          <w:szCs w:val="18"/>
        </w:rPr>
        <w:t xml:space="preserve"> Strengthening preparedness for migrant worker reintegration: Thematic analysis and local index tool development </w:t>
      </w:r>
      <w:hyperlink r:id="rId28">
        <w:r>
          <w:rPr>
            <w:color w:val="1155CC"/>
            <w:sz w:val="18"/>
            <w:szCs w:val="18"/>
            <w:u w:val="single"/>
          </w:rPr>
          <w:t>Downloads (dole.gov.ph)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E450C" w14:textId="77777777" w:rsidR="00780669" w:rsidRDefault="007806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B1054" w14:textId="77777777" w:rsidR="00780669" w:rsidRDefault="00000000">
    <w:r>
      <w:rPr>
        <w:noProof/>
      </w:rPr>
      <w:drawing>
        <wp:anchor distT="114300" distB="114300" distL="114300" distR="114300" simplePos="0" relativeHeight="251658240" behindDoc="0" locked="0" layoutInCell="1" hidden="0" allowOverlap="1" wp14:anchorId="05453EC5" wp14:editId="4C85BD51">
          <wp:simplePos x="0" y="0"/>
          <wp:positionH relativeFrom="page">
            <wp:posOffset>233363</wp:posOffset>
          </wp:positionH>
          <wp:positionV relativeFrom="page">
            <wp:posOffset>97564</wp:posOffset>
          </wp:positionV>
          <wp:extent cx="7300913" cy="1374048"/>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00913" cy="137404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950B6"/>
    <w:multiLevelType w:val="multilevel"/>
    <w:tmpl w:val="323440B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CFA49A5"/>
    <w:multiLevelType w:val="multilevel"/>
    <w:tmpl w:val="1368CB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187CF9"/>
    <w:multiLevelType w:val="multilevel"/>
    <w:tmpl w:val="607E3690"/>
    <w:lvl w:ilvl="0">
      <w:start w:val="1"/>
      <w:numFmt w:val="upperLetter"/>
      <w:lvlText w:val="%1."/>
      <w:lvlJc w:val="left"/>
      <w:pPr>
        <w:ind w:left="1070" w:hanging="360"/>
      </w:pPr>
      <w:rPr>
        <w:vertAlign w:val="baseline"/>
      </w:rPr>
    </w:lvl>
    <w:lvl w:ilvl="1">
      <w:start w:val="1"/>
      <w:numFmt w:val="lowerLetter"/>
      <w:lvlText w:val="%2."/>
      <w:lvlJc w:val="left"/>
      <w:pPr>
        <w:ind w:left="1790" w:hanging="360"/>
      </w:pPr>
      <w:rPr>
        <w:vertAlign w:val="baseline"/>
      </w:rPr>
    </w:lvl>
    <w:lvl w:ilvl="2">
      <w:start w:val="1"/>
      <w:numFmt w:val="lowerRoman"/>
      <w:lvlText w:val="%3."/>
      <w:lvlJc w:val="right"/>
      <w:pPr>
        <w:ind w:left="2510" w:hanging="180"/>
      </w:pPr>
      <w:rPr>
        <w:vertAlign w:val="baseline"/>
      </w:rPr>
    </w:lvl>
    <w:lvl w:ilvl="3">
      <w:start w:val="1"/>
      <w:numFmt w:val="decimal"/>
      <w:lvlText w:val="%4."/>
      <w:lvlJc w:val="left"/>
      <w:pPr>
        <w:ind w:left="3230" w:hanging="360"/>
      </w:pPr>
      <w:rPr>
        <w:vertAlign w:val="baseline"/>
      </w:rPr>
    </w:lvl>
    <w:lvl w:ilvl="4">
      <w:start w:val="1"/>
      <w:numFmt w:val="lowerLetter"/>
      <w:lvlText w:val="%5."/>
      <w:lvlJc w:val="left"/>
      <w:pPr>
        <w:ind w:left="3950" w:hanging="360"/>
      </w:pPr>
      <w:rPr>
        <w:vertAlign w:val="baseline"/>
      </w:rPr>
    </w:lvl>
    <w:lvl w:ilvl="5">
      <w:start w:val="1"/>
      <w:numFmt w:val="lowerRoman"/>
      <w:lvlText w:val="%6."/>
      <w:lvlJc w:val="right"/>
      <w:pPr>
        <w:ind w:left="4670" w:hanging="180"/>
      </w:pPr>
      <w:rPr>
        <w:vertAlign w:val="baseline"/>
      </w:rPr>
    </w:lvl>
    <w:lvl w:ilvl="6">
      <w:start w:val="1"/>
      <w:numFmt w:val="decimal"/>
      <w:lvlText w:val="%7."/>
      <w:lvlJc w:val="left"/>
      <w:pPr>
        <w:ind w:left="5390" w:hanging="360"/>
      </w:pPr>
      <w:rPr>
        <w:vertAlign w:val="baseline"/>
      </w:rPr>
    </w:lvl>
    <w:lvl w:ilvl="7">
      <w:start w:val="1"/>
      <w:numFmt w:val="lowerLetter"/>
      <w:lvlText w:val="%8."/>
      <w:lvlJc w:val="left"/>
      <w:pPr>
        <w:ind w:left="6110" w:hanging="360"/>
      </w:pPr>
      <w:rPr>
        <w:vertAlign w:val="baseline"/>
      </w:rPr>
    </w:lvl>
    <w:lvl w:ilvl="8">
      <w:start w:val="1"/>
      <w:numFmt w:val="lowerRoman"/>
      <w:lvlText w:val="%9."/>
      <w:lvlJc w:val="right"/>
      <w:pPr>
        <w:ind w:left="6830" w:hanging="180"/>
      </w:pPr>
      <w:rPr>
        <w:vertAlign w:val="baseline"/>
      </w:rPr>
    </w:lvl>
  </w:abstractNum>
  <w:abstractNum w:abstractNumId="3" w15:restartNumberingAfterBreak="0">
    <w:nsid w:val="418B24BA"/>
    <w:multiLevelType w:val="multilevel"/>
    <w:tmpl w:val="492C9D0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64EA39B9"/>
    <w:multiLevelType w:val="multilevel"/>
    <w:tmpl w:val="5936E6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6027992">
    <w:abstractNumId w:val="1"/>
  </w:num>
  <w:num w:numId="2" w16cid:durableId="220096903">
    <w:abstractNumId w:val="4"/>
  </w:num>
  <w:num w:numId="3" w16cid:durableId="138812306">
    <w:abstractNumId w:val="3"/>
  </w:num>
  <w:num w:numId="4" w16cid:durableId="1205942474">
    <w:abstractNumId w:val="0"/>
  </w:num>
  <w:num w:numId="5" w16cid:durableId="2017538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669"/>
    <w:rsid w:val="001D6B24"/>
    <w:rsid w:val="007324B9"/>
    <w:rsid w:val="00780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79A2"/>
  <w15:docId w15:val="{DCE2F0A9-9B9B-40B8-BBD8-72F5DBA8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zotero.org/google-docs/?PRgFKn" TargetMode="External"/><Relationship Id="rId13" Type="http://schemas.openxmlformats.org/officeDocument/2006/relationships/hyperlink" Target="https://www.facebook.com/photo/?fbid=5221326461323161&amp;set=pcb.5221395457982928" TargetMode="External"/><Relationship Id="rId18" Type="http://schemas.openxmlformats.org/officeDocument/2006/relationships/hyperlink" Target="https://www.zotero.org/google-docs/?Pydhdo" TargetMode="External"/><Relationship Id="rId26" Type="http://schemas.openxmlformats.org/officeDocument/2006/relationships/hyperlink" Target="https://www.zotero.org/google-docs/?ni4TKY" TargetMode="External"/><Relationship Id="rId3" Type="http://schemas.openxmlformats.org/officeDocument/2006/relationships/hyperlink" Target="https://www.ohchr.org/en/instruments-mechanisms/instruments/convention-elimination-all-forms-discrimination-against-women" TargetMode="External"/><Relationship Id="rId21" Type="http://schemas.openxmlformats.org/officeDocument/2006/relationships/hyperlink" Target="https://www.cnnphilippines.com/news/2023/1/28/NBI-starts-autopsy-on-remains-of-OFW-killed-in-Kuwait.html" TargetMode="External"/><Relationship Id="rId7" Type="http://schemas.openxmlformats.org/officeDocument/2006/relationships/hyperlink" Target="https://www.zotero.org/google-docs/?Pydhdo" TargetMode="External"/><Relationship Id="rId12" Type="http://schemas.openxmlformats.org/officeDocument/2006/relationships/hyperlink" Target="https://www.zotero.org/google-docs/?PRgFKn" TargetMode="External"/><Relationship Id="rId17" Type="http://schemas.openxmlformats.org/officeDocument/2006/relationships/hyperlink" Target="https://www.zotero.org/google-docs/?PRgFKn" TargetMode="External"/><Relationship Id="rId25" Type="http://schemas.openxmlformats.org/officeDocument/2006/relationships/hyperlink" Target="https://centerformigrantadvocacy.files.wordpress.com/2021/01/bla-study-v.-2.pdf" TargetMode="External"/><Relationship Id="rId2" Type="http://schemas.openxmlformats.org/officeDocument/2006/relationships/hyperlink" Target="https://www.ohchr.org/en/instruments-mechanisms/instruments/convention-rights-child" TargetMode="External"/><Relationship Id="rId16" Type="http://schemas.openxmlformats.org/officeDocument/2006/relationships/hyperlink" Target="https://www.youtube.com/watch?v=qI3Sy51mo44" TargetMode="External"/><Relationship Id="rId20" Type="http://schemas.openxmlformats.org/officeDocument/2006/relationships/hyperlink" Target="https://centerformigrantadvocacy.files.wordpress.com/2021/01/bla-study-v.-2.pdf" TargetMode="External"/><Relationship Id="rId1" Type="http://schemas.openxmlformats.org/officeDocument/2006/relationships/hyperlink" Target="https://www.ohchr.org/en/instruments-mechanisms/instruments/convention-rights-child" TargetMode="External"/><Relationship Id="rId6" Type="http://schemas.openxmlformats.org/officeDocument/2006/relationships/hyperlink" Target="https://www.zotero.org/google-docs/?PRgFKn" TargetMode="External"/><Relationship Id="rId11" Type="http://schemas.openxmlformats.org/officeDocument/2006/relationships/hyperlink" Target="https://www.zotero.org/google-docs/?PRgFKn" TargetMode="External"/><Relationship Id="rId24" Type="http://schemas.openxmlformats.org/officeDocument/2006/relationships/hyperlink" Target="https://www.zotero.org/google-docs/?PRgFKn" TargetMode="External"/><Relationship Id="rId5" Type="http://schemas.openxmlformats.org/officeDocument/2006/relationships/hyperlink" Target="https://centerformigrantadvocacy.com/migrant-domestic-workers-access-to-justice-2018/" TargetMode="External"/><Relationship Id="rId15" Type="http://schemas.openxmlformats.org/officeDocument/2006/relationships/hyperlink" Target="https://southluzon.politics.com.ph/2022/06/23/cavinti-lgu-signs-moa-with-korea-for-the-hiring-of-seasonal-workers/" TargetMode="External"/><Relationship Id="rId23" Type="http://schemas.openxmlformats.org/officeDocument/2006/relationships/hyperlink" Target="https://www.zotero.org/google-docs/?Pydhdo" TargetMode="External"/><Relationship Id="rId28" Type="http://schemas.openxmlformats.org/officeDocument/2006/relationships/hyperlink" Target="https://ils.dole.gov.ph/downloads/file/193-strengthening-preparedness-for-migrant-worker-reintegration-thematic-analysis-and-local-index-tool-development" TargetMode="External"/><Relationship Id="rId10" Type="http://schemas.openxmlformats.org/officeDocument/2006/relationships/hyperlink" Target="https://www.zotero.org/google-docs/?PRgFKn" TargetMode="External"/><Relationship Id="rId19" Type="http://schemas.openxmlformats.org/officeDocument/2006/relationships/hyperlink" Target="https://www.zotero.org/google-docs/?PRgFKn" TargetMode="External"/><Relationship Id="rId4" Type="http://schemas.openxmlformats.org/officeDocument/2006/relationships/hyperlink" Target="https://www.officialgazette.gov.ph/2000/01/20/executive-order-no-203-s-2000/" TargetMode="External"/><Relationship Id="rId9" Type="http://schemas.openxmlformats.org/officeDocument/2006/relationships/hyperlink" Target="https://chr.gov.ph/wp-content/uploads/2021/08/06182021_CHR-OFW-POLICY-PAPER_HSR_Gaps-in-Access-to-Justice.pdf" TargetMode="External"/><Relationship Id="rId14" Type="http://schemas.openxmlformats.org/officeDocument/2006/relationships/hyperlink" Target="https://z-upload.facebook.com/OpinYonLaguna/posts/3221675138161772" TargetMode="External"/><Relationship Id="rId22" Type="http://schemas.openxmlformats.org/officeDocument/2006/relationships/hyperlink" Target="https://www.zotero.org/google-docs/?PRgFKn" TargetMode="External"/><Relationship Id="rId27" Type="http://schemas.openxmlformats.org/officeDocument/2006/relationships/hyperlink" Target="https://ils.dole.gov.ph/downloads/file/724-an-analysis-of-ofw-return-experiences-and-program-challenges-amid-the-covid-19-pandemic-advancing-an-alternative-reintegration-governance-framewor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KE2SXbCIX7zm3ucebAY6i48RuA==">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4001</Words>
  <Characters>22807</Characters>
  <Application>Microsoft Office Word</Application>
  <DocSecurity>0</DocSecurity>
  <Lines>190</Lines>
  <Paragraphs>53</Paragraphs>
  <ScaleCrop>false</ScaleCrop>
  <Company/>
  <LinksUpToDate>false</LinksUpToDate>
  <CharactersWithSpaces>26755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ELLENE-PC</dc:creator>
  <cp:lastModifiedBy>ELLENE-PC</cp:lastModifiedBy>
  <cp:revision>2</cp:revision>
  <dcterms:created xsi:type="dcterms:W3CDTF">2023-02-28T00:53:00Z</dcterms:created>
  <dcterms:modified xsi:type="dcterms:W3CDTF">2023-02-28T00:53:00Z</dcterms:modified>
</cp:coreProperties>
</file>