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CE97F" w14:textId="358F566D" w:rsidR="00AD65F6" w:rsidRPr="007E5BB1" w:rsidRDefault="00AD65F6" w:rsidP="00AD65F6">
      <w:pPr>
        <w:jc w:val="center"/>
        <w:rPr>
          <w:rFonts w:ascii="Open Sans" w:hAnsi="Open Sans" w:cs="Open Sans"/>
          <w:b/>
          <w:sz w:val="24"/>
          <w:szCs w:val="26"/>
          <w:lang w:val="en-GB"/>
        </w:rPr>
      </w:pPr>
      <w:bookmarkStart w:id="0" w:name="_er29s7oz8l5j" w:colFirst="0" w:colLast="0"/>
      <w:bookmarkStart w:id="1" w:name="_GoBack"/>
      <w:bookmarkEnd w:id="0"/>
      <w:bookmarkEnd w:id="1"/>
      <w:r w:rsidRPr="007E5BB1">
        <w:rPr>
          <w:rFonts w:ascii="Open Sans" w:hAnsi="Open Sans" w:cs="Open Sans"/>
          <w:b/>
          <w:sz w:val="24"/>
          <w:szCs w:val="26"/>
          <w:u w:val="single"/>
          <w:lang w:val="en-GB"/>
        </w:rPr>
        <w:t>Submission to the Committee on Economic, Social and Cultural Rights – 70</w:t>
      </w:r>
      <w:r w:rsidRPr="007E5BB1">
        <w:rPr>
          <w:rFonts w:ascii="Open Sans" w:hAnsi="Open Sans" w:cs="Open Sans"/>
          <w:b/>
          <w:sz w:val="24"/>
          <w:szCs w:val="26"/>
          <w:u w:val="single"/>
          <w:vertAlign w:val="superscript"/>
          <w:lang w:val="en-GB"/>
        </w:rPr>
        <w:t>th</w:t>
      </w:r>
      <w:r w:rsidRPr="007E5BB1">
        <w:rPr>
          <w:rFonts w:ascii="Open Sans" w:hAnsi="Open Sans" w:cs="Open Sans"/>
          <w:b/>
          <w:sz w:val="24"/>
          <w:szCs w:val="26"/>
          <w:u w:val="single"/>
          <w:lang w:val="en-GB"/>
        </w:rPr>
        <w:t xml:space="preserve"> Session</w:t>
      </w:r>
      <w:r w:rsidRPr="007E5BB1">
        <w:rPr>
          <w:rFonts w:ascii="Open Sans" w:hAnsi="Open Sans" w:cs="Open Sans"/>
          <w:b/>
          <w:sz w:val="24"/>
          <w:szCs w:val="26"/>
          <w:lang w:val="en-GB"/>
        </w:rPr>
        <w:t xml:space="preserve"> (Pre-sessional Working Group)</w:t>
      </w:r>
    </w:p>
    <w:p w14:paraId="66966555" w14:textId="1C3B3341" w:rsidR="00AD65F6" w:rsidRPr="007E5BB1" w:rsidRDefault="00AD65F6" w:rsidP="00AD65F6">
      <w:pPr>
        <w:jc w:val="center"/>
        <w:rPr>
          <w:rFonts w:ascii="Open Sans" w:hAnsi="Open Sans" w:cs="Open Sans"/>
          <w:b/>
          <w:sz w:val="24"/>
          <w:szCs w:val="26"/>
          <w:lang w:val="en-GB"/>
        </w:rPr>
      </w:pPr>
      <w:r w:rsidRPr="007E5BB1">
        <w:rPr>
          <w:rFonts w:ascii="Open Sans" w:hAnsi="Open Sans" w:cs="Open Sans"/>
          <w:b/>
          <w:sz w:val="24"/>
          <w:szCs w:val="26"/>
          <w:lang w:val="en-GB"/>
        </w:rPr>
        <w:t>(7 – 11 March 2022)</w:t>
      </w:r>
    </w:p>
    <w:p w14:paraId="32BA5090" w14:textId="77777777" w:rsidR="00AD65F6" w:rsidRPr="007E5BB1" w:rsidRDefault="00AD65F6" w:rsidP="00AD65F6">
      <w:pPr>
        <w:jc w:val="center"/>
        <w:rPr>
          <w:rFonts w:ascii="Open Sans" w:hAnsi="Open Sans" w:cs="Open Sans"/>
          <w:sz w:val="28"/>
          <w:szCs w:val="28"/>
          <w:lang w:val="en-GB"/>
        </w:rPr>
      </w:pPr>
    </w:p>
    <w:p w14:paraId="1DAD5A1F" w14:textId="37945A04" w:rsidR="00AD65F6" w:rsidRPr="007E5BB1" w:rsidRDefault="00AD65F6" w:rsidP="00AD65F6">
      <w:pPr>
        <w:rPr>
          <w:rFonts w:ascii="Open Sans" w:hAnsi="Open Sans" w:cs="Open Sans"/>
          <w:sz w:val="28"/>
          <w:szCs w:val="28"/>
          <w:lang w:val="en-GB"/>
        </w:rPr>
      </w:pPr>
    </w:p>
    <w:p w14:paraId="1E672976" w14:textId="7E6CBC2A" w:rsidR="00AD65F6" w:rsidRPr="007E5BB1" w:rsidRDefault="00AD65F6" w:rsidP="00AD65F6">
      <w:pPr>
        <w:jc w:val="center"/>
        <w:rPr>
          <w:rFonts w:ascii="Open Sans" w:hAnsi="Open Sans" w:cs="Open Sans"/>
          <w:b/>
          <w:sz w:val="28"/>
          <w:szCs w:val="28"/>
          <w:lang w:val="en-GB"/>
        </w:rPr>
      </w:pPr>
      <w:r w:rsidRPr="007E5BB1">
        <w:rPr>
          <w:rFonts w:ascii="Open Sans" w:hAnsi="Open Sans" w:cs="Open Sans"/>
          <w:b/>
          <w:sz w:val="28"/>
          <w:szCs w:val="28"/>
          <w:lang w:val="en-GB"/>
        </w:rPr>
        <w:t>INDONESIA</w:t>
      </w:r>
    </w:p>
    <w:p w14:paraId="18721B71" w14:textId="514E1DF3" w:rsidR="00AD65F6" w:rsidRPr="007E5BB1" w:rsidRDefault="00AD65F6" w:rsidP="00AD65F6">
      <w:pPr>
        <w:rPr>
          <w:rFonts w:ascii="Open Sans" w:hAnsi="Open Sans" w:cs="Open Sans"/>
          <w:b/>
          <w:sz w:val="18"/>
          <w:szCs w:val="18"/>
          <w:lang w:val="en-GB"/>
        </w:rPr>
      </w:pPr>
    </w:p>
    <w:p w14:paraId="2F5B740D" w14:textId="4092CDF5" w:rsidR="00AD65F6" w:rsidRPr="007E5BB1" w:rsidRDefault="00AD65F6" w:rsidP="00AD65F6">
      <w:pPr>
        <w:rPr>
          <w:rFonts w:ascii="Open Sans" w:hAnsi="Open Sans" w:cs="Open Sans"/>
          <w:b/>
          <w:sz w:val="18"/>
          <w:szCs w:val="18"/>
          <w:lang w:val="en-GB"/>
        </w:rPr>
      </w:pPr>
    </w:p>
    <w:p w14:paraId="4A09AFFB" w14:textId="3F6F7BEB" w:rsidR="00AD65F6" w:rsidRPr="007E5BB1" w:rsidRDefault="00AD65F6" w:rsidP="00AD65F6">
      <w:pPr>
        <w:jc w:val="center"/>
        <w:rPr>
          <w:rFonts w:ascii="Open Sans" w:hAnsi="Open Sans" w:cs="Open Sans"/>
          <w:sz w:val="20"/>
          <w:szCs w:val="20"/>
          <w:lang w:val="en-GB"/>
        </w:rPr>
      </w:pPr>
      <w:r w:rsidRPr="007E5BB1">
        <w:rPr>
          <w:rFonts w:ascii="Open Sans" w:hAnsi="Open Sans" w:cs="Open Sans"/>
          <w:sz w:val="20"/>
          <w:szCs w:val="20"/>
          <w:lang w:val="en-GB"/>
        </w:rPr>
        <w:t>12 January 2022</w:t>
      </w:r>
    </w:p>
    <w:p w14:paraId="70B0FCC2" w14:textId="77777777" w:rsidR="00AD65F6" w:rsidRPr="007E5BB1" w:rsidRDefault="00AD65F6" w:rsidP="00AD65F6">
      <w:pPr>
        <w:jc w:val="both"/>
        <w:rPr>
          <w:rFonts w:ascii="Open Sans" w:hAnsi="Open Sans" w:cs="Open Sans"/>
          <w:sz w:val="20"/>
          <w:szCs w:val="20"/>
          <w:lang w:val="en-GB"/>
        </w:rPr>
      </w:pPr>
    </w:p>
    <w:p w14:paraId="50DD90BE" w14:textId="77777777" w:rsidR="00AD65F6" w:rsidRPr="007E5BB1" w:rsidRDefault="00AD65F6" w:rsidP="00AD65F6">
      <w:pPr>
        <w:jc w:val="both"/>
        <w:rPr>
          <w:rFonts w:ascii="Open Sans" w:hAnsi="Open Sans" w:cs="Open Sans"/>
          <w:sz w:val="20"/>
          <w:szCs w:val="20"/>
          <w:lang w:val="en-GB"/>
        </w:rPr>
      </w:pPr>
    </w:p>
    <w:p w14:paraId="5F06A303" w14:textId="502A3808" w:rsidR="00AD65F6" w:rsidRPr="007E5BB1" w:rsidRDefault="00D96F15" w:rsidP="00AD65F6">
      <w:pPr>
        <w:jc w:val="both"/>
        <w:rPr>
          <w:rFonts w:ascii="Open Sans" w:hAnsi="Open Sans" w:cs="Open Sans"/>
          <w:i/>
          <w:sz w:val="20"/>
          <w:szCs w:val="20"/>
          <w:lang w:val="en-GB"/>
        </w:rPr>
      </w:pPr>
      <w:r w:rsidRPr="007E5BB1">
        <w:rPr>
          <w:rFonts w:ascii="Calibri" w:hAnsi="Calibri" w:cs="Calibri"/>
          <w:noProof/>
          <w:color w:val="222222"/>
          <w:sz w:val="20"/>
          <w:szCs w:val="20"/>
          <w:shd w:val="clear" w:color="auto" w:fill="FFFFFF"/>
          <w:lang w:val="en-GB"/>
        </w:rPr>
        <mc:AlternateContent>
          <mc:Choice Requires="wps">
            <w:drawing>
              <wp:anchor distT="45720" distB="45720" distL="114300" distR="114300" simplePos="0" relativeHeight="251667456" behindDoc="0" locked="0" layoutInCell="1" allowOverlap="1" wp14:anchorId="2BE7B433" wp14:editId="52FA399A">
                <wp:simplePos x="0" y="0"/>
                <wp:positionH relativeFrom="column">
                  <wp:posOffset>1363980</wp:posOffset>
                </wp:positionH>
                <wp:positionV relativeFrom="paragraph">
                  <wp:posOffset>389255</wp:posOffset>
                </wp:positionV>
                <wp:extent cx="4876800"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404620"/>
                        </a:xfrm>
                        <a:prstGeom prst="rect">
                          <a:avLst/>
                        </a:prstGeom>
                        <a:solidFill>
                          <a:srgbClr val="FFFFFF"/>
                        </a:solidFill>
                        <a:ln w="9525">
                          <a:noFill/>
                          <a:miter lim="800000"/>
                          <a:headEnd/>
                          <a:tailEnd/>
                        </a:ln>
                      </wps:spPr>
                      <wps:txbx>
                        <w:txbxContent>
                          <w:p w14:paraId="3A542389" w14:textId="3DAAE405" w:rsidR="00FA2779" w:rsidRPr="00600D3E" w:rsidRDefault="00AD65F6" w:rsidP="00AD65F6">
                            <w:pPr>
                              <w:jc w:val="both"/>
                              <w:rPr>
                                <w:rFonts w:ascii="Calibri" w:hAnsi="Calibri" w:cs="Calibri"/>
                                <w:color w:val="222222"/>
                                <w:sz w:val="20"/>
                                <w:szCs w:val="20"/>
                                <w:shd w:val="clear" w:color="auto" w:fill="FFFFFF"/>
                              </w:rPr>
                            </w:pPr>
                            <w:r w:rsidRPr="00AD65F6">
                              <w:rPr>
                                <w:rFonts w:ascii="Calibri" w:hAnsi="Calibri" w:cs="Calibri"/>
                                <w:b/>
                                <w:color w:val="202124"/>
                                <w:sz w:val="20"/>
                                <w:szCs w:val="20"/>
                                <w:shd w:val="clear" w:color="auto" w:fill="FFFFFF"/>
                              </w:rPr>
                              <w:t>Yayasan Aksi Keadilan Indonesia (AKSI)</w:t>
                            </w:r>
                            <w:r w:rsidR="009A1491">
                              <w:rPr>
                                <w:rFonts w:ascii="Calibri" w:hAnsi="Calibri" w:cs="Calibri"/>
                                <w:b/>
                                <w:color w:val="202124"/>
                                <w:sz w:val="20"/>
                                <w:szCs w:val="20"/>
                                <w:shd w:val="clear" w:color="auto" w:fill="FFFFFF"/>
                              </w:rPr>
                              <w:t xml:space="preserve"> </w:t>
                            </w:r>
                            <w:r w:rsidR="009A1491">
                              <w:rPr>
                                <w:rFonts w:ascii="Calibri" w:hAnsi="Calibri" w:cs="Calibri"/>
                                <w:color w:val="202124"/>
                                <w:sz w:val="20"/>
                                <w:szCs w:val="20"/>
                                <w:shd w:val="clear" w:color="auto" w:fill="FFFFFF"/>
                              </w:rPr>
                              <w:t>(</w:t>
                            </w:r>
                            <w:r w:rsidR="00600D3E" w:rsidRPr="009A1491">
                              <w:rPr>
                                <w:rFonts w:ascii="Calibri" w:hAnsi="Calibri" w:cs="Calibri"/>
                                <w:bCs/>
                                <w:i/>
                                <w:color w:val="202124"/>
                                <w:sz w:val="20"/>
                                <w:szCs w:val="20"/>
                                <w:shd w:val="clear" w:color="auto" w:fill="FFFFFF"/>
                              </w:rPr>
                              <w:t>in english: Indonesia Act for Justice</w:t>
                            </w:r>
                            <w:r w:rsidR="009A1491">
                              <w:rPr>
                                <w:rFonts w:ascii="Calibri" w:hAnsi="Calibri" w:cs="Calibri"/>
                                <w:bCs/>
                                <w:color w:val="202124"/>
                                <w:sz w:val="20"/>
                                <w:szCs w:val="20"/>
                                <w:shd w:val="clear" w:color="auto" w:fill="FFFFFF"/>
                              </w:rPr>
                              <w:t>)</w:t>
                            </w:r>
                            <w:r w:rsidRPr="00AD65F6">
                              <w:rPr>
                                <w:rFonts w:ascii="Calibri" w:hAnsi="Calibri" w:cs="Calibri"/>
                                <w:color w:val="202124"/>
                                <w:sz w:val="20"/>
                                <w:szCs w:val="20"/>
                                <w:shd w:val="clear" w:color="auto" w:fill="FFFFFF"/>
                              </w:rPr>
                              <w:t xml:space="preserve"> </w:t>
                            </w:r>
                            <w:r w:rsidRPr="00AD65F6">
                              <w:rPr>
                                <w:rFonts w:ascii="Calibri" w:hAnsi="Calibri" w:cs="Calibri"/>
                                <w:color w:val="222222"/>
                                <w:sz w:val="20"/>
                                <w:szCs w:val="20"/>
                                <w:shd w:val="clear" w:color="auto" w:fill="FFFFFF"/>
                              </w:rPr>
                              <w:t xml:space="preserve">is </w:t>
                            </w:r>
                            <w:r w:rsidR="00FA2779" w:rsidRPr="00FA2779">
                              <w:rPr>
                                <w:rFonts w:ascii="Calibri" w:hAnsi="Calibri" w:cs="Calibri"/>
                                <w:sz w:val="20"/>
                                <w:szCs w:val="20"/>
                              </w:rPr>
                              <w:t xml:space="preserve">a non-profit organization based in Bogor, West Java, established to provide community-based legal assistance to poor and marginalised communities seeking justice. Since 2018, AKSI has provided legal education and legal assistance in drugs cases, both in litigation and non-litigation, including for women and young people who use drugs, whose rights </w:t>
                            </w:r>
                            <w:r w:rsidR="009A1491">
                              <w:rPr>
                                <w:rFonts w:ascii="Calibri" w:hAnsi="Calibri" w:cs="Calibri"/>
                                <w:sz w:val="20"/>
                                <w:szCs w:val="20"/>
                              </w:rPr>
                              <w:t xml:space="preserve">are </w:t>
                            </w:r>
                            <w:r w:rsidR="00FA2779" w:rsidRPr="00FA2779">
                              <w:rPr>
                                <w:rFonts w:ascii="Calibri" w:hAnsi="Calibri" w:cs="Calibri"/>
                                <w:sz w:val="20"/>
                                <w:szCs w:val="20"/>
                              </w:rPr>
                              <w:t>often violated.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BE7B433" id="_x0000_t202" coordsize="21600,21600" o:spt="202" path="m,l,21600r21600,l21600,xe">
                <v:stroke joinstyle="miter"/>
                <v:path gradientshapeok="t" o:connecttype="rect"/>
              </v:shapetype>
              <v:shape id="Text Box 2" o:spid="_x0000_s1026" type="#_x0000_t202" style="position:absolute;left:0;text-align:left;margin-left:107.4pt;margin-top:30.65pt;width:384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" stroked="f">
                <v:textbox style="mso-fit-shape-to-text:t">
                  <w:txbxContent>
                    <w:p w14:paraId="3A542389" w14:textId="3DAAE405" w:rsidR="00FA2779" w:rsidRPr="00600D3E" w:rsidRDefault="00AD65F6" w:rsidP="00AD65F6">
                      <w:pPr>
                        <w:jc w:val="both"/>
                        <w:rPr>
                          <w:rFonts w:ascii="Calibri" w:hAnsi="Calibri" w:cs="Calibri"/>
                          <w:color w:val="222222"/>
                          <w:sz w:val="20"/>
                          <w:szCs w:val="20"/>
                          <w:shd w:val="clear" w:color="auto" w:fill="FFFFFF"/>
                        </w:rPr>
                      </w:pPr>
                      <w:r w:rsidRPr="00AD65F6">
                        <w:rPr>
                          <w:rFonts w:ascii="Calibri" w:hAnsi="Calibri" w:cs="Calibri"/>
                          <w:b/>
                          <w:color w:val="202124"/>
                          <w:sz w:val="20"/>
                          <w:szCs w:val="20"/>
                          <w:shd w:val="clear" w:color="auto" w:fill="FFFFFF"/>
                        </w:rPr>
                        <w:t>Yayasan Aksi Keadilan Indonesia (AKSI)</w:t>
                      </w:r>
                      <w:r w:rsidR="009A1491">
                        <w:rPr>
                          <w:rFonts w:ascii="Calibri" w:hAnsi="Calibri" w:cs="Calibri"/>
                          <w:b/>
                          <w:color w:val="202124"/>
                          <w:sz w:val="20"/>
                          <w:szCs w:val="20"/>
                          <w:shd w:val="clear" w:color="auto" w:fill="FFFFFF"/>
                        </w:rPr>
                        <w:t xml:space="preserve"> </w:t>
                      </w:r>
                      <w:r w:rsidR="009A1491">
                        <w:rPr>
                          <w:rFonts w:ascii="Calibri" w:hAnsi="Calibri" w:cs="Calibri"/>
                          <w:color w:val="202124"/>
                          <w:sz w:val="20"/>
                          <w:szCs w:val="20"/>
                          <w:shd w:val="clear" w:color="auto" w:fill="FFFFFF"/>
                        </w:rPr>
                        <w:t>(</w:t>
                      </w:r>
                      <w:r w:rsidR="00600D3E" w:rsidRPr="009A1491">
                        <w:rPr>
                          <w:rFonts w:ascii="Calibri" w:hAnsi="Calibri" w:cs="Calibri"/>
                          <w:bCs/>
                          <w:i/>
                          <w:color w:val="202124"/>
                          <w:sz w:val="20"/>
                          <w:szCs w:val="20"/>
                          <w:shd w:val="clear" w:color="auto" w:fill="FFFFFF"/>
                        </w:rPr>
                        <w:t>in english: Indonesia Act for Justice</w:t>
                      </w:r>
                      <w:r w:rsidR="009A1491">
                        <w:rPr>
                          <w:rFonts w:ascii="Calibri" w:hAnsi="Calibri" w:cs="Calibri"/>
                          <w:bCs/>
                          <w:color w:val="202124"/>
                          <w:sz w:val="20"/>
                          <w:szCs w:val="20"/>
                          <w:shd w:val="clear" w:color="auto" w:fill="FFFFFF"/>
                        </w:rPr>
                        <w:t>)</w:t>
                      </w:r>
                      <w:r w:rsidRPr="00AD65F6">
                        <w:rPr>
                          <w:rFonts w:ascii="Calibri" w:hAnsi="Calibri" w:cs="Calibri"/>
                          <w:color w:val="202124"/>
                          <w:sz w:val="20"/>
                          <w:szCs w:val="20"/>
                          <w:shd w:val="clear" w:color="auto" w:fill="FFFFFF"/>
                        </w:rPr>
                        <w:t xml:space="preserve"> </w:t>
                      </w:r>
                      <w:r w:rsidRPr="00AD65F6">
                        <w:rPr>
                          <w:rFonts w:ascii="Calibri" w:hAnsi="Calibri" w:cs="Calibri"/>
                          <w:color w:val="222222"/>
                          <w:sz w:val="20"/>
                          <w:szCs w:val="20"/>
                          <w:shd w:val="clear" w:color="auto" w:fill="FFFFFF"/>
                        </w:rPr>
                        <w:t xml:space="preserve">is </w:t>
                      </w:r>
                      <w:r w:rsidR="00FA2779" w:rsidRPr="00FA2779">
                        <w:rPr>
                          <w:rFonts w:ascii="Calibri" w:hAnsi="Calibri" w:cs="Calibri"/>
                          <w:sz w:val="20"/>
                          <w:szCs w:val="20"/>
                        </w:rPr>
                        <w:t xml:space="preserve">a non-profit organization based in Bogor, West Java, established to provide community-based legal assistance to poor and marginalised communities seeking justice. Since 2018, AKSI has provided legal education and legal assistance in drugs cases, both in litigation and non-litigation, including for women and young people who use drugs, whose rights </w:t>
                      </w:r>
                      <w:r w:rsidR="009A1491">
                        <w:rPr>
                          <w:rFonts w:ascii="Calibri" w:hAnsi="Calibri" w:cs="Calibri"/>
                          <w:sz w:val="20"/>
                          <w:szCs w:val="20"/>
                        </w:rPr>
                        <w:t xml:space="preserve">are </w:t>
                      </w:r>
                      <w:r w:rsidR="00FA2779" w:rsidRPr="00FA2779">
                        <w:rPr>
                          <w:rFonts w:ascii="Calibri" w:hAnsi="Calibri" w:cs="Calibri"/>
                          <w:sz w:val="20"/>
                          <w:szCs w:val="20"/>
                        </w:rPr>
                        <w:t>often violated.</w:t>
                      </w:r>
                    </w:p>
                  </w:txbxContent>
                </v:textbox>
                <w10:wrap type="square"/>
              </v:shape>
            </w:pict>
          </mc:Fallback>
        </mc:AlternateContent>
      </w:r>
      <w:r w:rsidR="00AD65F6" w:rsidRPr="007E5BB1">
        <w:rPr>
          <w:noProof/>
          <w:lang w:val="en-GB"/>
        </w:rPr>
        <w:drawing>
          <wp:anchor distT="0" distB="0" distL="114300" distR="114300" simplePos="0" relativeHeight="251668480" behindDoc="0" locked="0" layoutInCell="1" allowOverlap="1" wp14:anchorId="1D976E2E" wp14:editId="53D0AA94">
            <wp:simplePos x="0" y="0"/>
            <wp:positionH relativeFrom="margin">
              <wp:align>left</wp:align>
            </wp:positionH>
            <wp:positionV relativeFrom="paragraph">
              <wp:posOffset>343535</wp:posOffset>
            </wp:positionV>
            <wp:extent cx="1226820" cy="656590"/>
            <wp:effectExtent l="0" t="0" r="0" b="0"/>
            <wp:wrapSquare wrapText="bothSides"/>
            <wp:docPr id="6" name="Picture 6" descr="https://aksikeadilan.org/wp-content/uploads/2021/01/Logo-Aksi-Keadilan-Indonesia-whit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ksikeadilan.org/wp-content/uploads/2021/01/Logo-Aksi-Keadilan-Indonesia-white-1.png"/>
                    <pic:cNvPicPr>
                      <a:picLocks noChangeAspect="1" noChangeArrowheads="1"/>
                    </pic:cNvPicPr>
                  </pic:nvPicPr>
                  <pic:blipFill>
                    <a:blip r:embed="rId8">
                      <a:biLevel thresh="50000"/>
                      <a:extLst>
                        <a:ext uri="{BEBA8EAE-BF5A-486C-A8C5-ECC9F3942E4B}">
                          <a14:imgProps xmlns:a14="http://schemas.microsoft.com/office/drawing/2010/main">
                            <a14:imgLayer r:embed="rId9">
                              <a14:imgEffect>
                                <a14:colorTemperature colorTemp="11500"/>
                              </a14:imgEffect>
                              <a14:imgEffect>
                                <a14:saturation sat="400000"/>
                              </a14:imgEffect>
                              <a14:imgEffect>
                                <a14:brightnessContrast bright="-40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1226820" cy="656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65F6" w:rsidRPr="007E5BB1">
        <w:rPr>
          <w:rFonts w:ascii="Open Sans" w:hAnsi="Open Sans" w:cs="Open Sans"/>
          <w:i/>
          <w:sz w:val="20"/>
          <w:szCs w:val="20"/>
          <w:lang w:val="en-GB"/>
        </w:rPr>
        <w:t>Reporting organisations:</w:t>
      </w:r>
    </w:p>
    <w:p w14:paraId="043A3965" w14:textId="26A4EFB8" w:rsidR="00AD65F6" w:rsidRPr="007E5BB1" w:rsidRDefault="00AD65F6" w:rsidP="00AD65F6">
      <w:pPr>
        <w:jc w:val="both"/>
        <w:rPr>
          <w:rFonts w:ascii="Open Sans" w:hAnsi="Open Sans" w:cs="Open Sans"/>
          <w:i/>
          <w:sz w:val="20"/>
          <w:szCs w:val="20"/>
          <w:lang w:val="en-GB"/>
        </w:rPr>
      </w:pPr>
    </w:p>
    <w:p w14:paraId="1CA889B3" w14:textId="135F2F88" w:rsidR="00AD65F6" w:rsidRPr="007E5BB1" w:rsidRDefault="00AD65F6" w:rsidP="00AD65F6">
      <w:pPr>
        <w:jc w:val="both"/>
        <w:rPr>
          <w:rFonts w:ascii="Open Sans" w:hAnsi="Open Sans" w:cs="Open Sans"/>
          <w:sz w:val="20"/>
          <w:szCs w:val="20"/>
          <w:lang w:val="en-GB"/>
        </w:rPr>
      </w:pPr>
    </w:p>
    <w:p w14:paraId="5DE4F49B" w14:textId="5E3E2A68" w:rsidR="00AD65F6" w:rsidRPr="007E5BB1" w:rsidRDefault="00AD65F6" w:rsidP="00AD65F6">
      <w:pPr>
        <w:pStyle w:val="NormalWeb"/>
        <w:shd w:val="clear" w:color="auto" w:fill="FFFFFF"/>
        <w:spacing w:before="0" w:beforeAutospacing="0" w:after="240" w:afterAutospacing="0"/>
        <w:jc w:val="both"/>
        <w:rPr>
          <w:rFonts w:ascii="Open Sans" w:hAnsi="Open Sans" w:cs="Open Sans"/>
          <w:b/>
          <w:sz w:val="20"/>
          <w:szCs w:val="20"/>
        </w:rPr>
      </w:pPr>
      <w:r w:rsidRPr="007E5BB1">
        <w:rPr>
          <w:rFonts w:ascii="Calibri" w:hAnsi="Calibri" w:cs="Calibri"/>
          <w:noProof/>
          <w:color w:val="222222"/>
          <w:sz w:val="20"/>
          <w:szCs w:val="20"/>
          <w:shd w:val="clear" w:color="auto" w:fill="FFFFFF"/>
          <w:lang w:bidi="ar-SA"/>
        </w:rPr>
        <mc:AlternateContent>
          <mc:Choice Requires="wps">
            <w:drawing>
              <wp:anchor distT="45720" distB="45720" distL="114300" distR="114300" simplePos="0" relativeHeight="251663360" behindDoc="0" locked="0" layoutInCell="1" allowOverlap="1" wp14:anchorId="50957341" wp14:editId="3FE74CDF">
                <wp:simplePos x="0" y="0"/>
                <wp:positionH relativeFrom="column">
                  <wp:posOffset>1311910</wp:posOffset>
                </wp:positionH>
                <wp:positionV relativeFrom="paragraph">
                  <wp:posOffset>355600</wp:posOffset>
                </wp:positionV>
                <wp:extent cx="48768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404620"/>
                        </a:xfrm>
                        <a:prstGeom prst="rect">
                          <a:avLst/>
                        </a:prstGeom>
                        <a:solidFill>
                          <a:srgbClr val="FFFFFF"/>
                        </a:solidFill>
                        <a:ln w="9525">
                          <a:noFill/>
                          <a:miter lim="800000"/>
                          <a:headEnd/>
                          <a:tailEnd/>
                        </a:ln>
                      </wps:spPr>
                      <wps:txbx>
                        <w:txbxContent>
                          <w:p w14:paraId="7D2296EA" w14:textId="41D91DE2" w:rsidR="00AD65F6" w:rsidRDefault="00AD65F6" w:rsidP="00AD65F6">
                            <w:pPr>
                              <w:jc w:val="both"/>
                            </w:pPr>
                            <w:r w:rsidRPr="00AD65F6">
                              <w:rPr>
                                <w:rFonts w:asciiTheme="majorHAnsi" w:hAnsiTheme="majorHAnsi" w:cstheme="majorHAnsi"/>
                                <w:b/>
                                <w:sz w:val="20"/>
                                <w:szCs w:val="20"/>
                              </w:rPr>
                              <w:t>Harm Reduction International (HRI)</w:t>
                            </w:r>
                            <w:r w:rsidRPr="00AD65F6">
                              <w:rPr>
                                <w:rFonts w:asciiTheme="majorHAnsi" w:hAnsiTheme="majorHAnsi" w:cstheme="majorHAnsi"/>
                                <w:sz w:val="20"/>
                                <w:szCs w:val="20"/>
                              </w:rPr>
                              <w:t xml:space="preserve"> </w:t>
                            </w:r>
                            <w:r w:rsidRPr="00AD65F6">
                              <w:rPr>
                                <w:rFonts w:asciiTheme="majorHAnsi" w:hAnsiTheme="majorHAnsi" w:cstheme="majorHAnsi"/>
                                <w:color w:val="222222"/>
                                <w:sz w:val="20"/>
                                <w:szCs w:val="20"/>
                                <w:shd w:val="clear" w:color="auto" w:fill="FFFFFF"/>
                              </w:rPr>
                              <w:t xml:space="preserve">is a leading NGO dedicated to reducing the negative health, social and legal impacts of drug use and drug policy. </w:t>
                            </w:r>
                            <w:r>
                              <w:rPr>
                                <w:rFonts w:asciiTheme="majorHAnsi" w:hAnsiTheme="majorHAnsi" w:cstheme="majorHAnsi"/>
                                <w:color w:val="222222"/>
                                <w:sz w:val="20"/>
                                <w:szCs w:val="20"/>
                                <w:shd w:val="clear" w:color="auto" w:fill="FFFFFF"/>
                              </w:rPr>
                              <w:t>HRI</w:t>
                            </w:r>
                            <w:r w:rsidRPr="00AD65F6">
                              <w:rPr>
                                <w:rFonts w:asciiTheme="majorHAnsi" w:hAnsiTheme="majorHAnsi" w:cstheme="majorHAnsi"/>
                                <w:color w:val="222222"/>
                                <w:sz w:val="20"/>
                                <w:szCs w:val="20"/>
                                <w:shd w:val="clear" w:color="auto" w:fill="FFFFFF"/>
                              </w:rPr>
                              <w:t xml:space="preserve"> promote</w:t>
                            </w:r>
                            <w:r>
                              <w:rPr>
                                <w:rFonts w:asciiTheme="majorHAnsi" w:hAnsiTheme="majorHAnsi" w:cstheme="majorHAnsi"/>
                                <w:color w:val="222222"/>
                                <w:sz w:val="20"/>
                                <w:szCs w:val="20"/>
                                <w:shd w:val="clear" w:color="auto" w:fill="FFFFFF"/>
                              </w:rPr>
                              <w:t>s</w:t>
                            </w:r>
                            <w:r w:rsidRPr="00AD65F6">
                              <w:rPr>
                                <w:rFonts w:asciiTheme="majorHAnsi" w:hAnsiTheme="majorHAnsi" w:cstheme="majorHAnsi"/>
                                <w:color w:val="222222"/>
                                <w:sz w:val="20"/>
                                <w:szCs w:val="20"/>
                                <w:shd w:val="clear" w:color="auto" w:fill="FFFFFF"/>
                              </w:rPr>
                              <w:t xml:space="preserve"> the rights of people who use drugs and their communities through research and advocacy to help achieve a world where drug policies and laws contribute to healthier, safer societies. The organisation is an NGO in Special Consultative Status with the Economic and Social Council of the United Nations</w:t>
                            </w:r>
                            <w:r>
                              <w:rPr>
                                <w:rFonts w:asciiTheme="majorHAnsi" w:hAnsiTheme="majorHAnsi" w:cstheme="majorHAnsi"/>
                                <w:color w:val="222222"/>
                                <w:sz w:val="20"/>
                                <w:szCs w:val="20"/>
                                <w:shd w:val="clear" w:color="auto" w:fill="FFFFFF"/>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957341" id="_x0000_s1027" type="#_x0000_t202" style="position:absolute;left:0;text-align:left;margin-left:103.3pt;margin-top:28pt;width:384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" stroked="f">
                <v:textbox style="mso-fit-shape-to-text:t">
                  <w:txbxContent>
                    <w:p w14:paraId="7D2296EA" w14:textId="41D91DE2" w:rsidR="00AD65F6" w:rsidRDefault="00AD65F6" w:rsidP="00AD65F6">
                      <w:pPr>
                        <w:jc w:val="both"/>
                      </w:pPr>
                      <w:r w:rsidRPr="00AD65F6">
                        <w:rPr>
                          <w:rFonts w:asciiTheme="majorHAnsi" w:hAnsiTheme="majorHAnsi" w:cstheme="majorHAnsi"/>
                          <w:b/>
                          <w:sz w:val="20"/>
                          <w:szCs w:val="20"/>
                        </w:rPr>
                        <w:t>Harm Reduction International (HRI)</w:t>
                      </w:r>
                      <w:r w:rsidRPr="00AD65F6">
                        <w:rPr>
                          <w:rFonts w:asciiTheme="majorHAnsi" w:hAnsiTheme="majorHAnsi" w:cstheme="majorHAnsi"/>
                          <w:sz w:val="20"/>
                          <w:szCs w:val="20"/>
                        </w:rPr>
                        <w:t xml:space="preserve"> </w:t>
                      </w:r>
                      <w:r w:rsidRPr="00AD65F6">
                        <w:rPr>
                          <w:rFonts w:asciiTheme="majorHAnsi" w:hAnsiTheme="majorHAnsi" w:cstheme="majorHAnsi"/>
                          <w:color w:val="222222"/>
                          <w:sz w:val="20"/>
                          <w:szCs w:val="20"/>
                          <w:shd w:val="clear" w:color="auto" w:fill="FFFFFF"/>
                        </w:rPr>
                        <w:t xml:space="preserve">is a leading NGO dedicated to reducing the negative health, social and legal impacts of drug use and drug policy. </w:t>
                      </w:r>
                      <w:r>
                        <w:rPr>
                          <w:rFonts w:asciiTheme="majorHAnsi" w:hAnsiTheme="majorHAnsi" w:cstheme="majorHAnsi"/>
                          <w:color w:val="222222"/>
                          <w:sz w:val="20"/>
                          <w:szCs w:val="20"/>
                          <w:shd w:val="clear" w:color="auto" w:fill="FFFFFF"/>
                        </w:rPr>
                        <w:t>HRI</w:t>
                      </w:r>
                      <w:r w:rsidRPr="00AD65F6">
                        <w:rPr>
                          <w:rFonts w:asciiTheme="majorHAnsi" w:hAnsiTheme="majorHAnsi" w:cstheme="majorHAnsi"/>
                          <w:color w:val="222222"/>
                          <w:sz w:val="20"/>
                          <w:szCs w:val="20"/>
                          <w:shd w:val="clear" w:color="auto" w:fill="FFFFFF"/>
                        </w:rPr>
                        <w:t xml:space="preserve"> promote</w:t>
                      </w:r>
                      <w:r>
                        <w:rPr>
                          <w:rFonts w:asciiTheme="majorHAnsi" w:hAnsiTheme="majorHAnsi" w:cstheme="majorHAnsi"/>
                          <w:color w:val="222222"/>
                          <w:sz w:val="20"/>
                          <w:szCs w:val="20"/>
                          <w:shd w:val="clear" w:color="auto" w:fill="FFFFFF"/>
                        </w:rPr>
                        <w:t>s</w:t>
                      </w:r>
                      <w:r w:rsidRPr="00AD65F6">
                        <w:rPr>
                          <w:rFonts w:asciiTheme="majorHAnsi" w:hAnsiTheme="majorHAnsi" w:cstheme="majorHAnsi"/>
                          <w:color w:val="222222"/>
                          <w:sz w:val="20"/>
                          <w:szCs w:val="20"/>
                          <w:shd w:val="clear" w:color="auto" w:fill="FFFFFF"/>
                        </w:rPr>
                        <w:t xml:space="preserve"> the rights of people who use drugs and their communities through research and advocacy to help achieve a world where drug policies and laws contribute to healthier, safer societies. The organisation is an NGO in Special Consultative Status with the Economic and Social Council of the United Nations</w:t>
                      </w:r>
                      <w:r>
                        <w:rPr>
                          <w:rFonts w:asciiTheme="majorHAnsi" w:hAnsiTheme="majorHAnsi" w:cstheme="majorHAnsi"/>
                          <w:color w:val="222222"/>
                          <w:sz w:val="20"/>
                          <w:szCs w:val="20"/>
                          <w:shd w:val="clear" w:color="auto" w:fill="FFFFFF"/>
                        </w:rPr>
                        <w:t>.</w:t>
                      </w:r>
                    </w:p>
                  </w:txbxContent>
                </v:textbox>
                <w10:wrap type="square"/>
              </v:shape>
            </w:pict>
          </mc:Fallback>
        </mc:AlternateContent>
      </w:r>
    </w:p>
    <w:p w14:paraId="588F897D" w14:textId="316080E9" w:rsidR="00AD65F6" w:rsidRPr="007E5BB1" w:rsidRDefault="00AD65F6" w:rsidP="00AD65F6">
      <w:pPr>
        <w:pStyle w:val="NormalWeb"/>
        <w:shd w:val="clear" w:color="auto" w:fill="FFFFFF"/>
        <w:spacing w:before="0" w:beforeAutospacing="0" w:after="240" w:afterAutospacing="0"/>
        <w:jc w:val="both"/>
        <w:rPr>
          <w:rFonts w:ascii="Calibri" w:hAnsi="Calibri" w:cs="Calibri"/>
          <w:color w:val="222222"/>
          <w:sz w:val="20"/>
          <w:szCs w:val="20"/>
          <w:shd w:val="clear" w:color="auto" w:fill="FFFFFF"/>
        </w:rPr>
      </w:pPr>
      <w:r w:rsidRPr="007E5BB1">
        <w:rPr>
          <w:rFonts w:asciiTheme="majorHAnsi" w:hAnsiTheme="majorHAnsi" w:cstheme="majorHAnsi"/>
          <w:noProof/>
          <w:sz w:val="20"/>
          <w:szCs w:val="20"/>
          <w:lang w:bidi="ar-SA"/>
        </w:rPr>
        <w:drawing>
          <wp:anchor distT="0" distB="0" distL="114300" distR="114300" simplePos="0" relativeHeight="251659264" behindDoc="1" locked="0" layoutInCell="1" allowOverlap="1" wp14:anchorId="1438C73E" wp14:editId="4CDA22D5">
            <wp:simplePos x="0" y="0"/>
            <wp:positionH relativeFrom="margin">
              <wp:align>left</wp:align>
            </wp:positionH>
            <wp:positionV relativeFrom="paragraph">
              <wp:posOffset>635</wp:posOffset>
            </wp:positionV>
            <wp:extent cx="1136650" cy="754380"/>
            <wp:effectExtent l="0" t="0" r="6350" b="7620"/>
            <wp:wrapSquare wrapText="bothSides"/>
            <wp:docPr id="5" name="Picture 5" descr="H:\HRI Files\Company Data\8. Staff Files\Naomi\Photos\HRI logo square.JPG"/>
            <wp:cNvGraphicFramePr/>
            <a:graphic xmlns:a="http://schemas.openxmlformats.org/drawingml/2006/main">
              <a:graphicData uri="http://schemas.openxmlformats.org/drawingml/2006/picture">
                <pic:pic xmlns:pic="http://schemas.openxmlformats.org/drawingml/2006/picture">
                  <pic:nvPicPr>
                    <pic:cNvPr id="2" name="Picture 2" descr="H:\HRI Files\Company Data\8. Staff Files\Naomi\Photos\HRI logo square.JPG"/>
                    <pic:cNvPicPr/>
                  </pic:nvPicPr>
                  <pic:blipFill>
                    <a:blip r:embed="rId10" cstate="hqprint">
                      <a:extLst>
                        <a:ext uri="{28A0092B-C50C-407E-A947-70E740481C1C}">
                          <a14:useLocalDpi xmlns:a14="http://schemas.microsoft.com/office/drawing/2010/main" val="0"/>
                        </a:ext>
                      </a:extLst>
                    </a:blip>
                    <a:srcRect/>
                    <a:stretch>
                      <a:fillRect/>
                    </a:stretch>
                  </pic:blipFill>
                  <pic:spPr bwMode="auto">
                    <a:xfrm>
                      <a:off x="0" y="0"/>
                      <a:ext cx="1136650" cy="754380"/>
                    </a:xfrm>
                    <a:prstGeom prst="rect">
                      <a:avLst/>
                    </a:prstGeom>
                    <a:noFill/>
                    <a:ln>
                      <a:noFill/>
                    </a:ln>
                  </pic:spPr>
                </pic:pic>
              </a:graphicData>
            </a:graphic>
            <wp14:sizeRelV relativeFrom="margin">
              <wp14:pctHeight>0</wp14:pctHeight>
            </wp14:sizeRelV>
          </wp:anchor>
        </w:drawing>
      </w:r>
    </w:p>
    <w:p w14:paraId="0483D467" w14:textId="77E838D4" w:rsidR="00AD65F6" w:rsidRPr="007E5BB1" w:rsidRDefault="00AD65F6" w:rsidP="00AD65F6">
      <w:pPr>
        <w:pStyle w:val="NormalWeb"/>
        <w:shd w:val="clear" w:color="auto" w:fill="FFFFFF"/>
        <w:spacing w:before="0" w:beforeAutospacing="0" w:after="240" w:afterAutospacing="0"/>
        <w:jc w:val="both"/>
        <w:rPr>
          <w:rFonts w:ascii="Calibri" w:hAnsi="Calibri" w:cs="Calibri"/>
          <w:color w:val="222222"/>
          <w:sz w:val="20"/>
          <w:szCs w:val="20"/>
          <w:shd w:val="clear" w:color="auto" w:fill="FFFFFF"/>
        </w:rPr>
      </w:pPr>
    </w:p>
    <w:p w14:paraId="4E2B69FA" w14:textId="671320AD" w:rsidR="00AD65F6" w:rsidRPr="007E5BB1" w:rsidRDefault="00D96F15" w:rsidP="00AD65F6">
      <w:pPr>
        <w:jc w:val="both"/>
        <w:rPr>
          <w:b/>
          <w:bCs/>
          <w:sz w:val="20"/>
          <w:szCs w:val="20"/>
          <w:lang w:val="en-GB"/>
        </w:rPr>
      </w:pPr>
      <w:r w:rsidRPr="007E5BB1">
        <w:rPr>
          <w:noProof/>
          <w:lang w:val="en-GB"/>
        </w:rPr>
        <w:drawing>
          <wp:anchor distT="0" distB="0" distL="114300" distR="114300" simplePos="0" relativeHeight="251661312" behindDoc="1" locked="0" layoutInCell="1" allowOverlap="1" wp14:anchorId="636623E4" wp14:editId="1B8B1B7D">
            <wp:simplePos x="0" y="0"/>
            <wp:positionH relativeFrom="margin">
              <wp:posOffset>175260</wp:posOffset>
            </wp:positionH>
            <wp:positionV relativeFrom="paragraph">
              <wp:posOffset>288290</wp:posOffset>
            </wp:positionV>
            <wp:extent cx="717550" cy="717550"/>
            <wp:effectExtent l="0" t="0" r="6350" b="6350"/>
            <wp:wrapTight wrapText="bothSides">
              <wp:wrapPolygon edited="0">
                <wp:start x="0" y="0"/>
                <wp:lineTo x="0" y="21218"/>
                <wp:lineTo x="21218" y="21218"/>
                <wp:lineTo x="21218" y="0"/>
                <wp:lineTo x="0" y="0"/>
              </wp:wrapPolygon>
            </wp:wrapTight>
            <wp:docPr id="4" name="Picture 4" descr="LBH Masyarak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BH Masyaraka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7550" cy="717550"/>
                    </a:xfrm>
                    <a:prstGeom prst="rect">
                      <a:avLst/>
                    </a:prstGeom>
                    <a:noFill/>
                    <a:ln>
                      <a:noFill/>
                    </a:ln>
                  </pic:spPr>
                </pic:pic>
              </a:graphicData>
            </a:graphic>
          </wp:anchor>
        </w:drawing>
      </w:r>
    </w:p>
    <w:p w14:paraId="2DAC8307" w14:textId="38D539B1" w:rsidR="00AD65F6" w:rsidRPr="007E5BB1" w:rsidRDefault="00AD65F6" w:rsidP="00AD65F6">
      <w:pPr>
        <w:pStyle w:val="NormalWeb"/>
        <w:shd w:val="clear" w:color="auto" w:fill="FFFFFF"/>
        <w:spacing w:before="0" w:beforeAutospacing="0" w:after="240" w:afterAutospacing="0"/>
        <w:jc w:val="both"/>
        <w:rPr>
          <w:rFonts w:ascii="Calibri" w:hAnsi="Calibri" w:cs="Calibri"/>
          <w:sz w:val="20"/>
          <w:szCs w:val="20"/>
        </w:rPr>
      </w:pPr>
      <w:r w:rsidRPr="007E5BB1">
        <w:rPr>
          <w:rFonts w:ascii="Calibri" w:hAnsi="Calibri" w:cs="Calibri"/>
          <w:noProof/>
          <w:color w:val="222222"/>
          <w:sz w:val="20"/>
          <w:szCs w:val="20"/>
          <w:shd w:val="clear" w:color="auto" w:fill="FFFFFF"/>
          <w:lang w:bidi="ar-SA"/>
        </w:rPr>
        <mc:AlternateContent>
          <mc:Choice Requires="wps">
            <w:drawing>
              <wp:anchor distT="45720" distB="45720" distL="114300" distR="114300" simplePos="0" relativeHeight="251665408" behindDoc="0" locked="0" layoutInCell="1" allowOverlap="1" wp14:anchorId="3E266BC3" wp14:editId="2754AA80">
                <wp:simplePos x="0" y="0"/>
                <wp:positionH relativeFrom="column">
                  <wp:posOffset>1303020</wp:posOffset>
                </wp:positionH>
                <wp:positionV relativeFrom="paragraph">
                  <wp:posOffset>2540</wp:posOffset>
                </wp:positionV>
                <wp:extent cx="4930140" cy="1404620"/>
                <wp:effectExtent l="0" t="0" r="381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0140" cy="1404620"/>
                        </a:xfrm>
                        <a:prstGeom prst="rect">
                          <a:avLst/>
                        </a:prstGeom>
                        <a:solidFill>
                          <a:srgbClr val="FFFFFF"/>
                        </a:solidFill>
                        <a:ln w="9525">
                          <a:noFill/>
                          <a:miter lim="800000"/>
                          <a:headEnd/>
                          <a:tailEnd/>
                        </a:ln>
                      </wps:spPr>
                      <wps:txbx>
                        <w:txbxContent>
                          <w:p w14:paraId="7BEC6090" w14:textId="0FEDF162" w:rsidR="00AD65F6" w:rsidRPr="00AD65F6" w:rsidRDefault="00AD65F6" w:rsidP="00AD65F6">
                            <w:pPr>
                              <w:jc w:val="both"/>
                              <w:rPr>
                                <w:rFonts w:asciiTheme="majorHAnsi" w:hAnsiTheme="majorHAnsi" w:cstheme="majorHAnsi"/>
                                <w:b/>
                                <w:bCs/>
                                <w:sz w:val="20"/>
                                <w:szCs w:val="20"/>
                              </w:rPr>
                            </w:pPr>
                            <w:r w:rsidRPr="00AD65F6">
                              <w:rPr>
                                <w:rFonts w:asciiTheme="majorHAnsi" w:hAnsiTheme="majorHAnsi" w:cstheme="majorHAnsi"/>
                                <w:b/>
                                <w:sz w:val="20"/>
                                <w:szCs w:val="20"/>
                                <w:lang w:val="en-US"/>
                              </w:rPr>
                              <w:t>Le</w:t>
                            </w:r>
                            <w:r w:rsidRPr="00AD65F6">
                              <w:rPr>
                                <w:rFonts w:asciiTheme="majorHAnsi" w:hAnsiTheme="majorHAnsi" w:cstheme="majorHAnsi"/>
                                <w:b/>
                                <w:bCs/>
                                <w:sz w:val="20"/>
                                <w:szCs w:val="20"/>
                              </w:rPr>
                              <w:t>mbaga Bantuan Hukum Masyarakat (LBH Masyarakat)</w:t>
                            </w:r>
                            <w:r w:rsidRPr="00AD65F6">
                              <w:rPr>
                                <w:rFonts w:asciiTheme="majorHAnsi" w:hAnsiTheme="majorHAnsi" w:cstheme="majorHAnsi"/>
                                <w:sz w:val="20"/>
                                <w:szCs w:val="20"/>
                              </w:rPr>
                              <w:t xml:space="preserve"> </w:t>
                            </w:r>
                            <w:r w:rsidRPr="00AD65F6">
                              <w:rPr>
                                <w:rFonts w:asciiTheme="majorHAnsi" w:hAnsiTheme="majorHAnsi" w:cstheme="majorHAnsi"/>
                                <w:sz w:val="20"/>
                                <w:szCs w:val="20"/>
                                <w:shd w:val="clear" w:color="auto" w:fill="FFFFFF"/>
                              </w:rPr>
                              <w:t xml:space="preserve">is a </w:t>
                            </w:r>
                            <w:r w:rsidRPr="00AD65F6">
                              <w:rPr>
                                <w:rFonts w:asciiTheme="majorHAnsi" w:eastAsia="Times New Roman" w:hAnsiTheme="majorHAnsi" w:cstheme="majorHAnsi"/>
                                <w:sz w:val="20"/>
                                <w:szCs w:val="20"/>
                              </w:rPr>
                              <w:t>is a not-for-profit non-governmental organisation that provides free legal services for the poor and victims of human rights abuses in Indonesia. We advocate for the promotion of the rule of law and human rights protection through strategic litigation, research and analysis, campaign and public education, and community legal empowerment. We focus on the abolition of the death penalty, drug policy reform, HIV and human rights, mental health, and the protection of LGBT rights. </w:t>
                            </w:r>
                          </w:p>
                          <w:p w14:paraId="27D75F5B" w14:textId="7E1B6486" w:rsidR="00AD65F6" w:rsidRPr="00AD65F6" w:rsidRDefault="00AD65F6" w:rsidP="00AD65F6">
                            <w:pPr>
                              <w:jc w:val="both"/>
                              <w:rPr>
                                <w:rFonts w:asciiTheme="majorHAnsi" w:hAnsiTheme="majorHAnsi" w:cstheme="majorHAnsi"/>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266BC3" id="_x0000_s1028" type="#_x0000_t202" style="position:absolute;left:0;text-align:left;margin-left:102.6pt;margin-top:.2pt;width:388.2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" stroked="f">
                <v:textbox style="mso-fit-shape-to-text:t">
                  <w:txbxContent>
                    <w:p w14:paraId="7BEC6090" w14:textId="0FEDF162" w:rsidR="00AD65F6" w:rsidRPr="00AD65F6" w:rsidRDefault="00AD65F6" w:rsidP="00AD65F6">
                      <w:pPr>
                        <w:jc w:val="both"/>
                        <w:rPr>
                          <w:rFonts w:asciiTheme="majorHAnsi" w:hAnsiTheme="majorHAnsi" w:cstheme="majorHAnsi"/>
                          <w:b/>
                          <w:bCs/>
                          <w:sz w:val="20"/>
                          <w:szCs w:val="20"/>
                        </w:rPr>
                      </w:pPr>
                      <w:r w:rsidRPr="00AD65F6">
                        <w:rPr>
                          <w:rFonts w:asciiTheme="majorHAnsi" w:hAnsiTheme="majorHAnsi" w:cstheme="majorHAnsi"/>
                          <w:b/>
                          <w:sz w:val="20"/>
                          <w:szCs w:val="20"/>
                          <w:lang w:val="en-US"/>
                        </w:rPr>
                        <w:t>Le</w:t>
                      </w:r>
                      <w:r w:rsidRPr="00AD65F6">
                        <w:rPr>
                          <w:rFonts w:asciiTheme="majorHAnsi" w:hAnsiTheme="majorHAnsi" w:cstheme="majorHAnsi"/>
                          <w:b/>
                          <w:bCs/>
                          <w:sz w:val="20"/>
                          <w:szCs w:val="20"/>
                        </w:rPr>
                        <w:t>mbaga Bantuan Hukum Masyarakat (LBH Masyarakat)</w:t>
                      </w:r>
                      <w:r w:rsidRPr="00AD65F6">
                        <w:rPr>
                          <w:rFonts w:asciiTheme="majorHAnsi" w:hAnsiTheme="majorHAnsi" w:cstheme="majorHAnsi"/>
                          <w:sz w:val="20"/>
                          <w:szCs w:val="20"/>
                        </w:rPr>
                        <w:t xml:space="preserve"> </w:t>
                      </w:r>
                      <w:r w:rsidRPr="00AD65F6">
                        <w:rPr>
                          <w:rFonts w:asciiTheme="majorHAnsi" w:hAnsiTheme="majorHAnsi" w:cstheme="majorHAnsi"/>
                          <w:sz w:val="20"/>
                          <w:szCs w:val="20"/>
                          <w:shd w:val="clear" w:color="auto" w:fill="FFFFFF"/>
                        </w:rPr>
                        <w:t xml:space="preserve">is a </w:t>
                      </w:r>
                      <w:r w:rsidRPr="00AD65F6">
                        <w:rPr>
                          <w:rFonts w:asciiTheme="majorHAnsi" w:eastAsia="Times New Roman" w:hAnsiTheme="majorHAnsi" w:cstheme="majorHAnsi"/>
                          <w:sz w:val="20"/>
                          <w:szCs w:val="20"/>
                        </w:rPr>
                        <w:t>is a not-for-profit non-governmental organisation that provides free legal services for the poor and victims of human rights abuses in Indonesia. We advocate for the promotion of the rule of law and human rights protection through strategic litigation, research and analysis, campaign and public education, and community legal empowerment. We focus on the abolition of the death penalty, drug policy reform, HIV and human rights, mental health, and the protection of LGBT rights. </w:t>
                      </w:r>
                    </w:p>
                    <w:p w14:paraId="27D75F5B" w14:textId="7E1B6486" w:rsidR="00AD65F6" w:rsidRPr="00AD65F6" w:rsidRDefault="00AD65F6" w:rsidP="00AD65F6">
                      <w:pPr>
                        <w:jc w:val="both"/>
                        <w:rPr>
                          <w:rFonts w:asciiTheme="majorHAnsi" w:hAnsiTheme="majorHAnsi" w:cstheme="majorHAnsi"/>
                        </w:rPr>
                      </w:pPr>
                    </w:p>
                  </w:txbxContent>
                </v:textbox>
                <w10:wrap type="square"/>
              </v:shape>
            </w:pict>
          </mc:Fallback>
        </mc:AlternateContent>
      </w:r>
    </w:p>
    <w:p w14:paraId="08B7692E" w14:textId="73F0C48C" w:rsidR="00AD65F6" w:rsidRPr="007E5BB1" w:rsidRDefault="00AD65F6" w:rsidP="00AD65F6">
      <w:pPr>
        <w:jc w:val="both"/>
        <w:rPr>
          <w:rFonts w:ascii="Open Sans" w:hAnsi="Open Sans" w:cs="Open Sans"/>
          <w:sz w:val="20"/>
          <w:szCs w:val="20"/>
          <w:lang w:val="en-GB"/>
        </w:rPr>
      </w:pPr>
      <w:r w:rsidRPr="007E5BB1">
        <w:rPr>
          <w:rFonts w:ascii="Open Sans" w:hAnsi="Open Sans" w:cs="Open Sans"/>
          <w:color w:val="222222"/>
          <w:sz w:val="20"/>
          <w:szCs w:val="20"/>
          <w:shd w:val="clear" w:color="auto" w:fill="FFFFFF"/>
          <w:lang w:val="en-GB"/>
        </w:rPr>
        <w:t xml:space="preserve"> </w:t>
      </w:r>
    </w:p>
    <w:p w14:paraId="7F4AB252" w14:textId="33140F36" w:rsidR="00AD65F6" w:rsidRPr="007E5BB1" w:rsidRDefault="00AD65F6" w:rsidP="00AD65F6">
      <w:pPr>
        <w:pStyle w:val="ListParagraph"/>
        <w:jc w:val="both"/>
        <w:rPr>
          <w:rFonts w:ascii="Open Sans" w:hAnsi="Open Sans" w:cs="Open Sans"/>
          <w:sz w:val="20"/>
          <w:szCs w:val="20"/>
        </w:rPr>
      </w:pPr>
    </w:p>
    <w:p w14:paraId="740CF08B" w14:textId="77777777" w:rsidR="00D96F15" w:rsidRDefault="00D96F15" w:rsidP="00943B18">
      <w:pPr>
        <w:spacing w:before="240" w:after="240"/>
        <w:rPr>
          <w:b/>
          <w:sz w:val="46"/>
          <w:szCs w:val="46"/>
          <w:lang w:val="en-GB"/>
        </w:rPr>
      </w:pPr>
    </w:p>
    <w:p w14:paraId="00000009" w14:textId="5D8936EC" w:rsidR="00F93E19" w:rsidRPr="007E5BB1" w:rsidRDefault="007054C2" w:rsidP="00943B18">
      <w:pPr>
        <w:spacing w:before="240" w:after="240"/>
        <w:rPr>
          <w:rFonts w:asciiTheme="majorHAnsi" w:hAnsiTheme="majorHAnsi" w:cstheme="majorHAnsi"/>
          <w:b/>
          <w:lang w:val="en-GB"/>
        </w:rPr>
      </w:pPr>
      <w:r w:rsidRPr="007E5BB1">
        <w:rPr>
          <w:rFonts w:asciiTheme="majorHAnsi" w:hAnsiTheme="majorHAnsi" w:cstheme="majorHAnsi"/>
          <w:b/>
          <w:lang w:val="en-GB"/>
        </w:rPr>
        <w:t>Introduction</w:t>
      </w:r>
    </w:p>
    <w:p w14:paraId="1E108727" w14:textId="37488D40" w:rsidR="009C3543" w:rsidRPr="007E5BB1" w:rsidRDefault="009C3543" w:rsidP="009C3543">
      <w:pPr>
        <w:pStyle w:val="ListParagraph"/>
        <w:spacing w:after="120" w:line="264" w:lineRule="auto"/>
        <w:ind w:left="360"/>
        <w:jc w:val="both"/>
        <w:rPr>
          <w:rFonts w:asciiTheme="majorHAnsi" w:hAnsiTheme="majorHAnsi" w:cstheme="majorHAnsi"/>
        </w:rPr>
      </w:pPr>
      <w:r w:rsidRPr="007E5BB1">
        <w:rPr>
          <w:rFonts w:asciiTheme="majorHAnsi" w:hAnsiTheme="majorHAnsi" w:cstheme="majorHAnsi"/>
          <w:b/>
          <w:color w:val="202124"/>
          <w:shd w:val="clear" w:color="auto" w:fill="FFFFFF"/>
        </w:rPr>
        <w:lastRenderedPageBreak/>
        <w:t>Yayasan Aksi Keadilan Indonesia</w:t>
      </w:r>
      <w:r w:rsidRPr="007E5BB1">
        <w:rPr>
          <w:rFonts w:asciiTheme="majorHAnsi" w:hAnsiTheme="majorHAnsi" w:cstheme="majorHAnsi"/>
        </w:rPr>
        <w:t>, Harm Reduction International and LBH Masyarakat welcome the opportunity of reporting to the Committee on Economic, Social and Cultural Rights ahead of its adoption of the List of Issues for the review of Indonesia, at its 70</w:t>
      </w:r>
      <w:r w:rsidRPr="007E5BB1">
        <w:rPr>
          <w:rFonts w:asciiTheme="majorHAnsi" w:hAnsiTheme="majorHAnsi" w:cstheme="majorHAnsi"/>
          <w:vertAlign w:val="superscript"/>
        </w:rPr>
        <w:t>th</w:t>
      </w:r>
      <w:r w:rsidRPr="007E5BB1">
        <w:rPr>
          <w:rFonts w:asciiTheme="majorHAnsi" w:hAnsiTheme="majorHAnsi" w:cstheme="majorHAnsi"/>
        </w:rPr>
        <w:t xml:space="preserve"> Session. This submission will assess the performance of Indonesia regarding its obligations under the International Covenant on</w:t>
      </w:r>
      <w:r w:rsidR="00943B18" w:rsidRPr="007E5BB1">
        <w:rPr>
          <w:rFonts w:asciiTheme="majorHAnsi" w:hAnsiTheme="majorHAnsi" w:cstheme="majorHAnsi"/>
        </w:rPr>
        <w:t xml:space="preserve"> Economic, Social and Cultural </w:t>
      </w:r>
      <w:r w:rsidRPr="007E5BB1">
        <w:rPr>
          <w:rFonts w:asciiTheme="majorHAnsi" w:hAnsiTheme="majorHAnsi" w:cstheme="majorHAnsi"/>
        </w:rPr>
        <w:t>Rights (ICCPR), with a specific focus on the country’s drug policy. Accordingly, it will cover developments since the last review regarding:</w:t>
      </w:r>
    </w:p>
    <w:p w14:paraId="6EDD3AA5" w14:textId="77777777" w:rsidR="006A0953" w:rsidRPr="006A0953" w:rsidRDefault="006A0953" w:rsidP="006A0953">
      <w:pPr>
        <w:numPr>
          <w:ilvl w:val="0"/>
          <w:numId w:val="7"/>
        </w:numPr>
        <w:spacing w:before="240" w:after="240"/>
        <w:ind w:left="1077" w:hanging="357"/>
        <w:contextualSpacing/>
        <w:rPr>
          <w:rFonts w:asciiTheme="majorHAnsi" w:eastAsia="Calibri" w:hAnsiTheme="majorHAnsi" w:cstheme="majorHAnsi"/>
          <w:lang w:val="en-GB"/>
        </w:rPr>
      </w:pPr>
      <w:r w:rsidRPr="006A0953">
        <w:rPr>
          <w:rFonts w:asciiTheme="majorHAnsi" w:eastAsia="Calibri" w:hAnsiTheme="majorHAnsi" w:cstheme="majorHAnsi"/>
          <w:lang w:val="en-GB"/>
        </w:rPr>
        <w:t>Availability, accessibility, acceptability and quality of harm reduction services;</w:t>
      </w:r>
    </w:p>
    <w:p w14:paraId="401834D9" w14:textId="7325DD0C" w:rsidR="006A0953" w:rsidRPr="006A0953" w:rsidRDefault="006A0953" w:rsidP="006A0953">
      <w:pPr>
        <w:numPr>
          <w:ilvl w:val="0"/>
          <w:numId w:val="7"/>
        </w:numPr>
        <w:spacing w:before="240" w:after="240"/>
        <w:ind w:left="1077" w:hanging="357"/>
        <w:contextualSpacing/>
        <w:rPr>
          <w:rFonts w:asciiTheme="majorHAnsi" w:eastAsia="Calibri" w:hAnsiTheme="majorHAnsi" w:cstheme="majorHAnsi"/>
          <w:lang w:val="en-GB"/>
        </w:rPr>
      </w:pPr>
      <w:r w:rsidRPr="006A0953">
        <w:rPr>
          <w:rFonts w:asciiTheme="majorHAnsi" w:eastAsia="Calibri" w:hAnsiTheme="majorHAnsi" w:cstheme="majorHAnsi"/>
          <w:lang w:val="en-GB"/>
        </w:rPr>
        <w:t xml:space="preserve"> </w:t>
      </w:r>
      <w:r w:rsidRPr="006A0953">
        <w:rPr>
          <w:rFonts w:asciiTheme="majorHAnsi" w:hAnsiTheme="majorHAnsi" w:cstheme="majorHAnsi"/>
          <w:lang w:val="en-GB"/>
        </w:rPr>
        <w:t>Punitive drug policies and their impacts on the realisation of the right to health in the community and in detention;</w:t>
      </w:r>
    </w:p>
    <w:p w14:paraId="0E9E11AB" w14:textId="6573A77D" w:rsidR="006A0953" w:rsidRPr="006A0953" w:rsidRDefault="006A0953" w:rsidP="006A0953">
      <w:pPr>
        <w:numPr>
          <w:ilvl w:val="0"/>
          <w:numId w:val="7"/>
        </w:numPr>
        <w:spacing w:after="240"/>
        <w:ind w:left="1077" w:hanging="357"/>
        <w:contextualSpacing/>
        <w:rPr>
          <w:rFonts w:asciiTheme="majorHAnsi" w:hAnsiTheme="majorHAnsi" w:cstheme="majorHAnsi"/>
          <w:lang w:val="en-GB"/>
        </w:rPr>
      </w:pPr>
      <w:r w:rsidRPr="006A0953">
        <w:rPr>
          <w:rFonts w:asciiTheme="majorHAnsi" w:hAnsiTheme="majorHAnsi" w:cstheme="majorHAnsi"/>
          <w:lang w:val="en-GB"/>
        </w:rPr>
        <w:t>Right to social security of people who use drugs;</w:t>
      </w:r>
    </w:p>
    <w:p w14:paraId="20ED475F" w14:textId="1B38333D" w:rsidR="006A0953" w:rsidRPr="006A0953" w:rsidRDefault="006A0953" w:rsidP="006A0953">
      <w:pPr>
        <w:numPr>
          <w:ilvl w:val="0"/>
          <w:numId w:val="7"/>
        </w:numPr>
        <w:spacing w:after="240"/>
        <w:ind w:left="1077" w:hanging="357"/>
        <w:contextualSpacing/>
        <w:rPr>
          <w:rFonts w:asciiTheme="majorHAnsi" w:hAnsiTheme="majorHAnsi" w:cstheme="majorHAnsi"/>
          <w:lang w:val="en-GB"/>
        </w:rPr>
      </w:pPr>
      <w:r w:rsidRPr="006A0953">
        <w:rPr>
          <w:rFonts w:asciiTheme="majorHAnsi" w:hAnsiTheme="majorHAnsi" w:cstheme="majorHAnsi"/>
          <w:lang w:val="en-GB"/>
        </w:rPr>
        <w:t>Compulsory drug detention and treatment;</w:t>
      </w:r>
    </w:p>
    <w:p w14:paraId="1D2F3D93" w14:textId="24BA03AE" w:rsidR="006A0953" w:rsidRPr="006A0953" w:rsidRDefault="006A0953" w:rsidP="006A0953">
      <w:pPr>
        <w:numPr>
          <w:ilvl w:val="0"/>
          <w:numId w:val="7"/>
        </w:numPr>
        <w:spacing w:before="240" w:after="240"/>
        <w:ind w:left="1077" w:hanging="357"/>
        <w:contextualSpacing/>
        <w:rPr>
          <w:rFonts w:asciiTheme="majorHAnsi" w:eastAsia="Calibri" w:hAnsiTheme="majorHAnsi" w:cstheme="majorHAnsi"/>
          <w:lang w:val="en-GB"/>
        </w:rPr>
      </w:pPr>
      <w:r w:rsidRPr="006A0953">
        <w:rPr>
          <w:rFonts w:asciiTheme="majorHAnsi" w:eastAsia="Calibri" w:hAnsiTheme="majorHAnsi" w:cstheme="majorHAnsi"/>
          <w:lang w:val="en-GB"/>
        </w:rPr>
        <w:t>Private drug treatment centres and state monitoring;</w:t>
      </w:r>
    </w:p>
    <w:p w14:paraId="6D70AA6C" w14:textId="7530C163" w:rsidR="006A0953" w:rsidRPr="006A0953" w:rsidRDefault="006A0953" w:rsidP="006A0953">
      <w:pPr>
        <w:numPr>
          <w:ilvl w:val="0"/>
          <w:numId w:val="7"/>
        </w:numPr>
        <w:spacing w:after="240"/>
        <w:ind w:left="1077" w:hanging="357"/>
        <w:contextualSpacing/>
        <w:rPr>
          <w:rFonts w:asciiTheme="majorHAnsi" w:hAnsiTheme="majorHAnsi" w:cstheme="majorHAnsi"/>
          <w:lang w:val="en-GB"/>
        </w:rPr>
      </w:pPr>
      <w:r w:rsidRPr="006A0953">
        <w:rPr>
          <w:rFonts w:asciiTheme="majorHAnsi" w:eastAsia="Calibri" w:hAnsiTheme="majorHAnsi" w:cstheme="majorHAnsi"/>
          <w:lang w:val="en-GB"/>
        </w:rPr>
        <w:t>Drug treatment and rehabilitation services for children who use drugs; and</w:t>
      </w:r>
    </w:p>
    <w:p w14:paraId="4D4D147A" w14:textId="4F2CF13F" w:rsidR="006A0953" w:rsidRPr="006A0953" w:rsidRDefault="006A0953" w:rsidP="006A0953">
      <w:pPr>
        <w:numPr>
          <w:ilvl w:val="0"/>
          <w:numId w:val="7"/>
        </w:numPr>
        <w:spacing w:after="240"/>
        <w:ind w:left="1077" w:hanging="357"/>
        <w:contextualSpacing/>
        <w:rPr>
          <w:rFonts w:asciiTheme="majorHAnsi" w:hAnsiTheme="majorHAnsi" w:cstheme="majorHAnsi"/>
          <w:lang w:val="en-GB"/>
        </w:rPr>
      </w:pPr>
      <w:r w:rsidRPr="006A0953">
        <w:rPr>
          <w:rFonts w:asciiTheme="majorHAnsi" w:hAnsiTheme="majorHAnsi" w:cstheme="majorHAnsi"/>
          <w:lang w:val="en-GB"/>
        </w:rPr>
        <w:t>Use of cannabis for medical purposes.</w:t>
      </w:r>
    </w:p>
    <w:p w14:paraId="0000000E" w14:textId="15D63E4B" w:rsidR="00F93E19" w:rsidRPr="006A0953" w:rsidRDefault="00F93E19" w:rsidP="006A0953">
      <w:pPr>
        <w:spacing w:before="240" w:after="240"/>
        <w:rPr>
          <w:rFonts w:asciiTheme="majorHAnsi" w:hAnsiTheme="majorHAnsi" w:cstheme="majorHAnsi"/>
        </w:rPr>
      </w:pPr>
    </w:p>
    <w:p w14:paraId="0000000F" w14:textId="2D8087CC" w:rsidR="00F93E19" w:rsidRPr="007E5BB1" w:rsidRDefault="00B36494">
      <w:pPr>
        <w:numPr>
          <w:ilvl w:val="0"/>
          <w:numId w:val="2"/>
        </w:numPr>
        <w:spacing w:before="240" w:after="240"/>
        <w:rPr>
          <w:rFonts w:ascii="Calibri" w:eastAsia="Calibri" w:hAnsi="Calibri" w:cs="Calibri"/>
          <w:lang w:val="en-GB"/>
        </w:rPr>
      </w:pPr>
      <w:r w:rsidRPr="007E5BB1">
        <w:rPr>
          <w:rFonts w:ascii="Calibri" w:eastAsia="Calibri" w:hAnsi="Calibri" w:cs="Calibri"/>
          <w:b/>
          <w:lang w:val="en-GB"/>
        </w:rPr>
        <w:t xml:space="preserve">Availability, accessibility, acceptability and quality of harm reduction services </w:t>
      </w:r>
    </w:p>
    <w:p w14:paraId="00000010" w14:textId="77777777" w:rsidR="00F93E19" w:rsidRPr="007E5BB1" w:rsidRDefault="007054C2" w:rsidP="00CF677B">
      <w:pPr>
        <w:spacing w:before="240" w:after="240"/>
        <w:jc w:val="both"/>
        <w:rPr>
          <w:rFonts w:ascii="Calibri" w:eastAsia="Calibri" w:hAnsi="Calibri" w:cs="Calibri"/>
          <w:lang w:val="en-GB"/>
        </w:rPr>
      </w:pPr>
      <w:r w:rsidRPr="007E5BB1">
        <w:rPr>
          <w:rFonts w:ascii="Calibri" w:eastAsia="Calibri" w:hAnsi="Calibri" w:cs="Calibri"/>
          <w:lang w:val="en-GB"/>
        </w:rPr>
        <w:t>Harm reduction has been recognised as a fundamental component of the right to health, as well as of the right of everyone to enjoy the benefits of scientific progress.</w:t>
      </w:r>
      <w:r w:rsidRPr="007E5BB1">
        <w:rPr>
          <w:rFonts w:ascii="Calibri" w:eastAsia="Calibri" w:hAnsi="Calibri" w:cs="Calibri"/>
          <w:vertAlign w:val="superscript"/>
          <w:lang w:val="en-GB"/>
        </w:rPr>
        <w:footnoteReference w:id="1"/>
      </w:r>
      <w:r w:rsidRPr="007E5BB1">
        <w:rPr>
          <w:rFonts w:ascii="Calibri" w:eastAsia="Calibri" w:hAnsi="Calibri" w:cs="Calibri"/>
          <w:lang w:val="en-GB"/>
        </w:rPr>
        <w:t xml:space="preserve"> Harm reduction has been explicitly endorsed as an essential measure for people who use drugs on numerous occasions by this Committee,</w:t>
      </w:r>
      <w:r w:rsidRPr="007E5BB1">
        <w:rPr>
          <w:rFonts w:ascii="Calibri" w:eastAsia="Calibri" w:hAnsi="Calibri" w:cs="Calibri"/>
          <w:vertAlign w:val="superscript"/>
          <w:lang w:val="en-GB"/>
        </w:rPr>
        <w:footnoteReference w:id="2"/>
      </w:r>
      <w:r w:rsidRPr="007E5BB1">
        <w:rPr>
          <w:rFonts w:ascii="Calibri" w:eastAsia="Calibri" w:hAnsi="Calibri" w:cs="Calibri"/>
          <w:lang w:val="en-GB"/>
        </w:rPr>
        <w:t xml:space="preserve"> as well as by the UN General Assembly,</w:t>
      </w:r>
      <w:r w:rsidRPr="007E5BB1">
        <w:rPr>
          <w:rFonts w:ascii="Calibri" w:eastAsia="Calibri" w:hAnsi="Calibri" w:cs="Calibri"/>
          <w:vertAlign w:val="superscript"/>
          <w:lang w:val="en-GB"/>
        </w:rPr>
        <w:footnoteReference w:id="3"/>
      </w:r>
      <w:r w:rsidRPr="007E5BB1">
        <w:rPr>
          <w:rFonts w:ascii="Calibri" w:eastAsia="Calibri" w:hAnsi="Calibri" w:cs="Calibri"/>
          <w:lang w:val="en-GB"/>
        </w:rPr>
        <w:t xml:space="preserve"> the Human Rights Council,</w:t>
      </w:r>
      <w:r w:rsidRPr="007E5BB1">
        <w:rPr>
          <w:rFonts w:ascii="Calibri" w:eastAsia="Calibri" w:hAnsi="Calibri" w:cs="Calibri"/>
          <w:vertAlign w:val="superscript"/>
          <w:lang w:val="en-GB"/>
        </w:rPr>
        <w:footnoteReference w:id="4"/>
      </w:r>
      <w:r w:rsidRPr="007E5BB1">
        <w:rPr>
          <w:rFonts w:ascii="Calibri" w:eastAsia="Calibri" w:hAnsi="Calibri" w:cs="Calibri"/>
          <w:lang w:val="en-GB"/>
        </w:rPr>
        <w:t xml:space="preserve"> the Committee on the Rights of the Child,</w:t>
      </w:r>
      <w:r w:rsidRPr="007E5BB1">
        <w:rPr>
          <w:rFonts w:ascii="Calibri" w:eastAsia="Calibri" w:hAnsi="Calibri" w:cs="Calibri"/>
          <w:vertAlign w:val="superscript"/>
          <w:lang w:val="en-GB"/>
        </w:rPr>
        <w:footnoteReference w:id="5"/>
      </w:r>
      <w:r w:rsidRPr="007E5BB1">
        <w:rPr>
          <w:rFonts w:ascii="Calibri" w:eastAsia="Calibri" w:hAnsi="Calibri" w:cs="Calibri"/>
          <w:lang w:val="en-GB"/>
        </w:rPr>
        <w:t xml:space="preserve"> the Committee on the Elimination of Discrimination against Women,</w:t>
      </w:r>
      <w:r w:rsidRPr="007E5BB1">
        <w:rPr>
          <w:rFonts w:ascii="Calibri" w:eastAsia="Calibri" w:hAnsi="Calibri" w:cs="Calibri"/>
          <w:vertAlign w:val="superscript"/>
          <w:lang w:val="en-GB"/>
        </w:rPr>
        <w:footnoteReference w:id="6"/>
      </w:r>
      <w:r w:rsidRPr="007E5BB1">
        <w:rPr>
          <w:rFonts w:ascii="Calibri" w:eastAsia="Calibri" w:hAnsi="Calibri" w:cs="Calibri"/>
          <w:lang w:val="en-GB"/>
        </w:rPr>
        <w:t xml:space="preserve"> the Special Rapporteur on the right of everyone to the enjoyment of the highest attainable standard of physical and mental health,</w:t>
      </w:r>
      <w:r w:rsidRPr="007E5BB1">
        <w:rPr>
          <w:rFonts w:ascii="Calibri" w:eastAsia="Calibri" w:hAnsi="Calibri" w:cs="Calibri"/>
          <w:vertAlign w:val="superscript"/>
          <w:lang w:val="en-GB"/>
        </w:rPr>
        <w:footnoteReference w:id="7"/>
      </w:r>
      <w:r w:rsidRPr="007E5BB1">
        <w:rPr>
          <w:rFonts w:ascii="Calibri" w:eastAsia="Calibri" w:hAnsi="Calibri" w:cs="Calibri"/>
          <w:lang w:val="en-GB"/>
        </w:rPr>
        <w:t xml:space="preserve"> and the Special Rapporteur on torture and other cruel, inhuman or degrading treatment or punishment.</w:t>
      </w:r>
      <w:r w:rsidRPr="007E5BB1">
        <w:rPr>
          <w:rFonts w:ascii="Calibri" w:eastAsia="Calibri" w:hAnsi="Calibri" w:cs="Calibri"/>
          <w:vertAlign w:val="superscript"/>
          <w:lang w:val="en-GB"/>
        </w:rPr>
        <w:footnoteReference w:id="8"/>
      </w:r>
      <w:r w:rsidRPr="007E5BB1">
        <w:rPr>
          <w:rFonts w:ascii="Calibri" w:eastAsia="Calibri" w:hAnsi="Calibri" w:cs="Calibri"/>
          <w:lang w:val="en-GB"/>
        </w:rPr>
        <w:t xml:space="preserve"> </w:t>
      </w:r>
    </w:p>
    <w:p w14:paraId="00000012" w14:textId="7CCA70B9" w:rsidR="00F93E19" w:rsidRPr="007E5BB1" w:rsidRDefault="007054C2" w:rsidP="00CF677B">
      <w:pPr>
        <w:spacing w:before="240" w:after="240"/>
        <w:jc w:val="both"/>
        <w:rPr>
          <w:rFonts w:ascii="Calibri" w:eastAsia="Calibri" w:hAnsi="Calibri" w:cs="Calibri"/>
          <w:lang w:val="en-GB"/>
        </w:rPr>
      </w:pPr>
      <w:r w:rsidRPr="007E5BB1">
        <w:rPr>
          <w:rFonts w:ascii="Calibri" w:eastAsia="Calibri" w:hAnsi="Calibri" w:cs="Calibri"/>
          <w:lang w:val="en-GB"/>
        </w:rPr>
        <w:t>The World Health Organization (WHO),</w:t>
      </w:r>
      <w:r w:rsidR="00943B18" w:rsidRPr="007E5BB1">
        <w:rPr>
          <w:rFonts w:ascii="Calibri" w:eastAsia="Calibri" w:hAnsi="Calibri" w:cs="Calibri"/>
          <w:lang w:val="en-GB"/>
        </w:rPr>
        <w:t xml:space="preserve"> OHCHR,</w:t>
      </w:r>
      <w:r w:rsidRPr="007E5BB1">
        <w:rPr>
          <w:rFonts w:ascii="Calibri" w:eastAsia="Calibri" w:hAnsi="Calibri" w:cs="Calibri"/>
          <w:lang w:val="en-GB"/>
        </w:rPr>
        <w:t xml:space="preserve"> UNAIDS</w:t>
      </w:r>
      <w:r w:rsidR="00943B18" w:rsidRPr="007E5BB1">
        <w:rPr>
          <w:rFonts w:ascii="Calibri" w:eastAsia="Calibri" w:hAnsi="Calibri" w:cs="Calibri"/>
          <w:lang w:val="en-GB"/>
        </w:rPr>
        <w:t>,</w:t>
      </w:r>
      <w:r w:rsidRPr="007E5BB1">
        <w:rPr>
          <w:rFonts w:ascii="Calibri" w:eastAsia="Calibri" w:hAnsi="Calibri" w:cs="Calibri"/>
          <w:lang w:val="en-GB"/>
        </w:rPr>
        <w:t xml:space="preserve"> and UNODC recognise Needle and Syringe Programs (NSPs) and Opioid Agonist Therapy (OAT) as key components of an effective HIV and viral hepatitis response for injecting drug use. These interventions have also been endors</w:t>
      </w:r>
      <w:r w:rsidR="00943B18" w:rsidRPr="007E5BB1">
        <w:rPr>
          <w:rFonts w:ascii="Calibri" w:eastAsia="Calibri" w:hAnsi="Calibri" w:cs="Calibri"/>
          <w:lang w:val="en-GB"/>
        </w:rPr>
        <w:t xml:space="preserve">ed by the UN General Assembly, </w:t>
      </w:r>
      <w:r w:rsidRPr="007E5BB1">
        <w:rPr>
          <w:rFonts w:ascii="Calibri" w:eastAsia="Calibri" w:hAnsi="Calibri" w:cs="Calibri"/>
          <w:lang w:val="en-GB"/>
        </w:rPr>
        <w:t>the Economic and Social Council, and the Commission on Narcotic Drugs (CND).</w:t>
      </w:r>
    </w:p>
    <w:p w14:paraId="0C9825D0" w14:textId="77777777" w:rsidR="00943B18" w:rsidRPr="007E5BB1" w:rsidRDefault="007054C2" w:rsidP="00CF677B">
      <w:pPr>
        <w:spacing w:before="240" w:after="240"/>
        <w:jc w:val="both"/>
        <w:rPr>
          <w:rFonts w:ascii="Calibri" w:eastAsia="Calibri" w:hAnsi="Calibri" w:cs="Calibri"/>
          <w:lang w:val="en-GB"/>
        </w:rPr>
      </w:pPr>
      <w:r w:rsidRPr="007E5BB1">
        <w:rPr>
          <w:rFonts w:ascii="Calibri" w:eastAsia="Calibri" w:hAnsi="Calibri" w:cs="Calibri"/>
          <w:lang w:val="en-GB"/>
        </w:rPr>
        <w:lastRenderedPageBreak/>
        <w:t>Latest available estimates indicate there are at least 34,000 people who inject drugs in Indonesia,</w:t>
      </w:r>
      <w:r w:rsidRPr="007E5BB1">
        <w:rPr>
          <w:rFonts w:ascii="Calibri" w:eastAsia="Calibri" w:hAnsi="Calibri" w:cs="Calibri"/>
          <w:vertAlign w:val="superscript"/>
          <w:lang w:val="en-GB"/>
        </w:rPr>
        <w:footnoteReference w:id="9"/>
      </w:r>
      <w:r w:rsidRPr="007E5BB1">
        <w:rPr>
          <w:rFonts w:ascii="Calibri" w:eastAsia="Calibri" w:hAnsi="Calibri" w:cs="Calibri"/>
          <w:lang w:val="en-GB"/>
        </w:rPr>
        <w:t xml:space="preserve"> with an HIV prevalence ranging between 28.76-44.5%, and an estimated Hepatitis C prevalence of 63.5-89.2%.</w:t>
      </w:r>
      <w:r w:rsidRPr="007E5BB1">
        <w:rPr>
          <w:rFonts w:ascii="Calibri" w:eastAsia="Calibri" w:hAnsi="Calibri" w:cs="Calibri"/>
          <w:vertAlign w:val="superscript"/>
          <w:lang w:val="en-GB"/>
        </w:rPr>
        <w:footnoteReference w:id="10"/>
      </w:r>
      <w:r w:rsidRPr="007E5BB1">
        <w:rPr>
          <w:rFonts w:ascii="Calibri" w:eastAsia="Calibri" w:hAnsi="Calibri" w:cs="Calibri"/>
          <w:lang w:val="en-GB"/>
        </w:rPr>
        <w:t xml:space="preserve"> </w:t>
      </w:r>
    </w:p>
    <w:p w14:paraId="00000015" w14:textId="4C2AA6DE" w:rsidR="00F93E19" w:rsidRPr="007E5BB1" w:rsidRDefault="007054C2" w:rsidP="00CF677B">
      <w:pPr>
        <w:spacing w:before="240" w:after="240"/>
        <w:jc w:val="both"/>
        <w:rPr>
          <w:rFonts w:ascii="Calibri" w:eastAsia="Calibri" w:hAnsi="Calibri" w:cs="Calibri"/>
          <w:lang w:val="en-GB"/>
        </w:rPr>
      </w:pPr>
      <w:r w:rsidRPr="007E5BB1">
        <w:rPr>
          <w:rFonts w:ascii="Calibri" w:eastAsia="Calibri" w:hAnsi="Calibri" w:cs="Calibri"/>
          <w:lang w:val="en-GB"/>
        </w:rPr>
        <w:t>Some harm reduction services are available</w:t>
      </w:r>
      <w:r w:rsidR="003B2D77">
        <w:rPr>
          <w:rFonts w:ascii="Calibri" w:eastAsia="Calibri" w:hAnsi="Calibri" w:cs="Calibri"/>
          <w:lang w:val="en-GB"/>
        </w:rPr>
        <w:t>, although limited,</w:t>
      </w:r>
      <w:r w:rsidRPr="007E5BB1">
        <w:rPr>
          <w:rFonts w:ascii="Calibri" w:eastAsia="Calibri" w:hAnsi="Calibri" w:cs="Calibri"/>
          <w:lang w:val="en-GB"/>
        </w:rPr>
        <w:t xml:space="preserve"> in the country. F</w:t>
      </w:r>
      <w:r w:rsidR="00943B18" w:rsidRPr="007E5BB1">
        <w:rPr>
          <w:rFonts w:ascii="Calibri" w:eastAsia="Calibri" w:hAnsi="Calibri" w:cs="Calibri"/>
          <w:lang w:val="en-GB"/>
        </w:rPr>
        <w:t xml:space="preserve">or example, OAT is available in several regions, and the </w:t>
      </w:r>
      <w:r w:rsidRPr="007E5BB1">
        <w:rPr>
          <w:rFonts w:ascii="Calibri" w:eastAsia="Calibri" w:hAnsi="Calibri" w:cs="Calibri"/>
          <w:lang w:val="en-GB"/>
        </w:rPr>
        <w:t>number of Needle and Syringe Programs (NSPs) increased from 53 to 56 between 2018 and 2020</w:t>
      </w:r>
      <w:r w:rsidR="00E145D5">
        <w:rPr>
          <w:rFonts w:ascii="Calibri" w:eastAsia="Calibri" w:hAnsi="Calibri" w:cs="Calibri"/>
          <w:lang w:val="en-GB"/>
        </w:rPr>
        <w:t>.</w:t>
      </w:r>
      <w:r w:rsidR="00764D72">
        <w:rPr>
          <w:rFonts w:ascii="Calibri" w:eastAsia="Calibri" w:hAnsi="Calibri" w:cs="Calibri"/>
          <w:lang w:val="en-GB"/>
        </w:rPr>
        <w:t xml:space="preserve"> H</w:t>
      </w:r>
      <w:r w:rsidRPr="007E5BB1">
        <w:rPr>
          <w:rFonts w:ascii="Calibri" w:eastAsia="Calibri" w:hAnsi="Calibri" w:cs="Calibri"/>
          <w:lang w:val="en-GB"/>
        </w:rPr>
        <w:t>owever, the acceptability and quality of s</w:t>
      </w:r>
      <w:r w:rsidR="00943B18" w:rsidRPr="007E5BB1">
        <w:rPr>
          <w:rFonts w:ascii="Calibri" w:eastAsia="Calibri" w:hAnsi="Calibri" w:cs="Calibri"/>
          <w:lang w:val="en-GB"/>
        </w:rPr>
        <w:t>uch services is reportedly poor; for example, only</w:t>
      </w:r>
      <w:r w:rsidRPr="007E5BB1">
        <w:rPr>
          <w:rFonts w:ascii="Calibri" w:eastAsia="Calibri" w:hAnsi="Calibri" w:cs="Calibri"/>
          <w:lang w:val="en-GB"/>
        </w:rPr>
        <w:t xml:space="preserve"> 3</w:t>
      </w:r>
      <w:r w:rsidR="00943B18" w:rsidRPr="007E5BB1">
        <w:rPr>
          <w:rFonts w:ascii="Calibri" w:eastAsia="Calibri" w:hAnsi="Calibri" w:cs="Calibri"/>
          <w:lang w:val="en-GB"/>
        </w:rPr>
        <w:t xml:space="preserve"> three </w:t>
      </w:r>
      <w:r w:rsidRPr="007E5BB1">
        <w:rPr>
          <w:rFonts w:ascii="Calibri" w:eastAsia="Calibri" w:hAnsi="Calibri" w:cs="Calibri"/>
          <w:lang w:val="en-GB"/>
        </w:rPr>
        <w:t>syringes per person pe</w:t>
      </w:r>
      <w:r w:rsidR="00943B18" w:rsidRPr="007E5BB1">
        <w:rPr>
          <w:rFonts w:ascii="Calibri" w:eastAsia="Calibri" w:hAnsi="Calibri" w:cs="Calibri"/>
          <w:lang w:val="en-GB"/>
        </w:rPr>
        <w:t>r year are reportedly distributed, against the WHO target of 300.</w:t>
      </w:r>
      <w:r w:rsidRPr="007E5BB1">
        <w:rPr>
          <w:rFonts w:ascii="Calibri" w:eastAsia="Calibri" w:hAnsi="Calibri" w:cs="Calibri"/>
          <w:vertAlign w:val="superscript"/>
          <w:lang w:val="en-GB"/>
        </w:rPr>
        <w:footnoteReference w:id="11"/>
      </w:r>
      <w:r w:rsidRPr="007E5BB1">
        <w:rPr>
          <w:rFonts w:ascii="Calibri" w:eastAsia="Calibri" w:hAnsi="Calibri" w:cs="Calibri"/>
          <w:lang w:val="en-GB"/>
        </w:rPr>
        <w:t xml:space="preserve"> </w:t>
      </w:r>
      <w:r w:rsidR="00B36494" w:rsidRPr="007E5BB1">
        <w:rPr>
          <w:rFonts w:ascii="Calibri" w:eastAsia="Calibri" w:hAnsi="Calibri" w:cs="Calibri"/>
          <w:lang w:val="en-GB"/>
        </w:rPr>
        <w:t xml:space="preserve">Other essential services, such as peer distribution of naloxone or drug consumption facilities, are absent. </w:t>
      </w:r>
    </w:p>
    <w:p w14:paraId="2A6A39F2" w14:textId="321234BE" w:rsidR="00D96F15" w:rsidRPr="00764D72" w:rsidRDefault="00B36494" w:rsidP="00764D72">
      <w:pPr>
        <w:spacing w:before="240" w:after="240"/>
        <w:jc w:val="both"/>
        <w:rPr>
          <w:rFonts w:ascii="Calibri" w:eastAsia="Calibri" w:hAnsi="Calibri" w:cs="Calibri"/>
          <w:lang w:val="en-GB"/>
        </w:rPr>
      </w:pPr>
      <w:r w:rsidRPr="007E5BB1">
        <w:rPr>
          <w:rFonts w:ascii="Calibri" w:eastAsia="Calibri" w:hAnsi="Calibri" w:cs="Calibri"/>
          <w:lang w:val="en-GB"/>
        </w:rPr>
        <w:t>The s</w:t>
      </w:r>
      <w:r w:rsidR="007054C2" w:rsidRPr="007E5BB1">
        <w:rPr>
          <w:rFonts w:ascii="Calibri" w:eastAsia="Calibri" w:hAnsi="Calibri" w:cs="Calibri"/>
          <w:lang w:val="en-GB"/>
        </w:rPr>
        <w:t xml:space="preserve">ituation is even more dire in prisons. Although prisoners have the right to the same standard of care as </w:t>
      </w:r>
      <w:r w:rsidRPr="007E5BB1">
        <w:rPr>
          <w:rFonts w:ascii="Calibri" w:eastAsia="Calibri" w:hAnsi="Calibri" w:cs="Calibri"/>
          <w:lang w:val="en-GB"/>
        </w:rPr>
        <w:t>people in the broader community – including harm reduction services -</w:t>
      </w:r>
      <w:r w:rsidR="007054C2" w:rsidRPr="007E5BB1">
        <w:rPr>
          <w:rFonts w:ascii="Calibri" w:eastAsia="Calibri" w:hAnsi="Calibri" w:cs="Calibri"/>
          <w:lang w:val="en-GB"/>
        </w:rPr>
        <w:t xml:space="preserve"> no NSPs, condoms d</w:t>
      </w:r>
      <w:r w:rsidRPr="007E5BB1">
        <w:rPr>
          <w:rFonts w:ascii="Calibri" w:eastAsia="Calibri" w:hAnsi="Calibri" w:cs="Calibri"/>
          <w:lang w:val="en-GB"/>
        </w:rPr>
        <w:t>istribution, nor distribution of</w:t>
      </w:r>
      <w:r w:rsidR="007054C2" w:rsidRPr="007E5BB1">
        <w:rPr>
          <w:rFonts w:ascii="Calibri" w:eastAsia="Calibri" w:hAnsi="Calibri" w:cs="Calibri"/>
          <w:lang w:val="en-GB"/>
        </w:rPr>
        <w:t xml:space="preserve"> naloxone are available in Indonesian prisons. </w:t>
      </w:r>
      <w:r w:rsidRPr="007E5BB1">
        <w:rPr>
          <w:rFonts w:ascii="Calibri" w:eastAsia="Calibri" w:hAnsi="Calibri" w:cs="Calibri"/>
          <w:lang w:val="en-GB"/>
        </w:rPr>
        <w:t xml:space="preserve">The only intervention to be present in detention is </w:t>
      </w:r>
      <w:r w:rsidR="007054C2" w:rsidRPr="007E5BB1">
        <w:rPr>
          <w:rFonts w:ascii="Calibri" w:eastAsia="Calibri" w:hAnsi="Calibri" w:cs="Calibri"/>
          <w:lang w:val="en-GB"/>
        </w:rPr>
        <w:t>Opioid Agonist Therapy</w:t>
      </w:r>
      <w:r w:rsidRPr="007E5BB1">
        <w:rPr>
          <w:rFonts w:ascii="Calibri" w:eastAsia="Calibri" w:hAnsi="Calibri" w:cs="Calibri"/>
          <w:lang w:val="en-GB"/>
        </w:rPr>
        <w:t xml:space="preserve">, which in 2018 was only reported in </w:t>
      </w:r>
      <w:r w:rsidR="007054C2" w:rsidRPr="007E5BB1">
        <w:rPr>
          <w:rFonts w:ascii="Calibri" w:eastAsia="Calibri" w:hAnsi="Calibri" w:cs="Calibri"/>
          <w:lang w:val="en-GB"/>
        </w:rPr>
        <w:t>11 prisons in</w:t>
      </w:r>
      <w:r w:rsidRPr="007E5BB1">
        <w:rPr>
          <w:rFonts w:ascii="Calibri" w:eastAsia="Calibri" w:hAnsi="Calibri" w:cs="Calibri"/>
          <w:lang w:val="en-GB"/>
        </w:rPr>
        <w:t xml:space="preserve"> the country</w:t>
      </w:r>
      <w:r w:rsidR="009D7F4E">
        <w:rPr>
          <w:rFonts w:ascii="Calibri" w:eastAsia="Calibri" w:hAnsi="Calibri" w:cs="Calibri"/>
          <w:lang w:val="en-GB"/>
        </w:rPr>
        <w:t>, most of them located in big cities</w:t>
      </w:r>
      <w:r w:rsidR="009A1491">
        <w:rPr>
          <w:rFonts w:ascii="Calibri" w:eastAsia="Calibri" w:hAnsi="Calibri" w:cs="Calibri"/>
          <w:lang w:val="en-GB"/>
        </w:rPr>
        <w:t>.</w:t>
      </w:r>
      <w:r w:rsidR="007054C2" w:rsidRPr="007E5BB1">
        <w:rPr>
          <w:rFonts w:ascii="Calibri" w:eastAsia="Calibri" w:hAnsi="Calibri" w:cs="Calibri"/>
          <w:vertAlign w:val="superscript"/>
          <w:lang w:val="en-GB"/>
        </w:rPr>
        <w:footnoteReference w:id="12"/>
      </w:r>
      <w:r w:rsidR="007054C2" w:rsidRPr="007E5BB1">
        <w:rPr>
          <w:rFonts w:ascii="Calibri" w:eastAsia="Calibri" w:hAnsi="Calibri" w:cs="Calibri"/>
          <w:lang w:val="en-GB"/>
        </w:rPr>
        <w:t xml:space="preserve"> In</w:t>
      </w:r>
      <w:r w:rsidRPr="007E5BB1">
        <w:rPr>
          <w:rFonts w:ascii="Calibri" w:eastAsia="Calibri" w:hAnsi="Calibri" w:cs="Calibri"/>
          <w:lang w:val="en-GB"/>
        </w:rPr>
        <w:t xml:space="preserve"> other cases, people in prison</w:t>
      </w:r>
      <w:r w:rsidR="007054C2" w:rsidRPr="007E5BB1">
        <w:rPr>
          <w:rFonts w:ascii="Calibri" w:eastAsia="Calibri" w:hAnsi="Calibri" w:cs="Calibri"/>
          <w:lang w:val="en-GB"/>
        </w:rPr>
        <w:t xml:space="preserve"> who were enrolled in an OAT programme outside of prison access methadone only through their family members or lawyers.</w:t>
      </w:r>
    </w:p>
    <w:p w14:paraId="0000001A" w14:textId="148E0540" w:rsidR="00F93E19" w:rsidRPr="007E5BB1" w:rsidRDefault="00B36494" w:rsidP="00B36494">
      <w:pPr>
        <w:pStyle w:val="ListParagraph"/>
        <w:numPr>
          <w:ilvl w:val="1"/>
          <w:numId w:val="5"/>
        </w:numPr>
        <w:spacing w:before="240" w:after="240"/>
        <w:rPr>
          <w:i/>
          <w:u w:val="single"/>
        </w:rPr>
      </w:pPr>
      <w:r w:rsidRPr="007E5BB1">
        <w:rPr>
          <w:i/>
          <w:u w:val="single"/>
        </w:rPr>
        <w:t xml:space="preserve">Lack of funding for harm reduction </w:t>
      </w:r>
    </w:p>
    <w:p w14:paraId="0000001F" w14:textId="62253423" w:rsidR="00F93E19" w:rsidRDefault="007054C2" w:rsidP="00CF677B">
      <w:pPr>
        <w:spacing w:before="240" w:after="240"/>
        <w:jc w:val="both"/>
        <w:rPr>
          <w:rFonts w:ascii="Calibri" w:eastAsia="Calibri" w:hAnsi="Calibri" w:cs="Calibri"/>
          <w:lang w:val="en-GB"/>
        </w:rPr>
      </w:pPr>
      <w:r w:rsidRPr="007E5BB1">
        <w:rPr>
          <w:rFonts w:ascii="Calibri" w:eastAsia="Calibri" w:hAnsi="Calibri" w:cs="Calibri"/>
          <w:lang w:val="en-GB"/>
        </w:rPr>
        <w:t xml:space="preserve">A central reason for the limited availability, accessibility, and quality of harm reduction services in the country is the lack of </w:t>
      </w:r>
      <w:r w:rsidR="00B36494" w:rsidRPr="007E5BB1">
        <w:rPr>
          <w:rFonts w:ascii="Calibri" w:eastAsia="Calibri" w:hAnsi="Calibri" w:cs="Calibri"/>
          <w:lang w:val="en-GB"/>
        </w:rPr>
        <w:t>adequate</w:t>
      </w:r>
      <w:r w:rsidR="00764D72">
        <w:rPr>
          <w:rFonts w:ascii="Calibri" w:eastAsia="Calibri" w:hAnsi="Calibri" w:cs="Calibri"/>
          <w:lang w:val="en-GB"/>
        </w:rPr>
        <w:t xml:space="preserve"> funding</w:t>
      </w:r>
      <w:r w:rsidRPr="007E5BB1">
        <w:rPr>
          <w:rFonts w:ascii="Calibri" w:eastAsia="Calibri" w:hAnsi="Calibri" w:cs="Calibri"/>
          <w:lang w:val="en-GB"/>
        </w:rPr>
        <w:t xml:space="preserve"> of these interventions</w:t>
      </w:r>
      <w:r w:rsidR="00764D72">
        <w:rPr>
          <w:rFonts w:ascii="Calibri" w:eastAsia="Calibri" w:hAnsi="Calibri" w:cs="Calibri"/>
          <w:lang w:val="en-GB"/>
        </w:rPr>
        <w:t xml:space="preserve"> by the government</w:t>
      </w:r>
      <w:r w:rsidRPr="007E5BB1">
        <w:rPr>
          <w:rFonts w:ascii="Calibri" w:eastAsia="Calibri" w:hAnsi="Calibri" w:cs="Calibri"/>
          <w:lang w:val="en-GB"/>
        </w:rPr>
        <w:t>, in favour of punitive and ultimately ine</w:t>
      </w:r>
      <w:r w:rsidR="00B36494" w:rsidRPr="007E5BB1">
        <w:rPr>
          <w:rFonts w:ascii="Calibri" w:eastAsia="Calibri" w:hAnsi="Calibri" w:cs="Calibri"/>
          <w:lang w:val="en-GB"/>
        </w:rPr>
        <w:t>ffective policies. R</w:t>
      </w:r>
      <w:r w:rsidRPr="007E5BB1">
        <w:rPr>
          <w:rFonts w:ascii="Calibri" w:eastAsia="Calibri" w:hAnsi="Calibri" w:cs="Calibri"/>
          <w:lang w:val="en-GB"/>
        </w:rPr>
        <w:t>esearch conducted in 2021 found that only USD 2,8 million are alloca</w:t>
      </w:r>
      <w:r w:rsidR="00B36494" w:rsidRPr="007E5BB1">
        <w:rPr>
          <w:rFonts w:ascii="Calibri" w:eastAsia="Calibri" w:hAnsi="Calibri" w:cs="Calibri"/>
          <w:lang w:val="en-GB"/>
        </w:rPr>
        <w:t>ted annually, by the government</w:t>
      </w:r>
      <w:r w:rsidR="00870517">
        <w:rPr>
          <w:rFonts w:ascii="Calibri" w:eastAsia="Calibri" w:hAnsi="Calibri" w:cs="Calibri"/>
          <w:lang w:val="en-GB"/>
        </w:rPr>
        <w:t>,</w:t>
      </w:r>
      <w:r w:rsidRPr="007E5BB1">
        <w:rPr>
          <w:rFonts w:ascii="Calibri" w:eastAsia="Calibri" w:hAnsi="Calibri" w:cs="Calibri"/>
          <w:lang w:val="en-GB"/>
        </w:rPr>
        <w:t xml:space="preserve"> to harm reduction interventions, against a UNAIDS resource estimate of USD 14 million. Conversely, around USD 250 million are spent annually on punitive drug control. The same research concluded that “decriminalising drug use and personal possession of drugs could save the Government of Indonesia USD 31 million per year in prison-related costs, double the amount required</w:t>
      </w:r>
      <w:r w:rsidR="00CF677B" w:rsidRPr="007E5BB1">
        <w:rPr>
          <w:rFonts w:ascii="Calibri" w:eastAsia="Calibri" w:hAnsi="Calibri" w:cs="Calibri"/>
          <w:lang w:val="en-GB"/>
        </w:rPr>
        <w:t xml:space="preserve"> to fully fund harm reduction.”</w:t>
      </w:r>
      <w:r w:rsidRPr="007E5BB1">
        <w:rPr>
          <w:rFonts w:ascii="Calibri" w:eastAsia="Calibri" w:hAnsi="Calibri" w:cs="Calibri"/>
          <w:vertAlign w:val="superscript"/>
          <w:lang w:val="en-GB"/>
        </w:rPr>
        <w:footnoteReference w:id="13"/>
      </w:r>
      <w:r w:rsidRPr="007E5BB1">
        <w:rPr>
          <w:rFonts w:ascii="Calibri" w:eastAsia="Calibri" w:hAnsi="Calibri" w:cs="Calibri"/>
          <w:lang w:val="en-GB"/>
        </w:rPr>
        <w:t xml:space="preserve"> Th</w:t>
      </w:r>
      <w:r w:rsidR="00B36494" w:rsidRPr="007E5BB1">
        <w:rPr>
          <w:rFonts w:ascii="Calibri" w:eastAsia="Calibri" w:hAnsi="Calibri" w:cs="Calibri"/>
          <w:lang w:val="en-GB"/>
        </w:rPr>
        <w:t xml:space="preserve">ese figures, coupled with a wealth of evidence on the effectiveness of harm reduction interventions to realise and promote the right to health of people who use drugs, raise concerns around Indonesia’s compliance with its </w:t>
      </w:r>
      <w:r w:rsidR="00CF677B" w:rsidRPr="007E5BB1">
        <w:rPr>
          <w:rFonts w:ascii="Calibri" w:eastAsia="Calibri" w:hAnsi="Calibri" w:cs="Calibri"/>
          <w:lang w:val="en-GB"/>
        </w:rPr>
        <w:t xml:space="preserve">obligations under Art. 2 ICESCR. </w:t>
      </w:r>
    </w:p>
    <w:p w14:paraId="484E1E7F" w14:textId="77777777" w:rsidR="00870517" w:rsidRPr="007E5BB1" w:rsidRDefault="00870517" w:rsidP="00CF677B">
      <w:pPr>
        <w:spacing w:before="240" w:after="240"/>
        <w:jc w:val="both"/>
        <w:rPr>
          <w:rFonts w:ascii="Calibri" w:eastAsia="Calibri" w:hAnsi="Calibri" w:cs="Calibri"/>
          <w:lang w:val="en-GB"/>
        </w:rPr>
      </w:pPr>
    </w:p>
    <w:p w14:paraId="403D0E27" w14:textId="5298BAA8" w:rsidR="00164DFE" w:rsidRPr="00164DFE" w:rsidRDefault="00164DFE" w:rsidP="00164DFE">
      <w:pPr>
        <w:pStyle w:val="ListParagraph"/>
        <w:numPr>
          <w:ilvl w:val="1"/>
          <w:numId w:val="5"/>
        </w:numPr>
        <w:spacing w:after="240"/>
        <w:rPr>
          <w:rFonts w:eastAsia="Calibri" w:cs="Calibri"/>
          <w:i/>
        </w:rPr>
      </w:pPr>
      <w:r>
        <w:rPr>
          <w:rFonts w:eastAsia="Calibri" w:cs="Calibri"/>
          <w:i/>
          <w:u w:val="single"/>
        </w:rPr>
        <w:t>Harm reduction services for women who use drugs</w:t>
      </w:r>
    </w:p>
    <w:p w14:paraId="15B09B66" w14:textId="4979764D" w:rsidR="00413900" w:rsidRDefault="00164DFE" w:rsidP="00164DFE">
      <w:pPr>
        <w:spacing w:after="240"/>
        <w:jc w:val="both"/>
        <w:rPr>
          <w:rFonts w:asciiTheme="majorHAnsi" w:eastAsia="Calibri" w:hAnsiTheme="majorHAnsi" w:cstheme="majorHAnsi"/>
        </w:rPr>
      </w:pPr>
      <w:r>
        <w:rPr>
          <w:rFonts w:asciiTheme="majorHAnsi" w:eastAsia="Calibri" w:hAnsiTheme="majorHAnsi" w:cstheme="majorHAnsi"/>
        </w:rPr>
        <w:t xml:space="preserve">Women in Indonesia, as around the world, face unique challenges to accessing harm reduction services, which are often predominantly designed by and for men, and/or without an adequate gender perspective. </w:t>
      </w:r>
      <w:r>
        <w:rPr>
          <w:rFonts w:asciiTheme="majorHAnsi" w:eastAsia="Calibri" w:hAnsiTheme="majorHAnsi" w:cstheme="majorHAnsi"/>
        </w:rPr>
        <w:lastRenderedPageBreak/>
        <w:t>In a recent submission to CEDAW, AKSI and the Women Harm Reduction International Network (WHRIN)</w:t>
      </w:r>
      <w:r w:rsidR="00870517">
        <w:rPr>
          <w:rStyle w:val="FootnoteReference"/>
          <w:rFonts w:asciiTheme="majorHAnsi" w:eastAsia="Calibri" w:hAnsiTheme="majorHAnsi" w:cstheme="majorHAnsi"/>
        </w:rPr>
        <w:footnoteReference w:id="14"/>
      </w:r>
      <w:r w:rsidR="00413900">
        <w:rPr>
          <w:rFonts w:asciiTheme="majorHAnsi" w:eastAsia="Calibri" w:hAnsiTheme="majorHAnsi" w:cstheme="majorHAnsi"/>
        </w:rPr>
        <w:t xml:space="preserve"> highlighted how domestic policy itself contributes to ongoing discrimination against women: </w:t>
      </w:r>
    </w:p>
    <w:p w14:paraId="03ACE113" w14:textId="52154979" w:rsidR="00413900" w:rsidRPr="00413900" w:rsidRDefault="00413900" w:rsidP="00413900">
      <w:pPr>
        <w:spacing w:after="240"/>
        <w:ind w:left="720"/>
        <w:jc w:val="both"/>
        <w:rPr>
          <w:rFonts w:ascii="Calibri" w:eastAsia="Calibri" w:hAnsi="Calibri" w:cs="Calibri"/>
        </w:rPr>
      </w:pPr>
      <w:r w:rsidRPr="00413900">
        <w:rPr>
          <w:rFonts w:ascii="Calibri" w:eastAsia="Calibri" w:hAnsi="Calibri" w:cs="Calibri"/>
        </w:rPr>
        <w:t>“</w:t>
      </w:r>
      <w:r w:rsidRPr="00413900">
        <w:rPr>
          <w:rFonts w:ascii="Calibri" w:hAnsi="Calibri" w:cs="Calibri"/>
        </w:rPr>
        <w:t>In the Gender Responsive Planning and Budgeting Guidelines document in the Field of Prevention and Eradication of Drugs Abuse and Illicit Drugs (P4GN)35 designed by BNN and the Ministry of Women's Empowerment and Child Protection, it is stated that the State should prioritize information on prevention of drugs use towards men, because men are socially expected to have the role as backbone and leader of the family</w:t>
      </w:r>
      <w:r w:rsidRPr="00413900">
        <w:rPr>
          <w:rFonts w:ascii="Calibri" w:eastAsia="Calibri" w:hAnsi="Calibri" w:cs="Calibri"/>
        </w:rPr>
        <w:t>. T</w:t>
      </w:r>
      <w:r w:rsidRPr="00413900">
        <w:rPr>
          <w:rFonts w:ascii="Calibri" w:hAnsi="Calibri" w:cs="Calibri"/>
        </w:rPr>
        <w:t>his patriarchal mindset ultimately creates a gap in information about drugs between men and women. To make informed choices, women also have the right to know information about drugs, how to use them safely, the effects of drug use on women's biology, as well as information about harm reduction programs.”</w:t>
      </w:r>
    </w:p>
    <w:p w14:paraId="36F2EC4D" w14:textId="05100ED7" w:rsidR="00870517" w:rsidRPr="009A1491" w:rsidRDefault="00764D72" w:rsidP="009A1491">
      <w:pPr>
        <w:spacing w:after="240"/>
        <w:jc w:val="both"/>
        <w:rPr>
          <w:rFonts w:asciiTheme="majorHAnsi" w:eastAsia="Calibri" w:hAnsiTheme="majorHAnsi" w:cstheme="majorHAnsi"/>
        </w:rPr>
      </w:pPr>
      <w:r>
        <w:rPr>
          <w:rFonts w:asciiTheme="majorHAnsi" w:eastAsia="Calibri" w:hAnsiTheme="majorHAnsi" w:cstheme="majorHAnsi"/>
        </w:rPr>
        <w:t xml:space="preserve">The same report also </w:t>
      </w:r>
      <w:r w:rsidR="00164DFE">
        <w:rPr>
          <w:rFonts w:asciiTheme="majorHAnsi" w:eastAsia="Calibri" w:hAnsiTheme="majorHAnsi" w:cstheme="majorHAnsi"/>
        </w:rPr>
        <w:t>highlighted several obstacles faced by this population, including rigid service hours</w:t>
      </w:r>
      <w:r w:rsidR="00413900">
        <w:rPr>
          <w:rFonts w:asciiTheme="majorHAnsi" w:eastAsia="Calibri" w:hAnsiTheme="majorHAnsi" w:cstheme="majorHAnsi"/>
        </w:rPr>
        <w:t xml:space="preserve"> of OAT services</w:t>
      </w:r>
      <w:r w:rsidR="00164DFE">
        <w:rPr>
          <w:rFonts w:asciiTheme="majorHAnsi" w:eastAsia="Calibri" w:hAnsiTheme="majorHAnsi" w:cstheme="majorHAnsi"/>
        </w:rPr>
        <w:t>, which are often in conflict with women’s domestic obligations. The double,</w:t>
      </w:r>
      <w:r w:rsidR="00413900">
        <w:rPr>
          <w:rFonts w:asciiTheme="majorHAnsi" w:eastAsia="Calibri" w:hAnsiTheme="majorHAnsi" w:cstheme="majorHAnsi"/>
        </w:rPr>
        <w:t xml:space="preserve"> intersecting discrimination faced by women who use drugs represents an additional challenge to accessing services. </w:t>
      </w:r>
    </w:p>
    <w:p w14:paraId="5E1C6179" w14:textId="0C8314F9" w:rsidR="00EB5CD6" w:rsidRPr="00870517" w:rsidRDefault="00EB5CD6" w:rsidP="00EB5CD6">
      <w:pPr>
        <w:spacing w:before="240" w:after="240"/>
        <w:jc w:val="both"/>
        <w:rPr>
          <w:rFonts w:asciiTheme="minorHAnsi" w:eastAsia="Calibri" w:hAnsiTheme="minorHAnsi" w:cs="Calibri"/>
          <w:i/>
          <w:lang w:val="en-GB"/>
        </w:rPr>
      </w:pPr>
      <w:r w:rsidRPr="00870517">
        <w:rPr>
          <w:rFonts w:asciiTheme="minorHAnsi" w:eastAsia="Calibri" w:hAnsiTheme="minorHAnsi" w:cs="Calibri"/>
          <w:i/>
          <w:u w:val="single"/>
          <w:lang w:val="en-GB"/>
        </w:rPr>
        <w:t>1.3</w:t>
      </w:r>
      <w:r w:rsidR="005778B1" w:rsidRPr="00870517">
        <w:rPr>
          <w:rFonts w:asciiTheme="minorHAnsi" w:eastAsia="Calibri" w:hAnsiTheme="minorHAnsi" w:cs="Calibri"/>
          <w:i/>
          <w:u w:val="single"/>
          <w:lang w:val="en-GB"/>
        </w:rPr>
        <w:tab/>
      </w:r>
      <w:r w:rsidR="007A6856" w:rsidRPr="00870517">
        <w:rPr>
          <w:rFonts w:asciiTheme="minorHAnsi" w:eastAsia="Calibri" w:hAnsiTheme="minorHAnsi" w:cs="Calibri"/>
          <w:i/>
          <w:u w:val="single"/>
          <w:lang w:val="en-GB"/>
        </w:rPr>
        <w:t>In</w:t>
      </w:r>
      <w:r w:rsidR="00E168BB" w:rsidRPr="00870517">
        <w:rPr>
          <w:rFonts w:asciiTheme="minorHAnsi" w:eastAsia="Calibri" w:hAnsiTheme="minorHAnsi" w:cs="Calibri"/>
          <w:i/>
          <w:u w:val="single"/>
          <w:lang w:val="en-GB"/>
        </w:rPr>
        <w:t>consistent</w:t>
      </w:r>
      <w:r w:rsidR="009A1491" w:rsidRPr="00870517">
        <w:rPr>
          <w:rFonts w:asciiTheme="minorHAnsi" w:eastAsia="Calibri" w:hAnsiTheme="minorHAnsi" w:cs="Calibri"/>
          <w:i/>
          <w:u w:val="single"/>
          <w:lang w:val="en-GB"/>
        </w:rPr>
        <w:t xml:space="preserve"> a</w:t>
      </w:r>
      <w:r w:rsidR="0067219C" w:rsidRPr="00870517">
        <w:rPr>
          <w:rFonts w:asciiTheme="minorHAnsi" w:eastAsia="Calibri" w:hAnsiTheme="minorHAnsi" w:cs="Calibri"/>
          <w:i/>
          <w:u w:val="single"/>
          <w:lang w:val="en-GB"/>
        </w:rPr>
        <w:t xml:space="preserve">dministrative </w:t>
      </w:r>
      <w:r w:rsidR="009A1491" w:rsidRPr="00870517">
        <w:rPr>
          <w:rFonts w:asciiTheme="minorHAnsi" w:eastAsia="Calibri" w:hAnsiTheme="minorHAnsi" w:cs="Calibri"/>
          <w:i/>
          <w:u w:val="single"/>
          <w:lang w:val="en-GB"/>
        </w:rPr>
        <w:t>regulations on provision</w:t>
      </w:r>
      <w:r w:rsidRPr="00870517">
        <w:rPr>
          <w:rFonts w:asciiTheme="minorHAnsi" w:eastAsia="Calibri" w:hAnsiTheme="minorHAnsi" w:cs="Calibri"/>
          <w:i/>
          <w:u w:val="single"/>
          <w:lang w:val="en-GB"/>
        </w:rPr>
        <w:t xml:space="preserve"> of OAT </w:t>
      </w:r>
    </w:p>
    <w:p w14:paraId="00000020" w14:textId="418CD221" w:rsidR="00F93E19" w:rsidRDefault="0067219C" w:rsidP="009A1491">
      <w:pPr>
        <w:spacing w:before="240" w:after="240"/>
        <w:jc w:val="both"/>
        <w:rPr>
          <w:rFonts w:ascii="Calibri" w:eastAsia="Calibri" w:hAnsi="Calibri" w:cs="Calibri"/>
          <w:lang w:val="en-GB"/>
        </w:rPr>
      </w:pPr>
      <w:r w:rsidRPr="009A1491">
        <w:rPr>
          <w:rFonts w:ascii="Calibri" w:eastAsia="Calibri" w:hAnsi="Calibri" w:cs="Calibri"/>
          <w:lang w:val="en-GB"/>
        </w:rPr>
        <w:t xml:space="preserve">Based on anecdotal information, </w:t>
      </w:r>
      <w:r w:rsidR="00EB5CD6" w:rsidRPr="009A1491">
        <w:rPr>
          <w:rFonts w:ascii="Calibri" w:eastAsia="Calibri" w:hAnsi="Calibri" w:cs="Calibri"/>
          <w:lang w:val="en-GB"/>
        </w:rPr>
        <w:t xml:space="preserve">AKSI found </w:t>
      </w:r>
      <w:r w:rsidR="00E168BB" w:rsidRPr="009A1491">
        <w:rPr>
          <w:rFonts w:ascii="Calibri" w:eastAsia="Calibri" w:hAnsi="Calibri" w:cs="Calibri"/>
          <w:lang w:val="en-GB"/>
        </w:rPr>
        <w:t xml:space="preserve">that </w:t>
      </w:r>
      <w:r w:rsidR="009A1491" w:rsidRPr="009A1491">
        <w:rPr>
          <w:rFonts w:ascii="Calibri" w:eastAsia="Calibri" w:hAnsi="Calibri" w:cs="Calibri"/>
          <w:lang w:val="en-GB"/>
        </w:rPr>
        <w:t>different districts and healthcare services providing</w:t>
      </w:r>
      <w:r w:rsidR="00EB5CD6" w:rsidRPr="009A1491">
        <w:rPr>
          <w:rFonts w:ascii="Calibri" w:eastAsia="Calibri" w:hAnsi="Calibri" w:cs="Calibri"/>
          <w:lang w:val="en-GB"/>
        </w:rPr>
        <w:t xml:space="preserve"> medical </w:t>
      </w:r>
      <w:r w:rsidR="009A1491" w:rsidRPr="009A1491">
        <w:rPr>
          <w:rFonts w:ascii="Calibri" w:eastAsia="Calibri" w:hAnsi="Calibri" w:cs="Calibri"/>
          <w:lang w:val="en-GB"/>
        </w:rPr>
        <w:t>rehabilitation, particularly OAT</w:t>
      </w:r>
      <w:r w:rsidR="00E168BB" w:rsidRPr="009A1491">
        <w:rPr>
          <w:rFonts w:ascii="Calibri" w:eastAsia="Calibri" w:hAnsi="Calibri" w:cs="Calibri"/>
          <w:lang w:val="en-GB"/>
        </w:rPr>
        <w:t xml:space="preserve">, </w:t>
      </w:r>
      <w:r w:rsidR="009A1491" w:rsidRPr="009A1491">
        <w:rPr>
          <w:rFonts w:ascii="Calibri" w:eastAsia="Calibri" w:hAnsi="Calibri" w:cs="Calibri"/>
          <w:lang w:val="en-GB"/>
        </w:rPr>
        <w:t>follow different and somewhat inconsistent</w:t>
      </w:r>
      <w:r w:rsidR="00E168BB" w:rsidRPr="009A1491">
        <w:rPr>
          <w:rFonts w:ascii="Calibri" w:eastAsia="Calibri" w:hAnsi="Calibri" w:cs="Calibri"/>
          <w:lang w:val="en-GB"/>
        </w:rPr>
        <w:t xml:space="preserve"> rules</w:t>
      </w:r>
      <w:r w:rsidR="00EB5CD6" w:rsidRPr="009A1491">
        <w:rPr>
          <w:rFonts w:ascii="Calibri" w:eastAsia="Calibri" w:hAnsi="Calibri" w:cs="Calibri"/>
          <w:lang w:val="en-GB"/>
        </w:rPr>
        <w:t xml:space="preserve">. </w:t>
      </w:r>
      <w:r w:rsidR="00E168BB" w:rsidRPr="009A1491">
        <w:rPr>
          <w:rFonts w:ascii="Calibri" w:eastAsia="Calibri" w:hAnsi="Calibri" w:cs="Calibri"/>
          <w:lang w:val="en-GB"/>
        </w:rPr>
        <w:t>These differences are</w:t>
      </w:r>
      <w:r w:rsidR="009A1491" w:rsidRPr="009A1491">
        <w:rPr>
          <w:rFonts w:ascii="Calibri" w:eastAsia="Calibri" w:hAnsi="Calibri" w:cs="Calibri"/>
          <w:lang w:val="en-GB"/>
        </w:rPr>
        <w:t xml:space="preserve"> most often due </w:t>
      </w:r>
      <w:r w:rsidR="00E168BB" w:rsidRPr="009A1491">
        <w:rPr>
          <w:rFonts w:ascii="Calibri" w:eastAsia="Calibri" w:hAnsi="Calibri" w:cs="Calibri"/>
          <w:lang w:val="en-GB"/>
        </w:rPr>
        <w:t>to the different regulation</w:t>
      </w:r>
      <w:r w:rsidR="009A1491" w:rsidRPr="009A1491">
        <w:rPr>
          <w:rFonts w:ascii="Calibri" w:eastAsia="Calibri" w:hAnsi="Calibri" w:cs="Calibri"/>
          <w:lang w:val="en-GB"/>
        </w:rPr>
        <w:t>s</w:t>
      </w:r>
      <w:r w:rsidR="00E168BB" w:rsidRPr="009A1491">
        <w:rPr>
          <w:rFonts w:ascii="Calibri" w:eastAsia="Calibri" w:hAnsi="Calibri" w:cs="Calibri"/>
          <w:lang w:val="en-GB"/>
        </w:rPr>
        <w:t xml:space="preserve"> </w:t>
      </w:r>
      <w:r w:rsidR="009A1491" w:rsidRPr="009A1491">
        <w:rPr>
          <w:rFonts w:ascii="Calibri" w:eastAsia="Calibri" w:hAnsi="Calibri" w:cs="Calibri"/>
          <w:lang w:val="en-GB"/>
        </w:rPr>
        <w:t>governing these services</w:t>
      </w:r>
      <w:r w:rsidR="00E168BB" w:rsidRPr="009A1491">
        <w:rPr>
          <w:rFonts w:ascii="Calibri" w:eastAsia="Calibri" w:hAnsi="Calibri" w:cs="Calibri"/>
          <w:lang w:val="en-GB"/>
        </w:rPr>
        <w:t xml:space="preserve"> in different provinces</w:t>
      </w:r>
      <w:r w:rsidR="00EC4AAD" w:rsidRPr="009A1491">
        <w:rPr>
          <w:rFonts w:ascii="Calibri" w:eastAsia="Calibri" w:hAnsi="Calibri" w:cs="Calibri"/>
          <w:lang w:val="en-GB"/>
        </w:rPr>
        <w:t>/regencies</w:t>
      </w:r>
      <w:r w:rsidR="009A1491" w:rsidRPr="009A1491">
        <w:rPr>
          <w:rFonts w:ascii="Calibri" w:eastAsia="Calibri" w:hAnsi="Calibri" w:cs="Calibri"/>
          <w:lang w:val="en-GB"/>
        </w:rPr>
        <w:t xml:space="preserve"> in the country</w:t>
      </w:r>
      <w:r w:rsidR="00E168BB" w:rsidRPr="009A1491">
        <w:rPr>
          <w:rFonts w:ascii="Calibri" w:eastAsia="Calibri" w:hAnsi="Calibri" w:cs="Calibri"/>
          <w:lang w:val="en-GB"/>
        </w:rPr>
        <w:t xml:space="preserve">. </w:t>
      </w:r>
      <w:r w:rsidR="00EB5CD6" w:rsidRPr="009A1491">
        <w:rPr>
          <w:rFonts w:ascii="Calibri" w:eastAsia="Calibri" w:hAnsi="Calibri" w:cs="Calibri"/>
          <w:lang w:val="en-GB"/>
        </w:rPr>
        <w:t xml:space="preserve">In Jakarta, for example, people </w:t>
      </w:r>
      <w:r w:rsidR="009A1491" w:rsidRPr="009A1491">
        <w:rPr>
          <w:rFonts w:ascii="Calibri" w:eastAsia="Calibri" w:hAnsi="Calibri" w:cs="Calibri"/>
          <w:lang w:val="en-GB"/>
        </w:rPr>
        <w:t>can</w:t>
      </w:r>
      <w:r w:rsidR="00EB5CD6" w:rsidRPr="009A1491">
        <w:rPr>
          <w:rFonts w:ascii="Calibri" w:eastAsia="Calibri" w:hAnsi="Calibri" w:cs="Calibri"/>
          <w:lang w:val="en-GB"/>
        </w:rPr>
        <w:t xml:space="preserve"> access methadone for free </w:t>
      </w:r>
      <w:r w:rsidR="009A1491" w:rsidRPr="009A1491">
        <w:rPr>
          <w:rFonts w:ascii="Calibri" w:eastAsia="Calibri" w:hAnsi="Calibri" w:cs="Calibri"/>
          <w:lang w:val="en-GB"/>
        </w:rPr>
        <w:t>from t</w:t>
      </w:r>
      <w:r w:rsidR="00EB5CD6" w:rsidRPr="009A1491">
        <w:rPr>
          <w:rFonts w:ascii="Calibri" w:eastAsia="Calibri" w:hAnsi="Calibri" w:cs="Calibri"/>
          <w:lang w:val="en-GB"/>
        </w:rPr>
        <w:t>he healthcare facility where their social security data are registered</w:t>
      </w:r>
      <w:r w:rsidR="00E757B6" w:rsidRPr="009A1491">
        <w:rPr>
          <w:rFonts w:ascii="Calibri" w:eastAsia="Calibri" w:hAnsi="Calibri" w:cs="Calibri"/>
          <w:lang w:val="en-GB"/>
        </w:rPr>
        <w:t xml:space="preserve">, regardless of their status as </w:t>
      </w:r>
      <w:r w:rsidR="009A1491" w:rsidRPr="009A1491">
        <w:rPr>
          <w:rFonts w:ascii="Calibri" w:eastAsia="Calibri" w:hAnsi="Calibri" w:cs="Calibri"/>
          <w:lang w:val="en-GB"/>
        </w:rPr>
        <w:t>‘</w:t>
      </w:r>
      <w:r w:rsidR="00E757B6" w:rsidRPr="009A1491">
        <w:rPr>
          <w:rFonts w:ascii="Calibri" w:eastAsia="Calibri" w:hAnsi="Calibri" w:cs="Calibri"/>
          <w:lang w:val="en-GB"/>
        </w:rPr>
        <w:t>Premium Assistance Beneficiaries</w:t>
      </w:r>
      <w:r w:rsidR="009A1491" w:rsidRPr="009A1491">
        <w:rPr>
          <w:rFonts w:ascii="Calibri" w:eastAsia="Calibri" w:hAnsi="Calibri" w:cs="Calibri"/>
          <w:lang w:val="en-GB"/>
        </w:rPr>
        <w:t>’;</w:t>
      </w:r>
      <w:r w:rsidR="00EB5CD6" w:rsidRPr="009A1491">
        <w:rPr>
          <w:rFonts w:ascii="Calibri" w:eastAsia="Calibri" w:hAnsi="Calibri" w:cs="Calibri"/>
          <w:lang w:val="en-GB"/>
        </w:rPr>
        <w:t xml:space="preserve"> </w:t>
      </w:r>
      <w:r w:rsidR="009A1491" w:rsidRPr="009A1491">
        <w:rPr>
          <w:rFonts w:ascii="Calibri" w:eastAsia="Calibri" w:hAnsi="Calibri" w:cs="Calibri"/>
          <w:lang w:val="en-GB"/>
        </w:rPr>
        <w:t>i</w:t>
      </w:r>
      <w:r w:rsidR="00EB5CD6" w:rsidRPr="009A1491">
        <w:rPr>
          <w:rFonts w:ascii="Calibri" w:eastAsia="Calibri" w:hAnsi="Calibri" w:cs="Calibri"/>
          <w:lang w:val="en-GB"/>
        </w:rPr>
        <w:t>f</w:t>
      </w:r>
      <w:r w:rsidR="009A1491" w:rsidRPr="009A1491">
        <w:rPr>
          <w:rFonts w:ascii="Calibri" w:eastAsia="Calibri" w:hAnsi="Calibri" w:cs="Calibri"/>
          <w:lang w:val="en-GB"/>
        </w:rPr>
        <w:t xml:space="preserve"> they do not meet this</w:t>
      </w:r>
      <w:r w:rsidR="00EB5CD6" w:rsidRPr="009A1491">
        <w:rPr>
          <w:rFonts w:ascii="Calibri" w:eastAsia="Calibri" w:hAnsi="Calibri" w:cs="Calibri"/>
          <w:lang w:val="en-GB"/>
        </w:rPr>
        <w:t xml:space="preserve"> administrative requirement</w:t>
      </w:r>
      <w:r w:rsidR="009A1491" w:rsidRPr="009A1491">
        <w:rPr>
          <w:rFonts w:ascii="Calibri" w:eastAsia="Calibri" w:hAnsi="Calibri" w:cs="Calibri"/>
          <w:lang w:val="en-GB"/>
        </w:rPr>
        <w:t>, they will have to</w:t>
      </w:r>
      <w:r w:rsidR="00EB5CD6" w:rsidRPr="009A1491">
        <w:rPr>
          <w:rFonts w:ascii="Calibri" w:eastAsia="Calibri" w:hAnsi="Calibri" w:cs="Calibri"/>
          <w:lang w:val="en-GB"/>
        </w:rPr>
        <w:t xml:space="preserve"> pay IDR 15,000 or USD 1 per bottle. While in Bogor City, West Java, methadone</w:t>
      </w:r>
      <w:r w:rsidR="009A1491" w:rsidRPr="009A1491">
        <w:rPr>
          <w:rFonts w:ascii="Calibri" w:eastAsia="Calibri" w:hAnsi="Calibri" w:cs="Calibri"/>
          <w:lang w:val="en-GB"/>
        </w:rPr>
        <w:t xml:space="preserve"> is provided </w:t>
      </w:r>
      <w:r w:rsidR="00EB5CD6" w:rsidRPr="009A1491">
        <w:rPr>
          <w:rFonts w:ascii="Calibri" w:eastAsia="Calibri" w:hAnsi="Calibri" w:cs="Calibri"/>
          <w:lang w:val="en-GB"/>
        </w:rPr>
        <w:t xml:space="preserve">free of charge </w:t>
      </w:r>
      <w:r w:rsidR="009A1491" w:rsidRPr="009A1491">
        <w:rPr>
          <w:rFonts w:ascii="Calibri" w:eastAsia="Calibri" w:hAnsi="Calibri" w:cs="Calibri"/>
          <w:lang w:val="en-GB"/>
        </w:rPr>
        <w:t>to everyone who is registered in</w:t>
      </w:r>
      <w:r w:rsidR="00E757B6" w:rsidRPr="009A1491">
        <w:rPr>
          <w:rFonts w:ascii="Calibri" w:eastAsia="Calibri" w:hAnsi="Calibri" w:cs="Calibri"/>
          <w:lang w:val="en-GB"/>
        </w:rPr>
        <w:t xml:space="preserve"> the National Health Insurance system.</w:t>
      </w:r>
      <w:r w:rsidR="00EB5CD6" w:rsidRPr="009A1491">
        <w:rPr>
          <w:rFonts w:ascii="Calibri" w:eastAsia="Calibri" w:hAnsi="Calibri" w:cs="Calibri"/>
          <w:lang w:val="en-GB"/>
        </w:rPr>
        <w:t xml:space="preserve"> However, </w:t>
      </w:r>
      <w:r w:rsidR="009A1491" w:rsidRPr="009A1491">
        <w:rPr>
          <w:rFonts w:ascii="Calibri" w:eastAsia="Calibri" w:hAnsi="Calibri" w:cs="Calibri"/>
          <w:lang w:val="en-GB"/>
        </w:rPr>
        <w:t>methadone cannot be brought home, so clients have to travel</w:t>
      </w:r>
      <w:r w:rsidR="00EB5CD6" w:rsidRPr="009A1491">
        <w:rPr>
          <w:rFonts w:ascii="Calibri" w:eastAsia="Calibri" w:hAnsi="Calibri" w:cs="Calibri"/>
          <w:lang w:val="en-GB"/>
        </w:rPr>
        <w:t xml:space="preserve"> the community health center every day. Many of them choose to pay per bottle.</w:t>
      </w:r>
    </w:p>
    <w:p w14:paraId="52660EEF" w14:textId="77777777" w:rsidR="00870517" w:rsidRPr="009A1491" w:rsidRDefault="00870517" w:rsidP="009A1491">
      <w:pPr>
        <w:spacing w:before="240" w:after="240"/>
        <w:jc w:val="both"/>
        <w:rPr>
          <w:rFonts w:ascii="Calibri" w:eastAsia="Calibri" w:hAnsi="Calibri" w:cs="Calibri"/>
          <w:lang w:val="en-GB"/>
        </w:rPr>
      </w:pPr>
    </w:p>
    <w:p w14:paraId="5DB12089" w14:textId="77777777" w:rsidR="00164B41" w:rsidRPr="00164B41" w:rsidRDefault="00CF677B" w:rsidP="00987530">
      <w:pPr>
        <w:numPr>
          <w:ilvl w:val="0"/>
          <w:numId w:val="2"/>
        </w:numPr>
        <w:spacing w:before="240" w:after="240" w:line="327" w:lineRule="auto"/>
        <w:jc w:val="both"/>
        <w:rPr>
          <w:rFonts w:ascii="Calibri" w:eastAsia="Calibri" w:hAnsi="Calibri" w:cs="Calibri"/>
          <w:lang w:val="en-GB"/>
        </w:rPr>
      </w:pPr>
      <w:r w:rsidRPr="00164B41">
        <w:rPr>
          <w:rFonts w:asciiTheme="majorHAnsi" w:hAnsiTheme="majorHAnsi" w:cstheme="majorHAnsi"/>
          <w:b/>
          <w:lang w:val="en-GB"/>
        </w:rPr>
        <w:t>Punitive drug policies and their impacts on the realisation of the right to health in the communit</w:t>
      </w:r>
      <w:r w:rsidR="00164B41">
        <w:rPr>
          <w:rFonts w:asciiTheme="majorHAnsi" w:hAnsiTheme="majorHAnsi" w:cstheme="majorHAnsi"/>
          <w:b/>
          <w:lang w:val="en-GB"/>
        </w:rPr>
        <w:t xml:space="preserve">y and in detention </w:t>
      </w:r>
    </w:p>
    <w:p w14:paraId="00000022" w14:textId="3C427C8E" w:rsidR="00F93E19" w:rsidRPr="00164B41" w:rsidRDefault="007054C2" w:rsidP="00764D72">
      <w:pPr>
        <w:spacing w:before="240" w:after="240" w:line="327" w:lineRule="auto"/>
        <w:jc w:val="both"/>
        <w:rPr>
          <w:rFonts w:ascii="Calibri" w:eastAsia="Calibri" w:hAnsi="Calibri" w:cs="Calibri"/>
          <w:lang w:val="en-GB"/>
        </w:rPr>
      </w:pPr>
      <w:r w:rsidRPr="00164B41">
        <w:rPr>
          <w:rFonts w:ascii="Calibri" w:eastAsia="Calibri" w:hAnsi="Calibri" w:cs="Calibri"/>
          <w:lang w:val="en-GB"/>
        </w:rPr>
        <w:t>Any deprivation of liberty must be lawful, proportionate, imposed as a measure of last resort, and reasonable. The prohibition of arbitrariness means that the underlying rationale for detention cannot be discrimination,</w:t>
      </w:r>
      <w:r w:rsidRPr="007E5BB1">
        <w:rPr>
          <w:rFonts w:ascii="Calibri" w:eastAsia="Calibri" w:hAnsi="Calibri" w:cs="Calibri"/>
          <w:vertAlign w:val="superscript"/>
          <w:lang w:val="en-GB"/>
        </w:rPr>
        <w:footnoteReference w:id="15"/>
      </w:r>
      <w:r w:rsidRPr="00164B41">
        <w:rPr>
          <w:rFonts w:ascii="Calibri" w:eastAsia="Calibri" w:hAnsi="Calibri" w:cs="Calibri"/>
          <w:lang w:val="en-GB"/>
        </w:rPr>
        <w:t xml:space="preserve"> and various UN human rights mechanisms have concluded that drug consumption or </w:t>
      </w:r>
      <w:r w:rsidRPr="00164B41">
        <w:rPr>
          <w:rFonts w:ascii="Calibri" w:eastAsia="Calibri" w:hAnsi="Calibri" w:cs="Calibri"/>
          <w:lang w:val="en-GB"/>
        </w:rPr>
        <w:lastRenderedPageBreak/>
        <w:t>dependence are not sufficient justification for detention.</w:t>
      </w:r>
      <w:r w:rsidRPr="007E5BB1">
        <w:rPr>
          <w:rFonts w:ascii="Calibri" w:eastAsia="Calibri" w:hAnsi="Calibri" w:cs="Calibri"/>
          <w:vertAlign w:val="superscript"/>
          <w:lang w:val="en-GB"/>
        </w:rPr>
        <w:footnoteReference w:id="16"/>
      </w:r>
      <w:r w:rsidR="00CF677B" w:rsidRPr="00164B41">
        <w:rPr>
          <w:rFonts w:ascii="Calibri" w:eastAsia="Calibri" w:hAnsi="Calibri" w:cs="Calibri"/>
          <w:lang w:val="en-GB"/>
        </w:rPr>
        <w:t xml:space="preserve"> T</w:t>
      </w:r>
      <w:r w:rsidRPr="00164B41">
        <w:rPr>
          <w:rFonts w:ascii="Calibri" w:eastAsia="Calibri" w:hAnsi="Calibri" w:cs="Calibri"/>
          <w:lang w:val="en-GB"/>
        </w:rPr>
        <w:t>he application of punitive laws (criminal or administrative) for drug possession for personal use and drug distribution in small quantities among fellow drug users, is disproportionate and discriminatory. Indeed, using punitive laws with respect to drugs unnecessarily infringes upon multiple human rights, including social and economic rights, in a way that undermines objectives of public health and public safe</w:t>
      </w:r>
      <w:r w:rsidR="00CF677B" w:rsidRPr="00164B41">
        <w:rPr>
          <w:rFonts w:ascii="Calibri" w:eastAsia="Calibri" w:hAnsi="Calibri" w:cs="Calibri"/>
          <w:lang w:val="en-GB"/>
        </w:rPr>
        <w:t xml:space="preserve">ty. In addition, punitive laws </w:t>
      </w:r>
      <w:r w:rsidRPr="00164B41">
        <w:rPr>
          <w:rFonts w:ascii="Calibri" w:eastAsia="Calibri" w:hAnsi="Calibri" w:cs="Calibri"/>
          <w:lang w:val="en-GB"/>
        </w:rPr>
        <w:t>p</w:t>
      </w:r>
      <w:r w:rsidR="00CF677B" w:rsidRPr="00164B41">
        <w:rPr>
          <w:rFonts w:ascii="Calibri" w:eastAsia="Calibri" w:hAnsi="Calibri" w:cs="Calibri"/>
          <w:lang w:val="en-GB"/>
        </w:rPr>
        <w:t>lay a key role in the marginalis</w:t>
      </w:r>
      <w:r w:rsidRPr="00164B41">
        <w:rPr>
          <w:rFonts w:ascii="Calibri" w:eastAsia="Calibri" w:hAnsi="Calibri" w:cs="Calibri"/>
          <w:lang w:val="en-GB"/>
        </w:rPr>
        <w:t>ation and discrimination of people who use drugs — a group that historically suffers from social and often state-sanctioned stigma. In line with this, several human rights mechanisms – including this Committee - have recommended review of drug legislation and decriminalisation of drug use and other minor offences, also with an eye to improving health outcomes.</w:t>
      </w:r>
      <w:r w:rsidRPr="007E5BB1">
        <w:rPr>
          <w:rFonts w:ascii="Calibri" w:eastAsia="Calibri" w:hAnsi="Calibri" w:cs="Calibri"/>
          <w:vertAlign w:val="superscript"/>
          <w:lang w:val="en-GB"/>
        </w:rPr>
        <w:footnoteReference w:id="17"/>
      </w:r>
    </w:p>
    <w:p w14:paraId="00000023" w14:textId="77777777" w:rsidR="00F93E19" w:rsidRPr="007E5BB1" w:rsidRDefault="007054C2">
      <w:pPr>
        <w:spacing w:before="240" w:after="240" w:line="327" w:lineRule="auto"/>
        <w:jc w:val="both"/>
        <w:rPr>
          <w:rFonts w:ascii="Calibri" w:eastAsia="Calibri" w:hAnsi="Calibri" w:cs="Calibri"/>
          <w:lang w:val="en-GB"/>
        </w:rPr>
      </w:pPr>
      <w:r w:rsidRPr="007E5BB1">
        <w:rPr>
          <w:rFonts w:ascii="Calibri" w:eastAsia="Calibri" w:hAnsi="Calibri" w:cs="Calibri"/>
          <w:lang w:val="en-GB"/>
        </w:rPr>
        <w:t>Indonesia’s drug policy is predominantly punitive.</w:t>
      </w:r>
      <w:r w:rsidRPr="007E5BB1">
        <w:rPr>
          <w:rFonts w:ascii="Calibri" w:eastAsia="Calibri" w:hAnsi="Calibri" w:cs="Calibri"/>
          <w:vertAlign w:val="superscript"/>
          <w:lang w:val="en-GB"/>
        </w:rPr>
        <w:footnoteReference w:id="18"/>
      </w:r>
      <w:r w:rsidRPr="007E5BB1">
        <w:rPr>
          <w:rFonts w:ascii="Calibri" w:eastAsia="Calibri" w:hAnsi="Calibri" w:cs="Calibri"/>
          <w:lang w:val="en-GB"/>
        </w:rPr>
        <w:t xml:space="preserve"> Narcotics Law 35/2009 envisages harsh – and disproportionate - penalties for drug use, possession for personal use, and trafficking. As an example, possession of heroin and methamphetamine (among others) is punished with minimum four to maximum twelve years’ imprisonment and a fine;</w:t>
      </w:r>
      <w:r w:rsidRPr="007E5BB1">
        <w:rPr>
          <w:rFonts w:ascii="Calibri" w:eastAsia="Calibri" w:hAnsi="Calibri" w:cs="Calibri"/>
          <w:vertAlign w:val="superscript"/>
          <w:lang w:val="en-GB"/>
        </w:rPr>
        <w:footnoteReference w:id="19"/>
      </w:r>
      <w:r w:rsidRPr="007E5BB1">
        <w:rPr>
          <w:rFonts w:ascii="Calibri" w:eastAsia="Calibri" w:hAnsi="Calibri" w:cs="Calibri"/>
          <w:lang w:val="en-GB"/>
        </w:rPr>
        <w:t xml:space="preserve"> while manufacturing and trafficking of minimum five grams of the same substances can be punished with imprisonment from five to twenty years, life imprisonment, or death.</w:t>
      </w:r>
      <w:r w:rsidRPr="007E5BB1">
        <w:rPr>
          <w:rFonts w:ascii="Calibri" w:eastAsia="Calibri" w:hAnsi="Calibri" w:cs="Calibri"/>
          <w:vertAlign w:val="superscript"/>
          <w:lang w:val="en-GB"/>
        </w:rPr>
        <w:footnoteReference w:id="20"/>
      </w:r>
      <w:r w:rsidRPr="007E5BB1">
        <w:rPr>
          <w:rFonts w:ascii="Calibri" w:eastAsia="Calibri" w:hAnsi="Calibri" w:cs="Calibri"/>
          <w:lang w:val="en-GB"/>
        </w:rPr>
        <w:t xml:space="preserve"> Drug use is punished with one, two, or four years’ imprisonment based on the substances (with mandatory treatment prescribed as a possible alternative).</w:t>
      </w:r>
      <w:r w:rsidRPr="007E5BB1">
        <w:rPr>
          <w:rFonts w:ascii="Calibri" w:eastAsia="Calibri" w:hAnsi="Calibri" w:cs="Calibri"/>
          <w:vertAlign w:val="superscript"/>
          <w:lang w:val="en-GB"/>
        </w:rPr>
        <w:footnoteReference w:id="21"/>
      </w:r>
    </w:p>
    <w:p w14:paraId="00000027" w14:textId="236B5FE9" w:rsidR="00F93E19" w:rsidRPr="007E5BB1" w:rsidRDefault="007054C2">
      <w:pPr>
        <w:spacing w:before="240" w:after="240" w:line="327" w:lineRule="auto"/>
        <w:jc w:val="both"/>
        <w:rPr>
          <w:rFonts w:ascii="Calibri" w:eastAsia="Calibri" w:hAnsi="Calibri" w:cs="Calibri"/>
          <w:lang w:val="en-GB"/>
        </w:rPr>
      </w:pPr>
      <w:r w:rsidRPr="007E5BB1">
        <w:rPr>
          <w:rFonts w:ascii="Calibri" w:eastAsia="Calibri" w:hAnsi="Calibri" w:cs="Calibri"/>
          <w:lang w:val="en-GB"/>
        </w:rPr>
        <w:t>The government of Indonesia provides data on the number of individuals held in pre-trial detention, however the figures are not disaggregated by crime. For this reason, figures on pre-trial detention for drug offences specifically are not available.</w:t>
      </w:r>
      <w:r w:rsidR="00CF677B" w:rsidRPr="007E5BB1">
        <w:rPr>
          <w:rFonts w:ascii="Calibri" w:eastAsia="Calibri" w:hAnsi="Calibri" w:cs="Calibri"/>
          <w:lang w:val="en-GB"/>
        </w:rPr>
        <w:t xml:space="preserve"> </w:t>
      </w:r>
      <w:r w:rsidRPr="007E5BB1">
        <w:rPr>
          <w:rFonts w:ascii="Calibri" w:eastAsia="Calibri" w:hAnsi="Calibri" w:cs="Calibri"/>
          <w:lang w:val="en-GB"/>
        </w:rPr>
        <w:t xml:space="preserve">As </w:t>
      </w:r>
      <w:r w:rsidR="00BD0C90" w:rsidRPr="007E5BB1">
        <w:rPr>
          <w:rFonts w:ascii="Calibri" w:eastAsia="Calibri" w:hAnsi="Calibri" w:cs="Calibri"/>
          <w:lang w:val="en-GB"/>
        </w:rPr>
        <w:t xml:space="preserve">of </w:t>
      </w:r>
      <w:r w:rsidR="009A1491">
        <w:rPr>
          <w:rFonts w:ascii="Calibri" w:eastAsia="Calibri" w:hAnsi="Calibri" w:cs="Calibri"/>
          <w:lang w:val="en-GB"/>
        </w:rPr>
        <w:t>January 2022</w:t>
      </w:r>
      <w:r w:rsidRPr="007E5BB1">
        <w:rPr>
          <w:rFonts w:ascii="Calibri" w:eastAsia="Calibri" w:hAnsi="Calibri" w:cs="Calibri"/>
          <w:lang w:val="en-GB"/>
        </w:rPr>
        <w:t xml:space="preserve">, </w:t>
      </w:r>
      <w:r w:rsidR="00456BCA">
        <w:rPr>
          <w:rFonts w:ascii="Calibri" w:eastAsia="Calibri" w:hAnsi="Calibri" w:cs="Calibri"/>
          <w:lang w:val="en-GB"/>
        </w:rPr>
        <w:t>around 142,000</w:t>
      </w:r>
      <w:r w:rsidRPr="007E5BB1">
        <w:rPr>
          <w:rFonts w:ascii="Calibri" w:eastAsia="Calibri" w:hAnsi="Calibri" w:cs="Calibri"/>
          <w:lang w:val="en-GB"/>
        </w:rPr>
        <w:t xml:space="preserve"> people were incarcerated for drug </w:t>
      </w:r>
      <w:r w:rsidR="00456BCA">
        <w:rPr>
          <w:rFonts w:ascii="Calibri" w:eastAsia="Calibri" w:hAnsi="Calibri" w:cs="Calibri"/>
          <w:lang w:val="en-GB"/>
        </w:rPr>
        <w:t xml:space="preserve">offences, making up 52% </w:t>
      </w:r>
      <w:r w:rsidRPr="007E5BB1">
        <w:rPr>
          <w:rFonts w:ascii="Calibri" w:eastAsia="Calibri" w:hAnsi="Calibri" w:cs="Calibri"/>
          <w:lang w:val="en-GB"/>
        </w:rPr>
        <w:t xml:space="preserve">of the total prison population in the country, and punitive drug policies are a - if not </w:t>
      </w:r>
      <w:r w:rsidRPr="007E5BB1">
        <w:rPr>
          <w:rFonts w:ascii="Calibri" w:eastAsia="Calibri" w:hAnsi="Calibri" w:cs="Calibri"/>
          <w:i/>
          <w:lang w:val="en-GB"/>
        </w:rPr>
        <w:t xml:space="preserve">the </w:t>
      </w:r>
      <w:r w:rsidRPr="007E5BB1">
        <w:rPr>
          <w:rFonts w:ascii="Calibri" w:eastAsia="Calibri" w:hAnsi="Calibri" w:cs="Calibri"/>
          <w:lang w:val="en-GB"/>
        </w:rPr>
        <w:t xml:space="preserve">- key driver of over-incarceration in the country (as of </w:t>
      </w:r>
      <w:r w:rsidR="00456BCA">
        <w:rPr>
          <w:rFonts w:ascii="Calibri" w:eastAsia="Calibri" w:hAnsi="Calibri" w:cs="Calibri"/>
          <w:lang w:val="en-GB"/>
        </w:rPr>
        <w:t>January 2022</w:t>
      </w:r>
      <w:r w:rsidR="00BD0C90" w:rsidRPr="007E5BB1">
        <w:rPr>
          <w:rFonts w:ascii="Calibri" w:eastAsia="Calibri" w:hAnsi="Calibri" w:cs="Calibri"/>
          <w:lang w:val="en-GB"/>
        </w:rPr>
        <w:t xml:space="preserve">, Indonesian prisons recorded </w:t>
      </w:r>
      <w:r w:rsidRPr="007E5BB1">
        <w:rPr>
          <w:rFonts w:ascii="Calibri" w:eastAsia="Calibri" w:hAnsi="Calibri" w:cs="Calibri"/>
          <w:lang w:val="en-GB"/>
        </w:rPr>
        <w:t xml:space="preserve">an occupancy level of </w:t>
      </w:r>
      <w:r w:rsidR="00456BCA">
        <w:rPr>
          <w:rFonts w:ascii="Calibri" w:eastAsia="Calibri" w:hAnsi="Calibri" w:cs="Calibri"/>
          <w:lang w:val="en-GB"/>
        </w:rPr>
        <w:t>218%</w:t>
      </w:r>
      <w:r w:rsidRPr="007E5BB1">
        <w:rPr>
          <w:rFonts w:ascii="Calibri" w:eastAsia="Calibri" w:hAnsi="Calibri" w:cs="Calibri"/>
          <w:lang w:val="en-GB"/>
        </w:rPr>
        <w:t>).</w:t>
      </w:r>
      <w:r w:rsidR="00BD0C90" w:rsidRPr="007E5BB1">
        <w:rPr>
          <w:rStyle w:val="FootnoteReference"/>
          <w:rFonts w:ascii="Calibri" w:eastAsia="Calibri" w:hAnsi="Calibri" w:cs="Calibri"/>
          <w:lang w:val="en-GB"/>
        </w:rPr>
        <w:footnoteReference w:id="22"/>
      </w:r>
      <w:r w:rsidRPr="007E5BB1">
        <w:rPr>
          <w:rFonts w:ascii="Calibri" w:eastAsia="Calibri" w:hAnsi="Calibri" w:cs="Calibri"/>
          <w:lang w:val="en-GB"/>
        </w:rPr>
        <w:t xml:space="preserve"> </w:t>
      </w:r>
      <w:r w:rsidRPr="008D4BD5">
        <w:rPr>
          <w:rFonts w:ascii="Calibri" w:eastAsia="Calibri" w:hAnsi="Calibri" w:cs="Calibri"/>
          <w:lang w:val="en-GB"/>
        </w:rPr>
        <w:t xml:space="preserve">Women are even more disproportionately impacted: as of 11 February 2020, over 53% of incarcerated women were convicted or detained </w:t>
      </w:r>
      <w:r w:rsidR="00BD0C90" w:rsidRPr="008D4BD5">
        <w:rPr>
          <w:rFonts w:ascii="Calibri" w:eastAsia="Calibri" w:hAnsi="Calibri" w:cs="Calibri"/>
          <w:lang w:val="en-GB"/>
        </w:rPr>
        <w:t>for a drug offence.</w:t>
      </w:r>
      <w:r w:rsidR="00BD0C90" w:rsidRPr="008D4BD5">
        <w:rPr>
          <w:rStyle w:val="FootnoteReference"/>
          <w:rFonts w:ascii="Calibri" w:eastAsia="Calibri" w:hAnsi="Calibri" w:cs="Calibri"/>
          <w:lang w:val="en-GB"/>
        </w:rPr>
        <w:footnoteReference w:id="23"/>
      </w:r>
    </w:p>
    <w:p w14:paraId="13154771" w14:textId="7CF931D0" w:rsidR="00542CBD" w:rsidRPr="007E5BB1" w:rsidRDefault="00542CBD" w:rsidP="00542CBD">
      <w:pPr>
        <w:spacing w:before="240" w:after="240"/>
        <w:rPr>
          <w:rFonts w:asciiTheme="minorHAnsi" w:hAnsiTheme="minorHAnsi"/>
          <w:u w:val="single"/>
          <w:lang w:val="en-GB"/>
        </w:rPr>
      </w:pPr>
      <w:r w:rsidRPr="007E5BB1">
        <w:rPr>
          <w:rFonts w:asciiTheme="minorHAnsi" w:eastAsia="Calibri" w:hAnsiTheme="minorHAnsi" w:cs="Calibri"/>
          <w:i/>
          <w:u w:val="single"/>
          <w:lang w:val="en-GB"/>
        </w:rPr>
        <w:lastRenderedPageBreak/>
        <w:t>2.1</w:t>
      </w:r>
      <w:r w:rsidRPr="007E5BB1">
        <w:rPr>
          <w:rFonts w:asciiTheme="minorHAnsi" w:eastAsia="Calibri" w:hAnsiTheme="minorHAnsi" w:cs="Calibri"/>
          <w:i/>
          <w:u w:val="single"/>
          <w:lang w:val="en-GB"/>
        </w:rPr>
        <w:tab/>
        <w:t xml:space="preserve">Recent policy developments: </w:t>
      </w:r>
      <w:r w:rsidRPr="007E5BB1">
        <w:rPr>
          <w:rFonts w:asciiTheme="minorHAnsi" w:hAnsiTheme="minorHAnsi"/>
          <w:i/>
          <w:u w:val="single"/>
          <w:lang w:val="en-GB"/>
        </w:rPr>
        <w:t xml:space="preserve">Attorney General decree on Prosecuting Guidelines on Drug cases </w:t>
      </w:r>
    </w:p>
    <w:p w14:paraId="75660EBF" w14:textId="09A68A91" w:rsidR="00542CBD" w:rsidRPr="007E5BB1" w:rsidRDefault="00FA2779" w:rsidP="00542CBD">
      <w:pPr>
        <w:spacing w:before="240" w:after="240" w:line="327" w:lineRule="auto"/>
        <w:jc w:val="both"/>
        <w:rPr>
          <w:rFonts w:ascii="Calibri" w:eastAsia="Calibri" w:hAnsi="Calibri" w:cs="Calibri"/>
          <w:i/>
          <w:sz w:val="24"/>
          <w:lang w:val="en-GB"/>
        </w:rPr>
      </w:pPr>
      <w:r>
        <w:rPr>
          <w:rFonts w:ascii="Calibri" w:hAnsi="Calibri" w:cs="Calibri"/>
          <w:szCs w:val="20"/>
          <w:lang w:val="en-GB"/>
        </w:rPr>
        <w:t>In November 2021</w:t>
      </w:r>
      <w:r w:rsidR="00542CBD" w:rsidRPr="007E5BB1">
        <w:rPr>
          <w:rFonts w:ascii="Calibri" w:hAnsi="Calibri" w:cs="Calibri"/>
          <w:szCs w:val="20"/>
          <w:lang w:val="en-GB"/>
        </w:rPr>
        <w:t>, the Attorney General's Office of the Republic of Indonesia is</w:t>
      </w:r>
      <w:r w:rsidR="00870517">
        <w:rPr>
          <w:rFonts w:ascii="Calibri" w:hAnsi="Calibri" w:cs="Calibri"/>
          <w:szCs w:val="20"/>
          <w:lang w:val="en-GB"/>
        </w:rPr>
        <w:t>sued Guidelines Number 18/2021,</w:t>
      </w:r>
      <w:r w:rsidR="00870517" w:rsidRPr="007E5BB1">
        <w:rPr>
          <w:rFonts w:ascii="Calibri" w:hAnsi="Calibri" w:cs="Calibri"/>
          <w:szCs w:val="20"/>
          <w:vertAlign w:val="superscript"/>
          <w:lang w:val="en-GB"/>
        </w:rPr>
        <w:footnoteReference w:id="24"/>
      </w:r>
      <w:r w:rsidR="00870517" w:rsidRPr="007E5BB1">
        <w:rPr>
          <w:rFonts w:ascii="Calibri" w:hAnsi="Calibri" w:cs="Calibri"/>
          <w:szCs w:val="20"/>
          <w:lang w:val="en-GB"/>
        </w:rPr>
        <w:t xml:space="preserve"> </w:t>
      </w:r>
      <w:r w:rsidR="00542CBD" w:rsidRPr="007E5BB1">
        <w:rPr>
          <w:rFonts w:ascii="Calibri" w:hAnsi="Calibri" w:cs="Calibri"/>
          <w:szCs w:val="20"/>
          <w:lang w:val="en-GB"/>
        </w:rPr>
        <w:t>which provides guidance on handling criminal drug cases and purportedly recommends a rehabilitation and restorative justice approach. Nevertheless, local civil society warns of the problematic implementation o</w:t>
      </w:r>
      <w:r w:rsidR="005A01A6" w:rsidRPr="007E5BB1">
        <w:rPr>
          <w:rFonts w:ascii="Calibri" w:hAnsi="Calibri" w:cs="Calibri"/>
          <w:szCs w:val="20"/>
          <w:lang w:val="en-GB"/>
        </w:rPr>
        <w:t>f</w:t>
      </w:r>
      <w:r w:rsidR="00542CBD" w:rsidRPr="007E5BB1">
        <w:rPr>
          <w:rFonts w:ascii="Calibri" w:hAnsi="Calibri" w:cs="Calibri"/>
          <w:szCs w:val="20"/>
          <w:lang w:val="en-GB"/>
        </w:rPr>
        <w:t xml:space="preserve"> such Guidelines, in a context where people who engage with the drug market continue facing a high level of stigmatisation and discrimination. Notably, this </w:t>
      </w:r>
      <w:r w:rsidR="00870517">
        <w:rPr>
          <w:rFonts w:ascii="Calibri" w:hAnsi="Calibri" w:cs="Calibri"/>
          <w:szCs w:val="20"/>
          <w:lang w:val="en-GB"/>
        </w:rPr>
        <w:t>G</w:t>
      </w:r>
      <w:r w:rsidR="00542CBD" w:rsidRPr="007E5BB1">
        <w:rPr>
          <w:rFonts w:ascii="Calibri" w:hAnsi="Calibri" w:cs="Calibri"/>
          <w:szCs w:val="20"/>
          <w:lang w:val="en-GB"/>
        </w:rPr>
        <w:t>uideline</w:t>
      </w:r>
      <w:r w:rsidR="00870517">
        <w:rPr>
          <w:rFonts w:ascii="Calibri" w:hAnsi="Calibri" w:cs="Calibri"/>
          <w:szCs w:val="20"/>
          <w:lang w:val="en-GB"/>
        </w:rPr>
        <w:t>s</w:t>
      </w:r>
      <w:r w:rsidR="00542CBD" w:rsidRPr="007E5BB1">
        <w:rPr>
          <w:rFonts w:ascii="Calibri" w:hAnsi="Calibri" w:cs="Calibri"/>
          <w:szCs w:val="20"/>
          <w:lang w:val="en-GB"/>
        </w:rPr>
        <w:t xml:space="preserve"> ins</w:t>
      </w:r>
      <w:r w:rsidR="00870517">
        <w:rPr>
          <w:rFonts w:ascii="Calibri" w:hAnsi="Calibri" w:cs="Calibri"/>
          <w:szCs w:val="20"/>
          <w:lang w:val="en-GB"/>
        </w:rPr>
        <w:t>truct</w:t>
      </w:r>
      <w:r w:rsidR="00542CBD" w:rsidRPr="007E5BB1">
        <w:rPr>
          <w:rFonts w:ascii="Calibri" w:hAnsi="Calibri" w:cs="Calibri"/>
          <w:szCs w:val="20"/>
          <w:lang w:val="en-GB"/>
        </w:rPr>
        <w:t xml:space="preserve"> prosecutors to use a "Know Your Suspect" approach, based on an assessment of the person’s financial records and ‘way of life’. Because of the severe level of stigma in Indonesia, such an assessment of a person's ‘way of life’ risks being based on bias and prejudices, rather an on objective and clear benchmarks. </w:t>
      </w:r>
      <w:r w:rsidR="005A01A6" w:rsidRPr="007E5BB1">
        <w:rPr>
          <w:rFonts w:ascii="Calibri" w:hAnsi="Calibri" w:cs="Calibri"/>
          <w:szCs w:val="20"/>
          <w:lang w:val="en-GB"/>
        </w:rPr>
        <w:t>In addition, the Guidelines encourage prosecutors – present certain conditions – to ‘divert’ people towards drug treatment, which although construed as voluntary in fact constitutes an arbitrary deprivation of liberty, against international standards.</w:t>
      </w:r>
      <w:r w:rsidR="005A01A6" w:rsidRPr="007E5BB1">
        <w:rPr>
          <w:rStyle w:val="FootnoteReference"/>
          <w:rFonts w:ascii="Calibri" w:hAnsi="Calibri" w:cs="Calibri"/>
          <w:szCs w:val="20"/>
          <w:lang w:val="en-GB"/>
        </w:rPr>
        <w:footnoteReference w:id="25"/>
      </w:r>
    </w:p>
    <w:p w14:paraId="00000028" w14:textId="6069D15D" w:rsidR="00F93E19" w:rsidRPr="007E5BB1" w:rsidRDefault="005A01A6">
      <w:pPr>
        <w:spacing w:before="240" w:after="240" w:line="327" w:lineRule="auto"/>
        <w:jc w:val="both"/>
        <w:rPr>
          <w:rFonts w:asciiTheme="minorHAnsi" w:eastAsia="Calibri" w:hAnsiTheme="minorHAnsi" w:cs="Calibri"/>
          <w:i/>
          <w:u w:val="single"/>
          <w:lang w:val="en-GB"/>
        </w:rPr>
      </w:pPr>
      <w:r w:rsidRPr="007E5BB1">
        <w:rPr>
          <w:rFonts w:asciiTheme="minorHAnsi" w:eastAsia="Calibri" w:hAnsiTheme="minorHAnsi" w:cs="Calibri"/>
          <w:i/>
          <w:u w:val="single"/>
          <w:lang w:val="en-GB"/>
        </w:rPr>
        <w:t>2.2.</w:t>
      </w:r>
      <w:r w:rsidR="00BD0C90" w:rsidRPr="007E5BB1">
        <w:rPr>
          <w:rFonts w:asciiTheme="minorHAnsi" w:eastAsia="Calibri" w:hAnsiTheme="minorHAnsi" w:cs="Calibri"/>
          <w:i/>
          <w:u w:val="single"/>
          <w:lang w:val="en-GB"/>
        </w:rPr>
        <w:tab/>
      </w:r>
      <w:r w:rsidR="007054C2" w:rsidRPr="007E5BB1">
        <w:rPr>
          <w:rFonts w:asciiTheme="minorHAnsi" w:eastAsia="Calibri" w:hAnsiTheme="minorHAnsi" w:cs="Calibri"/>
          <w:i/>
          <w:u w:val="single"/>
          <w:lang w:val="en-GB"/>
        </w:rPr>
        <w:t>Conditions of detention</w:t>
      </w:r>
    </w:p>
    <w:p w14:paraId="3B74ACC2" w14:textId="5F4AC58B" w:rsidR="00542CBD" w:rsidRDefault="007054C2" w:rsidP="00EB5CD6">
      <w:pPr>
        <w:spacing w:before="240" w:after="240" w:line="327" w:lineRule="auto"/>
        <w:jc w:val="both"/>
        <w:rPr>
          <w:rFonts w:ascii="Calibri" w:eastAsia="Calibri" w:hAnsi="Calibri" w:cs="Calibri"/>
          <w:lang w:val="en-GB"/>
        </w:rPr>
      </w:pPr>
      <w:r w:rsidRPr="007E5BB1">
        <w:rPr>
          <w:rFonts w:ascii="Calibri" w:eastAsia="Calibri" w:hAnsi="Calibri" w:cs="Calibri"/>
          <w:lang w:val="en-GB"/>
        </w:rPr>
        <w:t>Prisons are structurall</w:t>
      </w:r>
      <w:r w:rsidR="00BD0C90" w:rsidRPr="007E5BB1">
        <w:rPr>
          <w:rFonts w:ascii="Calibri" w:eastAsia="Calibri" w:hAnsi="Calibri" w:cs="Calibri"/>
          <w:lang w:val="en-GB"/>
        </w:rPr>
        <w:t>y overcrowded – some over 800%,</w:t>
      </w:r>
      <w:r w:rsidRPr="007E5BB1">
        <w:rPr>
          <w:rFonts w:ascii="Calibri" w:eastAsia="Calibri" w:hAnsi="Calibri" w:cs="Calibri"/>
          <w:vertAlign w:val="superscript"/>
          <w:lang w:val="en-GB"/>
        </w:rPr>
        <w:footnoteReference w:id="26"/>
      </w:r>
      <w:r w:rsidRPr="007E5BB1">
        <w:rPr>
          <w:rFonts w:ascii="Calibri" w:eastAsia="Calibri" w:hAnsi="Calibri" w:cs="Calibri"/>
          <w:lang w:val="en-GB"/>
        </w:rPr>
        <w:t xml:space="preserve"> under-resourced, and understaffed. This situation exposes prisoners to inhumane conditions of detention, lack of adequate healthcare, psychological abuse, and violence.</w:t>
      </w:r>
      <w:r w:rsidR="00BD0C90" w:rsidRPr="007E5BB1">
        <w:rPr>
          <w:rFonts w:ascii="Calibri" w:eastAsia="Calibri" w:hAnsi="Calibri" w:cs="Calibri"/>
          <w:lang w:val="en-GB"/>
        </w:rPr>
        <w:t xml:space="preserve"> A report published in 2018 by the Institute for Criminal Justice Reform (ICJR) details the many health issues caused or exacerbated by overcrowding in Indonesian prisons, including lack of adequate water and sanitation, access to fresh air</w:t>
      </w:r>
      <w:r w:rsidR="00542CBD" w:rsidRPr="007E5BB1">
        <w:rPr>
          <w:rFonts w:ascii="Calibri" w:eastAsia="Calibri" w:hAnsi="Calibri" w:cs="Calibri"/>
          <w:lang w:val="en-GB"/>
        </w:rPr>
        <w:t xml:space="preserve"> and adequate food</w:t>
      </w:r>
      <w:r w:rsidR="00BD0C90" w:rsidRPr="007E5BB1">
        <w:rPr>
          <w:rFonts w:ascii="Calibri" w:eastAsia="Calibri" w:hAnsi="Calibri" w:cs="Calibri"/>
          <w:lang w:val="en-GB"/>
        </w:rPr>
        <w:t xml:space="preserve">, </w:t>
      </w:r>
      <w:r w:rsidR="00542CBD" w:rsidRPr="007E5BB1">
        <w:rPr>
          <w:rFonts w:ascii="Calibri" w:eastAsia="Calibri" w:hAnsi="Calibri" w:cs="Calibri"/>
          <w:lang w:val="en-GB"/>
        </w:rPr>
        <w:t xml:space="preserve">and </w:t>
      </w:r>
      <w:r w:rsidR="00BD0C90" w:rsidRPr="007E5BB1">
        <w:rPr>
          <w:rFonts w:ascii="Calibri" w:eastAsia="Calibri" w:hAnsi="Calibri" w:cs="Calibri"/>
          <w:lang w:val="en-GB"/>
        </w:rPr>
        <w:t>lack of adequate living space,</w:t>
      </w:r>
      <w:r w:rsidR="00542CBD" w:rsidRPr="007E5BB1">
        <w:rPr>
          <w:rFonts w:ascii="Calibri" w:eastAsia="Calibri" w:hAnsi="Calibri" w:cs="Calibri"/>
          <w:lang w:val="en-GB"/>
        </w:rPr>
        <w:t xml:space="preserve"> insomuch that “</w:t>
      </w:r>
      <w:r w:rsidR="00542CBD" w:rsidRPr="007E5BB1">
        <w:rPr>
          <w:rFonts w:ascii="Calibri" w:hAnsi="Calibri" w:cs="Calibri"/>
          <w:lang w:val="en-GB"/>
        </w:rPr>
        <w:t>in some conditions, the level of prison overcrowding may be so critical that detainees/convicts are forced to sleep in turns, sleep piled up each other, share beds or tie themselves to bars so that they can sleep while standing.”</w:t>
      </w:r>
      <w:r w:rsidRPr="007E5BB1">
        <w:rPr>
          <w:rFonts w:ascii="Calibri" w:eastAsia="Calibri" w:hAnsi="Calibri" w:cs="Calibri"/>
          <w:vertAlign w:val="superscript"/>
          <w:lang w:val="en-GB"/>
        </w:rPr>
        <w:footnoteReference w:id="27"/>
      </w:r>
      <w:r w:rsidRPr="007E5BB1">
        <w:rPr>
          <w:rFonts w:ascii="Calibri" w:eastAsia="Calibri" w:hAnsi="Calibri" w:cs="Calibri"/>
          <w:lang w:val="en-GB"/>
        </w:rPr>
        <w:t xml:space="preserve"> </w:t>
      </w:r>
    </w:p>
    <w:p w14:paraId="528961BA" w14:textId="4F7623CE" w:rsidR="00164DFE" w:rsidRPr="007E5BB1" w:rsidRDefault="00164DFE" w:rsidP="00164DFE">
      <w:pPr>
        <w:spacing w:before="240" w:after="240" w:line="327" w:lineRule="auto"/>
        <w:jc w:val="both"/>
        <w:rPr>
          <w:rFonts w:ascii="Calibri" w:eastAsia="Calibri" w:hAnsi="Calibri" w:cs="Calibri"/>
          <w:lang w:val="en-GB"/>
        </w:rPr>
      </w:pPr>
      <w:r>
        <w:rPr>
          <w:rFonts w:ascii="Calibri" w:eastAsia="Calibri" w:hAnsi="Calibri" w:cs="Calibri"/>
          <w:lang w:val="en-GB"/>
        </w:rPr>
        <w:t xml:space="preserve">With regards to women who use drugs, several women interviewed by AKSI in </w:t>
      </w:r>
      <w:r w:rsidR="00870517">
        <w:rPr>
          <w:rFonts w:ascii="Calibri" w:eastAsia="Calibri" w:hAnsi="Calibri" w:cs="Calibri"/>
          <w:lang w:val="en-GB"/>
        </w:rPr>
        <w:t>2020 reported experiencing</w:t>
      </w:r>
      <w:r>
        <w:rPr>
          <w:rFonts w:ascii="Calibri" w:eastAsia="Calibri" w:hAnsi="Calibri" w:cs="Calibri"/>
          <w:lang w:val="en-GB"/>
        </w:rPr>
        <w:t xml:space="preserve"> violence and discrimination while in prison, as well as struggling to access neonatal services and adequate nutrition after giving birth</w:t>
      </w:r>
      <w:r>
        <w:t>.</w:t>
      </w:r>
      <w:r>
        <w:rPr>
          <w:rStyle w:val="FootnoteReference"/>
        </w:rPr>
        <w:footnoteReference w:id="28"/>
      </w:r>
      <w:r w:rsidR="00FF7BB5">
        <w:t xml:space="preserve"> </w:t>
      </w:r>
      <w:r w:rsidR="00262E7F" w:rsidRPr="00156C51">
        <w:rPr>
          <w:rFonts w:asciiTheme="majorHAnsi" w:hAnsiTheme="majorHAnsi" w:cstheme="majorHAnsi"/>
        </w:rPr>
        <w:t xml:space="preserve">Another research by LBHM showed that most of the time, the type of health services available for women in prison depends on how </w:t>
      </w:r>
      <w:r w:rsidR="00870517">
        <w:rPr>
          <w:rFonts w:asciiTheme="majorHAnsi" w:hAnsiTheme="majorHAnsi" w:cstheme="majorHAnsi"/>
        </w:rPr>
        <w:t>the prison budget</w:t>
      </w:r>
      <w:r w:rsidR="00262E7F" w:rsidRPr="00156C51">
        <w:rPr>
          <w:rFonts w:asciiTheme="majorHAnsi" w:hAnsiTheme="majorHAnsi" w:cstheme="majorHAnsi"/>
        </w:rPr>
        <w:t xml:space="preserve">, resulting in disparity of </w:t>
      </w:r>
      <w:r w:rsidR="00262E7F" w:rsidRPr="00156C51">
        <w:rPr>
          <w:rFonts w:asciiTheme="majorHAnsi" w:hAnsiTheme="majorHAnsi" w:cstheme="majorHAnsi"/>
        </w:rPr>
        <w:lastRenderedPageBreak/>
        <w:t>services.</w:t>
      </w:r>
      <w:r w:rsidR="00156C51" w:rsidRPr="00156C51">
        <w:rPr>
          <w:rFonts w:asciiTheme="majorHAnsi" w:hAnsiTheme="majorHAnsi" w:cstheme="majorHAnsi"/>
        </w:rPr>
        <w:t xml:space="preserve"> 91% of the resp</w:t>
      </w:r>
      <w:r w:rsidR="00456BCA">
        <w:rPr>
          <w:rFonts w:asciiTheme="majorHAnsi" w:hAnsiTheme="majorHAnsi" w:cstheme="majorHAnsi"/>
        </w:rPr>
        <w:t>ondent</w:t>
      </w:r>
      <w:r w:rsidR="00C65A89">
        <w:rPr>
          <w:rFonts w:asciiTheme="majorHAnsi" w:hAnsiTheme="majorHAnsi" w:cstheme="majorHAnsi"/>
        </w:rPr>
        <w:t xml:space="preserve"> to this research</w:t>
      </w:r>
      <w:r w:rsidR="00456BCA">
        <w:rPr>
          <w:rFonts w:asciiTheme="majorHAnsi" w:hAnsiTheme="majorHAnsi" w:cstheme="majorHAnsi"/>
        </w:rPr>
        <w:t xml:space="preserve"> – all of them </w:t>
      </w:r>
      <w:r w:rsidR="00156C51" w:rsidRPr="00156C51">
        <w:rPr>
          <w:rFonts w:asciiTheme="majorHAnsi" w:hAnsiTheme="majorHAnsi" w:cstheme="majorHAnsi"/>
        </w:rPr>
        <w:t xml:space="preserve">incarcerated for drug offences – stated that sanitary </w:t>
      </w:r>
      <w:r w:rsidR="00C65A89">
        <w:rPr>
          <w:rFonts w:asciiTheme="majorHAnsi" w:hAnsiTheme="majorHAnsi" w:cstheme="majorHAnsi"/>
        </w:rPr>
        <w:t>pads were</w:t>
      </w:r>
      <w:r w:rsidR="00156C51" w:rsidRPr="00156C51">
        <w:rPr>
          <w:rFonts w:asciiTheme="majorHAnsi" w:hAnsiTheme="majorHAnsi" w:cstheme="majorHAnsi"/>
        </w:rPr>
        <w:t xml:space="preserve"> not available for free in prison</w:t>
      </w:r>
      <w:r w:rsidR="00C65A89">
        <w:rPr>
          <w:rFonts w:asciiTheme="majorHAnsi" w:hAnsiTheme="majorHAnsi" w:cstheme="majorHAnsi"/>
        </w:rPr>
        <w:t>.</w:t>
      </w:r>
      <w:r w:rsidR="00C65A89" w:rsidRPr="00156C51">
        <w:rPr>
          <w:rStyle w:val="FootnoteReference"/>
          <w:rFonts w:asciiTheme="majorHAnsi" w:hAnsiTheme="majorHAnsi" w:cstheme="majorHAnsi"/>
        </w:rPr>
        <w:footnoteReference w:id="29"/>
      </w:r>
    </w:p>
    <w:p w14:paraId="72307970" w14:textId="5C2D9E0D" w:rsidR="00542CBD" w:rsidRPr="007E5BB1" w:rsidRDefault="00542CBD" w:rsidP="00EB5CD6">
      <w:pPr>
        <w:spacing w:before="240" w:after="240" w:line="327" w:lineRule="auto"/>
        <w:jc w:val="both"/>
        <w:rPr>
          <w:rFonts w:ascii="Calibri" w:eastAsia="Calibri" w:hAnsi="Calibri" w:cs="Calibri"/>
          <w:lang w:val="en-GB"/>
        </w:rPr>
      </w:pPr>
      <w:r w:rsidRPr="007E5BB1">
        <w:rPr>
          <w:rFonts w:ascii="Calibri" w:eastAsia="Calibri" w:hAnsi="Calibri" w:cs="Calibri"/>
          <w:lang w:val="en-GB"/>
        </w:rPr>
        <w:t xml:space="preserve">People sentenced to death face unique challenges. Notably, </w:t>
      </w:r>
      <w:r w:rsidR="007054C2" w:rsidRPr="007E5BB1">
        <w:rPr>
          <w:rFonts w:ascii="Calibri" w:eastAsia="Calibri" w:hAnsi="Calibri" w:cs="Calibri"/>
          <w:lang w:val="en-GB"/>
        </w:rPr>
        <w:t>prisoners are typically held on death row for excessive periods of time; a review of the time spent on  death row by the fourteen individuals who were executed in 2015 and 2016 found an average death row detention of ten years.</w:t>
      </w:r>
      <w:r w:rsidR="007054C2" w:rsidRPr="007E5BB1">
        <w:rPr>
          <w:rFonts w:ascii="Calibri" w:eastAsia="Calibri" w:hAnsi="Calibri" w:cs="Calibri"/>
          <w:vertAlign w:val="superscript"/>
          <w:lang w:val="en-GB"/>
        </w:rPr>
        <w:footnoteReference w:id="30"/>
      </w:r>
      <w:r w:rsidRPr="007E5BB1">
        <w:rPr>
          <w:rFonts w:ascii="Calibri" w:eastAsia="Calibri" w:hAnsi="Calibri" w:cs="Calibri"/>
          <w:lang w:val="en-GB"/>
        </w:rPr>
        <w:t xml:space="preserve"> A</w:t>
      </w:r>
      <w:r w:rsidR="00870517">
        <w:rPr>
          <w:rFonts w:ascii="Calibri" w:eastAsia="Calibri" w:hAnsi="Calibri" w:cs="Calibri"/>
          <w:lang w:val="en-GB"/>
        </w:rPr>
        <w:t>s of 2021,</w:t>
      </w:r>
      <w:r w:rsidRPr="007E5BB1">
        <w:rPr>
          <w:rFonts w:ascii="Calibri" w:eastAsia="Calibri" w:hAnsi="Calibri" w:cs="Calibri"/>
          <w:lang w:val="en-GB"/>
        </w:rPr>
        <w:t xml:space="preserve"> </w:t>
      </w:r>
      <w:r w:rsidR="00870517">
        <w:rPr>
          <w:rFonts w:ascii="Calibri" w:eastAsia="Calibri" w:hAnsi="Calibri" w:cs="Calibri"/>
          <w:lang w:val="en-GB"/>
        </w:rPr>
        <w:t>58 death row convicts had</w:t>
      </w:r>
      <w:r w:rsidRPr="007E5BB1">
        <w:rPr>
          <w:rFonts w:ascii="Calibri" w:eastAsia="Calibri" w:hAnsi="Calibri" w:cs="Calibri"/>
          <w:lang w:val="en-GB"/>
        </w:rPr>
        <w:t xml:space="preserve"> been detained for more than 10 years; with five of them languishing on death row for more than 20 years, in complete uncertainty about their fate. The draft Criminal Code (currently under dis</w:t>
      </w:r>
      <w:r w:rsidR="001935F6">
        <w:rPr>
          <w:rFonts w:ascii="Calibri" w:eastAsia="Calibri" w:hAnsi="Calibri" w:cs="Calibri"/>
          <w:lang w:val="en-GB"/>
        </w:rPr>
        <w:t>c</w:t>
      </w:r>
      <w:r w:rsidRPr="007E5BB1">
        <w:rPr>
          <w:rFonts w:ascii="Calibri" w:eastAsia="Calibri" w:hAnsi="Calibri" w:cs="Calibri"/>
          <w:lang w:val="en-GB"/>
        </w:rPr>
        <w:t>ussion) envisages the mechanism of commutation - stipulating that a death sentence may be commuted (to life imprisonment or imprisonment for certain period of time) after a person has been on death row for 10 years. However, these 10-years threshold is denounced as arbitrary. Furthermore, the provision is criticised in that the commutation would not be automatically performed after 10 years, rather the courts should state beforehand – at the time of the verdict - that the defendant is applicable for commutation of sentence.</w:t>
      </w:r>
    </w:p>
    <w:p w14:paraId="0000002A" w14:textId="6FF7C73A" w:rsidR="00F93E19" w:rsidRPr="007E5BB1" w:rsidRDefault="00542CBD" w:rsidP="00EB5CD6">
      <w:pPr>
        <w:spacing w:before="240" w:after="240" w:line="327" w:lineRule="auto"/>
        <w:jc w:val="both"/>
        <w:rPr>
          <w:rFonts w:ascii="Calibri" w:eastAsia="Calibri" w:hAnsi="Calibri" w:cs="Calibri"/>
          <w:lang w:val="en-GB"/>
        </w:rPr>
      </w:pPr>
      <w:r w:rsidRPr="007E5BB1">
        <w:rPr>
          <w:rFonts w:ascii="Calibri" w:eastAsia="Calibri" w:hAnsi="Calibri" w:cs="Calibri"/>
          <w:lang w:val="en-GB"/>
        </w:rPr>
        <w:t xml:space="preserve">In addition, </w:t>
      </w:r>
      <w:r w:rsidR="007054C2" w:rsidRPr="007E5BB1">
        <w:rPr>
          <w:rFonts w:ascii="Calibri" w:eastAsia="Calibri" w:hAnsi="Calibri" w:cs="Calibri"/>
          <w:lang w:val="en-GB"/>
        </w:rPr>
        <w:t>many death row prisoners are held in inhuma</w:t>
      </w:r>
      <w:r w:rsidR="00870517">
        <w:rPr>
          <w:rFonts w:ascii="Calibri" w:eastAsia="Calibri" w:hAnsi="Calibri" w:cs="Calibri"/>
          <w:lang w:val="en-GB"/>
        </w:rPr>
        <w:t xml:space="preserve">ne conditions. For example, LBHM </w:t>
      </w:r>
      <w:r w:rsidR="007054C2" w:rsidRPr="007E5BB1">
        <w:rPr>
          <w:rFonts w:ascii="Calibri" w:eastAsia="Calibri" w:hAnsi="Calibri" w:cs="Calibri"/>
          <w:lang w:val="en-GB"/>
        </w:rPr>
        <w:t xml:space="preserve">reports that Merri Utami, </w:t>
      </w:r>
      <w:r w:rsidR="00870517">
        <w:rPr>
          <w:rFonts w:ascii="Calibri" w:eastAsia="Calibri" w:hAnsi="Calibri" w:cs="Calibri"/>
          <w:lang w:val="en-GB"/>
        </w:rPr>
        <w:t>who has been on death row for 20</w:t>
      </w:r>
      <w:r w:rsidR="007054C2" w:rsidRPr="007E5BB1">
        <w:rPr>
          <w:rFonts w:ascii="Calibri" w:eastAsia="Calibri" w:hAnsi="Calibri" w:cs="Calibri"/>
          <w:lang w:val="en-GB"/>
        </w:rPr>
        <w:t xml:space="preserve"> years,</w:t>
      </w:r>
      <w:r w:rsidR="00870517">
        <w:rPr>
          <w:rStyle w:val="FootnoteReference"/>
          <w:rFonts w:ascii="Calibri" w:eastAsia="Calibri" w:hAnsi="Calibri" w:cs="Calibri"/>
          <w:lang w:val="en-GB"/>
        </w:rPr>
        <w:footnoteReference w:id="31"/>
      </w:r>
      <w:r w:rsidR="007054C2" w:rsidRPr="007E5BB1">
        <w:rPr>
          <w:rFonts w:ascii="Calibri" w:eastAsia="Calibri" w:hAnsi="Calibri" w:cs="Calibri"/>
          <w:lang w:val="en-GB"/>
        </w:rPr>
        <w:t xml:space="preserve"> has to face the following:</w:t>
      </w:r>
    </w:p>
    <w:p w14:paraId="0000002B" w14:textId="77777777" w:rsidR="00F93E19" w:rsidRPr="007E5BB1" w:rsidRDefault="007054C2" w:rsidP="00764D72">
      <w:pPr>
        <w:spacing w:before="240" w:after="240" w:line="326" w:lineRule="auto"/>
        <w:ind w:left="357"/>
        <w:contextualSpacing/>
        <w:jc w:val="both"/>
        <w:rPr>
          <w:rFonts w:ascii="Calibri" w:eastAsia="Calibri" w:hAnsi="Calibri" w:cs="Calibri"/>
          <w:lang w:val="en-GB"/>
        </w:rPr>
      </w:pPr>
      <w:r w:rsidRPr="007E5BB1">
        <w:rPr>
          <w:rFonts w:ascii="Calibri" w:eastAsia="Calibri" w:hAnsi="Calibri" w:cs="Calibri"/>
          <w:lang w:val="en-GB"/>
        </w:rPr>
        <w:t>a.      In 2016 her execution was stayed at the last minute, causing her and her family a grave amount of stress;</w:t>
      </w:r>
    </w:p>
    <w:p w14:paraId="0000002C" w14:textId="7953A71C" w:rsidR="00F93E19" w:rsidRPr="007E5BB1" w:rsidRDefault="007054C2" w:rsidP="00764D72">
      <w:pPr>
        <w:spacing w:before="240" w:after="240" w:line="326" w:lineRule="auto"/>
        <w:ind w:left="357"/>
        <w:contextualSpacing/>
        <w:jc w:val="both"/>
        <w:rPr>
          <w:rFonts w:ascii="Calibri" w:eastAsia="Calibri" w:hAnsi="Calibri" w:cs="Calibri"/>
          <w:lang w:val="en-GB"/>
        </w:rPr>
      </w:pPr>
      <w:r w:rsidRPr="007E5BB1">
        <w:rPr>
          <w:rFonts w:ascii="Calibri" w:eastAsia="Calibri" w:hAnsi="Calibri" w:cs="Calibri"/>
          <w:lang w:val="en-GB"/>
        </w:rPr>
        <w:t>b.      After her execution was stayed she was placed in Cilacap Prison, a prison that is not built for death row prisoners and not for women. The remote location of the Prison also distances her from her family and her lawyers;</w:t>
      </w:r>
      <w:r w:rsidR="00764D72">
        <w:rPr>
          <w:rFonts w:ascii="Calibri" w:eastAsia="Calibri" w:hAnsi="Calibri" w:cs="Calibri"/>
          <w:lang w:val="en-GB"/>
        </w:rPr>
        <w:t xml:space="preserve"> and</w:t>
      </w:r>
    </w:p>
    <w:p w14:paraId="0000002D" w14:textId="193EDB6E" w:rsidR="00F93E19" w:rsidRDefault="007054C2" w:rsidP="00764D72">
      <w:pPr>
        <w:spacing w:before="240" w:after="240" w:line="326" w:lineRule="auto"/>
        <w:ind w:left="357"/>
        <w:contextualSpacing/>
        <w:jc w:val="both"/>
        <w:rPr>
          <w:rFonts w:ascii="Calibri" w:eastAsia="Calibri" w:hAnsi="Calibri" w:cs="Calibri"/>
          <w:lang w:val="en-GB"/>
        </w:rPr>
      </w:pPr>
      <w:r w:rsidRPr="007E5BB1">
        <w:rPr>
          <w:rFonts w:ascii="Calibri" w:eastAsia="Calibri" w:hAnsi="Calibri" w:cs="Calibri"/>
          <w:lang w:val="en-GB"/>
        </w:rPr>
        <w:t>c.       Since Cilacap Prison is close to Nusakambangan Island, where executions take place, Merri Utami is in constant fear of being executed, while constantly reminded of the night when she was almost executed. This situation has gravely impacted her psychological condition.</w:t>
      </w:r>
    </w:p>
    <w:p w14:paraId="1B74C0FD" w14:textId="17617A09" w:rsidR="00764D72" w:rsidRDefault="00764D72" w:rsidP="00764D72">
      <w:pPr>
        <w:spacing w:before="240" w:after="240" w:line="326" w:lineRule="auto"/>
        <w:ind w:left="357"/>
        <w:contextualSpacing/>
        <w:jc w:val="both"/>
        <w:rPr>
          <w:rFonts w:ascii="Calibri" w:eastAsia="Calibri" w:hAnsi="Calibri" w:cs="Calibri"/>
          <w:lang w:val="en-GB"/>
        </w:rPr>
      </w:pPr>
    </w:p>
    <w:p w14:paraId="11936F75" w14:textId="77777777" w:rsidR="002053BC" w:rsidRPr="007E5BB1" w:rsidRDefault="002053BC" w:rsidP="00764D72">
      <w:pPr>
        <w:spacing w:before="240" w:after="240" w:line="326" w:lineRule="auto"/>
        <w:ind w:left="357"/>
        <w:contextualSpacing/>
        <w:jc w:val="both"/>
        <w:rPr>
          <w:rFonts w:ascii="Calibri" w:eastAsia="Calibri" w:hAnsi="Calibri" w:cs="Calibri"/>
          <w:lang w:val="en-GB"/>
        </w:rPr>
      </w:pPr>
    </w:p>
    <w:p w14:paraId="0000002F" w14:textId="6E3040E5" w:rsidR="00F93E19" w:rsidRPr="007E5BB1" w:rsidRDefault="005778B1" w:rsidP="00EB5CD6">
      <w:pPr>
        <w:spacing w:before="240" w:after="240" w:line="327" w:lineRule="auto"/>
        <w:jc w:val="both"/>
        <w:rPr>
          <w:rFonts w:asciiTheme="minorHAnsi" w:eastAsia="Calibri" w:hAnsiTheme="minorHAnsi" w:cs="Calibri"/>
          <w:i/>
          <w:u w:val="single"/>
          <w:lang w:val="en-GB"/>
        </w:rPr>
      </w:pPr>
      <w:r w:rsidRPr="007E5BB1">
        <w:rPr>
          <w:rFonts w:asciiTheme="minorHAnsi" w:eastAsia="Calibri" w:hAnsiTheme="minorHAnsi" w:cs="Calibri"/>
          <w:i/>
          <w:u w:val="single"/>
          <w:lang w:val="en-GB"/>
        </w:rPr>
        <w:t>2.3</w:t>
      </w:r>
      <w:r w:rsidR="00542CBD" w:rsidRPr="007E5BB1">
        <w:rPr>
          <w:rFonts w:asciiTheme="minorHAnsi" w:eastAsia="Calibri" w:hAnsiTheme="minorHAnsi" w:cs="Calibri"/>
          <w:i/>
          <w:u w:val="single"/>
          <w:lang w:val="en-GB"/>
        </w:rPr>
        <w:tab/>
      </w:r>
      <w:r w:rsidR="007054C2" w:rsidRPr="007E5BB1">
        <w:rPr>
          <w:rFonts w:asciiTheme="minorHAnsi" w:eastAsia="Calibri" w:hAnsiTheme="minorHAnsi" w:cs="Calibri"/>
          <w:i/>
          <w:u w:val="single"/>
          <w:lang w:val="en-GB"/>
        </w:rPr>
        <w:t>Response to COVID-19 in prison</w:t>
      </w:r>
    </w:p>
    <w:p w14:paraId="00000030" w14:textId="3F9AFD8A" w:rsidR="00F93E19" w:rsidRPr="007E5BB1" w:rsidRDefault="007054C2" w:rsidP="00EB5CD6">
      <w:pPr>
        <w:spacing w:before="240" w:after="240" w:line="327" w:lineRule="auto"/>
        <w:jc w:val="both"/>
        <w:rPr>
          <w:rFonts w:ascii="Calibri" w:eastAsia="Calibri" w:hAnsi="Calibri" w:cs="Calibri"/>
          <w:lang w:val="en-GB"/>
        </w:rPr>
      </w:pPr>
      <w:r w:rsidRPr="007E5BB1">
        <w:rPr>
          <w:rFonts w:ascii="Calibri" w:eastAsia="Calibri" w:hAnsi="Calibri" w:cs="Calibri"/>
          <w:lang w:val="en-GB"/>
        </w:rPr>
        <w:t xml:space="preserve">Being dramatically overcrowded and lacking in essential services, including adequate healthcare, Indonesian prisons are high-risk environments for the spread of </w:t>
      </w:r>
      <w:r w:rsidR="002053BC">
        <w:rPr>
          <w:rFonts w:ascii="Calibri" w:eastAsia="Calibri" w:hAnsi="Calibri" w:cs="Calibri"/>
          <w:lang w:val="en-GB"/>
        </w:rPr>
        <w:t xml:space="preserve">communicable diseases such as </w:t>
      </w:r>
      <w:r w:rsidR="00542CBD" w:rsidRPr="007E5BB1">
        <w:rPr>
          <w:rFonts w:ascii="Calibri" w:eastAsia="Calibri" w:hAnsi="Calibri" w:cs="Calibri"/>
          <w:lang w:val="en-GB"/>
        </w:rPr>
        <w:t>COVID-</w:t>
      </w:r>
      <w:r w:rsidR="00542CBD" w:rsidRPr="007E5BB1">
        <w:rPr>
          <w:rFonts w:ascii="Calibri" w:eastAsia="Calibri" w:hAnsi="Calibri" w:cs="Calibri"/>
          <w:lang w:val="en-GB"/>
        </w:rPr>
        <w:lastRenderedPageBreak/>
        <w:t>19</w:t>
      </w:r>
      <w:r w:rsidRPr="007E5BB1">
        <w:rPr>
          <w:rFonts w:ascii="Calibri" w:eastAsia="Calibri" w:hAnsi="Calibri" w:cs="Calibri"/>
          <w:lang w:val="en-GB"/>
        </w:rPr>
        <w:t>. A range of UN agencies, including OHCHR and the High Commissioner for Human Rights, UNODC, WHO, and UNAIDS have urged governments to adopt measures to curb the spread of COVID-19 in detention settings, including by depopulating prisons and detention centres.</w:t>
      </w:r>
      <w:r w:rsidR="00542CBD" w:rsidRPr="007E5BB1">
        <w:rPr>
          <w:rStyle w:val="FootnoteReference"/>
          <w:rFonts w:ascii="Calibri" w:eastAsia="Calibri" w:hAnsi="Calibri" w:cs="Calibri"/>
          <w:lang w:val="en-GB"/>
        </w:rPr>
        <w:footnoteReference w:id="32"/>
      </w:r>
    </w:p>
    <w:p w14:paraId="00000038" w14:textId="162DD732" w:rsidR="00F93E19" w:rsidRPr="002053BC" w:rsidRDefault="007054C2" w:rsidP="002053BC">
      <w:pPr>
        <w:spacing w:before="240" w:after="240" w:line="327" w:lineRule="auto"/>
        <w:jc w:val="both"/>
        <w:rPr>
          <w:rFonts w:ascii="Calibri" w:eastAsia="Calibri" w:hAnsi="Calibri" w:cs="Calibri"/>
          <w:lang w:val="en-GB"/>
        </w:rPr>
      </w:pPr>
      <w:r w:rsidRPr="007E5BB1">
        <w:rPr>
          <w:rFonts w:ascii="Calibri" w:eastAsia="Calibri" w:hAnsi="Calibri" w:cs="Calibri"/>
          <w:lang w:val="en-GB"/>
        </w:rPr>
        <w:t>In late March 2020, the Ministry of Law and Human Rights issued a Decision Letter about the Release of Prisoners to cut the chain of COVID-19. According to the decision letter, only prisoners sentenced to less than five years in prison who met certain criteria qualify for early release. As of May 2020, o</w:t>
      </w:r>
      <w:r w:rsidR="00542CBD" w:rsidRPr="007E5BB1">
        <w:rPr>
          <w:rFonts w:ascii="Calibri" w:eastAsia="Calibri" w:hAnsi="Calibri" w:cs="Calibri"/>
          <w:lang w:val="en-GB"/>
        </w:rPr>
        <w:t>ver 38,000 persons had</w:t>
      </w:r>
      <w:r w:rsidRPr="007E5BB1">
        <w:rPr>
          <w:rFonts w:ascii="Calibri" w:eastAsia="Calibri" w:hAnsi="Calibri" w:cs="Calibri"/>
          <w:lang w:val="en-GB"/>
        </w:rPr>
        <w:t xml:space="preserve"> been released pursuant to this decision.</w:t>
      </w:r>
      <w:r w:rsidRPr="007E5BB1">
        <w:rPr>
          <w:rFonts w:ascii="Calibri" w:eastAsia="Calibri" w:hAnsi="Calibri" w:cs="Calibri"/>
          <w:vertAlign w:val="superscript"/>
          <w:lang w:val="en-GB"/>
        </w:rPr>
        <w:footnoteReference w:id="33"/>
      </w:r>
      <w:r w:rsidRPr="007E5BB1">
        <w:rPr>
          <w:rFonts w:ascii="Calibri" w:eastAsia="Calibri" w:hAnsi="Calibri" w:cs="Calibri"/>
          <w:lang w:val="en-GB"/>
        </w:rPr>
        <w:t xml:space="preserve"> However, thousands of people who use drugs or have been convicted of minor drug offences are arbitrarily excluded, because of disproportionate sentences above five years.</w:t>
      </w:r>
      <w:r w:rsidRPr="007E5BB1">
        <w:rPr>
          <w:rFonts w:ascii="Calibri" w:eastAsia="Calibri" w:hAnsi="Calibri" w:cs="Calibri"/>
          <w:vertAlign w:val="superscript"/>
          <w:lang w:val="en-GB"/>
        </w:rPr>
        <w:footnoteReference w:id="34"/>
      </w:r>
    </w:p>
    <w:p w14:paraId="00000039" w14:textId="5E6EC99D" w:rsidR="00F93E19" w:rsidRPr="00164B41" w:rsidRDefault="00EB5CD6">
      <w:pPr>
        <w:numPr>
          <w:ilvl w:val="0"/>
          <w:numId w:val="2"/>
        </w:numPr>
        <w:spacing w:after="240"/>
        <w:rPr>
          <w:rFonts w:asciiTheme="majorHAnsi" w:hAnsiTheme="majorHAnsi" w:cstheme="majorHAnsi"/>
          <w:lang w:val="en-GB"/>
        </w:rPr>
      </w:pPr>
      <w:r w:rsidRPr="00164B41">
        <w:rPr>
          <w:rFonts w:asciiTheme="majorHAnsi" w:hAnsiTheme="majorHAnsi" w:cstheme="majorHAnsi"/>
          <w:b/>
          <w:lang w:val="en-GB"/>
        </w:rPr>
        <w:t>Right to social se</w:t>
      </w:r>
      <w:r w:rsidR="00164B41" w:rsidRPr="00164B41">
        <w:rPr>
          <w:rFonts w:asciiTheme="majorHAnsi" w:hAnsiTheme="majorHAnsi" w:cstheme="majorHAnsi"/>
          <w:b/>
          <w:lang w:val="en-GB"/>
        </w:rPr>
        <w:t xml:space="preserve">curity of people who use drugs </w:t>
      </w:r>
    </w:p>
    <w:p w14:paraId="00700A25" w14:textId="1ABEA81F" w:rsidR="00EB5CD6" w:rsidRPr="007E5BB1" w:rsidRDefault="00EB5CD6" w:rsidP="00EB5CD6">
      <w:pPr>
        <w:spacing w:after="240"/>
        <w:rPr>
          <w:rFonts w:asciiTheme="minorHAnsi" w:eastAsia="Calibri" w:hAnsiTheme="minorHAnsi" w:cs="Calibri"/>
          <w:lang w:val="en-GB"/>
        </w:rPr>
      </w:pPr>
      <w:r w:rsidRPr="007E5BB1">
        <w:rPr>
          <w:rFonts w:asciiTheme="minorHAnsi" w:eastAsia="Calibri" w:hAnsiTheme="minorHAnsi" w:cs="Calibri"/>
          <w:i/>
          <w:u w:val="single"/>
          <w:lang w:val="en-GB"/>
        </w:rPr>
        <w:t>3.1</w:t>
      </w:r>
      <w:r w:rsidRPr="007E5BB1">
        <w:rPr>
          <w:rFonts w:asciiTheme="minorHAnsi" w:eastAsia="Calibri" w:hAnsiTheme="minorHAnsi" w:cs="Calibri"/>
          <w:i/>
          <w:u w:val="single"/>
          <w:lang w:val="en-GB"/>
        </w:rPr>
        <w:tab/>
        <w:t>Access to medical rehabilitation: recent developments</w:t>
      </w:r>
    </w:p>
    <w:p w14:paraId="3718465D" w14:textId="0B66A34E" w:rsidR="006B5524" w:rsidRPr="007E5BB1" w:rsidRDefault="006B5524" w:rsidP="006B5524">
      <w:pPr>
        <w:spacing w:before="240" w:after="240"/>
        <w:jc w:val="both"/>
        <w:rPr>
          <w:rFonts w:ascii="Calibri" w:eastAsia="Calibri" w:hAnsi="Calibri" w:cs="Calibri"/>
          <w:lang w:val="en-GB"/>
        </w:rPr>
      </w:pPr>
      <w:r w:rsidRPr="007E5BB1">
        <w:rPr>
          <w:rFonts w:ascii="Calibri" w:eastAsia="Calibri" w:hAnsi="Calibri" w:cs="Calibri"/>
          <w:lang w:val="en-GB"/>
        </w:rPr>
        <w:t>The right to social security should apply to</w:t>
      </w:r>
      <w:r w:rsidR="002053BC">
        <w:rPr>
          <w:rFonts w:ascii="Calibri" w:eastAsia="Calibri" w:hAnsi="Calibri" w:cs="Calibri"/>
          <w:lang w:val="en-GB"/>
        </w:rPr>
        <w:t xml:space="preserve"> everyone without discrimination,</w:t>
      </w:r>
      <w:r w:rsidRPr="007E5BB1">
        <w:rPr>
          <w:vertAlign w:val="superscript"/>
          <w:lang w:val="en-GB"/>
        </w:rPr>
        <w:t xml:space="preserve"> </w:t>
      </w:r>
      <w:r w:rsidRPr="007E5BB1">
        <w:rPr>
          <w:rFonts w:ascii="Calibri" w:eastAsia="Calibri" w:hAnsi="Calibri" w:cs="Calibri"/>
          <w:lang w:val="en-GB"/>
        </w:rPr>
        <w:t xml:space="preserve">to </w:t>
      </w:r>
      <w:r w:rsidR="002053BC">
        <w:rPr>
          <w:rFonts w:ascii="Calibri" w:eastAsia="Calibri" w:hAnsi="Calibri" w:cs="Calibri"/>
          <w:lang w:val="en-GB"/>
        </w:rPr>
        <w:t>safeguard</w:t>
      </w:r>
      <w:r w:rsidRPr="007E5BB1">
        <w:rPr>
          <w:rFonts w:ascii="Calibri" w:eastAsia="Calibri" w:hAnsi="Calibri" w:cs="Calibri"/>
          <w:lang w:val="en-GB"/>
        </w:rPr>
        <w:t xml:space="preserve"> human dignity when people face circumstances that deprive them of their capacity to fully realise their human rights.</w:t>
      </w:r>
      <w:r w:rsidRPr="007E5BB1">
        <w:rPr>
          <w:vertAlign w:val="superscript"/>
          <w:lang w:val="en-GB"/>
        </w:rPr>
        <w:footnoteReference w:id="35"/>
      </w:r>
    </w:p>
    <w:p w14:paraId="48314306" w14:textId="62313627" w:rsidR="00EB5CD6" w:rsidRPr="007E5BB1" w:rsidRDefault="00EB5CD6" w:rsidP="00EB5CD6">
      <w:pPr>
        <w:spacing w:before="240" w:after="240"/>
        <w:jc w:val="both"/>
        <w:rPr>
          <w:rFonts w:ascii="Calibri" w:eastAsia="Calibri" w:hAnsi="Calibri" w:cs="Calibri"/>
          <w:lang w:val="en-GB"/>
        </w:rPr>
      </w:pPr>
      <w:r w:rsidRPr="007E5BB1">
        <w:rPr>
          <w:rFonts w:ascii="Calibri" w:eastAsia="Calibri" w:hAnsi="Calibri" w:cs="Calibri"/>
          <w:lang w:val="en-GB"/>
        </w:rPr>
        <w:t xml:space="preserve">In 2020, the Ministry of Health issued a new </w:t>
      </w:r>
      <w:r w:rsidR="008213E6">
        <w:rPr>
          <w:rFonts w:ascii="Calibri" w:eastAsia="Calibri" w:hAnsi="Calibri" w:cs="Calibri"/>
          <w:lang w:val="en-GB"/>
        </w:rPr>
        <w:t xml:space="preserve">regulation on the management of </w:t>
      </w:r>
      <w:r w:rsidR="00C65A89">
        <w:rPr>
          <w:rFonts w:ascii="Calibri" w:eastAsia="Calibri" w:hAnsi="Calibri" w:cs="Calibri"/>
          <w:lang w:val="en-GB"/>
        </w:rPr>
        <w:t xml:space="preserve">compulsory </w:t>
      </w:r>
      <w:r w:rsidR="004579DC">
        <w:rPr>
          <w:rFonts w:ascii="Calibri" w:eastAsia="Calibri" w:hAnsi="Calibri" w:cs="Calibri"/>
          <w:lang w:val="en-GB"/>
        </w:rPr>
        <w:t>drug reporting, replacing</w:t>
      </w:r>
      <w:r w:rsidR="00C65A89">
        <w:rPr>
          <w:rFonts w:ascii="Calibri" w:eastAsia="Calibri" w:hAnsi="Calibri" w:cs="Calibri"/>
          <w:lang w:val="en-GB"/>
        </w:rPr>
        <w:t xml:space="preserve"> a</w:t>
      </w:r>
      <w:r w:rsidR="004579DC">
        <w:rPr>
          <w:rFonts w:ascii="Calibri" w:eastAsia="Calibri" w:hAnsi="Calibri" w:cs="Calibri"/>
          <w:lang w:val="en-GB"/>
        </w:rPr>
        <w:t xml:space="preserve"> similar regulation from 2015.</w:t>
      </w:r>
      <w:r w:rsidR="004579DC" w:rsidRPr="007E5BB1">
        <w:rPr>
          <w:vertAlign w:val="superscript"/>
          <w:lang w:val="en-GB"/>
        </w:rPr>
        <w:footnoteReference w:id="36"/>
      </w:r>
      <w:r w:rsidR="004579DC">
        <w:rPr>
          <w:rFonts w:ascii="Calibri" w:eastAsia="Calibri" w:hAnsi="Calibri" w:cs="Calibri"/>
          <w:lang w:val="en-GB"/>
        </w:rPr>
        <w:t xml:space="preserve"> The new </w:t>
      </w:r>
      <w:r w:rsidR="00C65A89">
        <w:rPr>
          <w:rFonts w:ascii="Calibri" w:eastAsia="Calibri" w:hAnsi="Calibri" w:cs="Calibri"/>
          <w:lang w:val="en-GB"/>
        </w:rPr>
        <w:t>policy stipulates</w:t>
      </w:r>
      <w:r w:rsidR="004579DC">
        <w:rPr>
          <w:rFonts w:ascii="Calibri" w:eastAsia="Calibri" w:hAnsi="Calibri" w:cs="Calibri"/>
          <w:lang w:val="en-GB"/>
        </w:rPr>
        <w:t xml:space="preserve"> that the Ministry will cover the expenses </w:t>
      </w:r>
      <w:r w:rsidR="00723352">
        <w:rPr>
          <w:rFonts w:ascii="Calibri" w:eastAsia="Calibri" w:hAnsi="Calibri" w:cs="Calibri"/>
          <w:lang w:val="en-GB"/>
        </w:rPr>
        <w:t>of</w:t>
      </w:r>
      <w:r w:rsidR="004579DC">
        <w:rPr>
          <w:rFonts w:ascii="Calibri" w:eastAsia="Calibri" w:hAnsi="Calibri" w:cs="Calibri"/>
          <w:lang w:val="en-GB"/>
        </w:rPr>
        <w:t xml:space="preserve"> medical rehabilitation – both inpatient and outpatient – </w:t>
      </w:r>
      <w:r w:rsidR="002053BC">
        <w:rPr>
          <w:rFonts w:ascii="Calibri" w:eastAsia="Calibri" w:hAnsi="Calibri" w:cs="Calibri"/>
          <w:lang w:val="en-GB"/>
        </w:rPr>
        <w:t>for</w:t>
      </w:r>
      <w:r w:rsidR="00723352">
        <w:rPr>
          <w:rFonts w:ascii="Calibri" w:eastAsia="Calibri" w:hAnsi="Calibri" w:cs="Calibri"/>
          <w:lang w:val="en-GB"/>
        </w:rPr>
        <w:t xml:space="preserve"> low-income patients</w:t>
      </w:r>
      <w:r w:rsidR="002053BC">
        <w:rPr>
          <w:rFonts w:ascii="Calibri" w:eastAsia="Calibri" w:hAnsi="Calibri" w:cs="Calibri"/>
          <w:lang w:val="en-GB"/>
        </w:rPr>
        <w:t>,</w:t>
      </w:r>
      <w:r w:rsidR="00723352">
        <w:rPr>
          <w:rFonts w:ascii="Calibri" w:eastAsia="Calibri" w:hAnsi="Calibri" w:cs="Calibri"/>
          <w:lang w:val="en-GB"/>
        </w:rPr>
        <w:t xml:space="preserve"> in accordanc</w:t>
      </w:r>
      <w:r w:rsidR="002053BC">
        <w:rPr>
          <w:rFonts w:ascii="Calibri" w:eastAsia="Calibri" w:hAnsi="Calibri" w:cs="Calibri"/>
          <w:lang w:val="en-GB"/>
        </w:rPr>
        <w:t>e with the criteria set up concening</w:t>
      </w:r>
      <w:r w:rsidR="00723352">
        <w:rPr>
          <w:rFonts w:ascii="Calibri" w:eastAsia="Calibri" w:hAnsi="Calibri" w:cs="Calibri"/>
          <w:lang w:val="en-GB"/>
        </w:rPr>
        <w:t xml:space="preserve"> the National Health Insurance’s Premium Assistance Beneficiaries.</w:t>
      </w:r>
    </w:p>
    <w:p w14:paraId="05D24933" w14:textId="7AA90926" w:rsidR="005F4CBA" w:rsidRDefault="00EB5CD6" w:rsidP="00EB5CD6">
      <w:pPr>
        <w:spacing w:before="240" w:after="240"/>
        <w:jc w:val="both"/>
        <w:rPr>
          <w:rFonts w:ascii="Calibri" w:eastAsia="Calibri" w:hAnsi="Calibri" w:cs="Calibri"/>
          <w:color w:val="000000" w:themeColor="text1"/>
          <w:lang w:val="en-GB"/>
        </w:rPr>
      </w:pPr>
      <w:r w:rsidRPr="007E5BB1">
        <w:rPr>
          <w:rFonts w:ascii="Calibri" w:eastAsia="Calibri" w:hAnsi="Calibri" w:cs="Calibri"/>
          <w:lang w:val="en-GB"/>
        </w:rPr>
        <w:t xml:space="preserve">This new regulation </w:t>
      </w:r>
      <w:r w:rsidR="006B5524" w:rsidRPr="007E5BB1">
        <w:rPr>
          <w:rFonts w:ascii="Calibri" w:eastAsia="Calibri" w:hAnsi="Calibri" w:cs="Calibri"/>
          <w:lang w:val="en-GB"/>
        </w:rPr>
        <w:t>represent</w:t>
      </w:r>
      <w:r w:rsidR="007E07A4" w:rsidRPr="007E5BB1">
        <w:rPr>
          <w:rFonts w:ascii="Calibri" w:eastAsia="Calibri" w:hAnsi="Calibri" w:cs="Calibri"/>
          <w:lang w:val="en-GB"/>
        </w:rPr>
        <w:t>s</w:t>
      </w:r>
      <w:r w:rsidR="006B5524" w:rsidRPr="007E5BB1">
        <w:rPr>
          <w:rFonts w:ascii="Calibri" w:eastAsia="Calibri" w:hAnsi="Calibri" w:cs="Calibri"/>
          <w:lang w:val="en-GB"/>
        </w:rPr>
        <w:t xml:space="preserve"> a positive development towards promoting the right to health of people who use drugs</w:t>
      </w:r>
      <w:r w:rsidR="00453C26">
        <w:rPr>
          <w:rFonts w:ascii="Calibri" w:eastAsia="Calibri" w:hAnsi="Calibri" w:cs="Calibri"/>
          <w:lang w:val="en-GB"/>
        </w:rPr>
        <w:t xml:space="preserve"> </w:t>
      </w:r>
      <w:r w:rsidR="008A2ADC">
        <w:rPr>
          <w:rFonts w:ascii="Calibri" w:eastAsia="Calibri" w:hAnsi="Calibri" w:cs="Calibri"/>
          <w:lang w:val="en-GB"/>
        </w:rPr>
        <w:t>by ensuring poor communities’ access to medical rehabilitation</w:t>
      </w:r>
      <w:r w:rsidRPr="007E5BB1">
        <w:rPr>
          <w:rFonts w:ascii="Calibri" w:eastAsia="Calibri" w:hAnsi="Calibri" w:cs="Calibri"/>
          <w:lang w:val="en-GB"/>
        </w:rPr>
        <w:t>.</w:t>
      </w:r>
      <w:r w:rsidR="006B5524" w:rsidRPr="007E5BB1">
        <w:rPr>
          <w:rFonts w:ascii="Calibri" w:eastAsia="Calibri" w:hAnsi="Calibri" w:cs="Calibri"/>
          <w:lang w:val="en-GB"/>
        </w:rPr>
        <w:t xml:space="preserve"> </w:t>
      </w:r>
      <w:r w:rsidR="00D763D3">
        <w:rPr>
          <w:rFonts w:ascii="Calibri" w:eastAsia="Calibri" w:hAnsi="Calibri" w:cs="Calibri"/>
          <w:lang w:val="en-GB"/>
        </w:rPr>
        <w:t>However</w:t>
      </w:r>
      <w:r w:rsidR="007E07A4" w:rsidRPr="007E5BB1">
        <w:rPr>
          <w:rFonts w:ascii="Calibri" w:eastAsia="Calibri" w:hAnsi="Calibri" w:cs="Calibri"/>
          <w:lang w:val="en-GB"/>
        </w:rPr>
        <w:t>, people</w:t>
      </w:r>
      <w:r w:rsidR="002867BA">
        <w:rPr>
          <w:rFonts w:ascii="Calibri" w:eastAsia="Calibri" w:hAnsi="Calibri" w:cs="Calibri"/>
          <w:lang w:val="en-GB"/>
        </w:rPr>
        <w:t xml:space="preserve"> who use drugs’</w:t>
      </w:r>
      <w:r w:rsidR="007E07A4" w:rsidRPr="007E5BB1">
        <w:rPr>
          <w:rFonts w:ascii="Calibri" w:eastAsia="Calibri" w:hAnsi="Calibri" w:cs="Calibri"/>
          <w:lang w:val="en-GB"/>
        </w:rPr>
        <w:t xml:space="preserve"> access to medical rehabilitation in practice could be hindered: because of stigma and discrimination, many people who use drugs are essentially ‘</w:t>
      </w:r>
      <w:r w:rsidRPr="007E5BB1">
        <w:rPr>
          <w:rFonts w:ascii="Calibri" w:eastAsia="Calibri" w:hAnsi="Calibri" w:cs="Calibri"/>
          <w:lang w:val="en-GB"/>
        </w:rPr>
        <w:t>disowned</w:t>
      </w:r>
      <w:r w:rsidR="007E07A4" w:rsidRPr="007E5BB1">
        <w:rPr>
          <w:rFonts w:ascii="Calibri" w:eastAsia="Calibri" w:hAnsi="Calibri" w:cs="Calibri"/>
          <w:lang w:val="en-GB"/>
        </w:rPr>
        <w:t>’</w:t>
      </w:r>
      <w:r w:rsidRPr="007E5BB1">
        <w:rPr>
          <w:rFonts w:ascii="Calibri" w:eastAsia="Calibri" w:hAnsi="Calibri" w:cs="Calibri"/>
          <w:lang w:val="en-GB"/>
        </w:rPr>
        <w:t xml:space="preserve"> by their families</w:t>
      </w:r>
      <w:r w:rsidR="007E07A4" w:rsidRPr="007E5BB1">
        <w:rPr>
          <w:rFonts w:ascii="Calibri" w:eastAsia="Calibri" w:hAnsi="Calibri" w:cs="Calibri"/>
          <w:lang w:val="en-GB"/>
        </w:rPr>
        <w:t>,</w:t>
      </w:r>
      <w:r w:rsidRPr="007E5BB1">
        <w:rPr>
          <w:rFonts w:ascii="Calibri" w:eastAsia="Calibri" w:hAnsi="Calibri" w:cs="Calibri"/>
          <w:lang w:val="en-GB"/>
        </w:rPr>
        <w:t xml:space="preserve"> and</w:t>
      </w:r>
      <w:r w:rsidR="00CF1922">
        <w:rPr>
          <w:rFonts w:ascii="Calibri" w:eastAsia="Calibri" w:hAnsi="Calibri" w:cs="Calibri"/>
          <w:lang w:val="en-GB"/>
        </w:rPr>
        <w:t>, despite their inability to cover the treatment cost,</w:t>
      </w:r>
      <w:r w:rsidRPr="007E5BB1">
        <w:rPr>
          <w:rFonts w:ascii="Calibri" w:eastAsia="Calibri" w:hAnsi="Calibri" w:cs="Calibri"/>
          <w:lang w:val="en-GB"/>
        </w:rPr>
        <w:t xml:space="preserve"> do not have the necessary documents to register </w:t>
      </w:r>
      <w:r w:rsidR="00CF1922">
        <w:rPr>
          <w:rFonts w:ascii="Calibri" w:eastAsia="Calibri" w:hAnsi="Calibri" w:cs="Calibri"/>
          <w:lang w:val="en-GB"/>
        </w:rPr>
        <w:t xml:space="preserve">as Premium Assistance Beneficiaries. Even if they managed to register as </w:t>
      </w:r>
      <w:r w:rsidR="00C65A89">
        <w:rPr>
          <w:rFonts w:ascii="Calibri" w:eastAsia="Calibri" w:hAnsi="Calibri" w:cs="Calibri"/>
          <w:lang w:val="en-GB"/>
        </w:rPr>
        <w:t>such</w:t>
      </w:r>
      <w:r w:rsidR="00CF1922">
        <w:rPr>
          <w:rFonts w:ascii="Calibri" w:eastAsia="Calibri" w:hAnsi="Calibri" w:cs="Calibri"/>
          <w:lang w:val="en-GB"/>
        </w:rPr>
        <w:t xml:space="preserve">, the government </w:t>
      </w:r>
      <w:r w:rsidRPr="007E5BB1">
        <w:rPr>
          <w:rFonts w:ascii="Calibri" w:eastAsia="Calibri" w:hAnsi="Calibri" w:cs="Calibri"/>
          <w:lang w:val="en-GB"/>
        </w:rPr>
        <w:t>only covers two</w:t>
      </w:r>
      <w:r w:rsidR="007E07A4" w:rsidRPr="007E5BB1">
        <w:rPr>
          <w:rFonts w:ascii="Calibri" w:eastAsia="Calibri" w:hAnsi="Calibri" w:cs="Calibri"/>
          <w:lang w:val="en-GB"/>
        </w:rPr>
        <w:t xml:space="preserve"> </w:t>
      </w:r>
      <w:r w:rsidR="00CF1922">
        <w:rPr>
          <w:rFonts w:ascii="Calibri" w:eastAsia="Calibri" w:hAnsi="Calibri" w:cs="Calibri"/>
          <w:lang w:val="en-GB"/>
        </w:rPr>
        <w:t>treatment periods</w:t>
      </w:r>
      <w:r w:rsidR="007E07A4" w:rsidRPr="007E5BB1">
        <w:rPr>
          <w:rFonts w:ascii="Calibri" w:eastAsia="Calibri" w:hAnsi="Calibri" w:cs="Calibri"/>
          <w:lang w:val="en-GB"/>
        </w:rPr>
        <w:t xml:space="preserve"> – and it is unclear </w:t>
      </w:r>
      <w:r w:rsidR="005778B1" w:rsidRPr="007E5BB1">
        <w:rPr>
          <w:rFonts w:ascii="Calibri" w:eastAsia="Calibri" w:hAnsi="Calibri" w:cs="Calibri"/>
          <w:lang w:val="en-GB"/>
        </w:rPr>
        <w:t xml:space="preserve">how long each </w:t>
      </w:r>
      <w:r w:rsidR="00CF1922">
        <w:rPr>
          <w:rFonts w:ascii="Calibri" w:eastAsia="Calibri" w:hAnsi="Calibri" w:cs="Calibri"/>
          <w:lang w:val="en-GB"/>
        </w:rPr>
        <w:t>period</w:t>
      </w:r>
      <w:r w:rsidR="00CF1922" w:rsidRPr="007E5BB1">
        <w:rPr>
          <w:rFonts w:ascii="Calibri" w:eastAsia="Calibri" w:hAnsi="Calibri" w:cs="Calibri"/>
          <w:lang w:val="en-GB"/>
        </w:rPr>
        <w:t xml:space="preserve"> </w:t>
      </w:r>
      <w:r w:rsidR="005778B1" w:rsidRPr="007E5BB1">
        <w:rPr>
          <w:rFonts w:ascii="Calibri" w:eastAsia="Calibri" w:hAnsi="Calibri" w:cs="Calibri"/>
          <w:lang w:val="en-GB"/>
        </w:rPr>
        <w:t xml:space="preserve">is intended to last for; while people </w:t>
      </w:r>
      <w:r w:rsidR="002867BA">
        <w:rPr>
          <w:rFonts w:ascii="Calibri" w:eastAsia="Calibri" w:hAnsi="Calibri" w:cs="Calibri"/>
          <w:lang w:val="en-GB"/>
        </w:rPr>
        <w:t xml:space="preserve">who use drugs </w:t>
      </w:r>
      <w:r w:rsidR="005778B1" w:rsidRPr="007E5BB1">
        <w:rPr>
          <w:rFonts w:ascii="Calibri" w:eastAsia="Calibri" w:hAnsi="Calibri" w:cs="Calibri"/>
          <w:lang w:val="en-GB"/>
        </w:rPr>
        <w:t xml:space="preserve">may need </w:t>
      </w:r>
      <w:r w:rsidR="00CF1922">
        <w:rPr>
          <w:rFonts w:ascii="Calibri" w:eastAsia="Calibri" w:hAnsi="Calibri" w:cs="Calibri"/>
          <w:lang w:val="en-GB"/>
        </w:rPr>
        <w:t>to access medical rehabilitation for more than two treatment periods.</w:t>
      </w:r>
      <w:r w:rsidR="005778B1" w:rsidRPr="008D4BD5">
        <w:rPr>
          <w:rFonts w:ascii="Calibri" w:eastAsia="Calibri" w:hAnsi="Calibri" w:cs="Calibri"/>
          <w:color w:val="000000" w:themeColor="text1"/>
          <w:lang w:val="en-GB"/>
        </w:rPr>
        <w:t xml:space="preserve"> </w:t>
      </w:r>
      <w:r w:rsidR="005F4CBA" w:rsidRPr="008D4BD5">
        <w:rPr>
          <w:rFonts w:ascii="Calibri" w:eastAsia="Calibri" w:hAnsi="Calibri" w:cs="Calibri"/>
          <w:color w:val="000000" w:themeColor="text1"/>
          <w:lang w:val="en-GB"/>
        </w:rPr>
        <w:t xml:space="preserve">Furthermore, the national regulation on National Health Insurance still exclude illness caused by alcohol and drug </w:t>
      </w:r>
      <w:r w:rsidR="005F4CBA" w:rsidRPr="008D4BD5">
        <w:rPr>
          <w:rFonts w:ascii="Calibri" w:eastAsia="Calibri" w:hAnsi="Calibri" w:cs="Calibri"/>
          <w:color w:val="000000" w:themeColor="text1"/>
          <w:lang w:val="en-GB"/>
        </w:rPr>
        <w:lastRenderedPageBreak/>
        <w:t xml:space="preserve">dependency as part of their coverage. This </w:t>
      </w:r>
      <w:r w:rsidR="00066325" w:rsidRPr="008D4BD5">
        <w:rPr>
          <w:rFonts w:ascii="Calibri" w:eastAsia="Calibri" w:hAnsi="Calibri" w:cs="Calibri"/>
          <w:color w:val="000000" w:themeColor="text1"/>
          <w:lang w:val="en-GB"/>
        </w:rPr>
        <w:t xml:space="preserve">means, people who use drugs with low-income background will not be able to access </w:t>
      </w:r>
      <w:r w:rsidR="008D4BD5">
        <w:rPr>
          <w:rFonts w:ascii="Calibri" w:eastAsia="Calibri" w:hAnsi="Calibri" w:cs="Calibri"/>
          <w:color w:val="000000" w:themeColor="text1"/>
          <w:lang w:val="en-GB"/>
        </w:rPr>
        <w:t>further</w:t>
      </w:r>
      <w:r w:rsidR="00066325" w:rsidRPr="008D4BD5">
        <w:rPr>
          <w:rFonts w:ascii="Calibri" w:eastAsia="Calibri" w:hAnsi="Calibri" w:cs="Calibri"/>
          <w:color w:val="000000" w:themeColor="text1"/>
          <w:lang w:val="en-GB"/>
        </w:rPr>
        <w:t xml:space="preserve"> treatment, if needed.</w:t>
      </w:r>
    </w:p>
    <w:p w14:paraId="41D0F6C8" w14:textId="77777777" w:rsidR="008D4BD5" w:rsidRPr="007E5BB1" w:rsidRDefault="008D4BD5" w:rsidP="00EB5CD6">
      <w:pPr>
        <w:spacing w:before="240" w:after="240"/>
        <w:jc w:val="both"/>
        <w:rPr>
          <w:rFonts w:ascii="Calibri" w:eastAsia="Calibri" w:hAnsi="Calibri" w:cs="Calibri"/>
          <w:lang w:val="en-GB"/>
        </w:rPr>
      </w:pPr>
    </w:p>
    <w:p w14:paraId="00000045" w14:textId="60AF0EE4" w:rsidR="00F93E19" w:rsidRPr="007E5BB1" w:rsidRDefault="00164B41">
      <w:pPr>
        <w:numPr>
          <w:ilvl w:val="0"/>
          <w:numId w:val="2"/>
        </w:numPr>
        <w:spacing w:before="240" w:after="240"/>
        <w:rPr>
          <w:rFonts w:ascii="Calibri" w:eastAsia="Calibri" w:hAnsi="Calibri" w:cs="Calibri"/>
          <w:lang w:val="en-GB"/>
        </w:rPr>
      </w:pPr>
      <w:r>
        <w:rPr>
          <w:rFonts w:ascii="Calibri" w:eastAsia="Calibri" w:hAnsi="Calibri" w:cs="Calibri"/>
          <w:b/>
          <w:lang w:val="en-GB"/>
        </w:rPr>
        <w:t>Compulsory drug detention and t</w:t>
      </w:r>
      <w:r w:rsidR="007E5BB1" w:rsidRPr="007E5BB1">
        <w:rPr>
          <w:rFonts w:ascii="Calibri" w:eastAsia="Calibri" w:hAnsi="Calibri" w:cs="Calibri"/>
          <w:b/>
          <w:lang w:val="en-GB"/>
        </w:rPr>
        <w:t xml:space="preserve">reatment </w:t>
      </w:r>
    </w:p>
    <w:p w14:paraId="00000046" w14:textId="4AE90C7A" w:rsidR="00F93E19" w:rsidRPr="007E5BB1" w:rsidRDefault="007054C2">
      <w:pPr>
        <w:spacing w:before="240" w:after="240"/>
        <w:jc w:val="both"/>
        <w:rPr>
          <w:rFonts w:ascii="Calibri" w:eastAsia="Calibri" w:hAnsi="Calibri" w:cs="Calibri"/>
          <w:lang w:val="en-GB"/>
        </w:rPr>
      </w:pPr>
      <w:r w:rsidRPr="007E5BB1">
        <w:rPr>
          <w:rFonts w:ascii="Calibri" w:eastAsia="Calibri" w:hAnsi="Calibri" w:cs="Calibri"/>
          <w:lang w:val="en-GB"/>
        </w:rPr>
        <w:t xml:space="preserve">Compulsory drug treatment and rehabilitation have been </w:t>
      </w:r>
      <w:r w:rsidR="007E5BB1" w:rsidRPr="007E5BB1">
        <w:rPr>
          <w:rFonts w:ascii="Calibri" w:eastAsia="Calibri" w:hAnsi="Calibri" w:cs="Calibri"/>
          <w:lang w:val="en-GB"/>
        </w:rPr>
        <w:t>widely</w:t>
      </w:r>
      <w:r w:rsidRPr="007E5BB1">
        <w:rPr>
          <w:rFonts w:ascii="Calibri" w:eastAsia="Calibri" w:hAnsi="Calibri" w:cs="Calibri"/>
          <w:lang w:val="en-GB"/>
        </w:rPr>
        <w:t xml:space="preserve"> recognised by human rights bodies</w:t>
      </w:r>
      <w:r w:rsidR="007E5BB1" w:rsidRPr="007E5BB1">
        <w:rPr>
          <w:rFonts w:ascii="Calibri" w:eastAsia="Calibri" w:hAnsi="Calibri" w:cs="Calibri"/>
          <w:lang w:val="en-GB"/>
        </w:rPr>
        <w:t xml:space="preserve"> – including this Committee -</w:t>
      </w:r>
      <w:r w:rsidRPr="007E5BB1">
        <w:rPr>
          <w:rFonts w:ascii="Calibri" w:eastAsia="Calibri" w:hAnsi="Calibri" w:cs="Calibri"/>
          <w:lang w:val="en-GB"/>
        </w:rPr>
        <w:t xml:space="preserve"> as contravening fundamental tenets of the right to health, in addition to the prohibition against inhuman and degrading treatment and the prohibition of arbitrary detention.</w:t>
      </w:r>
      <w:r w:rsidRPr="007E5BB1">
        <w:rPr>
          <w:rFonts w:ascii="Calibri" w:eastAsia="Calibri" w:hAnsi="Calibri" w:cs="Calibri"/>
          <w:vertAlign w:val="superscript"/>
          <w:lang w:val="en-GB"/>
        </w:rPr>
        <w:footnoteReference w:id="37"/>
      </w:r>
      <w:r w:rsidR="00D96F15">
        <w:rPr>
          <w:rFonts w:ascii="Calibri" w:eastAsia="Calibri" w:hAnsi="Calibri" w:cs="Calibri"/>
          <w:lang w:val="en-GB"/>
        </w:rPr>
        <w:t xml:space="preserve"> </w:t>
      </w:r>
      <w:r w:rsidR="007E5BB1" w:rsidRPr="007E5BB1">
        <w:rPr>
          <w:rFonts w:ascii="Calibri" w:eastAsia="Calibri" w:hAnsi="Calibri" w:cs="Calibri"/>
          <w:lang w:val="en-GB"/>
        </w:rPr>
        <w:t>I</w:t>
      </w:r>
      <w:r w:rsidRPr="007E5BB1">
        <w:rPr>
          <w:rFonts w:ascii="Calibri" w:eastAsia="Calibri" w:hAnsi="Calibri" w:cs="Calibri"/>
          <w:lang w:val="en-GB"/>
        </w:rPr>
        <w:t>n</w:t>
      </w:r>
      <w:r w:rsidR="00764D72">
        <w:rPr>
          <w:rFonts w:ascii="Calibri" w:eastAsia="Calibri" w:hAnsi="Calibri" w:cs="Calibri"/>
          <w:lang w:val="en-GB"/>
        </w:rPr>
        <w:t xml:space="preserve"> 2012,</w:t>
      </w:r>
      <w:r w:rsidRPr="007E5BB1">
        <w:rPr>
          <w:rFonts w:ascii="Calibri" w:eastAsia="Calibri" w:hAnsi="Calibri" w:cs="Calibri"/>
          <w:lang w:val="en-GB"/>
        </w:rPr>
        <w:t xml:space="preserve"> twelve UN agencies – including OHCHR - called upon ‘States that operate compulsory drug detention and rehabilitation centres to close them without delay and to release the individuals detained’</w:t>
      </w:r>
      <w:r w:rsidR="007E5BB1" w:rsidRPr="007E5BB1">
        <w:rPr>
          <w:rFonts w:ascii="Calibri" w:eastAsia="Calibri" w:hAnsi="Calibri" w:cs="Calibri"/>
          <w:lang w:val="en-GB"/>
        </w:rPr>
        <w:t>;</w:t>
      </w:r>
      <w:r w:rsidRPr="007E5BB1">
        <w:rPr>
          <w:rFonts w:ascii="Calibri" w:eastAsia="Calibri" w:hAnsi="Calibri" w:cs="Calibri"/>
          <w:vertAlign w:val="superscript"/>
          <w:lang w:val="en-GB"/>
        </w:rPr>
        <w:footnoteReference w:id="38"/>
      </w:r>
      <w:r w:rsidR="007E5BB1" w:rsidRPr="007E5BB1">
        <w:rPr>
          <w:rFonts w:ascii="Calibri" w:eastAsia="Calibri" w:hAnsi="Calibri" w:cs="Calibri"/>
          <w:lang w:val="en-GB"/>
        </w:rPr>
        <w:t xml:space="preserve"> this call was reiterated in 2020,</w:t>
      </w:r>
      <w:r w:rsidR="00D96F15">
        <w:rPr>
          <w:rFonts w:ascii="Calibri" w:eastAsia="Calibri" w:hAnsi="Calibri" w:cs="Calibri"/>
          <w:lang w:val="en-GB"/>
        </w:rPr>
        <w:t xml:space="preserve"> with specific reference to Asia-Pacific,</w:t>
      </w:r>
      <w:r w:rsidR="007E5BB1" w:rsidRPr="007E5BB1">
        <w:rPr>
          <w:rFonts w:ascii="Calibri" w:eastAsia="Calibri" w:hAnsi="Calibri" w:cs="Calibri"/>
          <w:lang w:val="en-GB"/>
        </w:rPr>
        <w:t xml:space="preserve"> in the context of the COVID-19 pandemic.</w:t>
      </w:r>
      <w:r w:rsidR="007E5BB1" w:rsidRPr="007E5BB1">
        <w:rPr>
          <w:rStyle w:val="FootnoteReference"/>
          <w:rFonts w:ascii="Calibri" w:eastAsia="Calibri" w:hAnsi="Calibri" w:cs="Calibri"/>
          <w:lang w:val="en-GB"/>
        </w:rPr>
        <w:footnoteReference w:id="39"/>
      </w:r>
      <w:r w:rsidR="007E5BB1" w:rsidRPr="007E5BB1">
        <w:rPr>
          <w:rFonts w:ascii="Calibri" w:eastAsia="Calibri" w:hAnsi="Calibri" w:cs="Calibri"/>
          <w:lang w:val="en-GB"/>
        </w:rPr>
        <w:t xml:space="preserve"> </w:t>
      </w:r>
    </w:p>
    <w:p w14:paraId="3BD36D64" w14:textId="69F95C1B" w:rsidR="007E5BB1" w:rsidRPr="007E5BB1" w:rsidRDefault="007054C2" w:rsidP="007E5BB1">
      <w:pPr>
        <w:spacing w:before="240" w:after="240"/>
        <w:jc w:val="both"/>
        <w:rPr>
          <w:rFonts w:ascii="Calibri" w:eastAsia="Calibri" w:hAnsi="Calibri" w:cs="Calibri"/>
          <w:lang w:val="en-GB"/>
        </w:rPr>
      </w:pPr>
      <w:r w:rsidRPr="007E5BB1">
        <w:rPr>
          <w:rFonts w:ascii="Calibri" w:eastAsia="Calibri" w:hAnsi="Calibri" w:cs="Calibri"/>
          <w:lang w:val="en-GB"/>
        </w:rPr>
        <w:t>Narcotics Law 35/2009 and the Criminal Procedure Code envisage compulsory drug detention and rehabilitation (</w:t>
      </w:r>
      <w:r w:rsidR="00CB3261">
        <w:rPr>
          <w:rFonts w:ascii="Calibri" w:eastAsia="Calibri" w:hAnsi="Calibri" w:cs="Calibri"/>
          <w:lang w:val="en-GB"/>
        </w:rPr>
        <w:t xml:space="preserve">in </w:t>
      </w:r>
      <w:r w:rsidR="00C65A89">
        <w:rPr>
          <w:rFonts w:ascii="Calibri" w:eastAsia="Calibri" w:hAnsi="Calibri" w:cs="Calibri"/>
          <w:lang w:val="en-GB"/>
        </w:rPr>
        <w:t>the</w:t>
      </w:r>
      <w:r w:rsidR="00CB3261">
        <w:rPr>
          <w:rFonts w:ascii="Calibri" w:eastAsia="Calibri" w:hAnsi="Calibri" w:cs="Calibri"/>
          <w:lang w:val="en-GB"/>
        </w:rPr>
        <w:t xml:space="preserve"> form of </w:t>
      </w:r>
      <w:r w:rsidR="002053BC">
        <w:rPr>
          <w:rFonts w:ascii="Calibri" w:eastAsia="Calibri" w:hAnsi="Calibri" w:cs="Calibri"/>
          <w:lang w:val="en-GB"/>
        </w:rPr>
        <w:t>“</w:t>
      </w:r>
      <w:r w:rsidRPr="007E5BB1">
        <w:rPr>
          <w:rFonts w:ascii="Calibri" w:eastAsia="Calibri" w:hAnsi="Calibri" w:cs="Calibri"/>
          <w:lang w:val="en-GB"/>
        </w:rPr>
        <w:t>medical rehabilitation and social rehabilitation”) for people (a) convicted of drug use, (b) self-reporting to the authorities as drug users (compulsory since 2011), or (c) reported by their families</w:t>
      </w:r>
      <w:r w:rsidR="00CB3261">
        <w:rPr>
          <w:rFonts w:ascii="Calibri" w:eastAsia="Calibri" w:hAnsi="Calibri" w:cs="Calibri"/>
          <w:lang w:val="en-GB"/>
        </w:rPr>
        <w:t xml:space="preserve">, regardless whether or not they </w:t>
      </w:r>
      <w:r w:rsidR="00C65A89">
        <w:rPr>
          <w:rFonts w:ascii="Calibri" w:eastAsia="Calibri" w:hAnsi="Calibri" w:cs="Calibri"/>
          <w:lang w:val="en-GB"/>
        </w:rPr>
        <w:t>have drug dependence</w:t>
      </w:r>
      <w:r w:rsidRPr="007E5BB1">
        <w:rPr>
          <w:rFonts w:ascii="Calibri" w:eastAsia="Calibri" w:hAnsi="Calibri" w:cs="Calibri"/>
          <w:lang w:val="en-GB"/>
        </w:rPr>
        <w:t>.</w:t>
      </w:r>
      <w:r w:rsidRPr="007E5BB1">
        <w:rPr>
          <w:rFonts w:ascii="Calibri" w:eastAsia="Calibri" w:hAnsi="Calibri" w:cs="Calibri"/>
          <w:vertAlign w:val="superscript"/>
          <w:lang w:val="en-GB"/>
        </w:rPr>
        <w:footnoteReference w:id="40"/>
      </w:r>
      <w:r w:rsidR="007E5BB1" w:rsidRPr="007E5BB1">
        <w:rPr>
          <w:rFonts w:ascii="Calibri" w:eastAsia="Calibri" w:hAnsi="Calibri" w:cs="Calibri"/>
          <w:lang w:val="en-GB"/>
        </w:rPr>
        <w:t xml:space="preserve"> </w:t>
      </w:r>
      <w:r w:rsidRPr="007E5BB1">
        <w:rPr>
          <w:rFonts w:ascii="Calibri" w:eastAsia="Calibri" w:hAnsi="Calibri" w:cs="Calibri"/>
          <w:lang w:val="en-GB"/>
        </w:rPr>
        <w:t>Other technical provisions regulating drug treatment are:</w:t>
      </w:r>
    </w:p>
    <w:p w14:paraId="573E2644" w14:textId="77777777" w:rsidR="007E5BB1" w:rsidRPr="007E5BB1" w:rsidRDefault="007054C2" w:rsidP="007E5BB1">
      <w:pPr>
        <w:pStyle w:val="ListParagraph"/>
        <w:numPr>
          <w:ilvl w:val="0"/>
          <w:numId w:val="6"/>
        </w:numPr>
        <w:spacing w:before="240" w:after="240"/>
        <w:jc w:val="both"/>
        <w:rPr>
          <w:rFonts w:ascii="Calibri" w:eastAsia="Calibri" w:hAnsi="Calibri" w:cs="Calibri"/>
        </w:rPr>
      </w:pPr>
      <w:r w:rsidRPr="007E5BB1">
        <w:rPr>
          <w:rFonts w:ascii="Calibri" w:eastAsia="Calibri" w:hAnsi="Calibri" w:cs="Calibri"/>
        </w:rPr>
        <w:t>Circular Letter of Supreme Court Number 3/2011</w:t>
      </w:r>
      <w:r w:rsidR="007E5BB1" w:rsidRPr="007E5BB1">
        <w:rPr>
          <w:rFonts w:ascii="Calibri" w:eastAsia="Calibri" w:hAnsi="Calibri" w:cs="Calibri"/>
        </w:rPr>
        <w:t>;</w:t>
      </w:r>
    </w:p>
    <w:p w14:paraId="50EF4738" w14:textId="77777777" w:rsidR="007E5BB1" w:rsidRPr="007E5BB1" w:rsidRDefault="007054C2" w:rsidP="007E5BB1">
      <w:pPr>
        <w:pStyle w:val="ListParagraph"/>
        <w:numPr>
          <w:ilvl w:val="0"/>
          <w:numId w:val="6"/>
        </w:numPr>
        <w:spacing w:before="240" w:after="240"/>
        <w:jc w:val="both"/>
        <w:rPr>
          <w:rFonts w:ascii="Calibri" w:eastAsia="Calibri" w:hAnsi="Calibri" w:cs="Calibri"/>
        </w:rPr>
      </w:pPr>
      <w:r w:rsidRPr="007E5BB1">
        <w:rPr>
          <w:rFonts w:ascii="Calibri" w:eastAsia="Calibri" w:hAnsi="Calibri" w:cs="Calibri"/>
        </w:rPr>
        <w:t>Joint Decree of the Chief Justice of the Supreme Court, the Minister of Law and Human Rights, the Minister of Health, the Minister of Social Affairs, the Attorney General, the Chief of Indonesia National Police Agency, and the Head of National Narcotics Board Number 01/PB/MA/III/2014 a.k.a. Number 03/2014 a.k.a. Number 11/2014 a.k.a. Number 3/2014 a.k.a. Number PER-005/A/JA/03/2014 a.k.a. Number 1/2014 a.k.a. Number PERBER/01/III/2014/BNN</w:t>
      </w:r>
      <w:r w:rsidR="007E5BB1" w:rsidRPr="007E5BB1">
        <w:rPr>
          <w:rFonts w:ascii="Calibri" w:eastAsia="Calibri" w:hAnsi="Calibri" w:cs="Calibri"/>
        </w:rPr>
        <w:t>;</w:t>
      </w:r>
    </w:p>
    <w:p w14:paraId="53D622C9" w14:textId="77777777" w:rsidR="007E5BB1" w:rsidRPr="007E5BB1" w:rsidRDefault="007054C2" w:rsidP="007E5BB1">
      <w:pPr>
        <w:pStyle w:val="ListParagraph"/>
        <w:numPr>
          <w:ilvl w:val="0"/>
          <w:numId w:val="6"/>
        </w:numPr>
        <w:spacing w:before="240" w:after="240"/>
        <w:jc w:val="both"/>
        <w:rPr>
          <w:rFonts w:ascii="Calibri" w:eastAsia="Calibri" w:hAnsi="Calibri" w:cs="Calibri"/>
        </w:rPr>
      </w:pPr>
      <w:r w:rsidRPr="007E5BB1">
        <w:rPr>
          <w:rFonts w:ascii="Calibri" w:eastAsia="Calibri" w:hAnsi="Calibri" w:cs="Calibri"/>
        </w:rPr>
        <w:t>Regulation by the Head of National Narcotics Board Number 11/2014</w:t>
      </w:r>
      <w:r w:rsidR="007E5BB1" w:rsidRPr="007E5BB1">
        <w:rPr>
          <w:rFonts w:ascii="Calibri" w:eastAsia="Calibri" w:hAnsi="Calibri" w:cs="Calibri"/>
        </w:rPr>
        <w:t>;</w:t>
      </w:r>
    </w:p>
    <w:p w14:paraId="3B8DA356" w14:textId="174E1C40" w:rsidR="007E5BB1" w:rsidRPr="007E5BB1" w:rsidRDefault="007054C2" w:rsidP="007E5BB1">
      <w:pPr>
        <w:pStyle w:val="ListParagraph"/>
        <w:numPr>
          <w:ilvl w:val="0"/>
          <w:numId w:val="6"/>
        </w:numPr>
        <w:spacing w:before="240" w:after="240"/>
        <w:jc w:val="both"/>
        <w:rPr>
          <w:rFonts w:ascii="Calibri" w:eastAsia="Calibri" w:hAnsi="Calibri" w:cs="Calibri"/>
        </w:rPr>
      </w:pPr>
      <w:r w:rsidRPr="007E5BB1">
        <w:rPr>
          <w:rFonts w:ascii="Calibri" w:eastAsia="Calibri" w:hAnsi="Calibri" w:cs="Calibri"/>
        </w:rPr>
        <w:t>Attorney General Rule Number PER-29/A/JA/12/2015</w:t>
      </w:r>
      <w:r w:rsidR="007E5BB1" w:rsidRPr="007E5BB1">
        <w:rPr>
          <w:rFonts w:ascii="Calibri" w:eastAsia="Calibri" w:hAnsi="Calibri" w:cs="Calibri"/>
        </w:rPr>
        <w:t>;</w:t>
      </w:r>
      <w:r w:rsidR="002053BC">
        <w:rPr>
          <w:rFonts w:ascii="Calibri" w:eastAsia="Calibri" w:hAnsi="Calibri" w:cs="Calibri"/>
        </w:rPr>
        <w:t xml:space="preserve"> and</w:t>
      </w:r>
    </w:p>
    <w:p w14:paraId="0000004D" w14:textId="43BFEF36" w:rsidR="00F93E19" w:rsidRPr="007E5BB1" w:rsidRDefault="007054C2" w:rsidP="007E5BB1">
      <w:pPr>
        <w:pStyle w:val="ListParagraph"/>
        <w:numPr>
          <w:ilvl w:val="0"/>
          <w:numId w:val="6"/>
        </w:numPr>
        <w:spacing w:before="240" w:after="240"/>
        <w:jc w:val="both"/>
        <w:rPr>
          <w:rFonts w:ascii="Calibri" w:eastAsia="Calibri" w:hAnsi="Calibri" w:cs="Calibri"/>
        </w:rPr>
      </w:pPr>
      <w:r w:rsidRPr="007E5BB1">
        <w:rPr>
          <w:rFonts w:ascii="Calibri" w:eastAsia="Calibri" w:hAnsi="Calibri" w:cs="Calibri"/>
        </w:rPr>
        <w:t>Circular Letter of the Criminal Division of the Indonesia National Police Agency Number SE/01/II/2018/Bareskrim</w:t>
      </w:r>
      <w:r w:rsidR="007E5BB1" w:rsidRPr="007E5BB1">
        <w:rPr>
          <w:rFonts w:ascii="Calibri" w:eastAsia="Calibri" w:hAnsi="Calibri" w:cs="Calibri"/>
        </w:rPr>
        <w:t>.</w:t>
      </w:r>
    </w:p>
    <w:p w14:paraId="0000004E" w14:textId="1FBE66E5" w:rsidR="00F93E19" w:rsidRPr="007E5BB1" w:rsidRDefault="007054C2">
      <w:pPr>
        <w:spacing w:before="240" w:after="240"/>
        <w:jc w:val="both"/>
        <w:rPr>
          <w:rFonts w:ascii="Calibri" w:eastAsia="Calibri" w:hAnsi="Calibri" w:cs="Calibri"/>
          <w:lang w:val="en-GB"/>
        </w:rPr>
      </w:pPr>
      <w:r w:rsidRPr="007E5BB1">
        <w:rPr>
          <w:rFonts w:ascii="Calibri" w:eastAsia="Calibri" w:hAnsi="Calibri" w:cs="Calibri"/>
          <w:lang w:val="en-GB"/>
        </w:rPr>
        <w:lastRenderedPageBreak/>
        <w:t xml:space="preserve">According to these regulations, there are several factors that should be considered in order to admit people who use drugs into a drug treatment centre: (a) the amount of drug possessed; (b) </w:t>
      </w:r>
      <w:r w:rsidR="00B82DBD">
        <w:rPr>
          <w:rFonts w:ascii="Calibri" w:eastAsia="Calibri" w:hAnsi="Calibri" w:cs="Calibri"/>
          <w:lang w:val="en-GB"/>
        </w:rPr>
        <w:t xml:space="preserve">the result of </w:t>
      </w:r>
      <w:r w:rsidRPr="007E5BB1">
        <w:rPr>
          <w:rFonts w:ascii="Calibri" w:eastAsia="Calibri" w:hAnsi="Calibri" w:cs="Calibri"/>
          <w:lang w:val="en-GB"/>
        </w:rPr>
        <w:t>urine testing; and (c) the result of medical and psychological assessment to be performed by a team consisting of medical staff, psychologist</w:t>
      </w:r>
      <w:r w:rsidR="002053BC">
        <w:rPr>
          <w:rFonts w:ascii="Calibri" w:eastAsia="Calibri" w:hAnsi="Calibri" w:cs="Calibri"/>
          <w:lang w:val="en-GB"/>
        </w:rPr>
        <w:t>s</w:t>
      </w:r>
      <w:r w:rsidRPr="007E5BB1">
        <w:rPr>
          <w:rFonts w:ascii="Calibri" w:eastAsia="Calibri" w:hAnsi="Calibri" w:cs="Calibri"/>
          <w:lang w:val="en-GB"/>
        </w:rPr>
        <w:t>, and legal staff</w:t>
      </w:r>
      <w:r w:rsidR="00B82DBD">
        <w:rPr>
          <w:rFonts w:ascii="Calibri" w:eastAsia="Calibri" w:hAnsi="Calibri" w:cs="Calibri"/>
          <w:lang w:val="en-GB"/>
        </w:rPr>
        <w:t>, named as ‘Integrated Assessment Team’.</w:t>
      </w:r>
      <w:r w:rsidRPr="007E5BB1">
        <w:rPr>
          <w:rFonts w:ascii="Calibri" w:eastAsia="Calibri" w:hAnsi="Calibri" w:cs="Calibri"/>
          <w:lang w:val="en-GB"/>
        </w:rPr>
        <w:t xml:space="preserve"> The </w:t>
      </w:r>
      <w:r w:rsidR="00B82DBD">
        <w:rPr>
          <w:rFonts w:ascii="Calibri" w:eastAsia="Calibri" w:hAnsi="Calibri" w:cs="Calibri"/>
          <w:lang w:val="en-GB"/>
        </w:rPr>
        <w:t xml:space="preserve">assessment </w:t>
      </w:r>
      <w:r w:rsidRPr="007E5BB1">
        <w:rPr>
          <w:rFonts w:ascii="Calibri" w:eastAsia="Calibri" w:hAnsi="Calibri" w:cs="Calibri"/>
          <w:lang w:val="en-GB"/>
        </w:rPr>
        <w:t>team will decide whether the accused should be hospitalised (in case medical/psychological conditions emerged), admitted into drug treatment centres, or receive treatment in detention centres (depending on whether the amount of drug possessed is above or be</w:t>
      </w:r>
      <w:r w:rsidR="007E5BB1" w:rsidRPr="007E5BB1">
        <w:rPr>
          <w:rFonts w:ascii="Calibri" w:eastAsia="Calibri" w:hAnsi="Calibri" w:cs="Calibri"/>
          <w:lang w:val="en-GB"/>
        </w:rPr>
        <w:t>low certain thresholds). A</w:t>
      </w:r>
      <w:r w:rsidRPr="007E5BB1">
        <w:rPr>
          <w:rFonts w:ascii="Calibri" w:eastAsia="Calibri" w:hAnsi="Calibri" w:cs="Calibri"/>
          <w:lang w:val="en-GB"/>
        </w:rPr>
        <w:t xml:space="preserve"> 2016 report by the Indonesian Network ok People Who Use Drugs (PKNI) found that in many cases police investigators fail to arrange for such assessment, unless this is specifically requested by the family or non-governmental organisations. In these cases, the cost of the assessment and other costs</w:t>
      </w:r>
      <w:r w:rsidR="007E5BB1" w:rsidRPr="007E5BB1">
        <w:rPr>
          <w:rFonts w:ascii="Calibri" w:eastAsia="Calibri" w:hAnsi="Calibri" w:cs="Calibri"/>
          <w:lang w:val="en-GB"/>
        </w:rPr>
        <w:t xml:space="preserve"> will be borne by the family.</w:t>
      </w:r>
      <w:r w:rsidR="007E5BB1" w:rsidRPr="007E5BB1">
        <w:rPr>
          <w:rStyle w:val="FootnoteReference"/>
          <w:rFonts w:ascii="Calibri" w:eastAsia="Calibri" w:hAnsi="Calibri" w:cs="Calibri"/>
          <w:lang w:val="en-GB"/>
        </w:rPr>
        <w:footnoteReference w:id="41"/>
      </w:r>
    </w:p>
    <w:p w14:paraId="00000052" w14:textId="310DD1AE" w:rsidR="00F93E19" w:rsidRPr="007E5BB1" w:rsidRDefault="007054C2">
      <w:pPr>
        <w:spacing w:before="240" w:after="240"/>
        <w:jc w:val="both"/>
        <w:rPr>
          <w:rFonts w:ascii="Calibri" w:eastAsia="Calibri" w:hAnsi="Calibri" w:cs="Calibri"/>
          <w:lang w:val="en-GB"/>
        </w:rPr>
      </w:pPr>
      <w:r w:rsidRPr="007E5BB1">
        <w:rPr>
          <w:rFonts w:ascii="Calibri" w:eastAsia="Calibri" w:hAnsi="Calibri" w:cs="Calibri"/>
          <w:lang w:val="en-GB"/>
        </w:rPr>
        <w:t>The</w:t>
      </w:r>
      <w:r w:rsidR="007E5BB1" w:rsidRPr="007E5BB1">
        <w:rPr>
          <w:rFonts w:ascii="Calibri" w:eastAsia="Calibri" w:hAnsi="Calibri" w:cs="Calibri"/>
          <w:lang w:val="en-GB"/>
        </w:rPr>
        <w:t xml:space="preserve"> latest available data indicate</w:t>
      </w:r>
      <w:r w:rsidRPr="007E5BB1">
        <w:rPr>
          <w:rFonts w:ascii="Calibri" w:eastAsia="Calibri" w:hAnsi="Calibri" w:cs="Calibri"/>
          <w:lang w:val="en-GB"/>
        </w:rPr>
        <w:t xml:space="preserve"> that in 2017 over 18,000 people were detained in compulsory drug detention centres.</w:t>
      </w:r>
      <w:r w:rsidRPr="007E5BB1">
        <w:rPr>
          <w:rFonts w:ascii="Calibri" w:eastAsia="Calibri" w:hAnsi="Calibri" w:cs="Calibri"/>
          <w:vertAlign w:val="superscript"/>
          <w:lang w:val="en-GB"/>
        </w:rPr>
        <w:footnoteReference w:id="42"/>
      </w:r>
      <w:r w:rsidRPr="007E5BB1">
        <w:rPr>
          <w:rFonts w:ascii="Calibri" w:eastAsia="Calibri" w:hAnsi="Calibri" w:cs="Calibri"/>
          <w:lang w:val="en-GB"/>
        </w:rPr>
        <w:t xml:space="preserve"> Some of these centres operate within prisons and police and military training academies – against international human rights standards.</w:t>
      </w:r>
      <w:r w:rsidRPr="007E5BB1">
        <w:rPr>
          <w:rFonts w:ascii="Calibri" w:eastAsia="Calibri" w:hAnsi="Calibri" w:cs="Calibri"/>
          <w:vertAlign w:val="superscript"/>
          <w:lang w:val="en-GB"/>
        </w:rPr>
        <w:footnoteReference w:id="43"/>
      </w:r>
    </w:p>
    <w:p w14:paraId="00000053" w14:textId="5800D0C0" w:rsidR="00F93E19" w:rsidRPr="007E5BB1" w:rsidRDefault="007054C2">
      <w:pPr>
        <w:spacing w:before="240" w:after="240"/>
        <w:jc w:val="both"/>
        <w:rPr>
          <w:rFonts w:ascii="Calibri" w:eastAsia="Calibri" w:hAnsi="Calibri" w:cs="Calibri"/>
          <w:highlight w:val="white"/>
          <w:lang w:val="en-GB"/>
        </w:rPr>
      </w:pPr>
      <w:r w:rsidRPr="007E5BB1">
        <w:rPr>
          <w:rFonts w:ascii="Calibri" w:eastAsia="Calibri" w:hAnsi="Calibri" w:cs="Calibri"/>
          <w:lang w:val="en-GB"/>
        </w:rPr>
        <w:t>A 2018 regulation has also led to an increase in the detention of people who use drugs, who undergo a criminal trial for drug offences while</w:t>
      </w:r>
      <w:r w:rsidR="00B82DBD">
        <w:rPr>
          <w:rFonts w:ascii="Calibri" w:eastAsia="Calibri" w:hAnsi="Calibri" w:cs="Calibri"/>
          <w:lang w:val="en-GB"/>
        </w:rPr>
        <w:t xml:space="preserve"> the </w:t>
      </w:r>
      <w:r w:rsidRPr="007E5BB1">
        <w:rPr>
          <w:rFonts w:ascii="Calibri" w:eastAsia="Calibri" w:hAnsi="Calibri" w:cs="Calibri"/>
          <w:lang w:val="en-GB"/>
        </w:rPr>
        <w:t>assessment team decides on their rehabilitation</w:t>
      </w:r>
      <w:r w:rsidR="001C60A8">
        <w:rPr>
          <w:rFonts w:ascii="Calibri" w:eastAsia="Calibri" w:hAnsi="Calibri" w:cs="Calibri"/>
          <w:lang w:val="en-GB"/>
        </w:rPr>
        <w:t xml:space="preserve"> status</w:t>
      </w:r>
      <w:r w:rsidRPr="007E5BB1">
        <w:rPr>
          <w:rFonts w:ascii="Calibri" w:eastAsia="Calibri" w:hAnsi="Calibri" w:cs="Calibri"/>
          <w:lang w:val="en-GB"/>
        </w:rPr>
        <w:t xml:space="preserve">. The institutionalisation of </w:t>
      </w:r>
      <w:r w:rsidR="001C60A8">
        <w:rPr>
          <w:rFonts w:ascii="Calibri" w:eastAsia="Calibri" w:hAnsi="Calibri" w:cs="Calibri"/>
          <w:lang w:val="en-GB"/>
        </w:rPr>
        <w:t>the</w:t>
      </w:r>
      <w:r w:rsidR="001C60A8" w:rsidRPr="007E5BB1">
        <w:rPr>
          <w:rFonts w:ascii="Calibri" w:eastAsia="Calibri" w:hAnsi="Calibri" w:cs="Calibri"/>
          <w:lang w:val="en-GB"/>
        </w:rPr>
        <w:t xml:space="preserve"> </w:t>
      </w:r>
      <w:r w:rsidRPr="007E5BB1">
        <w:rPr>
          <w:rFonts w:ascii="Calibri" w:eastAsia="Calibri" w:hAnsi="Calibri" w:cs="Calibri"/>
          <w:lang w:val="en-GB"/>
        </w:rPr>
        <w:t>assessment teams is expected to reduce the capacity of such teams – thus impacting on the assessment process. As a consequence, the Indonesia Ombudsman concluded that that the decision of placing people who use drugs in the rehabilitation centres will be subject to the risk of maladministration.</w:t>
      </w:r>
      <w:r w:rsidRPr="007E5BB1">
        <w:rPr>
          <w:rFonts w:ascii="Calibri" w:eastAsia="Calibri" w:hAnsi="Calibri" w:cs="Calibri"/>
          <w:vertAlign w:val="superscript"/>
          <w:lang w:val="en-GB"/>
        </w:rPr>
        <w:footnoteReference w:id="44"/>
      </w:r>
    </w:p>
    <w:p w14:paraId="00000055" w14:textId="6200712D" w:rsidR="00F93E19" w:rsidRDefault="007054C2" w:rsidP="00764D72">
      <w:pPr>
        <w:spacing w:before="240" w:after="240"/>
        <w:jc w:val="both"/>
        <w:rPr>
          <w:rFonts w:ascii="Calibri" w:eastAsia="Calibri" w:hAnsi="Calibri" w:cs="Calibri"/>
          <w:lang w:val="en-GB"/>
        </w:rPr>
      </w:pPr>
      <w:r w:rsidRPr="007E5BB1">
        <w:rPr>
          <w:rFonts w:ascii="Calibri" w:eastAsia="Calibri" w:hAnsi="Calibri" w:cs="Calibri"/>
          <w:highlight w:val="white"/>
          <w:lang w:val="en-GB"/>
        </w:rPr>
        <w:t>“Treatment” in drug detention centres is non-evidence based</w:t>
      </w:r>
      <w:r w:rsidR="002053BC">
        <w:rPr>
          <w:rFonts w:ascii="Calibri" w:eastAsia="Calibri" w:hAnsi="Calibri" w:cs="Calibri"/>
          <w:highlight w:val="white"/>
          <w:lang w:val="en-GB"/>
        </w:rPr>
        <w:t>,</w:t>
      </w:r>
      <w:r w:rsidRPr="007E5BB1">
        <w:rPr>
          <w:rFonts w:ascii="Calibri" w:eastAsia="Calibri" w:hAnsi="Calibri" w:cs="Calibri"/>
          <w:highlight w:val="white"/>
          <w:lang w:val="en-GB"/>
        </w:rPr>
        <w:t xml:space="preserve"> and centred around abstinence and punishment, while essential medicines – such as methadone and antiretroviral treatment – are often unavailable or withheld. In addition, inhuman and degrading treatment was reported in these centres, in the form of “forced urine testing, corruption, extortion, intimidation, and confidentiality breaches”.</w:t>
      </w:r>
      <w:r w:rsidR="002053BC">
        <w:rPr>
          <w:rStyle w:val="FootnoteReference"/>
          <w:rFonts w:ascii="Calibri" w:eastAsia="Calibri" w:hAnsi="Calibri" w:cs="Calibri"/>
          <w:highlight w:val="white"/>
          <w:lang w:val="en-GB"/>
        </w:rPr>
        <w:footnoteReference w:id="45"/>
      </w:r>
      <w:r w:rsidRPr="007E5BB1">
        <w:rPr>
          <w:rFonts w:ascii="Calibri" w:eastAsia="Calibri" w:hAnsi="Calibri" w:cs="Calibri"/>
          <w:highlight w:val="white"/>
          <w:lang w:val="en-GB"/>
        </w:rPr>
        <w:t xml:space="preserve"> Physical and verbal abuse – although not widespread – have also been report</w:t>
      </w:r>
      <w:r w:rsidR="002053BC">
        <w:rPr>
          <w:rFonts w:ascii="Calibri" w:eastAsia="Calibri" w:hAnsi="Calibri" w:cs="Calibri"/>
          <w:highlight w:val="white"/>
          <w:lang w:val="en-GB"/>
        </w:rPr>
        <w:t>ed, often as part of “treatment”</w:t>
      </w:r>
      <w:r w:rsidRPr="007E5BB1">
        <w:rPr>
          <w:rFonts w:ascii="Calibri" w:eastAsia="Calibri" w:hAnsi="Calibri" w:cs="Calibri"/>
          <w:highlight w:val="white"/>
          <w:lang w:val="en-GB"/>
        </w:rPr>
        <w:t>.</w:t>
      </w:r>
      <w:r w:rsidRPr="007E5BB1">
        <w:rPr>
          <w:rFonts w:ascii="Calibri" w:eastAsia="Calibri" w:hAnsi="Calibri" w:cs="Calibri"/>
          <w:highlight w:val="white"/>
          <w:vertAlign w:val="superscript"/>
          <w:lang w:val="en-GB"/>
        </w:rPr>
        <w:footnoteReference w:id="46"/>
      </w:r>
    </w:p>
    <w:p w14:paraId="4602C40F" w14:textId="73283ED3" w:rsidR="008D4BD5" w:rsidRDefault="008D4BD5" w:rsidP="00764D72">
      <w:pPr>
        <w:spacing w:before="240" w:after="240"/>
        <w:jc w:val="both"/>
        <w:rPr>
          <w:rFonts w:ascii="Calibri" w:eastAsia="Calibri" w:hAnsi="Calibri" w:cs="Calibri"/>
          <w:lang w:val="en-GB"/>
        </w:rPr>
      </w:pPr>
    </w:p>
    <w:p w14:paraId="69FF1A83" w14:textId="77777777" w:rsidR="008D4BD5" w:rsidRPr="007E5BB1" w:rsidRDefault="008D4BD5" w:rsidP="00764D72">
      <w:pPr>
        <w:spacing w:before="240" w:after="240"/>
        <w:jc w:val="both"/>
        <w:rPr>
          <w:i/>
          <w:lang w:val="en-GB"/>
        </w:rPr>
      </w:pPr>
    </w:p>
    <w:p w14:paraId="00000056" w14:textId="7647A68C" w:rsidR="00F93E19" w:rsidRPr="007E5BB1" w:rsidRDefault="007E5BB1">
      <w:pPr>
        <w:numPr>
          <w:ilvl w:val="0"/>
          <w:numId w:val="2"/>
        </w:numPr>
        <w:spacing w:before="240" w:after="240"/>
        <w:rPr>
          <w:rFonts w:ascii="Calibri" w:eastAsia="Calibri" w:hAnsi="Calibri" w:cs="Calibri"/>
          <w:lang w:val="en-GB"/>
        </w:rPr>
      </w:pPr>
      <w:r w:rsidRPr="007E5BB1">
        <w:rPr>
          <w:rFonts w:ascii="Calibri" w:eastAsia="Calibri" w:hAnsi="Calibri" w:cs="Calibri"/>
          <w:b/>
          <w:lang w:val="en-GB"/>
        </w:rPr>
        <w:t>Private drug treatment centres and state monitoring</w:t>
      </w:r>
      <w:r w:rsidR="00164B41">
        <w:rPr>
          <w:rFonts w:ascii="Calibri" w:eastAsia="Calibri" w:hAnsi="Calibri" w:cs="Calibri"/>
          <w:b/>
          <w:lang w:val="en-GB"/>
        </w:rPr>
        <w:t xml:space="preserve"> </w:t>
      </w:r>
    </w:p>
    <w:p w14:paraId="00000057" w14:textId="77777777" w:rsidR="00F93E19" w:rsidRPr="007E5BB1" w:rsidRDefault="007054C2">
      <w:pPr>
        <w:spacing w:before="240" w:after="240"/>
        <w:jc w:val="both"/>
        <w:rPr>
          <w:rFonts w:ascii="Calibri" w:eastAsia="Calibri" w:hAnsi="Calibri" w:cs="Calibri"/>
          <w:lang w:val="en-GB"/>
        </w:rPr>
      </w:pPr>
      <w:r w:rsidRPr="007E5BB1">
        <w:rPr>
          <w:rFonts w:ascii="Calibri" w:eastAsia="Calibri" w:hAnsi="Calibri" w:cs="Calibri"/>
          <w:lang w:val="en-GB"/>
        </w:rPr>
        <w:lastRenderedPageBreak/>
        <w:t>When drug treatment is provided by private institutions, governments retain obligations to regulate and monitor such institutions, ensuring that patients are treated with dignity and in conformity with their fundamental rights, and hold perpetrators of abuses accountable.</w:t>
      </w:r>
    </w:p>
    <w:p w14:paraId="00000058" w14:textId="0A711AB5" w:rsidR="00F93E19" w:rsidRPr="007E5BB1" w:rsidRDefault="007054C2">
      <w:pPr>
        <w:spacing w:before="240" w:after="240"/>
        <w:jc w:val="both"/>
        <w:rPr>
          <w:rFonts w:ascii="Calibri" w:eastAsia="Calibri" w:hAnsi="Calibri" w:cs="Calibri"/>
          <w:lang w:val="en-GB"/>
        </w:rPr>
      </w:pPr>
      <w:r w:rsidRPr="007E5BB1">
        <w:rPr>
          <w:rFonts w:ascii="Calibri" w:eastAsia="Calibri" w:hAnsi="Calibri" w:cs="Calibri"/>
          <w:lang w:val="en-GB"/>
        </w:rPr>
        <w:t>In addition to public compulsory detention and drug rehabilitation centres, dozens of private rehabilitation centres operate in Indonesia</w:t>
      </w:r>
      <w:r w:rsidR="001C60A8">
        <w:rPr>
          <w:rFonts w:ascii="Calibri" w:eastAsia="Calibri" w:hAnsi="Calibri" w:cs="Calibri"/>
          <w:lang w:val="en-GB"/>
        </w:rPr>
        <w:t>,</w:t>
      </w:r>
      <w:r w:rsidR="00C65A89">
        <w:rPr>
          <w:rFonts w:ascii="Calibri" w:eastAsia="Calibri" w:hAnsi="Calibri" w:cs="Calibri"/>
          <w:lang w:val="en-GB"/>
        </w:rPr>
        <w:t xml:space="preserve"> including several claiming to be ‘community-based’ rehabilitation centres despite not fulfilling the criteria of a community-based rehabilitation program.</w:t>
      </w:r>
      <w:r w:rsidR="001C60A8" w:rsidRPr="007E5BB1">
        <w:rPr>
          <w:rFonts w:ascii="Calibri" w:eastAsia="Calibri" w:hAnsi="Calibri" w:cs="Calibri"/>
          <w:vertAlign w:val="superscript"/>
          <w:lang w:val="en-GB"/>
        </w:rPr>
        <w:footnoteReference w:id="47"/>
      </w:r>
      <w:r w:rsidRPr="007E5BB1">
        <w:rPr>
          <w:rFonts w:ascii="Calibri" w:eastAsia="Calibri" w:hAnsi="Calibri" w:cs="Calibri"/>
          <w:lang w:val="en-GB"/>
        </w:rPr>
        <w:t xml:space="preserve"> Although little information exists on these centres, non-governmental actors report varying degrees of quality of the infrastructures and the treatment provided. Most centres are </w:t>
      </w:r>
      <w:r w:rsidR="002053BC">
        <w:rPr>
          <w:rFonts w:ascii="Calibri" w:eastAsia="Calibri" w:hAnsi="Calibri" w:cs="Calibri"/>
          <w:lang w:val="en-GB"/>
        </w:rPr>
        <w:t>centered around</w:t>
      </w:r>
      <w:r w:rsidRPr="007E5BB1">
        <w:rPr>
          <w:rFonts w:ascii="Calibri" w:eastAsia="Calibri" w:hAnsi="Calibri" w:cs="Calibri"/>
          <w:lang w:val="en-GB"/>
        </w:rPr>
        <w:t xml:space="preserve"> abstinence and impose non-evidence based forms of treatment which are often degrading, including</w:t>
      </w:r>
      <w:r w:rsidRPr="007E5BB1">
        <w:rPr>
          <w:rFonts w:ascii="Calibri" w:eastAsia="Calibri" w:hAnsi="Calibri" w:cs="Calibri"/>
          <w:highlight w:val="white"/>
          <w:lang w:val="en-GB"/>
        </w:rPr>
        <w:t xml:space="preserve"> “magic, prayer, beatings, and shackling drug users in cages with a ball and chain.</w:t>
      </w:r>
      <w:r w:rsidRPr="007E5BB1">
        <w:rPr>
          <w:rFonts w:ascii="Calibri" w:eastAsia="Calibri" w:hAnsi="Calibri" w:cs="Calibri"/>
          <w:color w:val="383838"/>
          <w:highlight w:val="white"/>
          <w:lang w:val="en-GB"/>
        </w:rPr>
        <w:t>”</w:t>
      </w:r>
      <w:r w:rsidRPr="007E5BB1">
        <w:rPr>
          <w:rFonts w:ascii="Calibri" w:eastAsia="Calibri" w:hAnsi="Calibri" w:cs="Calibri"/>
          <w:color w:val="383838"/>
          <w:highlight w:val="white"/>
          <w:vertAlign w:val="superscript"/>
          <w:lang w:val="en-GB"/>
        </w:rPr>
        <w:footnoteReference w:id="48"/>
      </w:r>
    </w:p>
    <w:p w14:paraId="44CA0D84" w14:textId="77777777" w:rsidR="00C65A89" w:rsidRDefault="007054C2" w:rsidP="003636CB">
      <w:pPr>
        <w:spacing w:before="240" w:after="240"/>
        <w:jc w:val="both"/>
        <w:rPr>
          <w:rFonts w:ascii="Calibri" w:eastAsia="Calibri" w:hAnsi="Calibri" w:cs="Calibri"/>
          <w:lang w:val="en-GB"/>
        </w:rPr>
      </w:pPr>
      <w:r w:rsidRPr="007E5BB1">
        <w:rPr>
          <w:rFonts w:ascii="Calibri" w:eastAsia="Calibri" w:hAnsi="Calibri" w:cs="Calibri"/>
          <w:lang w:val="en-GB"/>
        </w:rPr>
        <w:t xml:space="preserve">In 2021, AKSI documented extortion in private rehabilitation institutions in 34 </w:t>
      </w:r>
      <w:r w:rsidR="003636CB">
        <w:rPr>
          <w:rFonts w:ascii="Calibri" w:eastAsia="Calibri" w:hAnsi="Calibri" w:cs="Calibri"/>
          <w:lang w:val="en-GB"/>
        </w:rPr>
        <w:t>out of 59 cases reported to the organisation,</w:t>
      </w:r>
      <w:r w:rsidRPr="007E5BB1">
        <w:rPr>
          <w:rFonts w:ascii="Calibri" w:eastAsia="Calibri" w:hAnsi="Calibri" w:cs="Calibri"/>
          <w:lang w:val="en-GB"/>
        </w:rPr>
        <w:t xml:space="preserve"> or about 58%. </w:t>
      </w:r>
      <w:r w:rsidR="003636CB">
        <w:rPr>
          <w:rFonts w:ascii="Calibri" w:eastAsia="Calibri" w:hAnsi="Calibri" w:cs="Calibri"/>
          <w:lang w:val="en-GB"/>
        </w:rPr>
        <w:t xml:space="preserve">Among others, AKSI has collected evidence of </w:t>
      </w:r>
      <w:r w:rsidRPr="007E5BB1">
        <w:rPr>
          <w:rFonts w:ascii="Calibri" w:eastAsia="Calibri" w:hAnsi="Calibri" w:cs="Calibri"/>
          <w:lang w:val="en-GB"/>
        </w:rPr>
        <w:t>police refer</w:t>
      </w:r>
      <w:r w:rsidR="003636CB">
        <w:rPr>
          <w:rFonts w:ascii="Calibri" w:eastAsia="Calibri" w:hAnsi="Calibri" w:cs="Calibri"/>
          <w:lang w:val="en-GB"/>
        </w:rPr>
        <w:t>ring</w:t>
      </w:r>
      <w:r w:rsidRPr="007E5BB1">
        <w:rPr>
          <w:rFonts w:ascii="Calibri" w:eastAsia="Calibri" w:hAnsi="Calibri" w:cs="Calibri"/>
          <w:lang w:val="en-GB"/>
        </w:rPr>
        <w:t xml:space="preserve"> people who use drugs caught without evidence and positive urine tests to these institutions</w:t>
      </w:r>
      <w:r w:rsidR="003636CB">
        <w:rPr>
          <w:rFonts w:ascii="Calibri" w:eastAsia="Calibri" w:hAnsi="Calibri" w:cs="Calibri"/>
          <w:lang w:val="en-GB"/>
        </w:rPr>
        <w:t>, rather than to</w:t>
      </w:r>
      <w:r w:rsidRPr="007E5BB1">
        <w:rPr>
          <w:rFonts w:ascii="Calibri" w:eastAsia="Calibri" w:hAnsi="Calibri" w:cs="Calibri"/>
          <w:lang w:val="en-GB"/>
        </w:rPr>
        <w:t xml:space="preserve"> government institutions</w:t>
      </w:r>
      <w:r w:rsidR="003636CB">
        <w:rPr>
          <w:rFonts w:ascii="Calibri" w:eastAsia="Calibri" w:hAnsi="Calibri" w:cs="Calibri"/>
          <w:lang w:val="en-GB"/>
        </w:rPr>
        <w:t>, often in exchange for money. Many of these private institutions</w:t>
      </w:r>
      <w:r w:rsidRPr="007E5BB1">
        <w:rPr>
          <w:rFonts w:ascii="Calibri" w:eastAsia="Calibri" w:hAnsi="Calibri" w:cs="Calibri"/>
          <w:lang w:val="en-GB"/>
        </w:rPr>
        <w:t xml:space="preserve"> do not have a clear treatment plan</w:t>
      </w:r>
      <w:r w:rsidR="003636CB">
        <w:rPr>
          <w:rFonts w:ascii="Calibri" w:eastAsia="Calibri" w:hAnsi="Calibri" w:cs="Calibri"/>
          <w:lang w:val="en-GB"/>
        </w:rPr>
        <w:t>, and extort families - the more significant the payment</w:t>
      </w:r>
      <w:r w:rsidRPr="007E5BB1">
        <w:rPr>
          <w:rFonts w:ascii="Calibri" w:eastAsia="Calibri" w:hAnsi="Calibri" w:cs="Calibri"/>
          <w:lang w:val="en-GB"/>
        </w:rPr>
        <w:t xml:space="preserve">, the faster people who use drugs </w:t>
      </w:r>
      <w:r w:rsidR="003636CB">
        <w:rPr>
          <w:rFonts w:ascii="Calibri" w:eastAsia="Calibri" w:hAnsi="Calibri" w:cs="Calibri"/>
          <w:lang w:val="en-GB"/>
        </w:rPr>
        <w:t>will be released</w:t>
      </w:r>
      <w:r w:rsidRPr="007E5BB1">
        <w:rPr>
          <w:rFonts w:ascii="Calibri" w:eastAsia="Calibri" w:hAnsi="Calibri" w:cs="Calibri"/>
          <w:lang w:val="en-GB"/>
        </w:rPr>
        <w:t>.</w:t>
      </w:r>
      <w:r w:rsidR="006C1638">
        <w:rPr>
          <w:rFonts w:ascii="Calibri" w:eastAsia="Calibri" w:hAnsi="Calibri" w:cs="Calibri"/>
          <w:lang w:val="en-GB"/>
        </w:rPr>
        <w:t xml:space="preserve"> </w:t>
      </w:r>
    </w:p>
    <w:p w14:paraId="0000005A" w14:textId="6DFAACF4" w:rsidR="00F93E19" w:rsidRPr="003636CB" w:rsidRDefault="006C1638" w:rsidP="003636CB">
      <w:pPr>
        <w:spacing w:before="240" w:after="240"/>
        <w:jc w:val="both"/>
        <w:rPr>
          <w:rFonts w:ascii="Calibri" w:eastAsia="Calibri" w:hAnsi="Calibri" w:cs="Calibri"/>
          <w:shd w:val="clear" w:color="auto" w:fill="A2C4C9"/>
          <w:lang w:val="en-GB"/>
        </w:rPr>
      </w:pPr>
      <w:r>
        <w:rPr>
          <w:rFonts w:ascii="Calibri" w:eastAsia="Calibri" w:hAnsi="Calibri" w:cs="Calibri"/>
          <w:lang w:val="en-GB"/>
        </w:rPr>
        <w:t>Indonesian government’s evaluation and monitoring of such rehabilitation centres is little to non-existent, which further enables the rehabilitation providers to continue their non-evidence based</w:t>
      </w:r>
      <w:r w:rsidR="002B0744">
        <w:rPr>
          <w:rFonts w:ascii="Calibri" w:eastAsia="Calibri" w:hAnsi="Calibri" w:cs="Calibri"/>
          <w:lang w:val="en-GB"/>
        </w:rPr>
        <w:t>, degrading, and, to certain extent, abusive treatment towards people accessing their services.</w:t>
      </w:r>
    </w:p>
    <w:p w14:paraId="0000005B" w14:textId="3501B701" w:rsidR="00F93E19" w:rsidRPr="007E5BB1" w:rsidRDefault="003636CB">
      <w:pPr>
        <w:numPr>
          <w:ilvl w:val="0"/>
          <w:numId w:val="2"/>
        </w:numPr>
        <w:spacing w:after="240"/>
        <w:rPr>
          <w:lang w:val="en-GB"/>
        </w:rPr>
      </w:pPr>
      <w:r>
        <w:rPr>
          <w:rFonts w:ascii="Calibri" w:eastAsia="Calibri" w:hAnsi="Calibri" w:cs="Calibri"/>
          <w:b/>
          <w:lang w:val="en-GB"/>
        </w:rPr>
        <w:t>Drug treatment and rehabilitation services for children who use drugs</w:t>
      </w:r>
      <w:r w:rsidR="00164B41">
        <w:rPr>
          <w:rFonts w:ascii="Calibri" w:eastAsia="Calibri" w:hAnsi="Calibri" w:cs="Calibri"/>
          <w:b/>
          <w:lang w:val="en-GB"/>
        </w:rPr>
        <w:t xml:space="preserve"> </w:t>
      </w:r>
    </w:p>
    <w:p w14:paraId="0000005C" w14:textId="245926AB" w:rsidR="00F93E19" w:rsidRPr="007E5BB1" w:rsidRDefault="003636CB">
      <w:pPr>
        <w:spacing w:after="240"/>
        <w:jc w:val="both"/>
        <w:rPr>
          <w:rFonts w:ascii="Calibri" w:eastAsia="Calibri" w:hAnsi="Calibri" w:cs="Calibri"/>
          <w:lang w:val="en-GB"/>
        </w:rPr>
      </w:pPr>
      <w:r>
        <w:rPr>
          <w:rFonts w:ascii="Calibri" w:eastAsia="Calibri" w:hAnsi="Calibri" w:cs="Calibri"/>
          <w:lang w:val="en-GB"/>
        </w:rPr>
        <w:t>The Convention on the Rights of the Child (CRC) provides that governments</w:t>
      </w:r>
      <w:r w:rsidR="007054C2" w:rsidRPr="007E5BB1">
        <w:rPr>
          <w:rFonts w:ascii="Calibri" w:eastAsia="Calibri" w:hAnsi="Calibri" w:cs="Calibri"/>
          <w:lang w:val="en-GB"/>
        </w:rPr>
        <w:t xml:space="preserve"> shall protect children </w:t>
      </w:r>
      <w:r>
        <w:rPr>
          <w:rFonts w:ascii="Calibri" w:eastAsia="Calibri" w:hAnsi="Calibri" w:cs="Calibri"/>
          <w:lang w:val="en-GB"/>
        </w:rPr>
        <w:t>from illicit use,</w:t>
      </w:r>
      <w:r w:rsidR="007054C2" w:rsidRPr="007E5BB1">
        <w:rPr>
          <w:rFonts w:ascii="Calibri" w:eastAsia="Calibri" w:hAnsi="Calibri" w:cs="Calibri"/>
          <w:lang w:val="en-GB"/>
        </w:rPr>
        <w:t xml:space="preserve"> trafficking</w:t>
      </w:r>
      <w:r>
        <w:rPr>
          <w:rFonts w:ascii="Calibri" w:eastAsia="Calibri" w:hAnsi="Calibri" w:cs="Calibri"/>
          <w:lang w:val="en-GB"/>
        </w:rPr>
        <w:t xml:space="preserve">, and production of drugs; while the </w:t>
      </w:r>
      <w:r w:rsidR="007054C2" w:rsidRPr="007E5BB1">
        <w:rPr>
          <w:rFonts w:ascii="Calibri" w:eastAsia="Calibri" w:hAnsi="Calibri" w:cs="Calibri"/>
          <w:lang w:val="en-GB"/>
        </w:rPr>
        <w:t>Beijing Rules</w:t>
      </w:r>
      <w:r>
        <w:rPr>
          <w:rFonts w:ascii="Calibri" w:eastAsia="Calibri" w:hAnsi="Calibri" w:cs="Calibri"/>
          <w:lang w:val="en-GB"/>
        </w:rPr>
        <w:t xml:space="preserve"> clarify that in relation to the imposition of criminal sanctions, the state’s primary goals</w:t>
      </w:r>
      <w:r w:rsidR="007054C2" w:rsidRPr="007E5BB1">
        <w:rPr>
          <w:rFonts w:ascii="Calibri" w:eastAsia="Calibri" w:hAnsi="Calibri" w:cs="Calibri"/>
          <w:lang w:val="en-GB"/>
        </w:rPr>
        <w:t xml:space="preserve"> are to protect the well-being of the children</w:t>
      </w:r>
      <w:r>
        <w:rPr>
          <w:rFonts w:ascii="Calibri" w:eastAsia="Calibri" w:hAnsi="Calibri" w:cs="Calibri"/>
          <w:lang w:val="en-GB"/>
        </w:rPr>
        <w:t>,</w:t>
      </w:r>
      <w:r w:rsidR="007054C2" w:rsidRPr="007E5BB1">
        <w:rPr>
          <w:rFonts w:ascii="Calibri" w:eastAsia="Calibri" w:hAnsi="Calibri" w:cs="Calibri"/>
          <w:lang w:val="en-GB"/>
        </w:rPr>
        <w:t xml:space="preserve"> and diversion from the criminal justice system.</w:t>
      </w:r>
      <w:r w:rsidR="007054C2" w:rsidRPr="007E5BB1">
        <w:rPr>
          <w:rFonts w:ascii="Calibri" w:eastAsia="Calibri" w:hAnsi="Calibri" w:cs="Calibri"/>
          <w:vertAlign w:val="superscript"/>
          <w:lang w:val="en-GB"/>
        </w:rPr>
        <w:footnoteReference w:id="49"/>
      </w:r>
    </w:p>
    <w:p w14:paraId="0000005D" w14:textId="07153683" w:rsidR="00F93E19" w:rsidRPr="007E5BB1" w:rsidRDefault="003636CB">
      <w:pPr>
        <w:spacing w:before="240" w:after="240"/>
        <w:jc w:val="both"/>
        <w:rPr>
          <w:rFonts w:ascii="Calibri" w:eastAsia="Calibri" w:hAnsi="Calibri" w:cs="Calibri"/>
          <w:lang w:val="en-GB"/>
        </w:rPr>
      </w:pPr>
      <w:r w:rsidRPr="00C65A89">
        <w:rPr>
          <w:rFonts w:ascii="Calibri" w:eastAsia="Calibri" w:hAnsi="Calibri" w:cs="Calibri"/>
          <w:lang w:val="en-GB"/>
        </w:rPr>
        <w:t xml:space="preserve">Indonesia’s </w:t>
      </w:r>
      <w:r w:rsidR="007054C2" w:rsidRPr="00C65A89">
        <w:rPr>
          <w:rFonts w:ascii="Calibri" w:eastAsia="Calibri" w:hAnsi="Calibri" w:cs="Calibri"/>
          <w:lang w:val="en-GB"/>
        </w:rPr>
        <w:t>Law on</w:t>
      </w:r>
      <w:r w:rsidRPr="00C65A89">
        <w:rPr>
          <w:rFonts w:ascii="Calibri" w:eastAsia="Calibri" w:hAnsi="Calibri" w:cs="Calibri"/>
          <w:lang w:val="en-GB"/>
        </w:rPr>
        <w:t xml:space="preserve"> the</w:t>
      </w:r>
      <w:r w:rsidR="007054C2" w:rsidRPr="00C65A89">
        <w:rPr>
          <w:rFonts w:ascii="Calibri" w:eastAsia="Calibri" w:hAnsi="Calibri" w:cs="Calibri"/>
          <w:lang w:val="en-GB"/>
        </w:rPr>
        <w:t xml:space="preserve"> Juvenile</w:t>
      </w:r>
      <w:r w:rsidR="006D3E16" w:rsidRPr="00C65A89">
        <w:rPr>
          <w:rFonts w:ascii="Calibri" w:eastAsia="Calibri" w:hAnsi="Calibri" w:cs="Calibri"/>
          <w:lang w:val="en-GB"/>
        </w:rPr>
        <w:t xml:space="preserve"> Criminal</w:t>
      </w:r>
      <w:r w:rsidR="007054C2" w:rsidRPr="00C65A89">
        <w:rPr>
          <w:rFonts w:ascii="Calibri" w:eastAsia="Calibri" w:hAnsi="Calibri" w:cs="Calibri"/>
          <w:lang w:val="en-GB"/>
        </w:rPr>
        <w:t xml:space="preserve"> Justice System</w:t>
      </w:r>
      <w:r w:rsidR="006D3E16" w:rsidRPr="00C65A89">
        <w:rPr>
          <w:rStyle w:val="FootnoteReference"/>
          <w:rFonts w:ascii="Calibri" w:eastAsia="Calibri" w:hAnsi="Calibri" w:cs="Calibri"/>
          <w:lang w:val="en-GB"/>
        </w:rPr>
        <w:footnoteReference w:id="50"/>
      </w:r>
      <w:r w:rsidR="007054C2" w:rsidRPr="00C65A89">
        <w:rPr>
          <w:rFonts w:ascii="Calibri" w:eastAsia="Calibri" w:hAnsi="Calibri" w:cs="Calibri"/>
          <w:lang w:val="en-GB"/>
        </w:rPr>
        <w:t xml:space="preserve"> rules</w:t>
      </w:r>
      <w:r w:rsidR="007054C2" w:rsidRPr="007E5BB1">
        <w:rPr>
          <w:rFonts w:ascii="Calibri" w:eastAsia="Calibri" w:hAnsi="Calibri" w:cs="Calibri"/>
          <w:lang w:val="en-GB"/>
        </w:rPr>
        <w:t xml:space="preserve"> that diversion is only applicable to young people who commit a crime with a maximum punishment of seven years of imprisonment. Children </w:t>
      </w:r>
      <w:r>
        <w:rPr>
          <w:rFonts w:ascii="Calibri" w:eastAsia="Calibri" w:hAnsi="Calibri" w:cs="Calibri"/>
          <w:lang w:val="en-GB"/>
        </w:rPr>
        <w:t>in</w:t>
      </w:r>
      <w:r w:rsidR="007054C2" w:rsidRPr="007E5BB1">
        <w:rPr>
          <w:rFonts w:ascii="Calibri" w:eastAsia="Calibri" w:hAnsi="Calibri" w:cs="Calibri"/>
          <w:lang w:val="en-GB"/>
        </w:rPr>
        <w:t xml:space="preserve"> conflict with</w:t>
      </w:r>
      <w:r>
        <w:rPr>
          <w:rFonts w:ascii="Calibri" w:eastAsia="Calibri" w:hAnsi="Calibri" w:cs="Calibri"/>
          <w:lang w:val="en-GB"/>
        </w:rPr>
        <w:t xml:space="preserve"> the law for drug-related offences often cannot be diverted from incarceration, because many drug offences are punishable with</w:t>
      </w:r>
      <w:r w:rsidR="007054C2" w:rsidRPr="007E5BB1">
        <w:rPr>
          <w:rFonts w:ascii="Calibri" w:eastAsia="Calibri" w:hAnsi="Calibri" w:cs="Calibri"/>
          <w:lang w:val="en-GB"/>
        </w:rPr>
        <w:t xml:space="preserve"> harsh</w:t>
      </w:r>
      <w:r>
        <w:rPr>
          <w:rFonts w:ascii="Calibri" w:eastAsia="Calibri" w:hAnsi="Calibri" w:cs="Calibri"/>
          <w:lang w:val="en-GB"/>
        </w:rPr>
        <w:t>er penalties, thus they often end up in the ‘</w:t>
      </w:r>
      <w:r w:rsidR="007054C2" w:rsidRPr="007E5BB1">
        <w:rPr>
          <w:rFonts w:ascii="Calibri" w:eastAsia="Calibri" w:hAnsi="Calibri" w:cs="Calibri"/>
          <w:lang w:val="en-GB"/>
        </w:rPr>
        <w:t>conventional</w:t>
      </w:r>
      <w:r>
        <w:rPr>
          <w:rFonts w:ascii="Calibri" w:eastAsia="Calibri" w:hAnsi="Calibri" w:cs="Calibri"/>
          <w:lang w:val="en-GB"/>
        </w:rPr>
        <w:t>’</w:t>
      </w:r>
      <w:r w:rsidR="007054C2" w:rsidRPr="007E5BB1">
        <w:rPr>
          <w:rFonts w:ascii="Calibri" w:eastAsia="Calibri" w:hAnsi="Calibri" w:cs="Calibri"/>
          <w:lang w:val="en-GB"/>
        </w:rPr>
        <w:t xml:space="preserve"> criminal justice system. However, AKSI </w:t>
      </w:r>
      <w:r>
        <w:rPr>
          <w:rFonts w:ascii="Calibri" w:eastAsia="Calibri" w:hAnsi="Calibri" w:cs="Calibri"/>
          <w:lang w:val="en-GB"/>
        </w:rPr>
        <w:t xml:space="preserve">documented some cases </w:t>
      </w:r>
      <w:r w:rsidR="007054C2" w:rsidRPr="007E5BB1">
        <w:rPr>
          <w:rFonts w:ascii="Calibri" w:eastAsia="Calibri" w:hAnsi="Calibri" w:cs="Calibri"/>
          <w:lang w:val="en-GB"/>
        </w:rPr>
        <w:t>where police use</w:t>
      </w:r>
      <w:r>
        <w:rPr>
          <w:rFonts w:ascii="Calibri" w:eastAsia="Calibri" w:hAnsi="Calibri" w:cs="Calibri"/>
          <w:lang w:val="en-GB"/>
        </w:rPr>
        <w:t>d diversion in narcotic</w:t>
      </w:r>
      <w:r w:rsidR="007054C2" w:rsidRPr="007E5BB1">
        <w:rPr>
          <w:rFonts w:ascii="Calibri" w:eastAsia="Calibri" w:hAnsi="Calibri" w:cs="Calibri"/>
          <w:lang w:val="en-GB"/>
        </w:rPr>
        <w:t xml:space="preserve"> cases involving children.</w:t>
      </w:r>
    </w:p>
    <w:p w14:paraId="64762220" w14:textId="2929E00F" w:rsidR="003636CB" w:rsidRDefault="003636CB">
      <w:pPr>
        <w:spacing w:before="240" w:after="240"/>
        <w:jc w:val="both"/>
        <w:rPr>
          <w:rFonts w:ascii="Calibri" w:eastAsia="Calibri" w:hAnsi="Calibri" w:cs="Calibri"/>
          <w:lang w:val="en-GB"/>
        </w:rPr>
      </w:pPr>
      <w:r>
        <w:rPr>
          <w:rFonts w:ascii="Calibri" w:eastAsia="Calibri" w:hAnsi="Calibri" w:cs="Calibri"/>
          <w:lang w:val="en-GB"/>
        </w:rPr>
        <w:lastRenderedPageBreak/>
        <w:t>In 2021, AKSI provided legal assistance in</w:t>
      </w:r>
      <w:r w:rsidR="007054C2" w:rsidRPr="007E5BB1">
        <w:rPr>
          <w:rFonts w:ascii="Calibri" w:eastAsia="Calibri" w:hAnsi="Calibri" w:cs="Calibri"/>
          <w:lang w:val="en-GB"/>
        </w:rPr>
        <w:t xml:space="preserve"> eight cases involvin</w:t>
      </w:r>
      <w:r>
        <w:rPr>
          <w:rFonts w:ascii="Calibri" w:eastAsia="Calibri" w:hAnsi="Calibri" w:cs="Calibri"/>
          <w:lang w:val="en-GB"/>
        </w:rPr>
        <w:t>g children who use drugs, aged 1</w:t>
      </w:r>
      <w:r w:rsidR="007054C2" w:rsidRPr="007E5BB1">
        <w:rPr>
          <w:rFonts w:ascii="Calibri" w:eastAsia="Calibri" w:hAnsi="Calibri" w:cs="Calibri"/>
          <w:lang w:val="en-GB"/>
        </w:rPr>
        <w:t>4-17 years old, all males. In all cases, the</w:t>
      </w:r>
      <w:r>
        <w:rPr>
          <w:rFonts w:ascii="Calibri" w:eastAsia="Calibri" w:hAnsi="Calibri" w:cs="Calibri"/>
          <w:lang w:val="en-GB"/>
        </w:rPr>
        <w:t xml:space="preserve"> clients </w:t>
      </w:r>
      <w:r w:rsidR="007054C2" w:rsidRPr="007E5BB1">
        <w:rPr>
          <w:rFonts w:ascii="Calibri" w:eastAsia="Calibri" w:hAnsi="Calibri" w:cs="Calibri"/>
          <w:lang w:val="en-GB"/>
        </w:rPr>
        <w:t xml:space="preserve">were referred </w:t>
      </w:r>
      <w:r>
        <w:rPr>
          <w:rFonts w:ascii="Calibri" w:eastAsia="Calibri" w:hAnsi="Calibri" w:cs="Calibri"/>
          <w:lang w:val="en-GB"/>
        </w:rPr>
        <w:t xml:space="preserve">by the police </w:t>
      </w:r>
      <w:r w:rsidR="007054C2" w:rsidRPr="007E5BB1">
        <w:rPr>
          <w:rFonts w:ascii="Calibri" w:eastAsia="Calibri" w:hAnsi="Calibri" w:cs="Calibri"/>
          <w:lang w:val="en-GB"/>
        </w:rPr>
        <w:t>directly to private rehabilitation</w:t>
      </w:r>
      <w:r>
        <w:rPr>
          <w:rFonts w:ascii="Calibri" w:eastAsia="Calibri" w:hAnsi="Calibri" w:cs="Calibri"/>
          <w:lang w:val="en-GB"/>
        </w:rPr>
        <w:t xml:space="preserve"> institutions</w:t>
      </w:r>
      <w:r w:rsidR="007054C2" w:rsidRPr="007E5BB1">
        <w:rPr>
          <w:rFonts w:ascii="Calibri" w:eastAsia="Calibri" w:hAnsi="Calibri" w:cs="Calibri"/>
          <w:lang w:val="en-GB"/>
        </w:rPr>
        <w:t>.</w:t>
      </w:r>
      <w:r w:rsidR="002053BC">
        <w:rPr>
          <w:rFonts w:ascii="Calibri" w:eastAsia="Calibri" w:hAnsi="Calibri" w:cs="Calibri"/>
          <w:lang w:val="en-GB"/>
        </w:rPr>
        <w:t xml:space="preserve"> In all of these cases clients</w:t>
      </w:r>
      <w:r>
        <w:rPr>
          <w:rFonts w:ascii="Calibri" w:eastAsia="Calibri" w:hAnsi="Calibri" w:cs="Calibri"/>
          <w:lang w:val="en-GB"/>
        </w:rPr>
        <w:t xml:space="preserve"> were</w:t>
      </w:r>
      <w:r w:rsidR="002053BC">
        <w:rPr>
          <w:rFonts w:ascii="Calibri" w:eastAsia="Calibri" w:hAnsi="Calibri" w:cs="Calibri"/>
          <w:lang w:val="en-GB"/>
        </w:rPr>
        <w:t xml:space="preserve"> reportedly</w:t>
      </w:r>
      <w:r>
        <w:rPr>
          <w:rFonts w:ascii="Calibri" w:eastAsia="Calibri" w:hAnsi="Calibri" w:cs="Calibri"/>
          <w:lang w:val="en-GB"/>
        </w:rPr>
        <w:t xml:space="preserve"> subject to extortion, with families having to pay </w:t>
      </w:r>
      <w:r w:rsidR="007054C2" w:rsidRPr="007E5BB1">
        <w:rPr>
          <w:rFonts w:ascii="Calibri" w:eastAsia="Calibri" w:hAnsi="Calibri" w:cs="Calibri"/>
          <w:lang w:val="en-GB"/>
        </w:rPr>
        <w:t>so t</w:t>
      </w:r>
      <w:r>
        <w:rPr>
          <w:rFonts w:ascii="Calibri" w:eastAsia="Calibri" w:hAnsi="Calibri" w:cs="Calibri"/>
          <w:lang w:val="en-GB"/>
        </w:rPr>
        <w:t xml:space="preserve">hat </w:t>
      </w:r>
      <w:r w:rsidR="007054C2" w:rsidRPr="007E5BB1">
        <w:rPr>
          <w:rFonts w:ascii="Calibri" w:eastAsia="Calibri" w:hAnsi="Calibri" w:cs="Calibri"/>
          <w:lang w:val="en-GB"/>
        </w:rPr>
        <w:t xml:space="preserve">children could be released and sent home. </w:t>
      </w:r>
    </w:p>
    <w:p w14:paraId="0000005F" w14:textId="04D393E0" w:rsidR="00F93E19" w:rsidRPr="002053BC" w:rsidRDefault="003636CB" w:rsidP="002053BC">
      <w:pPr>
        <w:spacing w:before="240" w:after="240"/>
        <w:jc w:val="both"/>
        <w:rPr>
          <w:rFonts w:ascii="Calibri" w:eastAsia="Calibri" w:hAnsi="Calibri" w:cs="Calibri"/>
          <w:lang w:val="en-GB"/>
        </w:rPr>
      </w:pPr>
      <w:r>
        <w:rPr>
          <w:rFonts w:ascii="Calibri" w:eastAsia="Calibri" w:hAnsi="Calibri" w:cs="Calibri"/>
          <w:lang w:val="en-GB"/>
        </w:rPr>
        <w:t>Harm reduction and evidence-based drug t</w:t>
      </w:r>
      <w:r w:rsidR="007054C2" w:rsidRPr="007E5BB1">
        <w:rPr>
          <w:rFonts w:ascii="Calibri" w:eastAsia="Calibri" w:hAnsi="Calibri" w:cs="Calibri"/>
          <w:lang w:val="en-GB"/>
        </w:rPr>
        <w:t>reatme</w:t>
      </w:r>
      <w:r>
        <w:rPr>
          <w:rFonts w:ascii="Calibri" w:eastAsia="Calibri" w:hAnsi="Calibri" w:cs="Calibri"/>
          <w:lang w:val="en-GB"/>
        </w:rPr>
        <w:t>nt for children who use drugs are virtually</w:t>
      </w:r>
      <w:r w:rsidR="007054C2" w:rsidRPr="007E5BB1">
        <w:rPr>
          <w:rFonts w:ascii="Calibri" w:eastAsia="Calibri" w:hAnsi="Calibri" w:cs="Calibri"/>
          <w:lang w:val="en-GB"/>
        </w:rPr>
        <w:t xml:space="preserve"> non-existent; </w:t>
      </w:r>
      <w:r w:rsidR="002B0744">
        <w:rPr>
          <w:rFonts w:ascii="Calibri" w:eastAsia="Calibri" w:hAnsi="Calibri" w:cs="Calibri"/>
          <w:lang w:val="en-GB"/>
        </w:rPr>
        <w:t>further violating the child’s right to health services. O</w:t>
      </w:r>
      <w:r w:rsidR="002B0744" w:rsidRPr="007E5BB1">
        <w:rPr>
          <w:rFonts w:ascii="Calibri" w:eastAsia="Calibri" w:hAnsi="Calibri" w:cs="Calibri"/>
          <w:lang w:val="en-GB"/>
        </w:rPr>
        <w:t xml:space="preserve">nly </w:t>
      </w:r>
      <w:r w:rsidR="007054C2" w:rsidRPr="007E5BB1">
        <w:rPr>
          <w:rFonts w:ascii="Calibri" w:eastAsia="Calibri" w:hAnsi="Calibri" w:cs="Calibri"/>
          <w:lang w:val="en-GB"/>
        </w:rPr>
        <w:t>LIDO</w:t>
      </w:r>
      <w:r w:rsidR="002B0744">
        <w:rPr>
          <w:rFonts w:ascii="Calibri" w:eastAsia="Calibri" w:hAnsi="Calibri" w:cs="Calibri"/>
          <w:lang w:val="en-GB"/>
        </w:rPr>
        <w:t xml:space="preserve"> Rehabilitation Centre, managed by</w:t>
      </w:r>
      <w:r>
        <w:rPr>
          <w:rFonts w:ascii="Calibri" w:eastAsia="Calibri" w:hAnsi="Calibri" w:cs="Calibri"/>
          <w:lang w:val="en-GB"/>
        </w:rPr>
        <w:t xml:space="preserve"> the</w:t>
      </w:r>
      <w:r w:rsidR="007054C2" w:rsidRPr="007E5BB1">
        <w:rPr>
          <w:rFonts w:ascii="Calibri" w:eastAsia="Calibri" w:hAnsi="Calibri" w:cs="Calibri"/>
          <w:lang w:val="en-GB"/>
        </w:rPr>
        <w:t xml:space="preserve"> National Narcotics Agency</w:t>
      </w:r>
      <w:r>
        <w:rPr>
          <w:rFonts w:ascii="Calibri" w:eastAsia="Calibri" w:hAnsi="Calibri" w:cs="Calibri"/>
          <w:lang w:val="en-GB"/>
        </w:rPr>
        <w:t xml:space="preserve"> (BNN)</w:t>
      </w:r>
      <w:r w:rsidR="002B0744">
        <w:rPr>
          <w:rFonts w:ascii="Calibri" w:eastAsia="Calibri" w:hAnsi="Calibri" w:cs="Calibri"/>
          <w:lang w:val="en-GB"/>
        </w:rPr>
        <w:t>,</w:t>
      </w:r>
      <w:r w:rsidR="007054C2" w:rsidRPr="007E5BB1">
        <w:rPr>
          <w:rFonts w:ascii="Calibri" w:eastAsia="Calibri" w:hAnsi="Calibri" w:cs="Calibri"/>
          <w:lang w:val="en-GB"/>
        </w:rPr>
        <w:t xml:space="preserve"> has a treatment</w:t>
      </w:r>
      <w:r>
        <w:rPr>
          <w:rFonts w:ascii="Calibri" w:eastAsia="Calibri" w:hAnsi="Calibri" w:cs="Calibri"/>
          <w:lang w:val="en-GB"/>
        </w:rPr>
        <w:t xml:space="preserve"> plan and experts on the issue.</w:t>
      </w:r>
    </w:p>
    <w:p w14:paraId="00000060" w14:textId="27A89CE5" w:rsidR="00F93E19" w:rsidRPr="006A0953" w:rsidRDefault="00164B41">
      <w:pPr>
        <w:numPr>
          <w:ilvl w:val="0"/>
          <w:numId w:val="2"/>
        </w:numPr>
        <w:spacing w:before="240"/>
        <w:rPr>
          <w:rFonts w:asciiTheme="majorHAnsi" w:hAnsiTheme="majorHAnsi" w:cstheme="majorHAnsi"/>
          <w:b/>
          <w:lang w:val="en-GB"/>
        </w:rPr>
      </w:pPr>
      <w:r w:rsidRPr="006A0953">
        <w:rPr>
          <w:rFonts w:asciiTheme="majorHAnsi" w:hAnsiTheme="majorHAnsi" w:cstheme="majorHAnsi"/>
          <w:b/>
          <w:lang w:val="en-GB"/>
        </w:rPr>
        <w:t>Use of cannabis for medical purposes</w:t>
      </w:r>
    </w:p>
    <w:p w14:paraId="199459E1" w14:textId="489D270F" w:rsidR="00974308" w:rsidRDefault="00974308" w:rsidP="00164B41">
      <w:pPr>
        <w:spacing w:before="240" w:after="240"/>
        <w:jc w:val="both"/>
        <w:rPr>
          <w:rFonts w:ascii="Calibri" w:eastAsia="Calibri" w:hAnsi="Calibri" w:cs="Calibri"/>
          <w:lang w:val="en-GB"/>
        </w:rPr>
      </w:pPr>
      <w:r>
        <w:rPr>
          <w:rFonts w:ascii="Calibri" w:eastAsia="Calibri" w:hAnsi="Calibri" w:cs="Calibri"/>
          <w:lang w:val="en-GB"/>
        </w:rPr>
        <w:t xml:space="preserve">As cannabis is </w:t>
      </w:r>
      <w:r w:rsidR="002053BC">
        <w:rPr>
          <w:rFonts w:ascii="Calibri" w:eastAsia="Calibri" w:hAnsi="Calibri" w:cs="Calibri"/>
          <w:lang w:val="en-GB"/>
        </w:rPr>
        <w:t>listed</w:t>
      </w:r>
      <w:r>
        <w:rPr>
          <w:rFonts w:ascii="Calibri" w:eastAsia="Calibri" w:hAnsi="Calibri" w:cs="Calibri"/>
          <w:lang w:val="en-GB"/>
        </w:rPr>
        <w:t xml:space="preserve"> as a </w:t>
      </w:r>
      <w:r w:rsidR="002053BC">
        <w:rPr>
          <w:rFonts w:ascii="Calibri" w:eastAsia="Calibri" w:hAnsi="Calibri" w:cs="Calibri"/>
          <w:lang w:val="en-GB"/>
        </w:rPr>
        <w:t xml:space="preserve">‘Group 1’ </w:t>
      </w:r>
      <w:r>
        <w:rPr>
          <w:rFonts w:ascii="Calibri" w:eastAsia="Calibri" w:hAnsi="Calibri" w:cs="Calibri"/>
          <w:lang w:val="en-GB"/>
        </w:rPr>
        <w:t xml:space="preserve">drug, its use for medical purposes is currently prohibited in the country, with detrimental impacts on the right to health as well as the right of people to enjoy the benefits of scientific progress. In addition, </w:t>
      </w:r>
      <w:r w:rsidR="002053BC">
        <w:rPr>
          <w:rFonts w:ascii="Calibri" w:eastAsia="Calibri" w:hAnsi="Calibri" w:cs="Calibri"/>
          <w:lang w:val="en-GB"/>
        </w:rPr>
        <w:t>because of its classification</w:t>
      </w:r>
      <w:r>
        <w:rPr>
          <w:rFonts w:ascii="Calibri" w:eastAsia="Calibri" w:hAnsi="Calibri" w:cs="Calibri"/>
          <w:lang w:val="en-GB"/>
        </w:rPr>
        <w:t>, domestic law prohibits not only its use, but also any research on the potential medical benefits of the substance.</w:t>
      </w:r>
    </w:p>
    <w:p w14:paraId="00000076" w14:textId="334655DF" w:rsidR="00F93E19" w:rsidRDefault="00164B41" w:rsidP="00974308">
      <w:pPr>
        <w:spacing w:before="240" w:after="240"/>
        <w:jc w:val="both"/>
        <w:rPr>
          <w:rFonts w:ascii="Calibri" w:eastAsia="Calibri" w:hAnsi="Calibri" w:cs="Calibri"/>
          <w:lang w:val="en-GB"/>
        </w:rPr>
      </w:pPr>
      <w:r>
        <w:rPr>
          <w:rFonts w:ascii="Calibri" w:eastAsia="Calibri" w:hAnsi="Calibri" w:cs="Calibri"/>
          <w:lang w:val="en-GB"/>
        </w:rPr>
        <w:t>In 2021, LBHM and other</w:t>
      </w:r>
      <w:r w:rsidR="007054C2" w:rsidRPr="007E5BB1">
        <w:rPr>
          <w:rFonts w:ascii="Calibri" w:eastAsia="Calibri" w:hAnsi="Calibri" w:cs="Calibri"/>
          <w:lang w:val="en-GB"/>
        </w:rPr>
        <w:t xml:space="preserve"> civil society organizations became the legal counsel for three mothers </w:t>
      </w:r>
      <w:r>
        <w:rPr>
          <w:rFonts w:ascii="Calibri" w:eastAsia="Calibri" w:hAnsi="Calibri" w:cs="Calibri"/>
          <w:lang w:val="en-GB"/>
        </w:rPr>
        <w:t>of</w:t>
      </w:r>
      <w:r w:rsidR="007054C2" w:rsidRPr="007E5BB1">
        <w:rPr>
          <w:rFonts w:ascii="Calibri" w:eastAsia="Calibri" w:hAnsi="Calibri" w:cs="Calibri"/>
          <w:lang w:val="en-GB"/>
        </w:rPr>
        <w:t xml:space="preserve"> children with cerebral palsy</w:t>
      </w:r>
      <w:r>
        <w:rPr>
          <w:rFonts w:ascii="Calibri" w:eastAsia="Calibri" w:hAnsi="Calibri" w:cs="Calibri"/>
          <w:lang w:val="en-GB"/>
        </w:rPr>
        <w:t>, who presented a case to Indonesia’s Constitutional Court regarding the fact that under the national narcotics legislation the use of cannabis f</w:t>
      </w:r>
      <w:r w:rsidR="007054C2" w:rsidRPr="007E5BB1">
        <w:rPr>
          <w:rFonts w:ascii="Calibri" w:eastAsia="Calibri" w:hAnsi="Calibri" w:cs="Calibri"/>
          <w:lang w:val="en-GB"/>
        </w:rPr>
        <w:t>or the</w:t>
      </w:r>
      <w:r>
        <w:rPr>
          <w:rFonts w:ascii="Calibri" w:eastAsia="Calibri" w:hAnsi="Calibri" w:cs="Calibri"/>
          <w:lang w:val="en-GB"/>
        </w:rPr>
        <w:t xml:space="preserve"> treatment needs of their </w:t>
      </w:r>
      <w:r w:rsidR="007054C2" w:rsidRPr="007E5BB1">
        <w:rPr>
          <w:rFonts w:ascii="Calibri" w:eastAsia="Calibri" w:hAnsi="Calibri" w:cs="Calibri"/>
          <w:lang w:val="en-GB"/>
        </w:rPr>
        <w:t>children</w:t>
      </w:r>
      <w:r>
        <w:rPr>
          <w:rFonts w:ascii="Calibri" w:eastAsia="Calibri" w:hAnsi="Calibri" w:cs="Calibri"/>
          <w:lang w:val="en-GB"/>
        </w:rPr>
        <w:t xml:space="preserve"> conditions</w:t>
      </w:r>
      <w:r w:rsidR="007054C2" w:rsidRPr="007E5BB1">
        <w:rPr>
          <w:rFonts w:ascii="Calibri" w:eastAsia="Calibri" w:hAnsi="Calibri" w:cs="Calibri"/>
          <w:lang w:val="en-GB"/>
        </w:rPr>
        <w:t xml:space="preserve"> was consi</w:t>
      </w:r>
      <w:r>
        <w:rPr>
          <w:rFonts w:ascii="Calibri" w:eastAsia="Calibri" w:hAnsi="Calibri" w:cs="Calibri"/>
          <w:lang w:val="en-GB"/>
        </w:rPr>
        <w:t>dered illegal by the state. The applicants have experience of using cannabis as medical</w:t>
      </w:r>
      <w:r w:rsidR="007054C2" w:rsidRPr="007E5BB1">
        <w:rPr>
          <w:rFonts w:ascii="Calibri" w:eastAsia="Calibri" w:hAnsi="Calibri" w:cs="Calibri"/>
          <w:lang w:val="en-GB"/>
        </w:rPr>
        <w:t xml:space="preserve"> treatment outside Indonesia,</w:t>
      </w:r>
      <w:r>
        <w:rPr>
          <w:rFonts w:ascii="Calibri" w:eastAsia="Calibri" w:hAnsi="Calibri" w:cs="Calibri"/>
          <w:lang w:val="en-GB"/>
        </w:rPr>
        <w:t xml:space="preserve"> with clear beneficial impacts on their children’s health</w:t>
      </w:r>
      <w:r w:rsidR="00974308">
        <w:rPr>
          <w:rFonts w:ascii="Calibri" w:eastAsia="Calibri" w:hAnsi="Calibri" w:cs="Calibri"/>
          <w:lang w:val="en-GB"/>
        </w:rPr>
        <w:t>. As of December 2021,</w:t>
      </w:r>
      <w:r w:rsidR="007054C2" w:rsidRPr="007E5BB1">
        <w:rPr>
          <w:rFonts w:ascii="Calibri" w:eastAsia="Calibri" w:hAnsi="Calibri" w:cs="Calibri"/>
          <w:lang w:val="en-GB"/>
        </w:rPr>
        <w:t xml:space="preserve"> the judicial review process is still ongoing at the Constitutional Court. </w:t>
      </w:r>
    </w:p>
    <w:p w14:paraId="00000077" w14:textId="77777777" w:rsidR="00F93E19" w:rsidRPr="007E5BB1" w:rsidRDefault="00F93E19">
      <w:pPr>
        <w:spacing w:before="240" w:after="240"/>
        <w:rPr>
          <w:b/>
          <w:lang w:val="en-GB"/>
        </w:rPr>
      </w:pPr>
    </w:p>
    <w:p w14:paraId="00000078" w14:textId="77777777" w:rsidR="00F93E19" w:rsidRPr="007E5BB1" w:rsidRDefault="00F93E19">
      <w:pPr>
        <w:rPr>
          <w:b/>
          <w:lang w:val="en-GB"/>
        </w:rPr>
      </w:pPr>
    </w:p>
    <w:sectPr w:rsidR="00F93E19" w:rsidRPr="007E5BB1" w:rsidSect="008D4BD5">
      <w:headerReference w:type="default" r:id="rId12"/>
      <w:footerReference w:type="default" r:id="rId13"/>
      <w:pgSz w:w="12240" w:h="15840"/>
      <w:pgMar w:top="1440" w:right="1440" w:bottom="1440" w:left="1440" w:header="720" w:footer="720" w:gutter="0"/>
      <w:pgNumType w:start="0"/>
      <w:cols w:space="720"/>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6D252" w16cex:dateUtc="2022-01-10T14:25:00Z"/>
  <w16cex:commentExtensible w16cex:durableId="258710FD" w16cex:dateUtc="2022-01-10T20:09:00Z"/>
  <w16cex:commentExtensible w16cex:durableId="2588040F" w16cex:dateUtc="2022-01-11T06:26:00Z"/>
  <w16cex:commentExtensible w16cex:durableId="25881434" w16cex:dateUtc="2022-01-11T14: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1EC9AD" w16cid:durableId="2586D252"/>
  <w16cid:commentId w16cid:paraId="0F4AC8EC" w16cid:durableId="258710FD"/>
  <w16cid:commentId w16cid:paraId="29E16EA0" w16cid:durableId="2588040F"/>
  <w16cid:commentId w16cid:paraId="388BEBEC" w16cid:durableId="2588143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E3CDB6" w14:textId="77777777" w:rsidR="008B66F4" w:rsidRDefault="008B66F4">
      <w:pPr>
        <w:spacing w:line="240" w:lineRule="auto"/>
      </w:pPr>
      <w:r>
        <w:separator/>
      </w:r>
    </w:p>
  </w:endnote>
  <w:endnote w:type="continuationSeparator" w:id="0">
    <w:p w14:paraId="6D7A38DB" w14:textId="77777777" w:rsidR="008B66F4" w:rsidRDefault="008B66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Open Sans">
    <w:altName w:val="MS Reference Sans Serif"/>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1350655"/>
      <w:docPartObj>
        <w:docPartGallery w:val="Page Numbers (Bottom of Page)"/>
        <w:docPartUnique/>
      </w:docPartObj>
    </w:sdtPr>
    <w:sdtEndPr>
      <w:rPr>
        <w:noProof/>
      </w:rPr>
    </w:sdtEndPr>
    <w:sdtContent>
      <w:p w14:paraId="5A006532" w14:textId="1AF2B128" w:rsidR="008D4BD5" w:rsidRDefault="008D4BD5">
        <w:pPr>
          <w:pStyle w:val="Footer"/>
          <w:jc w:val="right"/>
        </w:pPr>
        <w:r>
          <w:fldChar w:fldCharType="begin"/>
        </w:r>
        <w:r>
          <w:instrText xml:space="preserve"> PAGE   \* MERGEFORMAT </w:instrText>
        </w:r>
        <w:r>
          <w:fldChar w:fldCharType="separate"/>
        </w:r>
        <w:r w:rsidR="00EB1E43">
          <w:rPr>
            <w:noProof/>
          </w:rPr>
          <w:t>3</w:t>
        </w:r>
        <w:r>
          <w:rPr>
            <w:noProof/>
          </w:rPr>
          <w:fldChar w:fldCharType="end"/>
        </w:r>
      </w:p>
    </w:sdtContent>
  </w:sdt>
  <w:p w14:paraId="641DB997" w14:textId="205140FF" w:rsidR="00AD65F6" w:rsidRPr="00AD65F6" w:rsidRDefault="00AD65F6" w:rsidP="009C3543">
    <w:pPr>
      <w:pStyle w:val="Footer"/>
      <w:jc w:val="center"/>
      <w:rPr>
        <w:rFonts w:ascii="Calibri" w:hAnsi="Calibri" w:cs="Calibri"/>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AF3F41" w14:textId="77777777" w:rsidR="008B66F4" w:rsidRDefault="008B66F4">
      <w:pPr>
        <w:spacing w:line="240" w:lineRule="auto"/>
      </w:pPr>
      <w:r>
        <w:separator/>
      </w:r>
    </w:p>
  </w:footnote>
  <w:footnote w:type="continuationSeparator" w:id="0">
    <w:p w14:paraId="1B453E5F" w14:textId="77777777" w:rsidR="008B66F4" w:rsidRDefault="008B66F4">
      <w:pPr>
        <w:spacing w:line="240" w:lineRule="auto"/>
      </w:pPr>
      <w:r>
        <w:continuationSeparator/>
      </w:r>
    </w:p>
  </w:footnote>
  <w:footnote w:id="1">
    <w:p w14:paraId="0000007C" w14:textId="13510ED9" w:rsidR="00F93E19" w:rsidRPr="00D96F15" w:rsidRDefault="007054C2">
      <w:pPr>
        <w:spacing w:line="240" w:lineRule="auto"/>
        <w:rPr>
          <w:rFonts w:ascii="Calibri" w:eastAsia="Calibri" w:hAnsi="Calibri" w:cs="Calibri"/>
          <w:sz w:val="16"/>
          <w:szCs w:val="16"/>
        </w:rPr>
      </w:pPr>
      <w:r w:rsidRPr="00D96F15">
        <w:rPr>
          <w:rFonts w:ascii="Calibri" w:hAnsi="Calibri" w:cs="Calibri"/>
          <w:sz w:val="16"/>
          <w:szCs w:val="16"/>
          <w:vertAlign w:val="superscript"/>
        </w:rPr>
        <w:footnoteRef/>
      </w:r>
      <w:r w:rsidRPr="00D96F15">
        <w:rPr>
          <w:rFonts w:ascii="Calibri" w:eastAsia="Calibri" w:hAnsi="Calibri" w:cs="Calibri"/>
          <w:sz w:val="16"/>
          <w:szCs w:val="16"/>
        </w:rPr>
        <w:t xml:space="preserve"> Among others, see: Paul Hunt, ‘Human rights, health, and harm reduction’, 8; Report of the Special Rapporteur on the right of everyone to the enjoyment of the highest attainable standard of physical and mental health, Anand Grover(2010) A/65/255, para. 55; CESCR, Concluding Observations on the combined initial and second periodic reports of Thailand, UN Doc. E//C.12/THA/CO/1-2; CEDAW, Concluding Observations on the combined fourth and fifth periodic reports of Georgia (2014), UN Doc. CEDAW/C/GEO/CO/4-5, para. 31(e); Report of the Special Rapporteur on the right of everyone to the enjoyment of the highest attainable standard of physical and mental health, Anand Grover, Mission to Poland (2010) A/HRC/14/20/Add.3, para. 86; CESCR, 2016, Concluding Observations on the sixth periodic report of Sweden. UN Doc. E/C.12/SWE/CO/6.</w:t>
      </w:r>
      <w:r w:rsidR="00E145D5" w:rsidRPr="00D96F15">
        <w:rPr>
          <w:rFonts w:ascii="Calibri" w:eastAsia="Calibri" w:hAnsi="Calibri" w:cs="Calibri"/>
          <w:sz w:val="16"/>
          <w:szCs w:val="16"/>
        </w:rPr>
        <w:t xml:space="preserve"> </w:t>
      </w:r>
      <w:r w:rsidRPr="00D96F15">
        <w:rPr>
          <w:rFonts w:ascii="Calibri" w:eastAsia="Calibri" w:hAnsi="Calibri" w:cs="Calibri"/>
          <w:sz w:val="16"/>
          <w:szCs w:val="16"/>
        </w:rPr>
        <w:t>For more information, see: International Centre on Human Rights and Drug Policy/UNDP, International Guidelines on Human Rights and Drug Policy</w:t>
      </w:r>
      <w:r w:rsidR="00E145D5" w:rsidRPr="00D96F15">
        <w:rPr>
          <w:rFonts w:ascii="Calibri" w:eastAsia="Calibri" w:hAnsi="Calibri" w:cs="Calibri"/>
          <w:sz w:val="16"/>
          <w:szCs w:val="16"/>
        </w:rPr>
        <w:t>.</w:t>
      </w:r>
    </w:p>
  </w:footnote>
  <w:footnote w:id="2">
    <w:p w14:paraId="0000007D" w14:textId="77777777" w:rsidR="00F93E19" w:rsidRPr="00D96F15" w:rsidRDefault="007054C2">
      <w:pPr>
        <w:spacing w:line="240" w:lineRule="auto"/>
        <w:rPr>
          <w:rFonts w:ascii="Calibri" w:eastAsia="Calibri" w:hAnsi="Calibri" w:cs="Calibri"/>
          <w:sz w:val="16"/>
          <w:szCs w:val="16"/>
        </w:rPr>
      </w:pPr>
      <w:r w:rsidRPr="00D96F15">
        <w:rPr>
          <w:rFonts w:ascii="Calibri" w:hAnsi="Calibri" w:cs="Calibri"/>
          <w:sz w:val="16"/>
          <w:szCs w:val="16"/>
          <w:vertAlign w:val="superscript"/>
        </w:rPr>
        <w:footnoteRef/>
      </w:r>
      <w:r w:rsidRPr="00D96F15">
        <w:rPr>
          <w:rFonts w:ascii="Calibri" w:eastAsia="Calibri" w:hAnsi="Calibri" w:cs="Calibri"/>
          <w:sz w:val="16"/>
          <w:szCs w:val="16"/>
        </w:rPr>
        <w:t xml:space="preserve"> In E/C.12/RUS/CO/5, E/C.12/LTU/CO/2, E/C.12/EST/CO/2 and E/C.12/UKR/CO/5. </w:t>
      </w:r>
    </w:p>
  </w:footnote>
  <w:footnote w:id="3">
    <w:p w14:paraId="0000007E" w14:textId="77777777"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Pr="00D96F15">
        <w:rPr>
          <w:rFonts w:ascii="Calibri" w:eastAsia="Times New Roman" w:hAnsi="Calibri" w:cs="Calibri"/>
          <w:sz w:val="16"/>
          <w:szCs w:val="16"/>
        </w:rPr>
        <w:t>In its resolution 65/277.</w:t>
      </w:r>
    </w:p>
  </w:footnote>
  <w:footnote w:id="4">
    <w:p w14:paraId="0000007F" w14:textId="77777777"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Pr="00D96F15">
        <w:rPr>
          <w:rFonts w:ascii="Calibri" w:eastAsia="Times New Roman" w:hAnsi="Calibri" w:cs="Calibri"/>
          <w:sz w:val="16"/>
          <w:szCs w:val="16"/>
        </w:rPr>
        <w:t>In its resolution 12/27.</w:t>
      </w:r>
    </w:p>
  </w:footnote>
  <w:footnote w:id="5">
    <w:p w14:paraId="00000080" w14:textId="1E0F8EEE"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00E145D5" w:rsidRPr="00D96F15">
        <w:rPr>
          <w:rFonts w:ascii="Calibri" w:hAnsi="Calibri" w:cs="Calibri"/>
          <w:sz w:val="16"/>
          <w:szCs w:val="16"/>
        </w:rPr>
        <w:t>S</w:t>
      </w:r>
      <w:r w:rsidRPr="00D96F15">
        <w:rPr>
          <w:rFonts w:ascii="Calibri" w:eastAsia="Times New Roman" w:hAnsi="Calibri" w:cs="Calibri"/>
          <w:sz w:val="16"/>
          <w:szCs w:val="16"/>
        </w:rPr>
        <w:t>ee</w:t>
      </w:r>
      <w:r w:rsidR="00E145D5" w:rsidRPr="00D96F15">
        <w:rPr>
          <w:rFonts w:ascii="Calibri" w:eastAsia="Times New Roman" w:hAnsi="Calibri" w:cs="Calibri"/>
          <w:sz w:val="16"/>
          <w:szCs w:val="16"/>
        </w:rPr>
        <w:t xml:space="preserve"> the Committee’s G</w:t>
      </w:r>
      <w:r w:rsidRPr="00D96F15">
        <w:rPr>
          <w:rFonts w:ascii="Calibri" w:eastAsia="Times New Roman" w:hAnsi="Calibri" w:cs="Calibri"/>
          <w:sz w:val="16"/>
          <w:szCs w:val="16"/>
        </w:rPr>
        <w:t xml:space="preserve">eneral </w:t>
      </w:r>
      <w:r w:rsidR="00E145D5" w:rsidRPr="00D96F15">
        <w:rPr>
          <w:rFonts w:ascii="Calibri" w:eastAsia="Times New Roman" w:hAnsi="Calibri" w:cs="Calibri"/>
          <w:sz w:val="16"/>
          <w:szCs w:val="16"/>
        </w:rPr>
        <w:t>C</w:t>
      </w:r>
      <w:r w:rsidRPr="00D96F15">
        <w:rPr>
          <w:rFonts w:ascii="Calibri" w:eastAsia="Times New Roman" w:hAnsi="Calibri" w:cs="Calibri"/>
          <w:sz w:val="16"/>
          <w:szCs w:val="16"/>
        </w:rPr>
        <w:t xml:space="preserve">omment No. 15 (2013) on the right of the child to the enjoyment of the highest attainable standard of health. </w:t>
      </w:r>
    </w:p>
  </w:footnote>
  <w:footnote w:id="6">
    <w:p w14:paraId="00000081" w14:textId="77777777"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Pr="00D96F15">
        <w:rPr>
          <w:rFonts w:ascii="Calibri" w:eastAsia="Times New Roman" w:hAnsi="Calibri" w:cs="Calibri"/>
          <w:sz w:val="16"/>
          <w:szCs w:val="16"/>
        </w:rPr>
        <w:t>In CEDAW/C/GEO/CO/4-5 and CEDAW/C/CAN/CO/8-9.</w:t>
      </w:r>
    </w:p>
  </w:footnote>
  <w:footnote w:id="7">
    <w:p w14:paraId="00000082" w14:textId="55EAFA61"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Among others, see </w:t>
      </w:r>
      <w:r w:rsidRPr="00D96F15">
        <w:rPr>
          <w:rFonts w:ascii="Calibri" w:eastAsia="Times New Roman" w:hAnsi="Calibri" w:cs="Calibri"/>
          <w:sz w:val="16"/>
          <w:szCs w:val="16"/>
        </w:rPr>
        <w:t>A/65/255.</w:t>
      </w:r>
    </w:p>
  </w:footnote>
  <w:footnote w:id="8">
    <w:p w14:paraId="00000083" w14:textId="77777777"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Pr="00D96F15">
        <w:rPr>
          <w:rFonts w:ascii="Calibri" w:eastAsia="Times New Roman" w:hAnsi="Calibri" w:cs="Calibri"/>
          <w:sz w:val="16"/>
          <w:szCs w:val="16"/>
        </w:rPr>
        <w:t>In A/HRC/22/53.</w:t>
      </w:r>
    </w:p>
  </w:footnote>
  <w:footnote w:id="9">
    <w:p w14:paraId="00000079" w14:textId="6DEE292C"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00E145D5" w:rsidRPr="00D96F15">
        <w:rPr>
          <w:rFonts w:ascii="Calibri" w:hAnsi="Calibri" w:cs="Calibri"/>
          <w:sz w:val="16"/>
          <w:szCs w:val="16"/>
        </w:rPr>
        <w:t xml:space="preserve">UNAIDS (2021), ‘Confronting Inequalities: Lessons for pandemic responses from 40 years of AIDS’ (Geneva: UNAIDS), </w:t>
      </w:r>
      <w:r w:rsidRPr="00D96F15">
        <w:rPr>
          <w:rFonts w:ascii="Calibri" w:hAnsi="Calibri" w:cs="Calibri"/>
          <w:sz w:val="16"/>
          <w:szCs w:val="16"/>
        </w:rPr>
        <w:t>https://www.unaids.org/sites/default/files/media_asset/2021-global-aids-update_en.pdf</w:t>
      </w:r>
      <w:r w:rsidR="00E145D5" w:rsidRPr="00D96F15">
        <w:rPr>
          <w:rFonts w:ascii="Calibri" w:hAnsi="Calibri" w:cs="Calibri"/>
          <w:sz w:val="16"/>
          <w:szCs w:val="16"/>
        </w:rPr>
        <w:t>.</w:t>
      </w:r>
    </w:p>
  </w:footnote>
  <w:footnote w:id="10">
    <w:p w14:paraId="0000007A" w14:textId="64AE7325"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00E145D5" w:rsidRPr="00D96F15">
        <w:rPr>
          <w:rFonts w:ascii="Calibri" w:hAnsi="Calibri" w:cs="Calibri"/>
          <w:sz w:val="16"/>
          <w:szCs w:val="16"/>
        </w:rPr>
        <w:t xml:space="preserve">Harm Reduction International (2021), ‘The Global State of Harm Reduction 2020’ (London: Harm Reduction International), </w:t>
      </w:r>
      <w:r w:rsidRPr="00D96F15">
        <w:rPr>
          <w:rFonts w:ascii="Calibri" w:hAnsi="Calibri" w:cs="Calibri"/>
          <w:sz w:val="16"/>
          <w:szCs w:val="16"/>
        </w:rPr>
        <w:t>https://www.hri.global/files/2020/10/26/Global_State_HRI_2020_2_1_Asia_FA_WEB.pdf</w:t>
      </w:r>
      <w:r w:rsidR="00E145D5" w:rsidRPr="00D96F15">
        <w:rPr>
          <w:rFonts w:ascii="Calibri" w:hAnsi="Calibri" w:cs="Calibri"/>
          <w:sz w:val="16"/>
          <w:szCs w:val="16"/>
        </w:rPr>
        <w:t>.</w:t>
      </w:r>
    </w:p>
  </w:footnote>
  <w:footnote w:id="11">
    <w:p w14:paraId="00000085" w14:textId="3F24F29A"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00E145D5" w:rsidRPr="00D96F15">
        <w:rPr>
          <w:rFonts w:ascii="Calibri" w:hAnsi="Calibri" w:cs="Calibri"/>
          <w:sz w:val="16"/>
          <w:szCs w:val="16"/>
        </w:rPr>
        <w:t>Ibid.; WHO (2016), ‘Global Health Sector Strategy on Viral Hepatitis 2016-2021: Towards ending viral hepatitis’ (Geneva: WHO),</w:t>
      </w:r>
    </w:p>
    <w:p w14:paraId="00000086" w14:textId="077BD5EA" w:rsidR="00F93E19" w:rsidRPr="00D96F15" w:rsidRDefault="00943B18">
      <w:pPr>
        <w:spacing w:line="240" w:lineRule="auto"/>
        <w:rPr>
          <w:rFonts w:ascii="Calibri" w:hAnsi="Calibri" w:cs="Calibri"/>
          <w:sz w:val="16"/>
          <w:szCs w:val="16"/>
        </w:rPr>
      </w:pPr>
      <w:r w:rsidRPr="00D96F15">
        <w:rPr>
          <w:rFonts w:ascii="Calibri" w:hAnsi="Calibri" w:cs="Calibri"/>
          <w:sz w:val="16"/>
          <w:szCs w:val="16"/>
        </w:rPr>
        <w:t>http://apps.who.int/iris/bitstream/handle/10665/246177/;jsessionid=C5FC1B8FAB4353D04867D76D5924F95E?sequence=1</w:t>
      </w:r>
      <w:r w:rsidR="00E145D5" w:rsidRPr="00D96F15">
        <w:rPr>
          <w:rFonts w:ascii="Calibri" w:hAnsi="Calibri" w:cs="Calibri"/>
          <w:sz w:val="16"/>
          <w:szCs w:val="16"/>
        </w:rPr>
        <w:t>.</w:t>
      </w:r>
    </w:p>
  </w:footnote>
  <w:footnote w:id="12">
    <w:p w14:paraId="000000A4" w14:textId="6FA804D0"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Stone and Beavan (2019), </w:t>
      </w:r>
      <w:r w:rsidR="00E145D5" w:rsidRPr="00D96F15">
        <w:rPr>
          <w:rFonts w:ascii="Calibri" w:hAnsi="Calibri" w:cs="Calibri"/>
          <w:sz w:val="16"/>
          <w:szCs w:val="16"/>
        </w:rPr>
        <w:t>‘</w:t>
      </w:r>
      <w:r w:rsidRPr="00D96F15">
        <w:rPr>
          <w:rFonts w:ascii="Calibri" w:hAnsi="Calibri" w:cs="Calibri"/>
          <w:sz w:val="16"/>
          <w:szCs w:val="16"/>
        </w:rPr>
        <w:t>The Global State of Harm Reduction</w:t>
      </w:r>
      <w:r w:rsidR="00E145D5" w:rsidRPr="00D96F15">
        <w:rPr>
          <w:rFonts w:ascii="Calibri" w:hAnsi="Calibri" w:cs="Calibri"/>
          <w:sz w:val="16"/>
          <w:szCs w:val="16"/>
        </w:rPr>
        <w:t>’</w:t>
      </w:r>
      <w:r w:rsidRPr="00D96F15">
        <w:rPr>
          <w:rFonts w:ascii="Calibri" w:hAnsi="Calibri" w:cs="Calibri"/>
          <w:sz w:val="16"/>
          <w:szCs w:val="16"/>
        </w:rPr>
        <w:t xml:space="preserve"> (London: Harm Reduction International), 38</w:t>
      </w:r>
      <w:r w:rsidR="00E145D5" w:rsidRPr="00D96F15">
        <w:rPr>
          <w:rFonts w:ascii="Calibri" w:hAnsi="Calibri" w:cs="Calibri"/>
          <w:sz w:val="16"/>
          <w:szCs w:val="16"/>
        </w:rPr>
        <w:t>.</w:t>
      </w:r>
    </w:p>
  </w:footnote>
  <w:footnote w:id="13">
    <w:p w14:paraId="00000096" w14:textId="2BA3C384" w:rsidR="00F93E19" w:rsidRPr="00D96F15" w:rsidRDefault="007054C2">
      <w:pPr>
        <w:spacing w:line="240" w:lineRule="auto"/>
        <w:rPr>
          <w:rFonts w:ascii="Calibri" w:hAnsi="Calibri" w:cs="Calibri"/>
          <w:sz w:val="16"/>
          <w:szCs w:val="16"/>
          <w:lang w:val="en-GB"/>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00E145D5" w:rsidRPr="00D96F15">
        <w:rPr>
          <w:rFonts w:ascii="Calibri" w:hAnsi="Calibri" w:cs="Calibri"/>
          <w:sz w:val="16"/>
          <w:szCs w:val="16"/>
        </w:rPr>
        <w:t xml:space="preserve">Harm Reduction International and HRAsia (2021), ‘Divest. Redirect. </w:t>
      </w:r>
      <w:r w:rsidR="00E145D5" w:rsidRPr="00D96F15">
        <w:rPr>
          <w:rFonts w:ascii="Calibri" w:hAnsi="Calibri" w:cs="Calibri"/>
          <w:sz w:val="16"/>
          <w:szCs w:val="16"/>
          <w:lang w:val="en-GB"/>
        </w:rPr>
        <w:t xml:space="preserve">Invest’ (London: Harm Reduction International), </w:t>
      </w:r>
      <w:r w:rsidRPr="00D96F15">
        <w:rPr>
          <w:rFonts w:ascii="Calibri" w:hAnsi="Calibri" w:cs="Calibri"/>
          <w:sz w:val="16"/>
          <w:szCs w:val="16"/>
          <w:lang w:val="en-GB"/>
        </w:rPr>
        <w:t>https://www.hri.global/files/2021/10/20/HRI_Briefing_Redirection_Oct_2021.pdf</w:t>
      </w:r>
      <w:r w:rsidR="00E145D5" w:rsidRPr="00D96F15">
        <w:rPr>
          <w:rFonts w:ascii="Calibri" w:hAnsi="Calibri" w:cs="Calibri"/>
          <w:sz w:val="16"/>
          <w:szCs w:val="16"/>
          <w:lang w:val="en-GB"/>
        </w:rPr>
        <w:t>.</w:t>
      </w:r>
    </w:p>
  </w:footnote>
  <w:footnote w:id="14">
    <w:p w14:paraId="53BC55F7" w14:textId="12FB13C6" w:rsidR="00870517" w:rsidRPr="00870517" w:rsidRDefault="00870517" w:rsidP="00870517">
      <w:pPr>
        <w:pStyle w:val="FootnoteText"/>
        <w:rPr>
          <w:rFonts w:ascii="Calibri" w:hAnsi="Calibri" w:cs="Calibri"/>
          <w:sz w:val="16"/>
          <w:szCs w:val="16"/>
        </w:rPr>
      </w:pPr>
      <w:r w:rsidRPr="00870517">
        <w:rPr>
          <w:rStyle w:val="FootnoteReference"/>
          <w:rFonts w:ascii="Calibri" w:hAnsi="Calibri" w:cs="Calibri"/>
          <w:sz w:val="16"/>
          <w:szCs w:val="16"/>
        </w:rPr>
        <w:footnoteRef/>
      </w:r>
      <w:r w:rsidRPr="00870517">
        <w:rPr>
          <w:rFonts w:ascii="Calibri" w:hAnsi="Calibri" w:cs="Calibri"/>
          <w:sz w:val="16"/>
          <w:szCs w:val="16"/>
        </w:rPr>
        <w:t xml:space="preserve"> WHRIN and AKSI, ‘Shadow report addressing the situation of women who use drugs in Indonesia’, prepared for submission to the Committee on the Elimination of all Forms of Discrimination Against Women (CEDAW) for the 79</w:t>
      </w:r>
      <w:r w:rsidRPr="00870517">
        <w:rPr>
          <w:rFonts w:ascii="Calibri" w:hAnsi="Calibri" w:cs="Calibri"/>
          <w:sz w:val="16"/>
          <w:szCs w:val="16"/>
          <w:vertAlign w:val="superscript"/>
        </w:rPr>
        <w:t>th</w:t>
      </w:r>
      <w:r w:rsidRPr="00870517">
        <w:rPr>
          <w:rFonts w:ascii="Calibri" w:hAnsi="Calibri" w:cs="Calibri"/>
          <w:sz w:val="16"/>
          <w:szCs w:val="16"/>
        </w:rPr>
        <w:t xml:space="preserve"> Session (2021). Available at </w:t>
      </w:r>
      <w:hyperlink r:id="rId1" w:history="1">
        <w:r w:rsidRPr="00870517">
          <w:rPr>
            <w:rStyle w:val="Hyperlink"/>
            <w:rFonts w:ascii="Calibri" w:hAnsi="Calibri" w:cs="Calibri"/>
            <w:sz w:val="16"/>
            <w:szCs w:val="16"/>
          </w:rPr>
          <w:t>http://fileserver.idpc.net/library/WHRIN-Aksi_Indonesia_Women.pdf</w:t>
        </w:r>
      </w:hyperlink>
      <w:r w:rsidRPr="00870517">
        <w:rPr>
          <w:rFonts w:ascii="Calibri" w:hAnsi="Calibri" w:cs="Calibri"/>
          <w:sz w:val="16"/>
          <w:szCs w:val="16"/>
        </w:rPr>
        <w:t>.</w:t>
      </w:r>
    </w:p>
  </w:footnote>
  <w:footnote w:id="15">
    <w:p w14:paraId="00000097" w14:textId="73FDA22E" w:rsidR="00F93E19" w:rsidRPr="00D96F15" w:rsidRDefault="007054C2">
      <w:pPr>
        <w:spacing w:line="240" w:lineRule="auto"/>
        <w:rPr>
          <w:rFonts w:ascii="Calibri" w:hAnsi="Calibri" w:cs="Calibri"/>
          <w:sz w:val="16"/>
          <w:szCs w:val="16"/>
        </w:rPr>
      </w:pPr>
      <w:r w:rsidRPr="00870517">
        <w:rPr>
          <w:rFonts w:ascii="Calibri" w:hAnsi="Calibri" w:cs="Calibri"/>
          <w:sz w:val="16"/>
          <w:szCs w:val="16"/>
          <w:vertAlign w:val="superscript"/>
        </w:rPr>
        <w:footnoteRef/>
      </w:r>
      <w:r w:rsidRPr="00870517">
        <w:rPr>
          <w:rFonts w:ascii="Calibri" w:hAnsi="Calibri" w:cs="Calibri"/>
          <w:sz w:val="16"/>
          <w:szCs w:val="16"/>
        </w:rPr>
        <w:t xml:space="preserve"> </w:t>
      </w:r>
      <w:r w:rsidR="00E145D5" w:rsidRPr="00870517">
        <w:rPr>
          <w:rFonts w:ascii="Calibri" w:eastAsia="Times New Roman" w:hAnsi="Calibri" w:cs="Calibri"/>
          <w:sz w:val="16"/>
          <w:szCs w:val="16"/>
        </w:rPr>
        <w:t xml:space="preserve"> S</w:t>
      </w:r>
      <w:r w:rsidRPr="00870517">
        <w:rPr>
          <w:rFonts w:ascii="Calibri" w:eastAsia="Times New Roman" w:hAnsi="Calibri" w:cs="Calibri"/>
          <w:sz w:val="16"/>
          <w:szCs w:val="16"/>
        </w:rPr>
        <w:t>ee</w:t>
      </w:r>
      <w:r w:rsidRPr="00D96F15">
        <w:rPr>
          <w:rFonts w:ascii="Calibri" w:eastAsia="Times New Roman" w:hAnsi="Calibri" w:cs="Calibri"/>
          <w:sz w:val="16"/>
          <w:szCs w:val="16"/>
        </w:rPr>
        <w:t xml:space="preserve"> for example </w:t>
      </w:r>
      <w:r w:rsidRPr="00D96F15">
        <w:rPr>
          <w:rFonts w:ascii="Calibri" w:eastAsia="Times New Roman" w:hAnsi="Calibri" w:cs="Calibri"/>
          <w:i/>
          <w:sz w:val="16"/>
          <w:szCs w:val="16"/>
        </w:rPr>
        <w:t>Fongum Gorji-Dinka v. Cameroon</w:t>
      </w:r>
      <w:r w:rsidRPr="00D96F15">
        <w:rPr>
          <w:rFonts w:ascii="Calibri" w:eastAsia="Times New Roman" w:hAnsi="Calibri" w:cs="Calibri"/>
          <w:sz w:val="16"/>
          <w:szCs w:val="16"/>
        </w:rPr>
        <w:t>, Communication No. 1134/2002, U</w:t>
      </w:r>
      <w:r w:rsidR="00E145D5" w:rsidRPr="00D96F15">
        <w:rPr>
          <w:rFonts w:ascii="Calibri" w:eastAsia="Times New Roman" w:hAnsi="Calibri" w:cs="Calibri"/>
          <w:sz w:val="16"/>
          <w:szCs w:val="16"/>
        </w:rPr>
        <w:t>N Doc</w:t>
      </w:r>
      <w:r w:rsidRPr="00D96F15">
        <w:rPr>
          <w:rFonts w:ascii="Calibri" w:eastAsia="Times New Roman" w:hAnsi="Calibri" w:cs="Calibri"/>
          <w:sz w:val="16"/>
          <w:szCs w:val="16"/>
        </w:rPr>
        <w:t>. CCPR/C/83/D/1134/2002 (2005), para. 5.1</w:t>
      </w:r>
      <w:r w:rsidR="00E145D5" w:rsidRPr="00D96F15">
        <w:rPr>
          <w:rFonts w:ascii="Calibri" w:eastAsia="Times New Roman" w:hAnsi="Calibri" w:cs="Calibri"/>
          <w:sz w:val="16"/>
          <w:szCs w:val="16"/>
        </w:rPr>
        <w:t>.</w:t>
      </w:r>
    </w:p>
  </w:footnote>
  <w:footnote w:id="16">
    <w:p w14:paraId="00000098" w14:textId="4BF9E311"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Pr="00D96F15">
        <w:rPr>
          <w:rFonts w:ascii="Calibri" w:eastAsia="Times New Roman" w:hAnsi="Calibri" w:cs="Calibri"/>
          <w:sz w:val="16"/>
          <w:szCs w:val="16"/>
        </w:rPr>
        <w:t xml:space="preserve">Among others, see Human Rights Council, Report of the Working </w:t>
      </w:r>
      <w:r w:rsidR="00E145D5" w:rsidRPr="00D96F15">
        <w:rPr>
          <w:rFonts w:ascii="Calibri" w:eastAsia="Times New Roman" w:hAnsi="Calibri" w:cs="Calibri"/>
          <w:sz w:val="16"/>
          <w:szCs w:val="16"/>
        </w:rPr>
        <w:t>Group on Arbitrary Detention. UN</w:t>
      </w:r>
      <w:r w:rsidRPr="00D96F15">
        <w:rPr>
          <w:rFonts w:ascii="Calibri" w:eastAsia="Times New Roman" w:hAnsi="Calibri" w:cs="Calibri"/>
          <w:sz w:val="16"/>
          <w:szCs w:val="16"/>
        </w:rPr>
        <w:t xml:space="preserve"> Doc. A/HRC/30/36 (2015), Para. 60</w:t>
      </w:r>
      <w:r w:rsidR="00E145D5" w:rsidRPr="00D96F15">
        <w:rPr>
          <w:rFonts w:ascii="Calibri" w:eastAsia="Times New Roman" w:hAnsi="Calibri" w:cs="Calibri"/>
          <w:sz w:val="16"/>
          <w:szCs w:val="16"/>
        </w:rPr>
        <w:t>; Human Rights Council, Arbitrary Detention relating to drug policies: Study of the Working Group on Arbitrary Detention.</w:t>
      </w:r>
      <w:r w:rsidR="0058564A" w:rsidRPr="00D96F15">
        <w:rPr>
          <w:rFonts w:ascii="Calibri" w:eastAsia="Times New Roman" w:hAnsi="Calibri" w:cs="Calibri"/>
          <w:sz w:val="16"/>
          <w:szCs w:val="16"/>
        </w:rPr>
        <w:t xml:space="preserve"> UN Doc. A/HRC/47/40 (2021).</w:t>
      </w:r>
    </w:p>
  </w:footnote>
  <w:footnote w:id="17">
    <w:p w14:paraId="0000008B" w14:textId="3BDF0A5C" w:rsidR="00F93E19" w:rsidRPr="00D96F15" w:rsidRDefault="007054C2" w:rsidP="0058564A">
      <w:pPr>
        <w:spacing w:line="240" w:lineRule="auto"/>
        <w:rPr>
          <w:rFonts w:ascii="Calibri" w:eastAsia="Times New Roman" w:hAnsi="Calibri" w:cs="Calibri"/>
          <w: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Pr="00D96F15">
        <w:rPr>
          <w:rFonts w:ascii="Calibri" w:eastAsia="Times New Roman" w:hAnsi="Calibri" w:cs="Calibri"/>
          <w:sz w:val="16"/>
          <w:szCs w:val="16"/>
        </w:rPr>
        <w:t xml:space="preserve">Among others, see: </w:t>
      </w:r>
      <w:r w:rsidRPr="00D96F15">
        <w:rPr>
          <w:rFonts w:ascii="Calibri" w:eastAsia="Times New Roman" w:hAnsi="Calibri" w:cs="Calibri"/>
          <w:sz w:val="16"/>
          <w:szCs w:val="16"/>
          <w:highlight w:val="white"/>
        </w:rPr>
        <w:t>States should stop arbitrary detentions for drug offences, say UN rights experts’ (</w:t>
      </w:r>
      <w:r w:rsidRPr="00D96F15">
        <w:rPr>
          <w:rFonts w:ascii="Calibri" w:hAnsi="Calibri" w:cs="Calibri"/>
          <w:sz w:val="16"/>
          <w:szCs w:val="16"/>
          <w:highlight w:val="white"/>
        </w:rPr>
        <w:t>Statement by the UN Working Group on Arbitrary Detention, 20 March 2019</w:t>
      </w:r>
      <w:r w:rsidRPr="00D96F15">
        <w:rPr>
          <w:rFonts w:ascii="Calibri" w:hAnsi="Calibri" w:cs="Calibri"/>
          <w:b/>
          <w:sz w:val="16"/>
          <w:szCs w:val="16"/>
          <w:highlight w:val="white"/>
        </w:rPr>
        <w:t>)</w:t>
      </w:r>
      <w:r w:rsidRPr="00D96F15">
        <w:rPr>
          <w:rFonts w:ascii="Calibri" w:eastAsia="Times New Roman" w:hAnsi="Calibri" w:cs="Calibri"/>
          <w:sz w:val="16"/>
          <w:szCs w:val="16"/>
        </w:rPr>
        <w:t>.</w:t>
      </w:r>
      <w:hyperlink r:id="rId2">
        <w:r w:rsidRPr="00D96F15">
          <w:rPr>
            <w:rFonts w:ascii="Calibri" w:eastAsia="Times New Roman" w:hAnsi="Calibri" w:cs="Calibri"/>
            <w:sz w:val="16"/>
            <w:szCs w:val="16"/>
          </w:rPr>
          <w:t xml:space="preserve"> </w:t>
        </w:r>
      </w:hyperlink>
      <w:hyperlink r:id="rId3">
        <w:r w:rsidRPr="00D96F15">
          <w:rPr>
            <w:rFonts w:ascii="Calibri" w:eastAsia="Times New Roman" w:hAnsi="Calibri" w:cs="Calibri"/>
            <w:color w:val="1155CC"/>
            <w:sz w:val="16"/>
            <w:szCs w:val="16"/>
            <w:u w:val="single"/>
          </w:rPr>
          <w:t>https://www.ohchr.org/EN/NewsEvents/Pages/DisplayNews.aspx?NewsID=24369&amp;LangID=E</w:t>
        </w:r>
      </w:hyperlink>
      <w:r w:rsidRPr="00D96F15">
        <w:rPr>
          <w:rFonts w:ascii="Calibri" w:eastAsia="Times New Roman" w:hAnsi="Calibri" w:cs="Calibri"/>
          <w:sz w:val="16"/>
          <w:szCs w:val="16"/>
        </w:rPr>
        <w:t>.; A/HRC/41/27, para 5; CESCR, Concluding Observations, Philippines, E/C.12/PHL/CO/5-6 (2016), para. 54; A/65/255; Report to the</w:t>
      </w:r>
      <w:r w:rsidR="0058564A" w:rsidRPr="00D96F15">
        <w:rPr>
          <w:rFonts w:ascii="Calibri" w:eastAsia="Times New Roman" w:hAnsi="Calibri" w:cs="Calibri"/>
          <w:sz w:val="16"/>
          <w:szCs w:val="16"/>
        </w:rPr>
        <w:t xml:space="preserve"> General </w:t>
      </w:r>
      <w:r w:rsidRPr="00D96F15">
        <w:rPr>
          <w:rFonts w:ascii="Calibri" w:eastAsia="Times New Roman" w:hAnsi="Calibri" w:cs="Calibri"/>
          <w:sz w:val="16"/>
          <w:szCs w:val="16"/>
        </w:rPr>
        <w:t>Assembly by UN Special Rapporteur on the right to health, Anand Grover (2010), A/65/255, para. 72;</w:t>
      </w:r>
      <w:r w:rsidR="0058564A" w:rsidRPr="00D96F15">
        <w:rPr>
          <w:rFonts w:ascii="Calibri" w:eastAsia="Times New Roman" w:hAnsi="Calibri" w:cs="Calibri"/>
          <w:sz w:val="16"/>
          <w:szCs w:val="16"/>
        </w:rPr>
        <w:t xml:space="preserve"> </w:t>
      </w:r>
      <w:r w:rsidRPr="00D96F15">
        <w:rPr>
          <w:rFonts w:ascii="Calibri" w:eastAsia="Times New Roman" w:hAnsi="Calibri" w:cs="Calibri"/>
          <w:sz w:val="16"/>
          <w:szCs w:val="16"/>
        </w:rPr>
        <w:t>Report of the United Nations High Commissioner for Human Rights: Study on the impact of the world drug</w:t>
      </w:r>
      <w:r w:rsidR="0058564A" w:rsidRPr="00D96F15">
        <w:rPr>
          <w:rFonts w:ascii="Calibri" w:eastAsia="Times New Roman" w:hAnsi="Calibri" w:cs="Calibri"/>
          <w:sz w:val="16"/>
          <w:szCs w:val="16"/>
        </w:rPr>
        <w:t xml:space="preserve"> </w:t>
      </w:r>
      <w:r w:rsidRPr="00D96F15">
        <w:rPr>
          <w:rFonts w:ascii="Calibri" w:eastAsia="Times New Roman" w:hAnsi="Calibri" w:cs="Calibri"/>
          <w:sz w:val="16"/>
          <w:szCs w:val="16"/>
        </w:rPr>
        <w:t>problem on the enjoyment of human rights, 4 September 2015, A/HRC/30/65.</w:t>
      </w:r>
      <w:r w:rsidR="0058564A" w:rsidRPr="00D96F15">
        <w:rPr>
          <w:rFonts w:ascii="Calibri" w:eastAsia="Times New Roman" w:hAnsi="Calibri" w:cs="Calibri"/>
          <w:sz w:val="16"/>
          <w:szCs w:val="16"/>
        </w:rPr>
        <w:t xml:space="preserve"> </w:t>
      </w:r>
      <w:r w:rsidRPr="00D96F15">
        <w:rPr>
          <w:rFonts w:ascii="Calibri" w:eastAsia="Times New Roman" w:hAnsi="Calibri" w:cs="Calibri"/>
          <w:sz w:val="16"/>
          <w:szCs w:val="16"/>
        </w:rPr>
        <w:t xml:space="preserve">UNAIDS/UNHCR/UNICEF/WFP/UNDP/UNFPA/UN Women/ILO/UNESCO/WHO/IOM/OHCHR, </w:t>
      </w:r>
      <w:r w:rsidRPr="00D96F15">
        <w:rPr>
          <w:rFonts w:ascii="Calibri" w:eastAsia="Times New Roman" w:hAnsi="Calibri" w:cs="Calibri"/>
          <w:i/>
          <w:sz w:val="16"/>
          <w:szCs w:val="16"/>
        </w:rPr>
        <w:t>Joint United Nations</w:t>
      </w:r>
    </w:p>
    <w:p w14:paraId="0000008C" w14:textId="77777777" w:rsidR="00F93E19" w:rsidRPr="00D96F15" w:rsidRDefault="007054C2">
      <w:pPr>
        <w:spacing w:line="240" w:lineRule="auto"/>
        <w:rPr>
          <w:rFonts w:ascii="Calibri" w:hAnsi="Calibri" w:cs="Calibri"/>
          <w:sz w:val="16"/>
          <w:szCs w:val="16"/>
        </w:rPr>
      </w:pPr>
      <w:r w:rsidRPr="00D96F15">
        <w:rPr>
          <w:rFonts w:ascii="Calibri" w:eastAsia="Times New Roman" w:hAnsi="Calibri" w:cs="Calibri"/>
          <w:i/>
          <w:sz w:val="16"/>
          <w:szCs w:val="16"/>
        </w:rPr>
        <w:t>Statement on ending discrimination in health care</w:t>
      </w:r>
      <w:r w:rsidRPr="00D96F15">
        <w:rPr>
          <w:rFonts w:ascii="Calibri" w:eastAsia="Times New Roman" w:hAnsi="Calibri" w:cs="Calibri"/>
          <w:sz w:val="16"/>
          <w:szCs w:val="16"/>
        </w:rPr>
        <w:t>, 27 June 2017; A/HRC/39/39, paras. 14–17.</w:t>
      </w:r>
    </w:p>
  </w:footnote>
  <w:footnote w:id="18">
    <w:p w14:paraId="0000008D" w14:textId="769D3167"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See for example, Inside Indonesia, </w:t>
      </w:r>
      <w:r w:rsidRPr="00D96F15">
        <w:rPr>
          <w:rFonts w:ascii="Calibri" w:hAnsi="Calibri" w:cs="Calibri"/>
          <w:i/>
          <w:sz w:val="16"/>
          <w:szCs w:val="16"/>
        </w:rPr>
        <w:t xml:space="preserve">Drugs and Drug Policy, </w:t>
      </w:r>
      <w:r w:rsidRPr="00D96F15">
        <w:rPr>
          <w:rFonts w:ascii="Calibri" w:hAnsi="Calibri" w:cs="Calibri"/>
          <w:sz w:val="16"/>
          <w:szCs w:val="16"/>
        </w:rPr>
        <w:t>ed. 137: Jul-Sep 2019,</w:t>
      </w:r>
      <w:hyperlink r:id="rId4">
        <w:r w:rsidRPr="00D96F15">
          <w:rPr>
            <w:rFonts w:ascii="Calibri" w:hAnsi="Calibri" w:cs="Calibri"/>
            <w:sz w:val="16"/>
            <w:szCs w:val="16"/>
          </w:rPr>
          <w:t xml:space="preserve"> </w:t>
        </w:r>
      </w:hyperlink>
      <w:hyperlink r:id="rId5">
        <w:r w:rsidRPr="00D96F15">
          <w:rPr>
            <w:rFonts w:ascii="Calibri" w:hAnsi="Calibri" w:cs="Calibri"/>
            <w:color w:val="1155CC"/>
            <w:sz w:val="16"/>
            <w:szCs w:val="16"/>
            <w:u w:val="single"/>
          </w:rPr>
          <w:t>https://www.insideindonesia.org/drugs-and-drug-policy</w:t>
        </w:r>
      </w:hyperlink>
      <w:r w:rsidR="0058564A" w:rsidRPr="00D96F15">
        <w:rPr>
          <w:rFonts w:ascii="Calibri" w:hAnsi="Calibri" w:cs="Calibri"/>
          <w:color w:val="1155CC"/>
          <w:sz w:val="16"/>
          <w:szCs w:val="16"/>
          <w:u w:val="single"/>
        </w:rPr>
        <w:t>.</w:t>
      </w:r>
    </w:p>
  </w:footnote>
  <w:footnote w:id="19">
    <w:p w14:paraId="0000008F" w14:textId="5598C80C" w:rsidR="00F93E19" w:rsidRPr="00D96F15" w:rsidRDefault="007054C2">
      <w:pPr>
        <w:spacing w:line="240" w:lineRule="auto"/>
        <w:rPr>
          <w:rFonts w:ascii="Calibri" w:hAnsi="Calibri" w:cs="Calibri"/>
          <w:color w:val="1155CC"/>
          <w:sz w:val="16"/>
          <w:szCs w:val="16"/>
          <w:u w:val="single"/>
        </w:rPr>
      </w:pPr>
      <w:r w:rsidRPr="00D96F15">
        <w:rPr>
          <w:rFonts w:ascii="Calibri" w:hAnsi="Calibri" w:cs="Calibri"/>
          <w:sz w:val="16"/>
          <w:szCs w:val="16"/>
          <w:vertAlign w:val="superscript"/>
        </w:rPr>
        <w:footnoteRef/>
      </w:r>
      <w:r w:rsidRPr="00D96F15">
        <w:rPr>
          <w:rFonts w:ascii="Calibri" w:hAnsi="Calibri" w:cs="Calibri"/>
          <w:sz w:val="16"/>
          <w:szCs w:val="16"/>
        </w:rPr>
        <w:t xml:space="preserve"> Law of the Republic of Indonesia No. 35 of 2009 on Narcotics, Article 112. Available at:</w:t>
      </w:r>
      <w:hyperlink r:id="rId6">
        <w:r w:rsidRPr="00D96F15">
          <w:rPr>
            <w:rFonts w:ascii="Calibri" w:hAnsi="Calibri" w:cs="Calibri"/>
            <w:sz w:val="16"/>
            <w:szCs w:val="16"/>
          </w:rPr>
          <w:t xml:space="preserve"> </w:t>
        </w:r>
      </w:hyperlink>
      <w:hyperlink r:id="rId7">
        <w:r w:rsidRPr="00D96F15">
          <w:rPr>
            <w:rFonts w:ascii="Calibri" w:hAnsi="Calibri" w:cs="Calibri"/>
            <w:color w:val="1155CC"/>
            <w:sz w:val="16"/>
            <w:szCs w:val="16"/>
            <w:u w:val="single"/>
          </w:rPr>
          <w:t>http://www.flevin.com/id/lgso/translations/JICA%20Mirror/english/4868_UU_35_2009_e.html</w:t>
        </w:r>
      </w:hyperlink>
      <w:r w:rsidR="0058564A" w:rsidRPr="00D96F15">
        <w:rPr>
          <w:rFonts w:ascii="Calibri" w:hAnsi="Calibri" w:cs="Calibri"/>
          <w:color w:val="1155CC"/>
          <w:sz w:val="16"/>
          <w:szCs w:val="16"/>
          <w:u w:val="single"/>
        </w:rPr>
        <w:t>.</w:t>
      </w:r>
    </w:p>
  </w:footnote>
  <w:footnote w:id="20">
    <w:p w14:paraId="00000090" w14:textId="613F4881"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Ibid., Article 113</w:t>
      </w:r>
      <w:r w:rsidR="0058564A" w:rsidRPr="00D96F15">
        <w:rPr>
          <w:rFonts w:ascii="Calibri" w:hAnsi="Calibri" w:cs="Calibri"/>
          <w:sz w:val="16"/>
          <w:szCs w:val="16"/>
        </w:rPr>
        <w:t>.</w:t>
      </w:r>
    </w:p>
  </w:footnote>
  <w:footnote w:id="21">
    <w:p w14:paraId="00000091" w14:textId="53CD5607"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Ibid., Article 127</w:t>
      </w:r>
      <w:r w:rsidR="0058564A" w:rsidRPr="00D96F15">
        <w:rPr>
          <w:rFonts w:ascii="Calibri" w:hAnsi="Calibri" w:cs="Calibri"/>
          <w:sz w:val="16"/>
          <w:szCs w:val="16"/>
        </w:rPr>
        <w:t>.</w:t>
      </w:r>
    </w:p>
  </w:footnote>
  <w:footnote w:id="22">
    <w:p w14:paraId="68E66528" w14:textId="4426F294" w:rsidR="00BD0C90" w:rsidRPr="00D96F15" w:rsidRDefault="00BD0C90">
      <w:pPr>
        <w:pStyle w:val="FootnoteText"/>
        <w:rPr>
          <w:rFonts w:ascii="Calibri" w:hAnsi="Calibri" w:cs="Calibri"/>
          <w:sz w:val="16"/>
          <w:szCs w:val="16"/>
        </w:rPr>
      </w:pPr>
      <w:r w:rsidRPr="00D96F15">
        <w:rPr>
          <w:rStyle w:val="FootnoteReference"/>
          <w:rFonts w:ascii="Calibri" w:hAnsi="Calibri" w:cs="Calibri"/>
          <w:sz w:val="16"/>
          <w:szCs w:val="16"/>
        </w:rPr>
        <w:footnoteRef/>
      </w:r>
      <w:r w:rsidRPr="00D96F15">
        <w:rPr>
          <w:rFonts w:ascii="Calibri" w:hAnsi="Calibri" w:cs="Calibri"/>
          <w:sz w:val="16"/>
          <w:szCs w:val="16"/>
        </w:rPr>
        <w:t xml:space="preserve"> </w:t>
      </w:r>
      <w:r w:rsidR="0058564A" w:rsidRPr="00D96F15">
        <w:rPr>
          <w:rFonts w:ascii="Calibri" w:hAnsi="Calibri" w:cs="Calibri"/>
          <w:sz w:val="16"/>
          <w:szCs w:val="16"/>
        </w:rPr>
        <w:t xml:space="preserve">Official figures on prison population in Indonesia can be accessed at: </w:t>
      </w:r>
      <w:hyperlink r:id="rId8" w:history="1">
        <w:r w:rsidR="0058564A" w:rsidRPr="00D96F15">
          <w:rPr>
            <w:rStyle w:val="Hyperlink"/>
            <w:rFonts w:ascii="Calibri" w:hAnsi="Calibri" w:cs="Calibri"/>
            <w:sz w:val="16"/>
            <w:szCs w:val="16"/>
          </w:rPr>
          <w:t>http://sdppublik.ditjenpas.go.id/</w:t>
        </w:r>
      </w:hyperlink>
      <w:r w:rsidR="0058564A" w:rsidRPr="00D96F15">
        <w:rPr>
          <w:rFonts w:ascii="Calibri" w:hAnsi="Calibri" w:cs="Calibri"/>
          <w:sz w:val="16"/>
          <w:szCs w:val="16"/>
        </w:rPr>
        <w:t xml:space="preserve">. </w:t>
      </w:r>
    </w:p>
  </w:footnote>
  <w:footnote w:id="23">
    <w:p w14:paraId="4DE18A7F" w14:textId="704DEBA5" w:rsidR="00BD0C90" w:rsidRPr="00D96F15" w:rsidRDefault="00BD0C90">
      <w:pPr>
        <w:pStyle w:val="FootnoteText"/>
        <w:rPr>
          <w:rFonts w:ascii="Calibri" w:hAnsi="Calibri" w:cs="Calibri"/>
          <w:sz w:val="16"/>
          <w:szCs w:val="16"/>
        </w:rPr>
      </w:pPr>
      <w:r w:rsidRPr="00D96F15">
        <w:rPr>
          <w:rStyle w:val="FootnoteReference"/>
          <w:rFonts w:ascii="Calibri" w:hAnsi="Calibri" w:cs="Calibri"/>
          <w:sz w:val="16"/>
          <w:szCs w:val="16"/>
        </w:rPr>
        <w:footnoteRef/>
      </w:r>
      <w:r w:rsidRPr="00D96F15">
        <w:rPr>
          <w:rFonts w:ascii="Calibri" w:hAnsi="Calibri" w:cs="Calibri"/>
          <w:sz w:val="16"/>
          <w:szCs w:val="16"/>
        </w:rPr>
        <w:t xml:space="preserve"> source</w:t>
      </w:r>
    </w:p>
  </w:footnote>
  <w:footnote w:id="24">
    <w:p w14:paraId="0F95908E" w14:textId="551EA0C9" w:rsidR="00870517" w:rsidRPr="00D96F15" w:rsidRDefault="00870517" w:rsidP="00870517">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Guideline</w:t>
      </w:r>
      <w:r>
        <w:rPr>
          <w:rFonts w:ascii="Calibri" w:hAnsi="Calibri" w:cs="Calibri"/>
          <w:sz w:val="16"/>
          <w:szCs w:val="16"/>
        </w:rPr>
        <w:t>s</w:t>
      </w:r>
      <w:r w:rsidRPr="00D96F15">
        <w:rPr>
          <w:rFonts w:ascii="Calibri" w:hAnsi="Calibri" w:cs="Calibri"/>
          <w:sz w:val="16"/>
          <w:szCs w:val="16"/>
        </w:rPr>
        <w:t xml:space="preserve"> 18/2021 can be accessed at: https://lbhmasyarakat.org/wp-content/uploads/2021/11/PEDOMAN-18-TAHUN-2021.pdf/ . </w:t>
      </w:r>
    </w:p>
  </w:footnote>
  <w:footnote w:id="25">
    <w:p w14:paraId="6E31A562" w14:textId="6C910EC0" w:rsidR="005A01A6" w:rsidRPr="00D96F15" w:rsidRDefault="005A01A6">
      <w:pPr>
        <w:pStyle w:val="FootnoteText"/>
        <w:rPr>
          <w:rFonts w:ascii="Calibri" w:hAnsi="Calibri" w:cs="Calibri"/>
          <w:sz w:val="16"/>
          <w:szCs w:val="16"/>
        </w:rPr>
      </w:pPr>
      <w:r w:rsidRPr="00D96F15">
        <w:rPr>
          <w:rStyle w:val="FootnoteReference"/>
          <w:rFonts w:ascii="Calibri" w:hAnsi="Calibri" w:cs="Calibri"/>
          <w:sz w:val="16"/>
          <w:szCs w:val="16"/>
        </w:rPr>
        <w:footnoteRef/>
      </w:r>
      <w:r w:rsidRPr="00D96F15">
        <w:rPr>
          <w:rFonts w:ascii="Calibri" w:hAnsi="Calibri" w:cs="Calibri"/>
          <w:sz w:val="16"/>
          <w:szCs w:val="16"/>
        </w:rPr>
        <w:t xml:space="preserve"> Among others, see </w:t>
      </w:r>
      <w:r w:rsidR="0058564A" w:rsidRPr="00D96F15">
        <w:rPr>
          <w:rFonts w:ascii="Calibri" w:eastAsia="Times New Roman" w:hAnsi="Calibri" w:cs="Calibri"/>
          <w:sz w:val="16"/>
          <w:szCs w:val="16"/>
        </w:rPr>
        <w:t>Human Rights Council, Arbitrary Detention relating to drug policies: Study of the Working Group on Arbitrary Detention. UN Doc. A/HRC/47/40 (2021).</w:t>
      </w:r>
    </w:p>
  </w:footnote>
  <w:footnote w:id="26">
    <w:p w14:paraId="00000092" w14:textId="31E8359E"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Institute for Criminal Justice Report (2019), </w:t>
      </w:r>
      <w:r w:rsidR="0058564A" w:rsidRPr="00D96F15">
        <w:rPr>
          <w:rFonts w:ascii="Calibri" w:hAnsi="Calibri" w:cs="Calibri"/>
          <w:sz w:val="16"/>
          <w:szCs w:val="16"/>
        </w:rPr>
        <w:t>‘</w:t>
      </w:r>
      <w:r w:rsidRPr="00D96F15">
        <w:rPr>
          <w:rFonts w:ascii="Calibri" w:hAnsi="Calibri" w:cs="Calibri"/>
          <w:sz w:val="16"/>
          <w:szCs w:val="16"/>
        </w:rPr>
        <w:t>Strategies to Reduce Overcrowding in Indonesia: Causes, Impacts, and Solutions</w:t>
      </w:r>
      <w:r w:rsidR="0058564A" w:rsidRPr="00D96F15">
        <w:rPr>
          <w:rFonts w:ascii="Calibri" w:hAnsi="Calibri" w:cs="Calibri"/>
          <w:sz w:val="16"/>
          <w:szCs w:val="16"/>
        </w:rPr>
        <w:t>’</w:t>
      </w:r>
      <w:r w:rsidRPr="00D96F15">
        <w:rPr>
          <w:rFonts w:ascii="Calibri" w:hAnsi="Calibri" w:cs="Calibri"/>
          <w:i/>
          <w:sz w:val="16"/>
          <w:szCs w:val="16"/>
        </w:rPr>
        <w:t xml:space="preserve">, </w:t>
      </w:r>
      <w:r w:rsidRPr="00D96F15">
        <w:rPr>
          <w:rFonts w:ascii="Calibri" w:hAnsi="Calibri" w:cs="Calibri"/>
          <w:sz w:val="16"/>
          <w:szCs w:val="16"/>
        </w:rPr>
        <w:t>73. Available at:</w:t>
      </w:r>
      <w:hyperlink r:id="rId9">
        <w:r w:rsidRPr="00D96F15">
          <w:rPr>
            <w:rFonts w:ascii="Calibri" w:hAnsi="Calibri" w:cs="Calibri"/>
            <w:sz w:val="16"/>
            <w:szCs w:val="16"/>
          </w:rPr>
          <w:t xml:space="preserve"> </w:t>
        </w:r>
      </w:hyperlink>
      <w:hyperlink r:id="rId10">
        <w:r w:rsidRPr="00D96F15">
          <w:rPr>
            <w:rFonts w:ascii="Calibri" w:hAnsi="Calibri" w:cs="Calibri"/>
            <w:color w:val="1155CC"/>
            <w:sz w:val="16"/>
            <w:szCs w:val="16"/>
            <w:u w:val="single"/>
          </w:rPr>
          <w:t>http://icjr.or.id/data/wp-content/uploads/2019/03/Strategies-to-Reduce-Overcrowding-in-Indonesia.pdf</w:t>
        </w:r>
      </w:hyperlink>
    </w:p>
  </w:footnote>
  <w:footnote w:id="27">
    <w:p w14:paraId="00000093" w14:textId="77777777"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Ibid. </w:t>
      </w:r>
    </w:p>
  </w:footnote>
  <w:footnote w:id="28">
    <w:p w14:paraId="51995BA4" w14:textId="1FDBA0CC" w:rsidR="00164DFE" w:rsidRPr="00D96F15" w:rsidRDefault="00164DFE">
      <w:pPr>
        <w:pStyle w:val="FootnoteText"/>
        <w:rPr>
          <w:rFonts w:ascii="Calibri" w:hAnsi="Calibri" w:cs="Calibri"/>
          <w:sz w:val="16"/>
          <w:szCs w:val="16"/>
        </w:rPr>
      </w:pPr>
      <w:r w:rsidRPr="00D96F15">
        <w:rPr>
          <w:rStyle w:val="FootnoteReference"/>
          <w:rFonts w:ascii="Calibri" w:hAnsi="Calibri" w:cs="Calibri"/>
          <w:sz w:val="16"/>
          <w:szCs w:val="16"/>
        </w:rPr>
        <w:footnoteRef/>
      </w:r>
      <w:r w:rsidRPr="00D96F15">
        <w:rPr>
          <w:rFonts w:ascii="Calibri" w:hAnsi="Calibri" w:cs="Calibri"/>
          <w:sz w:val="16"/>
          <w:szCs w:val="16"/>
        </w:rPr>
        <w:t xml:space="preserve"> </w:t>
      </w:r>
      <w:r w:rsidR="0058564A" w:rsidRPr="00D96F15">
        <w:rPr>
          <w:rFonts w:ascii="Calibri" w:hAnsi="Calibri" w:cs="Calibri"/>
          <w:sz w:val="16"/>
          <w:szCs w:val="16"/>
        </w:rPr>
        <w:t>WHRIN and AKSI, ‘Shadow report addressing the situation of women who use drugs in Indonesia’, prepared for submission to the Committee on the Elimination of all Forms of Discrimination Against Women (CEDAW) for the 79</w:t>
      </w:r>
      <w:r w:rsidR="0058564A" w:rsidRPr="00D96F15">
        <w:rPr>
          <w:rFonts w:ascii="Calibri" w:hAnsi="Calibri" w:cs="Calibri"/>
          <w:sz w:val="16"/>
          <w:szCs w:val="16"/>
          <w:vertAlign w:val="superscript"/>
        </w:rPr>
        <w:t>th</w:t>
      </w:r>
      <w:r w:rsidR="0058564A" w:rsidRPr="00D96F15">
        <w:rPr>
          <w:rFonts w:ascii="Calibri" w:hAnsi="Calibri" w:cs="Calibri"/>
          <w:sz w:val="16"/>
          <w:szCs w:val="16"/>
        </w:rPr>
        <w:t xml:space="preserve"> Session (2021). Available at </w:t>
      </w:r>
      <w:hyperlink r:id="rId11" w:history="1">
        <w:r w:rsidR="0058564A" w:rsidRPr="00D96F15">
          <w:rPr>
            <w:rStyle w:val="Hyperlink"/>
            <w:rFonts w:ascii="Calibri" w:hAnsi="Calibri" w:cs="Calibri"/>
            <w:sz w:val="16"/>
            <w:szCs w:val="16"/>
          </w:rPr>
          <w:t>http://fileserver.idpc.net/library/WHRIN-Aksi_Indonesia_Women.pdf</w:t>
        </w:r>
      </w:hyperlink>
      <w:r w:rsidR="0058564A" w:rsidRPr="00D96F15">
        <w:rPr>
          <w:rFonts w:ascii="Calibri" w:hAnsi="Calibri" w:cs="Calibri"/>
          <w:sz w:val="16"/>
          <w:szCs w:val="16"/>
        </w:rPr>
        <w:t xml:space="preserve">. </w:t>
      </w:r>
    </w:p>
  </w:footnote>
  <w:footnote w:id="29">
    <w:p w14:paraId="308BA644" w14:textId="7E9FB271" w:rsidR="00C65A89" w:rsidRPr="00D96F15" w:rsidRDefault="00C65A89" w:rsidP="00C65A89">
      <w:pPr>
        <w:pStyle w:val="FootnoteText"/>
        <w:rPr>
          <w:rFonts w:ascii="Calibri" w:hAnsi="Calibri" w:cs="Calibri"/>
          <w:sz w:val="16"/>
          <w:szCs w:val="16"/>
        </w:rPr>
      </w:pPr>
      <w:r w:rsidRPr="00D96F15">
        <w:rPr>
          <w:rStyle w:val="FootnoteReference"/>
          <w:rFonts w:ascii="Calibri" w:hAnsi="Calibri" w:cs="Calibri"/>
          <w:sz w:val="16"/>
          <w:szCs w:val="16"/>
        </w:rPr>
        <w:footnoteRef/>
      </w:r>
      <w:r w:rsidRPr="00D96F15">
        <w:rPr>
          <w:rFonts w:ascii="Calibri" w:hAnsi="Calibri" w:cs="Calibri"/>
          <w:sz w:val="16"/>
          <w:szCs w:val="16"/>
        </w:rPr>
        <w:t xml:space="preserve"> </w:t>
      </w:r>
      <w:r w:rsidR="0058564A" w:rsidRPr="00D96F15">
        <w:rPr>
          <w:rFonts w:ascii="Calibri" w:hAnsi="Calibri" w:cs="Calibri"/>
          <w:sz w:val="16"/>
          <w:szCs w:val="16"/>
        </w:rPr>
        <w:t xml:space="preserve">Ajeng Larasat (ed.) (2019), ‘Yang Terabaikan: potret situasi perempuan yang dipenjara akibat tindak pidana narkotika’ (Jakarta: LBH Masyarakat), </w:t>
      </w:r>
      <w:hyperlink r:id="rId12" w:history="1">
        <w:r w:rsidRPr="00D96F15">
          <w:rPr>
            <w:rStyle w:val="Hyperlink"/>
            <w:rFonts w:ascii="Calibri" w:hAnsi="Calibri" w:cs="Calibri"/>
            <w:sz w:val="16"/>
            <w:szCs w:val="16"/>
          </w:rPr>
          <w:t>https://lbhmasyarakat.org/wp-content/uploads/2019/09/Laporan-Penelitian-LBHM_Potrets-Situasi-Perempuan-Yang-Dipenjara-Akbat-Tindak-Pidana-Narkotika.pdf</w:t>
        </w:r>
      </w:hyperlink>
      <w:r w:rsidR="0058564A" w:rsidRPr="00D96F15">
        <w:rPr>
          <w:rFonts w:ascii="Calibri" w:hAnsi="Calibri" w:cs="Calibri"/>
          <w:sz w:val="16"/>
          <w:szCs w:val="16"/>
        </w:rPr>
        <w:t xml:space="preserve">, </w:t>
      </w:r>
      <w:r w:rsidRPr="00D96F15">
        <w:rPr>
          <w:rFonts w:ascii="Calibri" w:hAnsi="Calibri" w:cs="Calibri"/>
          <w:sz w:val="16"/>
          <w:szCs w:val="16"/>
        </w:rPr>
        <w:t xml:space="preserve">74 </w:t>
      </w:r>
      <w:r w:rsidR="0058564A" w:rsidRPr="00D96F15">
        <w:rPr>
          <w:rFonts w:ascii="Calibri" w:hAnsi="Calibri" w:cs="Calibri"/>
          <w:sz w:val="16"/>
          <w:szCs w:val="16"/>
        </w:rPr>
        <w:t>–</w:t>
      </w:r>
      <w:r w:rsidRPr="00D96F15">
        <w:rPr>
          <w:rFonts w:ascii="Calibri" w:hAnsi="Calibri" w:cs="Calibri"/>
          <w:sz w:val="16"/>
          <w:szCs w:val="16"/>
        </w:rPr>
        <w:t xml:space="preserve"> 76</w:t>
      </w:r>
      <w:r w:rsidR="0058564A" w:rsidRPr="00D96F15">
        <w:rPr>
          <w:rFonts w:ascii="Calibri" w:hAnsi="Calibri" w:cs="Calibri"/>
          <w:sz w:val="16"/>
          <w:szCs w:val="16"/>
        </w:rPr>
        <w:t>.</w:t>
      </w:r>
    </w:p>
  </w:footnote>
  <w:footnote w:id="30">
    <w:p w14:paraId="00000095" w14:textId="67822029" w:rsidR="00F93E19" w:rsidRPr="00870517" w:rsidRDefault="007054C2">
      <w:pPr>
        <w:spacing w:line="240" w:lineRule="auto"/>
        <w:rPr>
          <w:rFonts w:ascii="Calibri" w:hAnsi="Calibri" w:cs="Calibri"/>
          <w:color w:val="1155CC"/>
          <w:sz w:val="16"/>
          <w:szCs w:val="16"/>
          <w:u w:val="single"/>
        </w:rPr>
      </w:pPr>
      <w:r w:rsidRPr="00D96F15">
        <w:rPr>
          <w:rFonts w:ascii="Calibri" w:hAnsi="Calibri" w:cs="Calibri"/>
          <w:sz w:val="16"/>
          <w:szCs w:val="16"/>
          <w:vertAlign w:val="superscript"/>
        </w:rPr>
        <w:footnoteRef/>
      </w:r>
      <w:r w:rsidRPr="00D96F15">
        <w:rPr>
          <w:rFonts w:ascii="Calibri" w:hAnsi="Calibri" w:cs="Calibri"/>
          <w:sz w:val="16"/>
          <w:szCs w:val="16"/>
        </w:rPr>
        <w:t xml:space="preserve"> Institute for Criminal Justice Reform (June 2016), ‘Torture remains a part of Criminal Law Enforcement in Indonesia. Available at:</w:t>
      </w:r>
      <w:hyperlink r:id="rId13">
        <w:r w:rsidRPr="00870517">
          <w:rPr>
            <w:rFonts w:ascii="Calibri" w:hAnsi="Calibri" w:cs="Calibri"/>
            <w:sz w:val="16"/>
            <w:szCs w:val="16"/>
          </w:rPr>
          <w:t xml:space="preserve"> </w:t>
        </w:r>
      </w:hyperlink>
      <w:hyperlink r:id="rId14">
        <w:r w:rsidRPr="00870517">
          <w:rPr>
            <w:rFonts w:ascii="Calibri" w:hAnsi="Calibri" w:cs="Calibri"/>
            <w:color w:val="1155CC"/>
            <w:sz w:val="16"/>
            <w:szCs w:val="16"/>
            <w:u w:val="single"/>
          </w:rPr>
          <w:t>https://icjr.or.id/torture-remains-a-part-of-criminal-law-enforcement-in-indonesia/</w:t>
        </w:r>
      </w:hyperlink>
    </w:p>
  </w:footnote>
  <w:footnote w:id="31">
    <w:p w14:paraId="0FA2E054" w14:textId="66E10B5C" w:rsidR="00870517" w:rsidRPr="00870517" w:rsidRDefault="00870517">
      <w:pPr>
        <w:pStyle w:val="FootnoteText"/>
        <w:rPr>
          <w:rFonts w:ascii="Calibri" w:hAnsi="Calibri" w:cs="Calibri"/>
          <w:sz w:val="16"/>
          <w:szCs w:val="16"/>
        </w:rPr>
      </w:pPr>
      <w:r w:rsidRPr="00870517">
        <w:rPr>
          <w:rStyle w:val="FootnoteReference"/>
          <w:rFonts w:ascii="Calibri" w:hAnsi="Calibri" w:cs="Calibri"/>
          <w:sz w:val="16"/>
          <w:szCs w:val="16"/>
        </w:rPr>
        <w:footnoteRef/>
      </w:r>
      <w:r w:rsidRPr="00870517">
        <w:rPr>
          <w:rFonts w:ascii="Calibri" w:hAnsi="Calibri" w:cs="Calibri"/>
          <w:sz w:val="16"/>
          <w:szCs w:val="16"/>
        </w:rPr>
        <w:t xml:space="preserve"> For more information on this case, see: </w:t>
      </w:r>
      <w:hyperlink r:id="rId15" w:history="1">
        <w:r w:rsidRPr="00870517">
          <w:rPr>
            <w:rStyle w:val="Hyperlink"/>
            <w:rFonts w:ascii="Calibri" w:hAnsi="Calibri" w:cs="Calibri"/>
            <w:sz w:val="16"/>
            <w:szCs w:val="16"/>
          </w:rPr>
          <w:t>https://www.hri.global/MerriUtami</w:t>
        </w:r>
      </w:hyperlink>
      <w:r w:rsidRPr="00870517">
        <w:rPr>
          <w:rFonts w:ascii="Calibri" w:hAnsi="Calibri" w:cs="Calibri"/>
          <w:sz w:val="16"/>
          <w:szCs w:val="16"/>
        </w:rPr>
        <w:t xml:space="preserve">. </w:t>
      </w:r>
    </w:p>
  </w:footnote>
  <w:footnote w:id="32">
    <w:p w14:paraId="4430FABA" w14:textId="79644185" w:rsidR="00542CBD" w:rsidRPr="00D96F15" w:rsidRDefault="00542CBD">
      <w:pPr>
        <w:pStyle w:val="FootnoteText"/>
        <w:rPr>
          <w:rFonts w:ascii="Calibri" w:hAnsi="Calibri" w:cs="Calibri"/>
          <w:sz w:val="16"/>
          <w:szCs w:val="16"/>
        </w:rPr>
      </w:pPr>
      <w:r w:rsidRPr="00D96F15">
        <w:rPr>
          <w:rStyle w:val="FootnoteReference"/>
          <w:rFonts w:ascii="Calibri" w:hAnsi="Calibri" w:cs="Calibri"/>
          <w:sz w:val="16"/>
          <w:szCs w:val="16"/>
        </w:rPr>
        <w:footnoteRef/>
      </w:r>
      <w:r w:rsidRPr="00D96F15">
        <w:rPr>
          <w:rFonts w:ascii="Calibri" w:hAnsi="Calibri" w:cs="Calibri"/>
          <w:sz w:val="16"/>
          <w:szCs w:val="16"/>
        </w:rPr>
        <w:t xml:space="preserve"> </w:t>
      </w:r>
      <w:r w:rsidR="0058564A" w:rsidRPr="00D96F15">
        <w:rPr>
          <w:rFonts w:ascii="Calibri" w:hAnsi="Calibri" w:cs="Calibri"/>
          <w:sz w:val="16"/>
          <w:szCs w:val="16"/>
        </w:rPr>
        <w:t xml:space="preserve">Among others, see: UNODC, WHO, UNAIDS and OHCHR Joint Statement on COVID-19 in prisons and other closed settings (13 May 2020), </w:t>
      </w:r>
      <w:hyperlink r:id="rId16" w:history="1">
        <w:r w:rsidR="0058564A" w:rsidRPr="00D96F15">
          <w:rPr>
            <w:rStyle w:val="Hyperlink"/>
            <w:rFonts w:ascii="Calibri" w:hAnsi="Calibri" w:cs="Calibri"/>
            <w:sz w:val="16"/>
            <w:szCs w:val="16"/>
          </w:rPr>
          <w:t>https://www.who.int/news/item/13-05-2020-unodc-who-unaids-and-ohchr-joint-statement-on-covid-19-in-prisons-and-other-closed-settings</w:t>
        </w:r>
      </w:hyperlink>
      <w:r w:rsidR="0058564A" w:rsidRPr="00D96F15">
        <w:rPr>
          <w:rFonts w:ascii="Calibri" w:hAnsi="Calibri" w:cs="Calibri"/>
          <w:sz w:val="16"/>
          <w:szCs w:val="16"/>
        </w:rPr>
        <w:t xml:space="preserve">. </w:t>
      </w:r>
    </w:p>
  </w:footnote>
  <w:footnote w:id="33">
    <w:p w14:paraId="00000099" w14:textId="53B1AB74"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Pr="00D96F15">
        <w:rPr>
          <w:rFonts w:ascii="Calibri" w:eastAsia="Times New Roman" w:hAnsi="Calibri" w:cs="Calibri"/>
          <w:sz w:val="16"/>
          <w:szCs w:val="16"/>
        </w:rPr>
        <w:t xml:space="preserve"> Diana Mariska (20 April 2020), </w:t>
      </w:r>
      <w:r w:rsidRPr="00D96F15">
        <w:rPr>
          <w:rFonts w:ascii="Calibri" w:eastAsia="Times New Roman" w:hAnsi="Calibri" w:cs="Calibri"/>
          <w:i/>
          <w:sz w:val="16"/>
          <w:szCs w:val="16"/>
        </w:rPr>
        <w:t xml:space="preserve">Police to Increase Patrols Fearing Crime Spike After 38,000 prisoners Are Released, </w:t>
      </w:r>
      <w:r w:rsidRPr="00D96F15">
        <w:rPr>
          <w:rFonts w:ascii="Calibri" w:eastAsia="Times New Roman" w:hAnsi="Calibri" w:cs="Calibri"/>
          <w:sz w:val="16"/>
          <w:szCs w:val="16"/>
        </w:rPr>
        <w:t>Jakarta Globe.</w:t>
      </w:r>
      <w:hyperlink r:id="rId17">
        <w:r w:rsidRPr="00D96F15">
          <w:rPr>
            <w:rFonts w:ascii="Calibri" w:eastAsia="Times New Roman" w:hAnsi="Calibri" w:cs="Calibri"/>
            <w:sz w:val="16"/>
            <w:szCs w:val="16"/>
          </w:rPr>
          <w:t xml:space="preserve"> </w:t>
        </w:r>
      </w:hyperlink>
      <w:hyperlink r:id="rId18">
        <w:r w:rsidRPr="00D96F15">
          <w:rPr>
            <w:rFonts w:ascii="Calibri" w:eastAsia="Times New Roman" w:hAnsi="Calibri" w:cs="Calibri"/>
            <w:color w:val="1155CC"/>
            <w:sz w:val="16"/>
            <w:szCs w:val="16"/>
            <w:u w:val="single"/>
          </w:rPr>
          <w:t>https://jakartaglobe.id/news/police-to-increase-patrols-fearing-crime-spike-after-38000-prisoners-are-released</w:t>
        </w:r>
      </w:hyperlink>
      <w:r w:rsidR="0058564A" w:rsidRPr="00D96F15">
        <w:rPr>
          <w:rFonts w:ascii="Calibri" w:eastAsia="Times New Roman" w:hAnsi="Calibri" w:cs="Calibri"/>
          <w:color w:val="1155CC"/>
          <w:sz w:val="16"/>
          <w:szCs w:val="16"/>
          <w:u w:val="single"/>
        </w:rPr>
        <w:t>.</w:t>
      </w:r>
    </w:p>
  </w:footnote>
  <w:footnote w:id="34">
    <w:p w14:paraId="0000009A" w14:textId="620B767B"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lang w:val="it-IT"/>
        </w:rPr>
        <w:t xml:space="preserve"> </w:t>
      </w:r>
      <w:r w:rsidRPr="00D96F15">
        <w:rPr>
          <w:rFonts w:ascii="Calibri" w:eastAsia="Calibri" w:hAnsi="Calibri" w:cs="Calibri"/>
          <w:sz w:val="16"/>
          <w:szCs w:val="16"/>
          <w:lang w:val="it-IT"/>
        </w:rPr>
        <w:t xml:space="preserve"> CNN Indonesia (11 April 2020), </w:t>
      </w:r>
      <w:r w:rsidRPr="00D96F15">
        <w:rPr>
          <w:rFonts w:ascii="Calibri" w:eastAsia="Calibri" w:hAnsi="Calibri" w:cs="Calibri"/>
          <w:color w:val="333333"/>
          <w:sz w:val="16"/>
          <w:szCs w:val="16"/>
          <w:lang w:val="it-IT"/>
        </w:rPr>
        <w:t>Kemenkumham Telah Bebaskan 36.554 Napi di Tengah Wabah Corona.</w:t>
      </w:r>
      <w:hyperlink r:id="rId19">
        <w:r w:rsidRPr="00D96F15">
          <w:rPr>
            <w:rFonts w:ascii="Calibri" w:eastAsia="Calibri" w:hAnsi="Calibri" w:cs="Calibri"/>
            <w:color w:val="333333"/>
            <w:sz w:val="16"/>
            <w:szCs w:val="16"/>
            <w:lang w:val="it-IT"/>
          </w:rPr>
          <w:t xml:space="preserve"> </w:t>
        </w:r>
      </w:hyperlink>
      <w:hyperlink r:id="rId20">
        <w:r w:rsidRPr="00D96F15">
          <w:rPr>
            <w:rFonts w:ascii="Calibri" w:eastAsia="Calibri" w:hAnsi="Calibri" w:cs="Calibri"/>
            <w:color w:val="1155CC"/>
            <w:sz w:val="16"/>
            <w:szCs w:val="16"/>
            <w:u w:val="single"/>
          </w:rPr>
          <w:t>https://www.cnnindonesia.com/nasional/20200411155847-20-492629/kemenkumham-telah-bebaskan-36554-napi-di-tengah-wabah-corona</w:t>
        </w:r>
      </w:hyperlink>
      <w:r w:rsidR="0058564A" w:rsidRPr="00D96F15">
        <w:rPr>
          <w:rFonts w:ascii="Calibri" w:eastAsia="Calibri" w:hAnsi="Calibri" w:cs="Calibri"/>
          <w:color w:val="1155CC"/>
          <w:sz w:val="16"/>
          <w:szCs w:val="16"/>
          <w:u w:val="single"/>
        </w:rPr>
        <w:t>.</w:t>
      </w:r>
    </w:p>
  </w:footnote>
  <w:footnote w:id="35">
    <w:p w14:paraId="78C944A3" w14:textId="77777777" w:rsidR="006B5524" w:rsidRPr="00D96F15" w:rsidRDefault="006B5524" w:rsidP="006B5524">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OHCHR,  “About the right to social security and human rights”,</w:t>
      </w:r>
      <w:hyperlink r:id="rId21">
        <w:r w:rsidRPr="00D96F15">
          <w:rPr>
            <w:rFonts w:ascii="Calibri" w:hAnsi="Calibri" w:cs="Calibri"/>
            <w:sz w:val="16"/>
            <w:szCs w:val="16"/>
          </w:rPr>
          <w:t xml:space="preserve"> </w:t>
        </w:r>
      </w:hyperlink>
      <w:hyperlink r:id="rId22">
        <w:r w:rsidRPr="00D96F15">
          <w:rPr>
            <w:rFonts w:ascii="Calibri" w:hAnsi="Calibri" w:cs="Calibri"/>
            <w:color w:val="1155CC"/>
            <w:sz w:val="16"/>
            <w:szCs w:val="16"/>
            <w:u w:val="single"/>
          </w:rPr>
          <w:t>https://www.ohchr.org/EN/Issues/RightSocialSecurity/Pages/AboutSocialSecurityandHR.aspx</w:t>
        </w:r>
      </w:hyperlink>
      <w:r w:rsidRPr="00D96F15">
        <w:rPr>
          <w:rFonts w:ascii="Calibri" w:hAnsi="Calibri" w:cs="Calibri"/>
          <w:sz w:val="16"/>
          <w:szCs w:val="16"/>
        </w:rPr>
        <w:t>, accessed on 20 December 2021.</w:t>
      </w:r>
    </w:p>
  </w:footnote>
  <w:footnote w:id="36">
    <w:p w14:paraId="21BDF12A" w14:textId="77777777" w:rsidR="004579DC" w:rsidRPr="00D96F15" w:rsidRDefault="004579DC" w:rsidP="004579DC">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See Ministry of Health Regulation Number 4 Year 2020.</w:t>
      </w:r>
    </w:p>
  </w:footnote>
  <w:footnote w:id="37">
    <w:p w14:paraId="0000009B" w14:textId="77777777"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Among others, see: Human Rights Council, Report of the United Nations High Commissioner for Human Rights: Study on the impact of the world drug problem on the enjoyment of human rights (4 September 2015), para. 46-49. UN Doc. A/HRC/30/65; ILO, UNDP, UNESCO, UNFPA, UNHCR, UNICEF, UNODC, UN WOMEN, WFP, WHO, and UNAIDS, Joint Statement: Compulsory drug detention and rehabilitation centres (March 2012).  ADD NEW WGAD</w:t>
      </w:r>
    </w:p>
  </w:footnote>
  <w:footnote w:id="38">
    <w:p w14:paraId="0000009C" w14:textId="39A7A759"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ILO,</w:t>
      </w:r>
      <w:r w:rsidR="002053BC">
        <w:rPr>
          <w:rFonts w:ascii="Calibri" w:hAnsi="Calibri" w:cs="Calibri"/>
          <w:sz w:val="16"/>
          <w:szCs w:val="16"/>
        </w:rPr>
        <w:t xml:space="preserve"> OHCHR,</w:t>
      </w:r>
      <w:r w:rsidRPr="00D96F15">
        <w:rPr>
          <w:rFonts w:ascii="Calibri" w:hAnsi="Calibri" w:cs="Calibri"/>
          <w:sz w:val="16"/>
          <w:szCs w:val="16"/>
        </w:rPr>
        <w:t xml:space="preserve"> UNDP, UNESCO, UNFPA, UNHCR, UNICEF, UNODC, UN WOMEN, WFP, WHO, and UNAIDS, Joint Statement: Compulsory drug detention and rehabilitation centres (March 2012</w:t>
      </w:r>
      <w:r w:rsidR="00D96F15" w:rsidRPr="00D96F15">
        <w:rPr>
          <w:rFonts w:ascii="Calibri" w:hAnsi="Calibri" w:cs="Calibri"/>
          <w:sz w:val="16"/>
          <w:szCs w:val="16"/>
        </w:rPr>
        <w:t>).</w:t>
      </w:r>
    </w:p>
  </w:footnote>
  <w:footnote w:id="39">
    <w:p w14:paraId="134A1B58" w14:textId="0BA76667" w:rsidR="007E5BB1" w:rsidRPr="00D96F15" w:rsidRDefault="007E5BB1">
      <w:pPr>
        <w:pStyle w:val="FootnoteText"/>
        <w:rPr>
          <w:rFonts w:ascii="Calibri" w:hAnsi="Calibri" w:cs="Calibri"/>
          <w:sz w:val="16"/>
          <w:szCs w:val="16"/>
        </w:rPr>
      </w:pPr>
      <w:r w:rsidRPr="00D96F15">
        <w:rPr>
          <w:rStyle w:val="FootnoteReference"/>
          <w:rFonts w:ascii="Calibri" w:hAnsi="Calibri" w:cs="Calibri"/>
          <w:sz w:val="16"/>
          <w:szCs w:val="16"/>
        </w:rPr>
        <w:footnoteRef/>
      </w:r>
      <w:r w:rsidR="00D96F15" w:rsidRPr="00D96F15">
        <w:rPr>
          <w:rFonts w:ascii="Calibri" w:hAnsi="Calibri" w:cs="Calibri"/>
          <w:sz w:val="16"/>
          <w:szCs w:val="16"/>
        </w:rPr>
        <w:t xml:space="preserve"> ILO, UNDP, UNFPA, OHCHR, UNAIDS, UNCHR, UNICEF, UNODC, UN Women, WFP, WHO, UNESCO, and IOM, Joint Statement: Compulsory drug detention and rehabilitation centres in Asia and the Pacific in the context of COVID-19 (1 June 2020), </w:t>
      </w:r>
      <w:hyperlink r:id="rId23" w:history="1">
        <w:r w:rsidR="00D96F15" w:rsidRPr="00D96F15">
          <w:rPr>
            <w:rStyle w:val="Hyperlink"/>
            <w:rFonts w:ascii="Calibri" w:hAnsi="Calibri" w:cs="Calibri"/>
            <w:sz w:val="16"/>
            <w:szCs w:val="16"/>
          </w:rPr>
          <w:t>https://unaidsapnew.files.wordpress.com/2020/05/unjointstatement1june2020.pdf</w:t>
        </w:r>
      </w:hyperlink>
      <w:r w:rsidR="00D96F15" w:rsidRPr="00D96F15">
        <w:rPr>
          <w:rFonts w:ascii="Calibri" w:hAnsi="Calibri" w:cs="Calibri"/>
          <w:sz w:val="16"/>
          <w:szCs w:val="16"/>
        </w:rPr>
        <w:t xml:space="preserve">. </w:t>
      </w:r>
    </w:p>
  </w:footnote>
  <w:footnote w:id="40">
    <w:p w14:paraId="0000009D" w14:textId="77777777"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Law of the Republic of Indonesia No. 35 of 2009 on Narcotics, Articles 54, 103 and 127; Law of the Republic of Indonesia No. 8 of 1981 concerning the Law of Criminal Procedure, Article 21(4)b. Other technical provisions regulating drug treatment are: Circular Letter of Supreme Court Number 3/2011; Joint Decree of the Chief Justice of the Supreme Court, the Minister of Law and Human Rights, the Minister of Health, the Minister of Social Affairs, the Attorney General, the Chief of Indonesia National Police Agency, and the Head of National Narcotics Board Number 01/PB/MA/III/2014 a.k.a. Number 03/2014 a.k.a. Number 11/2014 a.k.a. Number 3/2014 a.k.a. Number PER-005/A/JA/03/2014 a.k.a. Number 1/2014 a.k.a. Number PERBER/01/III/2014/BNN; Regulation by the Head of National Narcotics Board Number 11/2014; Attorney General Rule Number PER-29/A/JA/12/2015; Circular Letter of the Criminal Division of the Indonesia National Police Agency Number SE/01/II/2018/Bareskrim.</w:t>
      </w:r>
    </w:p>
  </w:footnote>
  <w:footnote w:id="41">
    <w:p w14:paraId="2EFC5708" w14:textId="48C5BD1B" w:rsidR="007E5BB1" w:rsidRPr="00D96F15" w:rsidRDefault="007E5BB1">
      <w:pPr>
        <w:pStyle w:val="FootnoteText"/>
        <w:rPr>
          <w:rFonts w:ascii="Calibri" w:hAnsi="Calibri" w:cs="Calibri"/>
          <w:sz w:val="16"/>
          <w:szCs w:val="16"/>
          <w:lang w:val="en-US"/>
        </w:rPr>
      </w:pPr>
      <w:r w:rsidRPr="00D96F15">
        <w:rPr>
          <w:rStyle w:val="FootnoteReference"/>
          <w:rFonts w:ascii="Calibri" w:hAnsi="Calibri" w:cs="Calibri"/>
          <w:sz w:val="16"/>
          <w:szCs w:val="16"/>
        </w:rPr>
        <w:footnoteRef/>
      </w:r>
      <w:r w:rsidRPr="00D96F15">
        <w:rPr>
          <w:rFonts w:ascii="Calibri" w:hAnsi="Calibri" w:cs="Calibri"/>
          <w:sz w:val="16"/>
          <w:szCs w:val="16"/>
        </w:rPr>
        <w:t xml:space="preserve"> </w:t>
      </w:r>
      <w:r w:rsidRPr="00D96F15">
        <w:rPr>
          <w:rFonts w:ascii="Calibri" w:eastAsia="Calibri" w:hAnsi="Calibri" w:cs="Calibri"/>
          <w:sz w:val="16"/>
          <w:szCs w:val="16"/>
        </w:rPr>
        <w:t xml:space="preserve">Persaudaraan Korban Napza Indonesia (2016), </w:t>
      </w:r>
      <w:r w:rsidRPr="00D96F15">
        <w:rPr>
          <w:rFonts w:ascii="Calibri" w:eastAsia="Calibri" w:hAnsi="Calibri" w:cs="Calibri"/>
          <w:i/>
          <w:sz w:val="16"/>
          <w:szCs w:val="16"/>
        </w:rPr>
        <w:t xml:space="preserve">The War on Drugs in Indonesia. </w:t>
      </w:r>
      <w:r w:rsidRPr="00D96F15">
        <w:rPr>
          <w:rFonts w:ascii="Calibri" w:eastAsia="Calibri" w:hAnsi="Calibri" w:cs="Calibri"/>
          <w:sz w:val="16"/>
          <w:szCs w:val="16"/>
        </w:rPr>
        <w:t>Translated version with</w:t>
      </w:r>
      <w:r w:rsidR="00D96F15" w:rsidRPr="00D96F15">
        <w:rPr>
          <w:rFonts w:ascii="Calibri" w:eastAsia="Calibri" w:hAnsi="Calibri" w:cs="Calibri"/>
          <w:sz w:val="16"/>
          <w:szCs w:val="16"/>
        </w:rPr>
        <w:t xml:space="preserve"> HRI and available upon request.</w:t>
      </w:r>
    </w:p>
  </w:footnote>
  <w:footnote w:id="42">
    <w:p w14:paraId="0000009E" w14:textId="64F484FB"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Unpublished research. Source available with the submitting organisations and available upon request</w:t>
      </w:r>
      <w:r w:rsidR="00D96F15" w:rsidRPr="00D96F15">
        <w:rPr>
          <w:rFonts w:ascii="Calibri" w:hAnsi="Calibri" w:cs="Calibri"/>
          <w:sz w:val="16"/>
          <w:szCs w:val="16"/>
        </w:rPr>
        <w:t>.</w:t>
      </w:r>
    </w:p>
  </w:footnote>
  <w:footnote w:id="43">
    <w:p w14:paraId="000000A1" w14:textId="77777777"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Claudia Stoicescu (12 July 2015), </w:t>
      </w:r>
      <w:r w:rsidRPr="00D96F15">
        <w:rPr>
          <w:rFonts w:ascii="Calibri" w:hAnsi="Calibri" w:cs="Calibri"/>
          <w:i/>
          <w:sz w:val="16"/>
          <w:szCs w:val="16"/>
        </w:rPr>
        <w:t xml:space="preserve">Forced Rehabilitation of Drug Users in Indonesia Not a Solution, The Conversation. </w:t>
      </w:r>
    </w:p>
  </w:footnote>
  <w:footnote w:id="44">
    <w:p w14:paraId="0000009F" w14:textId="139E78AA" w:rsidR="00F93E19" w:rsidRPr="002053BC" w:rsidRDefault="007054C2">
      <w:pPr>
        <w:spacing w:line="240" w:lineRule="auto"/>
        <w:rPr>
          <w:rFonts w:ascii="Calibri" w:hAnsi="Calibri" w:cs="Calibri"/>
          <w:sz w:val="16"/>
          <w:szCs w:val="16"/>
        </w:rPr>
      </w:pPr>
      <w:r w:rsidRPr="002053BC">
        <w:rPr>
          <w:rFonts w:ascii="Calibri" w:hAnsi="Calibri" w:cs="Calibri"/>
          <w:sz w:val="16"/>
          <w:szCs w:val="16"/>
          <w:vertAlign w:val="superscript"/>
        </w:rPr>
        <w:footnoteRef/>
      </w:r>
      <w:r w:rsidRPr="002053BC">
        <w:rPr>
          <w:rFonts w:ascii="Calibri" w:hAnsi="Calibri" w:cs="Calibri"/>
          <w:sz w:val="16"/>
          <w:szCs w:val="16"/>
        </w:rPr>
        <w:t xml:space="preserve"> </w:t>
      </w:r>
      <w:hyperlink r:id="rId24">
        <w:r w:rsidRPr="002053BC">
          <w:rPr>
            <w:rFonts w:ascii="Calibri" w:hAnsi="Calibri" w:cs="Calibri"/>
            <w:sz w:val="16"/>
            <w:szCs w:val="16"/>
          </w:rPr>
          <w:t xml:space="preserve"> </w:t>
        </w:r>
      </w:hyperlink>
      <w:hyperlink r:id="rId25">
        <w:r w:rsidRPr="002053BC">
          <w:rPr>
            <w:rFonts w:ascii="Calibri" w:hAnsi="Calibri" w:cs="Calibri"/>
            <w:color w:val="1155CC"/>
            <w:sz w:val="16"/>
            <w:szCs w:val="16"/>
            <w:u w:val="single"/>
          </w:rPr>
          <w:t>https://ombudsman.go.id/news/r/ombudsman-peluang-rehabilitasi-pengguna-narkotika-dipersulit</w:t>
        </w:r>
      </w:hyperlink>
      <w:r w:rsidR="00D96F15" w:rsidRPr="002053BC">
        <w:rPr>
          <w:rFonts w:ascii="Calibri" w:hAnsi="Calibri" w:cs="Calibri"/>
          <w:color w:val="1155CC"/>
          <w:sz w:val="16"/>
          <w:szCs w:val="16"/>
          <w:u w:val="single"/>
        </w:rPr>
        <w:t>.</w:t>
      </w:r>
    </w:p>
  </w:footnote>
  <w:footnote w:id="45">
    <w:p w14:paraId="4800F2DF" w14:textId="158A9948" w:rsidR="002053BC" w:rsidRPr="002053BC" w:rsidRDefault="002053BC">
      <w:pPr>
        <w:pStyle w:val="FootnoteText"/>
      </w:pPr>
      <w:r w:rsidRPr="002053BC">
        <w:rPr>
          <w:rStyle w:val="FootnoteReference"/>
          <w:rFonts w:ascii="Calibri" w:hAnsi="Calibri" w:cs="Calibri"/>
          <w:sz w:val="16"/>
          <w:szCs w:val="16"/>
        </w:rPr>
        <w:footnoteRef/>
      </w:r>
      <w:r w:rsidRPr="002053BC">
        <w:rPr>
          <w:rFonts w:ascii="Calibri" w:hAnsi="Calibri" w:cs="Calibri"/>
          <w:sz w:val="16"/>
          <w:szCs w:val="16"/>
        </w:rPr>
        <w:t xml:space="preserve"> Wyria and Misero (2016), ‘The Trip to Nobody Knows Where’ (Jakarta: LBH Masyarakat). Available at</w:t>
      </w:r>
      <w:hyperlink r:id="rId26">
        <w:r w:rsidRPr="002053BC">
          <w:rPr>
            <w:rFonts w:ascii="Calibri" w:hAnsi="Calibri" w:cs="Calibri"/>
            <w:sz w:val="16"/>
            <w:szCs w:val="16"/>
          </w:rPr>
          <w:t xml:space="preserve"> </w:t>
        </w:r>
      </w:hyperlink>
      <w:hyperlink r:id="rId27">
        <w:r w:rsidRPr="002053BC">
          <w:rPr>
            <w:rFonts w:ascii="Calibri" w:hAnsi="Calibri" w:cs="Calibri"/>
            <w:color w:val="1155CC"/>
            <w:sz w:val="16"/>
            <w:szCs w:val="16"/>
            <w:u w:val="single"/>
          </w:rPr>
          <w:t>https://lbhmasyarakat.org/en/the-trip-to-nobody-knows-where/</w:t>
        </w:r>
      </w:hyperlink>
      <w:r w:rsidRPr="002053BC">
        <w:rPr>
          <w:rFonts w:ascii="Calibri" w:hAnsi="Calibri" w:cs="Calibri"/>
          <w:sz w:val="16"/>
          <w:szCs w:val="16"/>
        </w:rPr>
        <w:t>.</w:t>
      </w:r>
    </w:p>
  </w:footnote>
  <w:footnote w:id="46">
    <w:p w14:paraId="000000A0" w14:textId="02A1D590"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002053BC">
        <w:rPr>
          <w:rFonts w:ascii="Calibri" w:hAnsi="Calibri" w:cs="Calibri"/>
          <w:sz w:val="16"/>
          <w:szCs w:val="16"/>
        </w:rPr>
        <w:t>Ibid.</w:t>
      </w:r>
    </w:p>
  </w:footnote>
  <w:footnote w:id="47">
    <w:p w14:paraId="5EB02389" w14:textId="42B65ABB" w:rsidR="001C60A8" w:rsidRPr="00D96F15" w:rsidRDefault="001C60A8" w:rsidP="00C65A89">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Pr="00D96F15">
        <w:rPr>
          <w:rFonts w:ascii="Calibri" w:eastAsia="Calibri" w:hAnsi="Calibri" w:cs="Calibri"/>
          <w:sz w:val="16"/>
          <w:szCs w:val="16"/>
        </w:rPr>
        <w:t>Slank (25 March 2015), Free Drug Rehabilitation Registration and Reporting Places, available at</w:t>
      </w:r>
      <w:hyperlink r:id="rId28">
        <w:r w:rsidRPr="00D96F15">
          <w:rPr>
            <w:rFonts w:ascii="Calibri" w:eastAsia="Calibri" w:hAnsi="Calibri" w:cs="Calibri"/>
            <w:sz w:val="16"/>
            <w:szCs w:val="16"/>
          </w:rPr>
          <w:t xml:space="preserve"> </w:t>
        </w:r>
      </w:hyperlink>
      <w:hyperlink r:id="rId29">
        <w:r w:rsidRPr="00D96F15">
          <w:rPr>
            <w:rFonts w:ascii="Calibri" w:eastAsia="Calibri" w:hAnsi="Calibri" w:cs="Calibri"/>
            <w:color w:val="1155CC"/>
            <w:sz w:val="16"/>
            <w:szCs w:val="16"/>
            <w:u w:val="single"/>
          </w:rPr>
          <w:t>http://slank.com/2015/03/25/tempat-pendaftaran-pelaporan-rehabilitasi-narkoba-gratis/</w:t>
        </w:r>
      </w:hyperlink>
      <w:r w:rsidR="00D96F15" w:rsidRPr="00D96F15">
        <w:rPr>
          <w:rFonts w:ascii="Calibri" w:eastAsia="Calibri" w:hAnsi="Calibri" w:cs="Calibri"/>
          <w:color w:val="1155CC"/>
          <w:sz w:val="16"/>
          <w:szCs w:val="16"/>
          <w:u w:val="single"/>
        </w:rPr>
        <w:t xml:space="preserve">. </w:t>
      </w:r>
      <w:r w:rsidR="00D96F15" w:rsidRPr="00D96F15">
        <w:rPr>
          <w:rFonts w:ascii="Calibri" w:hAnsi="Calibri" w:cs="Calibri"/>
          <w:sz w:val="16"/>
          <w:szCs w:val="16"/>
        </w:rPr>
        <w:t xml:space="preserve">See also: </w:t>
      </w:r>
      <w:hyperlink r:id="rId30" w:history="1">
        <w:r w:rsidR="00C65A89" w:rsidRPr="00D96F15">
          <w:rPr>
            <w:rStyle w:val="Hyperlink"/>
            <w:rFonts w:ascii="Calibri" w:hAnsi="Calibri" w:cs="Calibri"/>
            <w:sz w:val="16"/>
            <w:szCs w:val="16"/>
          </w:rPr>
          <w:t>https://kemensos.go.id/rehabilitasi-sosial</w:t>
        </w:r>
      </w:hyperlink>
      <w:r w:rsidR="00D96F15" w:rsidRPr="00D96F15">
        <w:rPr>
          <w:rStyle w:val="Hyperlink"/>
          <w:rFonts w:ascii="Calibri" w:hAnsi="Calibri" w:cs="Calibri"/>
          <w:sz w:val="16"/>
          <w:szCs w:val="16"/>
        </w:rPr>
        <w:t xml:space="preserve">; </w:t>
      </w:r>
      <w:hyperlink r:id="rId31" w:history="1">
        <w:r w:rsidR="00D96F15" w:rsidRPr="00D96F15">
          <w:rPr>
            <w:rStyle w:val="Hyperlink"/>
            <w:rFonts w:ascii="Calibri" w:hAnsi="Calibri" w:cs="Calibri"/>
            <w:sz w:val="16"/>
            <w:szCs w:val="16"/>
          </w:rPr>
          <w:t>https://bnn.go.id/konten/unggahan/2019/08/Daftar-Lembaga-Rehabilitasi-Komponen-Masyarakat-Yang-telah-Memenuhi-Standar.pdf</w:t>
        </w:r>
      </w:hyperlink>
      <w:r w:rsidR="00D96F15" w:rsidRPr="00D96F15">
        <w:rPr>
          <w:rStyle w:val="Hyperlink"/>
          <w:rFonts w:ascii="Calibri" w:hAnsi="Calibri" w:cs="Calibri"/>
          <w:sz w:val="16"/>
          <w:szCs w:val="16"/>
        </w:rPr>
        <w:t xml:space="preserve">. </w:t>
      </w:r>
    </w:p>
  </w:footnote>
  <w:footnote w:id="48">
    <w:p w14:paraId="000000A3" w14:textId="77777777"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w:t>
      </w:r>
      <w:r w:rsidRPr="00D96F15">
        <w:rPr>
          <w:rFonts w:ascii="Calibri" w:eastAsia="Calibri" w:hAnsi="Calibri" w:cs="Calibri"/>
          <w:sz w:val="16"/>
          <w:szCs w:val="16"/>
        </w:rPr>
        <w:t xml:space="preserve">Claudia Stoicescu (12 July 2015), </w:t>
      </w:r>
      <w:r w:rsidRPr="00D96F15">
        <w:rPr>
          <w:rFonts w:ascii="Calibri" w:eastAsia="Calibri" w:hAnsi="Calibri" w:cs="Calibri"/>
          <w:i/>
          <w:sz w:val="16"/>
          <w:szCs w:val="16"/>
        </w:rPr>
        <w:t>Forced Rehabilitation of Drug Users in Indonesia Not a Solution, The Conversation.</w:t>
      </w:r>
    </w:p>
  </w:footnote>
  <w:footnote w:id="49">
    <w:p w14:paraId="000000AE" w14:textId="469D2FC7" w:rsidR="00F93E19" w:rsidRPr="00D96F15" w:rsidRDefault="007054C2">
      <w:pPr>
        <w:spacing w:line="240" w:lineRule="auto"/>
        <w:rPr>
          <w:rFonts w:ascii="Calibri" w:hAnsi="Calibri" w:cs="Calibri"/>
          <w:sz w:val="16"/>
          <w:szCs w:val="16"/>
        </w:rPr>
      </w:pPr>
      <w:r w:rsidRPr="00D96F15">
        <w:rPr>
          <w:rFonts w:ascii="Calibri" w:hAnsi="Calibri" w:cs="Calibri"/>
          <w:sz w:val="16"/>
          <w:szCs w:val="16"/>
          <w:vertAlign w:val="superscript"/>
        </w:rPr>
        <w:footnoteRef/>
      </w:r>
      <w:r w:rsidRPr="00D96F15">
        <w:rPr>
          <w:rFonts w:ascii="Calibri" w:hAnsi="Calibri" w:cs="Calibri"/>
          <w:sz w:val="16"/>
          <w:szCs w:val="16"/>
        </w:rPr>
        <w:t xml:space="preserve"> Damon Barrett</w:t>
      </w:r>
      <w:r w:rsidR="00D96F15" w:rsidRPr="00D96F15">
        <w:rPr>
          <w:rFonts w:ascii="Calibri" w:hAnsi="Calibri" w:cs="Calibri"/>
          <w:sz w:val="16"/>
          <w:szCs w:val="16"/>
        </w:rPr>
        <w:t xml:space="preserve"> (2012),</w:t>
      </w:r>
      <w:r w:rsidRPr="00D96F15">
        <w:rPr>
          <w:rFonts w:ascii="Calibri" w:hAnsi="Calibri" w:cs="Calibri"/>
          <w:sz w:val="16"/>
          <w:szCs w:val="16"/>
        </w:rPr>
        <w:t xml:space="preserve"> </w:t>
      </w:r>
      <w:r w:rsidR="00D96F15" w:rsidRPr="00D96F15">
        <w:rPr>
          <w:rFonts w:ascii="Calibri" w:hAnsi="Calibri" w:cs="Calibri"/>
          <w:sz w:val="16"/>
          <w:szCs w:val="16"/>
        </w:rPr>
        <w:t>‘</w:t>
      </w:r>
      <w:r w:rsidRPr="00D96F15">
        <w:rPr>
          <w:rFonts w:ascii="Calibri" w:hAnsi="Calibri" w:cs="Calibri"/>
          <w:sz w:val="16"/>
          <w:szCs w:val="16"/>
        </w:rPr>
        <w:t>The Impacts of Drug Policies on Children and Young People</w:t>
      </w:r>
      <w:r w:rsidR="00D96F15" w:rsidRPr="00D96F15">
        <w:rPr>
          <w:rFonts w:ascii="Calibri" w:hAnsi="Calibri" w:cs="Calibri"/>
          <w:sz w:val="16"/>
          <w:szCs w:val="16"/>
        </w:rPr>
        <w:t>’, (</w:t>
      </w:r>
      <w:r w:rsidRPr="00D96F15">
        <w:rPr>
          <w:rFonts w:ascii="Calibri" w:hAnsi="Calibri" w:cs="Calibri"/>
          <w:sz w:val="16"/>
          <w:szCs w:val="16"/>
        </w:rPr>
        <w:t>New York: Open Society Foundations</w:t>
      </w:r>
      <w:r w:rsidR="00D96F15" w:rsidRPr="00D96F15">
        <w:rPr>
          <w:rFonts w:ascii="Calibri" w:hAnsi="Calibri" w:cs="Calibri"/>
          <w:sz w:val="16"/>
          <w:szCs w:val="16"/>
        </w:rPr>
        <w:t>)</w:t>
      </w:r>
      <w:r w:rsidRPr="00D96F15">
        <w:rPr>
          <w:rFonts w:ascii="Calibri" w:hAnsi="Calibri" w:cs="Calibri"/>
          <w:sz w:val="16"/>
          <w:szCs w:val="16"/>
        </w:rPr>
        <w:t>.</w:t>
      </w:r>
    </w:p>
  </w:footnote>
  <w:footnote w:id="50">
    <w:p w14:paraId="53D8F816" w14:textId="4FF044FF" w:rsidR="006D3E16" w:rsidRPr="00D96F15" w:rsidRDefault="006D3E16">
      <w:pPr>
        <w:pStyle w:val="FootnoteText"/>
        <w:rPr>
          <w:rFonts w:ascii="Calibri" w:hAnsi="Calibri" w:cs="Calibri"/>
          <w:sz w:val="16"/>
          <w:szCs w:val="16"/>
          <w:lang w:val="en-US"/>
        </w:rPr>
      </w:pPr>
      <w:r w:rsidRPr="00D96F15">
        <w:rPr>
          <w:rStyle w:val="FootnoteReference"/>
          <w:rFonts w:ascii="Calibri" w:hAnsi="Calibri" w:cs="Calibri"/>
          <w:sz w:val="16"/>
          <w:szCs w:val="16"/>
        </w:rPr>
        <w:footnoteRef/>
      </w:r>
      <w:r w:rsidRPr="00D96F15">
        <w:rPr>
          <w:rFonts w:ascii="Calibri" w:hAnsi="Calibri" w:cs="Calibri"/>
          <w:sz w:val="16"/>
          <w:szCs w:val="16"/>
        </w:rPr>
        <w:t xml:space="preserve"> </w:t>
      </w:r>
      <w:r w:rsidR="008A55E5" w:rsidRPr="00D96F15">
        <w:rPr>
          <w:rFonts w:ascii="Calibri" w:hAnsi="Calibri" w:cs="Calibri"/>
          <w:sz w:val="16"/>
          <w:szCs w:val="16"/>
          <w:lang w:val="en-US"/>
        </w:rPr>
        <w:t>Law</w:t>
      </w:r>
      <w:r w:rsidR="00455E6A" w:rsidRPr="00D96F15">
        <w:rPr>
          <w:rFonts w:ascii="Calibri" w:hAnsi="Calibri" w:cs="Calibri"/>
          <w:sz w:val="16"/>
          <w:szCs w:val="16"/>
          <w:lang w:val="en-US"/>
        </w:rPr>
        <w:t xml:space="preserve"> of the Republic of Indonesia</w:t>
      </w:r>
      <w:r w:rsidR="008A55E5" w:rsidRPr="00D96F15">
        <w:rPr>
          <w:rFonts w:ascii="Calibri" w:hAnsi="Calibri" w:cs="Calibri"/>
          <w:sz w:val="16"/>
          <w:szCs w:val="16"/>
          <w:lang w:val="en-US"/>
        </w:rPr>
        <w:t xml:space="preserve"> Number 11 Year 2012 on Juvenile Criminal Justice System.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1E7AC" w14:textId="47074EAE" w:rsidR="008D4BD5" w:rsidRDefault="008D4BD5">
    <w:pPr>
      <w:pStyle w:val="Header"/>
    </w:pPr>
    <w:r w:rsidRPr="007E5BB1">
      <w:rPr>
        <w:rFonts w:asciiTheme="majorHAnsi" w:hAnsiTheme="majorHAnsi" w:cstheme="majorHAnsi"/>
        <w:noProof/>
        <w:sz w:val="20"/>
        <w:szCs w:val="20"/>
        <w:lang w:val="en-GB"/>
      </w:rPr>
      <w:drawing>
        <wp:anchor distT="0" distB="0" distL="114300" distR="114300" simplePos="0" relativeHeight="251661312" behindDoc="1" locked="0" layoutInCell="1" allowOverlap="1" wp14:anchorId="32C457BC" wp14:editId="7E623A81">
          <wp:simplePos x="0" y="0"/>
          <wp:positionH relativeFrom="margin">
            <wp:align>center</wp:align>
          </wp:positionH>
          <wp:positionV relativeFrom="paragraph">
            <wp:posOffset>-304800</wp:posOffset>
          </wp:positionV>
          <wp:extent cx="1136650" cy="754380"/>
          <wp:effectExtent l="0" t="0" r="6350" b="7620"/>
          <wp:wrapSquare wrapText="bothSides"/>
          <wp:docPr id="7" name="Picture 7" descr="H:\HRI Files\Company Data\8. Staff Files\Naomi\Photos\HRI logo square.JPG"/>
          <wp:cNvGraphicFramePr/>
          <a:graphic xmlns:a="http://schemas.openxmlformats.org/drawingml/2006/main">
            <a:graphicData uri="http://schemas.openxmlformats.org/drawingml/2006/picture">
              <pic:pic xmlns:pic="http://schemas.openxmlformats.org/drawingml/2006/picture">
                <pic:nvPicPr>
                  <pic:cNvPr id="2" name="Picture 2" descr="H:\HRI Files\Company Data\8. Staff Files\Naomi\Photos\HRI logo square.JPG"/>
                  <pic:cNvPicPr/>
                </pic:nvPicPr>
                <pic:blipFill>
                  <a:blip r:embed="rId1" cstate="hqprint">
                    <a:extLst>
                      <a:ext uri="{28A0092B-C50C-407E-A947-70E740481C1C}">
                        <a14:useLocalDpi xmlns:a14="http://schemas.microsoft.com/office/drawing/2010/main" val="0"/>
                      </a:ext>
                    </a:extLst>
                  </a:blip>
                  <a:srcRect/>
                  <a:stretch>
                    <a:fillRect/>
                  </a:stretch>
                </pic:blipFill>
                <pic:spPr bwMode="auto">
                  <a:xfrm>
                    <a:off x="0" y="0"/>
                    <a:ext cx="1136650" cy="754380"/>
                  </a:xfrm>
                  <a:prstGeom prst="rect">
                    <a:avLst/>
                  </a:prstGeom>
                  <a:noFill/>
                  <a:ln>
                    <a:noFill/>
                  </a:ln>
                </pic:spPr>
              </pic:pic>
            </a:graphicData>
          </a:graphic>
          <wp14:sizeRelV relativeFrom="margin">
            <wp14:pctHeight>0</wp14:pctHeight>
          </wp14:sizeRelV>
        </wp:anchor>
      </w:drawing>
    </w:r>
    <w:r w:rsidRPr="007E5BB1">
      <w:rPr>
        <w:noProof/>
        <w:lang w:val="en-GB"/>
      </w:rPr>
      <w:drawing>
        <wp:anchor distT="0" distB="0" distL="114300" distR="114300" simplePos="0" relativeHeight="251663360" behindDoc="1" locked="0" layoutInCell="1" allowOverlap="1" wp14:anchorId="539BD88E" wp14:editId="28D62CE1">
          <wp:simplePos x="0" y="0"/>
          <wp:positionH relativeFrom="margin">
            <wp:align>right</wp:align>
          </wp:positionH>
          <wp:positionV relativeFrom="paragraph">
            <wp:posOffset>-350520</wp:posOffset>
          </wp:positionV>
          <wp:extent cx="717550" cy="717550"/>
          <wp:effectExtent l="0" t="0" r="6350" b="6350"/>
          <wp:wrapTight wrapText="bothSides">
            <wp:wrapPolygon edited="0">
              <wp:start x="0" y="0"/>
              <wp:lineTo x="0" y="21218"/>
              <wp:lineTo x="21218" y="21218"/>
              <wp:lineTo x="21218" y="0"/>
              <wp:lineTo x="0" y="0"/>
            </wp:wrapPolygon>
          </wp:wrapTight>
          <wp:docPr id="8" name="Picture 8" descr="LBH Masyarak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BH Masyaraka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17550" cy="717550"/>
                  </a:xfrm>
                  <a:prstGeom prst="rect">
                    <a:avLst/>
                  </a:prstGeom>
                  <a:noFill/>
                  <a:ln>
                    <a:noFill/>
                  </a:ln>
                </pic:spPr>
              </pic:pic>
            </a:graphicData>
          </a:graphic>
        </wp:anchor>
      </w:drawing>
    </w:r>
    <w:r w:rsidRPr="007E5BB1">
      <w:rPr>
        <w:noProof/>
        <w:lang w:val="en-GB"/>
      </w:rPr>
      <w:drawing>
        <wp:anchor distT="0" distB="0" distL="114300" distR="114300" simplePos="0" relativeHeight="251659264" behindDoc="0" locked="0" layoutInCell="1" allowOverlap="1" wp14:anchorId="5649D485" wp14:editId="7E4A9A66">
          <wp:simplePos x="0" y="0"/>
          <wp:positionH relativeFrom="margin">
            <wp:align>left</wp:align>
          </wp:positionH>
          <wp:positionV relativeFrom="paragraph">
            <wp:posOffset>-350520</wp:posOffset>
          </wp:positionV>
          <wp:extent cx="1226820" cy="656590"/>
          <wp:effectExtent l="0" t="0" r="0" b="0"/>
          <wp:wrapSquare wrapText="bothSides"/>
          <wp:docPr id="3" name="Picture 3" descr="https://aksikeadilan.org/wp-content/uploads/2021/01/Logo-Aksi-Keadilan-Indonesia-whit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ksikeadilan.org/wp-content/uploads/2021/01/Logo-Aksi-Keadilan-Indonesia-white-1.png"/>
                  <pic:cNvPicPr>
                    <a:picLocks noChangeAspect="1" noChangeArrowheads="1"/>
                  </pic:cNvPicPr>
                </pic:nvPicPr>
                <pic:blipFill>
                  <a:blip r:embed="rId3">
                    <a:biLevel thresh="50000"/>
                    <a:extLst>
                      <a:ext uri="{BEBA8EAE-BF5A-486C-A8C5-ECC9F3942E4B}">
                        <a14:imgProps xmlns:a14="http://schemas.microsoft.com/office/drawing/2010/main">
                          <a14:imgLayer r:embed="rId4">
                            <a14:imgEffect>
                              <a14:colorTemperature colorTemp="11500"/>
                            </a14:imgEffect>
                            <a14:imgEffect>
                              <a14:saturation sat="400000"/>
                            </a14:imgEffect>
                            <a14:imgEffect>
                              <a14:brightnessContrast bright="-40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1226820" cy="6565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142DF"/>
    <w:multiLevelType w:val="hybridMultilevel"/>
    <w:tmpl w:val="2F7632C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C7302"/>
    <w:multiLevelType w:val="multilevel"/>
    <w:tmpl w:val="E862B660"/>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B8F1556"/>
    <w:multiLevelType w:val="multilevel"/>
    <w:tmpl w:val="9486526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EE1BB0"/>
    <w:multiLevelType w:val="multilevel"/>
    <w:tmpl w:val="E66E9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721C22"/>
    <w:multiLevelType w:val="hybridMultilevel"/>
    <w:tmpl w:val="E7F660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71F179B"/>
    <w:multiLevelType w:val="hybridMultilevel"/>
    <w:tmpl w:val="22F466AE"/>
    <w:lvl w:ilvl="0" w:tplc="D61EC77A">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C1043BB"/>
    <w:multiLevelType w:val="multilevel"/>
    <w:tmpl w:val="3EC47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D1859CF"/>
    <w:multiLevelType w:val="multilevel"/>
    <w:tmpl w:val="21F40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3"/>
  </w:num>
  <w:num w:numId="4">
    <w:abstractNumId w:val="4"/>
  </w:num>
  <w:num w:numId="5">
    <w:abstractNumId w:val="2"/>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M2NTEzNDc3MzG0NLRQ0lEKTi0uzszPAykwrAUAP9+P+SwAAAA="/>
  </w:docVars>
  <w:rsids>
    <w:rsidRoot w:val="00F93E19"/>
    <w:rsid w:val="00064898"/>
    <w:rsid w:val="00066325"/>
    <w:rsid w:val="000B570E"/>
    <w:rsid w:val="000F4E40"/>
    <w:rsid w:val="00156C51"/>
    <w:rsid w:val="00164B41"/>
    <w:rsid w:val="00164DFE"/>
    <w:rsid w:val="001935F6"/>
    <w:rsid w:val="001A50A4"/>
    <w:rsid w:val="001C60A8"/>
    <w:rsid w:val="001F4997"/>
    <w:rsid w:val="002013E5"/>
    <w:rsid w:val="002053BC"/>
    <w:rsid w:val="00262251"/>
    <w:rsid w:val="00262E7F"/>
    <w:rsid w:val="002867BA"/>
    <w:rsid w:val="002B0744"/>
    <w:rsid w:val="003636CB"/>
    <w:rsid w:val="003B2D77"/>
    <w:rsid w:val="00413900"/>
    <w:rsid w:val="00441D8F"/>
    <w:rsid w:val="0044382E"/>
    <w:rsid w:val="00453C26"/>
    <w:rsid w:val="00455E6A"/>
    <w:rsid w:val="00456BCA"/>
    <w:rsid w:val="004579DC"/>
    <w:rsid w:val="00542CBD"/>
    <w:rsid w:val="00561969"/>
    <w:rsid w:val="005778B1"/>
    <w:rsid w:val="0058564A"/>
    <w:rsid w:val="005A01A6"/>
    <w:rsid w:val="005F4CBA"/>
    <w:rsid w:val="00600D3E"/>
    <w:rsid w:val="0067219C"/>
    <w:rsid w:val="006A0953"/>
    <w:rsid w:val="006B5524"/>
    <w:rsid w:val="006C1638"/>
    <w:rsid w:val="006D3E16"/>
    <w:rsid w:val="007054C2"/>
    <w:rsid w:val="00723352"/>
    <w:rsid w:val="007417F1"/>
    <w:rsid w:val="00764D72"/>
    <w:rsid w:val="007A6856"/>
    <w:rsid w:val="007E07A4"/>
    <w:rsid w:val="007E1FCE"/>
    <w:rsid w:val="007E5BB1"/>
    <w:rsid w:val="008213E6"/>
    <w:rsid w:val="00847AE6"/>
    <w:rsid w:val="00870517"/>
    <w:rsid w:val="00882C73"/>
    <w:rsid w:val="008A2ADC"/>
    <w:rsid w:val="008A3B61"/>
    <w:rsid w:val="008A55E5"/>
    <w:rsid w:val="008B66F4"/>
    <w:rsid w:val="008D4BD5"/>
    <w:rsid w:val="00943B18"/>
    <w:rsid w:val="00974308"/>
    <w:rsid w:val="009964B4"/>
    <w:rsid w:val="009A1491"/>
    <w:rsid w:val="009B7A24"/>
    <w:rsid w:val="009C3543"/>
    <w:rsid w:val="009D7F4E"/>
    <w:rsid w:val="009F7C87"/>
    <w:rsid w:val="00A32802"/>
    <w:rsid w:val="00A67524"/>
    <w:rsid w:val="00AB2889"/>
    <w:rsid w:val="00AD65F6"/>
    <w:rsid w:val="00AE0155"/>
    <w:rsid w:val="00B36494"/>
    <w:rsid w:val="00B416DB"/>
    <w:rsid w:val="00B64656"/>
    <w:rsid w:val="00B82DBD"/>
    <w:rsid w:val="00BB32AA"/>
    <w:rsid w:val="00BD0C90"/>
    <w:rsid w:val="00C108E4"/>
    <w:rsid w:val="00C65A89"/>
    <w:rsid w:val="00CA43E7"/>
    <w:rsid w:val="00CB3261"/>
    <w:rsid w:val="00CF1922"/>
    <w:rsid w:val="00CF677B"/>
    <w:rsid w:val="00D763D3"/>
    <w:rsid w:val="00D84131"/>
    <w:rsid w:val="00D96F15"/>
    <w:rsid w:val="00DD6282"/>
    <w:rsid w:val="00DE1FF1"/>
    <w:rsid w:val="00E145D5"/>
    <w:rsid w:val="00E168BB"/>
    <w:rsid w:val="00E2728B"/>
    <w:rsid w:val="00E757B6"/>
    <w:rsid w:val="00E871A2"/>
    <w:rsid w:val="00EB1E43"/>
    <w:rsid w:val="00EB5CD6"/>
    <w:rsid w:val="00EC4AAD"/>
    <w:rsid w:val="00F93E19"/>
    <w:rsid w:val="00F97D89"/>
    <w:rsid w:val="00FA2779"/>
    <w:rsid w:val="00FB2BC9"/>
    <w:rsid w:val="00FB2E92"/>
    <w:rsid w:val="00FE05C3"/>
    <w:rsid w:val="00FF7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08E44"/>
  <w15:docId w15:val="{80AB1639-8237-4868-B152-669BD176A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D65F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5F6"/>
    <w:rPr>
      <w:rFonts w:ascii="Segoe UI" w:hAnsi="Segoe UI" w:cs="Segoe UI"/>
      <w:sz w:val="18"/>
      <w:szCs w:val="18"/>
    </w:rPr>
  </w:style>
  <w:style w:type="paragraph" w:styleId="ListParagraph">
    <w:name w:val="List Paragraph"/>
    <w:basedOn w:val="Normal"/>
    <w:uiPriority w:val="34"/>
    <w:qFormat/>
    <w:rsid w:val="00AD65F6"/>
    <w:pPr>
      <w:spacing w:line="240" w:lineRule="auto"/>
      <w:ind w:left="720"/>
      <w:contextualSpacing/>
    </w:pPr>
    <w:rPr>
      <w:rFonts w:asciiTheme="minorHAnsi" w:eastAsiaTheme="minorHAnsi" w:hAnsiTheme="minorHAnsi" w:cstheme="minorBidi"/>
      <w:lang w:val="en-GB" w:eastAsia="en-US"/>
    </w:rPr>
  </w:style>
  <w:style w:type="paragraph" w:styleId="NormalWeb">
    <w:name w:val="Normal (Web)"/>
    <w:basedOn w:val="Normal"/>
    <w:uiPriority w:val="99"/>
    <w:unhideWhenUsed/>
    <w:rsid w:val="00AD65F6"/>
    <w:pPr>
      <w:spacing w:before="100" w:beforeAutospacing="1" w:after="100" w:afterAutospacing="1" w:line="240" w:lineRule="auto"/>
    </w:pPr>
    <w:rPr>
      <w:rFonts w:ascii="Times New Roman" w:eastAsia="Times New Roman" w:hAnsi="Times New Roman" w:cs="Times New Roman"/>
      <w:sz w:val="24"/>
      <w:szCs w:val="24"/>
      <w:lang w:val="en-GB" w:bidi="bn-IN"/>
    </w:rPr>
  </w:style>
  <w:style w:type="paragraph" w:styleId="Header">
    <w:name w:val="header"/>
    <w:basedOn w:val="Normal"/>
    <w:link w:val="HeaderChar"/>
    <w:uiPriority w:val="99"/>
    <w:unhideWhenUsed/>
    <w:rsid w:val="00AD65F6"/>
    <w:pPr>
      <w:tabs>
        <w:tab w:val="center" w:pos="4513"/>
        <w:tab w:val="right" w:pos="9026"/>
      </w:tabs>
      <w:spacing w:line="240" w:lineRule="auto"/>
    </w:pPr>
  </w:style>
  <w:style w:type="character" w:customStyle="1" w:styleId="HeaderChar">
    <w:name w:val="Header Char"/>
    <w:basedOn w:val="DefaultParagraphFont"/>
    <w:link w:val="Header"/>
    <w:uiPriority w:val="99"/>
    <w:rsid w:val="00AD65F6"/>
  </w:style>
  <w:style w:type="paragraph" w:styleId="Footer">
    <w:name w:val="footer"/>
    <w:basedOn w:val="Normal"/>
    <w:link w:val="FooterChar"/>
    <w:uiPriority w:val="99"/>
    <w:unhideWhenUsed/>
    <w:rsid w:val="00AD65F6"/>
    <w:pPr>
      <w:tabs>
        <w:tab w:val="center" w:pos="4513"/>
        <w:tab w:val="right" w:pos="9026"/>
      </w:tabs>
      <w:spacing w:line="240" w:lineRule="auto"/>
    </w:pPr>
  </w:style>
  <w:style w:type="character" w:customStyle="1" w:styleId="FooterChar">
    <w:name w:val="Footer Char"/>
    <w:basedOn w:val="DefaultParagraphFont"/>
    <w:link w:val="Footer"/>
    <w:uiPriority w:val="99"/>
    <w:rsid w:val="00AD65F6"/>
  </w:style>
  <w:style w:type="character" w:styleId="Hyperlink">
    <w:name w:val="Hyperlink"/>
    <w:basedOn w:val="DefaultParagraphFont"/>
    <w:uiPriority w:val="99"/>
    <w:unhideWhenUsed/>
    <w:rsid w:val="00AD65F6"/>
    <w:rPr>
      <w:color w:val="0000FF" w:themeColor="hyperlink"/>
      <w:u w:val="single"/>
    </w:rPr>
  </w:style>
  <w:style w:type="paragraph" w:styleId="FootnoteText">
    <w:name w:val="footnote text"/>
    <w:basedOn w:val="Normal"/>
    <w:link w:val="FootnoteTextChar"/>
    <w:uiPriority w:val="99"/>
    <w:semiHidden/>
    <w:unhideWhenUsed/>
    <w:rsid w:val="00943B18"/>
    <w:pPr>
      <w:spacing w:line="240" w:lineRule="auto"/>
    </w:pPr>
    <w:rPr>
      <w:sz w:val="20"/>
      <w:szCs w:val="20"/>
    </w:rPr>
  </w:style>
  <w:style w:type="character" w:customStyle="1" w:styleId="FootnoteTextChar">
    <w:name w:val="Footnote Text Char"/>
    <w:basedOn w:val="DefaultParagraphFont"/>
    <w:link w:val="FootnoteText"/>
    <w:uiPriority w:val="99"/>
    <w:semiHidden/>
    <w:rsid w:val="00943B18"/>
    <w:rPr>
      <w:sz w:val="20"/>
      <w:szCs w:val="20"/>
    </w:rPr>
  </w:style>
  <w:style w:type="character" w:styleId="FootnoteReference">
    <w:name w:val="footnote reference"/>
    <w:basedOn w:val="DefaultParagraphFont"/>
    <w:uiPriority w:val="99"/>
    <w:semiHidden/>
    <w:unhideWhenUsed/>
    <w:rsid w:val="00943B18"/>
    <w:rPr>
      <w:vertAlign w:val="superscript"/>
    </w:rPr>
  </w:style>
  <w:style w:type="paragraph" w:styleId="CommentSubject">
    <w:name w:val="annotation subject"/>
    <w:basedOn w:val="CommentText"/>
    <w:next w:val="CommentText"/>
    <w:link w:val="CommentSubjectChar"/>
    <w:uiPriority w:val="99"/>
    <w:semiHidden/>
    <w:unhideWhenUsed/>
    <w:rsid w:val="00EB5CD6"/>
    <w:rPr>
      <w:b/>
      <w:bCs/>
    </w:rPr>
  </w:style>
  <w:style w:type="character" w:customStyle="1" w:styleId="CommentSubjectChar">
    <w:name w:val="Comment Subject Char"/>
    <w:basedOn w:val="CommentTextChar"/>
    <w:link w:val="CommentSubject"/>
    <w:uiPriority w:val="99"/>
    <w:semiHidden/>
    <w:rsid w:val="00EB5CD6"/>
    <w:rPr>
      <w:b/>
      <w:bCs/>
      <w:sz w:val="20"/>
      <w:szCs w:val="20"/>
    </w:rPr>
  </w:style>
  <w:style w:type="paragraph" w:styleId="Revision">
    <w:name w:val="Revision"/>
    <w:hidden/>
    <w:uiPriority w:val="99"/>
    <w:semiHidden/>
    <w:rsid w:val="003B2D77"/>
    <w:pPr>
      <w:spacing w:line="240" w:lineRule="auto"/>
    </w:pPr>
  </w:style>
  <w:style w:type="character" w:customStyle="1" w:styleId="UnresolvedMention1">
    <w:name w:val="Unresolved Mention1"/>
    <w:basedOn w:val="DefaultParagraphFont"/>
    <w:uiPriority w:val="99"/>
    <w:semiHidden/>
    <w:unhideWhenUsed/>
    <w:rsid w:val="00156C51"/>
    <w:rPr>
      <w:color w:val="605E5C"/>
      <w:shd w:val="clear" w:color="auto" w:fill="E1DFDD"/>
    </w:rPr>
  </w:style>
  <w:style w:type="character" w:styleId="FollowedHyperlink">
    <w:name w:val="FollowedHyperlink"/>
    <w:basedOn w:val="DefaultParagraphFont"/>
    <w:uiPriority w:val="99"/>
    <w:semiHidden/>
    <w:unhideWhenUsed/>
    <w:rsid w:val="009A14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48470">
      <w:bodyDiv w:val="1"/>
      <w:marLeft w:val="0"/>
      <w:marRight w:val="0"/>
      <w:marTop w:val="0"/>
      <w:marBottom w:val="0"/>
      <w:divBdr>
        <w:top w:val="none" w:sz="0" w:space="0" w:color="auto"/>
        <w:left w:val="none" w:sz="0" w:space="0" w:color="auto"/>
        <w:bottom w:val="none" w:sz="0" w:space="0" w:color="auto"/>
        <w:right w:val="none" w:sz="0" w:space="0" w:color="auto"/>
      </w:divBdr>
    </w:div>
    <w:div w:id="885679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customXml" Target="../customXml/item3.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ppublik.ditjenpas.go.id/" TargetMode="External"/><Relationship Id="rId13" Type="http://schemas.openxmlformats.org/officeDocument/2006/relationships/hyperlink" Target="https://icjr.or.id/torture-remains-a-part-of-criminal-law-enforcement-in-indonesia/" TargetMode="External"/><Relationship Id="rId18" Type="http://schemas.openxmlformats.org/officeDocument/2006/relationships/hyperlink" Target="https://jakartaglobe.id/news/police-to-increase-patrols-fearing-crime-spike-after-38000-prisoners-are-released" TargetMode="External"/><Relationship Id="rId26" Type="http://schemas.openxmlformats.org/officeDocument/2006/relationships/hyperlink" Target="https://lbhmasyarakat.org/en/the-trip-to-nobody-knows-where/" TargetMode="External"/><Relationship Id="rId3" Type="http://schemas.openxmlformats.org/officeDocument/2006/relationships/hyperlink" Target="https://www.ohchr.org/EN/NewsEvents/Pages/DisplayNews.aspx?NewsID=24369&amp;LangID=E" TargetMode="External"/><Relationship Id="rId21" Type="http://schemas.openxmlformats.org/officeDocument/2006/relationships/hyperlink" Target="https://www.ohchr.org/EN/Issues/RightSocialSecurity/Pages/AboutSocialSecurityandHR.aspx" TargetMode="External"/><Relationship Id="rId7" Type="http://schemas.openxmlformats.org/officeDocument/2006/relationships/hyperlink" Target="http://www.flevin.com/id/lgso/translations/JICA%20Mirror/english/4868_UU_35_2009_e.html" TargetMode="External"/><Relationship Id="rId12" Type="http://schemas.openxmlformats.org/officeDocument/2006/relationships/hyperlink" Target="https://lbhmasyarakat.org/wp-content/uploads/2019/09/Laporan-Penelitian-LBHM_Potrets-Situasi-Perempuan-Yang-Dipenjara-Akbat-Tindak-Pidana-Narkotika.pdf" TargetMode="External"/><Relationship Id="rId17" Type="http://schemas.openxmlformats.org/officeDocument/2006/relationships/hyperlink" Target="https://jakartaglobe.id/news/police-to-increase-patrols-fearing-crime-spike-after-38000-prisoners-are-released" TargetMode="External"/><Relationship Id="rId25" Type="http://schemas.openxmlformats.org/officeDocument/2006/relationships/hyperlink" Target="https://ombudsman.go.id/news/r/ombudsman-peluang-rehabilitasi-pengguna-narkotika-dipersulit" TargetMode="External"/><Relationship Id="rId2" Type="http://schemas.openxmlformats.org/officeDocument/2006/relationships/hyperlink" Target="https://www.ohchr.org/EN/NewsEvents/Pages/DisplayNews.aspx?NewsID=24369&amp;LangID=E" TargetMode="External"/><Relationship Id="rId16" Type="http://schemas.openxmlformats.org/officeDocument/2006/relationships/hyperlink" Target="https://www.who.int/news/item/13-05-2020-unodc-who-unaids-and-ohchr-joint-statement-on-covid-19-in-prisons-and-other-closed-settings" TargetMode="External"/><Relationship Id="rId20" Type="http://schemas.openxmlformats.org/officeDocument/2006/relationships/hyperlink" Target="https://www.cnnindonesia.com/nasional/20200411155847-20-492629/kemenkumham-telah-bebaskan-36554-napi-di-tengah-wabah-corona" TargetMode="External"/><Relationship Id="rId29" Type="http://schemas.openxmlformats.org/officeDocument/2006/relationships/hyperlink" Target="http://slank.com/2015/03/25/tempat-pendaftaran-pelaporan-rehabilitasi-narkoba-gratis/" TargetMode="External"/><Relationship Id="rId1" Type="http://schemas.openxmlformats.org/officeDocument/2006/relationships/hyperlink" Target="http://fileserver.idpc.net/library/WHRIN-Aksi_Indonesia_Women.pdf" TargetMode="External"/><Relationship Id="rId6" Type="http://schemas.openxmlformats.org/officeDocument/2006/relationships/hyperlink" Target="http://www.flevin.com/id/lgso/translations/JICA%20Mirror/english/4868_UU_35_2009_e.html" TargetMode="External"/><Relationship Id="rId11" Type="http://schemas.openxmlformats.org/officeDocument/2006/relationships/hyperlink" Target="http://fileserver.idpc.net/library/WHRIN-Aksi_Indonesia_Women.pdf" TargetMode="External"/><Relationship Id="rId24" Type="http://schemas.openxmlformats.org/officeDocument/2006/relationships/hyperlink" Target="https://ombudsman.go.id/news/r/ombudsman-peluang-rehabilitasi-pengguna-narkotika-dipersulit" TargetMode="External"/><Relationship Id="rId5" Type="http://schemas.openxmlformats.org/officeDocument/2006/relationships/hyperlink" Target="https://www.insideindonesia.org/drugs-and-drug-policy" TargetMode="External"/><Relationship Id="rId15" Type="http://schemas.openxmlformats.org/officeDocument/2006/relationships/hyperlink" Target="https://www.hri.global/MerriUtami" TargetMode="External"/><Relationship Id="rId23" Type="http://schemas.openxmlformats.org/officeDocument/2006/relationships/hyperlink" Target="https://unaidsapnew.files.wordpress.com/2020/05/unjointstatement1june2020.pdf" TargetMode="External"/><Relationship Id="rId28" Type="http://schemas.openxmlformats.org/officeDocument/2006/relationships/hyperlink" Target="http://slank.com/2015/03/25/tempat-pendaftaran-pelaporan-rehabilitasi-narkoba-gratis/" TargetMode="External"/><Relationship Id="rId10" Type="http://schemas.openxmlformats.org/officeDocument/2006/relationships/hyperlink" Target="http://icjr.or.id/data/wp-content/uploads/2019/03/Strategies-to-Reduce-Overcrowding-in-Indonesia.pdf" TargetMode="External"/><Relationship Id="rId19" Type="http://schemas.openxmlformats.org/officeDocument/2006/relationships/hyperlink" Target="https://www.cnnindonesia.com/nasional/20200411155847-20-492629/kemenkumham-telah-bebaskan-36554-napi-di-tengah-wabah-corona" TargetMode="External"/><Relationship Id="rId31" Type="http://schemas.openxmlformats.org/officeDocument/2006/relationships/hyperlink" Target="https://bnn.go.id/konten/unggahan/2019/08/Daftar-Lembaga-Rehabilitasi-Komponen-Masyarakat-Yang-telah-Memenuhi-Standar.pdf" TargetMode="External"/><Relationship Id="rId4" Type="http://schemas.openxmlformats.org/officeDocument/2006/relationships/hyperlink" Target="https://www.insideindonesia.org/drugs-and-drug-policy" TargetMode="External"/><Relationship Id="rId9" Type="http://schemas.openxmlformats.org/officeDocument/2006/relationships/hyperlink" Target="http://icjr.or.id/data/wp-content/uploads/2019/03/Strategies-to-Reduce-Overcrowding-in-Indonesia.pdf" TargetMode="External"/><Relationship Id="rId14" Type="http://schemas.openxmlformats.org/officeDocument/2006/relationships/hyperlink" Target="https://icjr.or.id/torture-remains-a-part-of-criminal-law-enforcement-in-indonesia/" TargetMode="External"/><Relationship Id="rId22" Type="http://schemas.openxmlformats.org/officeDocument/2006/relationships/hyperlink" Target="https://www.ohchr.org/EN/Issues/RightSocialSecurity/Pages/AboutSocialSecurityandHR.aspx" TargetMode="External"/><Relationship Id="rId27" Type="http://schemas.openxmlformats.org/officeDocument/2006/relationships/hyperlink" Target="https://lbhmasyarakat.org/en/the-trip-to-nobody-knows-where/" TargetMode="External"/><Relationship Id="rId30" Type="http://schemas.openxmlformats.org/officeDocument/2006/relationships/hyperlink" Target="https://kemensos.go.id/rehabilitasi-sos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jpeg"/><Relationship Id="rId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5E5EAE-17A8-4A04-BCAA-44A0FE26BC34}">
  <ds:schemaRefs>
    <ds:schemaRef ds:uri="http://schemas.openxmlformats.org/officeDocument/2006/bibliography"/>
  </ds:schemaRefs>
</ds:datastoreItem>
</file>

<file path=customXml/itemProps2.xml><?xml version="1.0" encoding="utf-8"?>
<ds:datastoreItem xmlns:ds="http://schemas.openxmlformats.org/officeDocument/2006/customXml" ds:itemID="{25CFBF3E-2FFB-4BA3-AD3E-7B86943EF0F9}"/>
</file>

<file path=customXml/itemProps3.xml><?xml version="1.0" encoding="utf-8"?>
<ds:datastoreItem xmlns:ds="http://schemas.openxmlformats.org/officeDocument/2006/customXml" ds:itemID="{88F0D652-4BE1-40AB-95D2-8CDDB9D8C8A2}"/>
</file>

<file path=customXml/itemProps4.xml><?xml version="1.0" encoding="utf-8"?>
<ds:datastoreItem xmlns:ds="http://schemas.openxmlformats.org/officeDocument/2006/customXml" ds:itemID="{4AFC9404-9865-4B00-93D9-923AE863DEA4}"/>
</file>

<file path=docProps/app.xml><?xml version="1.0" encoding="utf-8"?>
<Properties xmlns="http://schemas.openxmlformats.org/officeDocument/2006/extended-properties" xmlns:vt="http://schemas.openxmlformats.org/officeDocument/2006/docPropsVTypes">
  <Template>Normal.dotm</Template>
  <TotalTime>1</TotalTime>
  <Pages>12</Pages>
  <Words>3862</Words>
  <Characters>22018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HRI</Company>
  <LinksUpToDate>false</LinksUpToDate>
  <CharactersWithSpaces>25829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Giada-HRI</dc:creator>
  <cp:lastModifiedBy>REYNAUD Céline</cp:lastModifiedBy>
  <cp:revision>2</cp:revision>
  <dcterms:created xsi:type="dcterms:W3CDTF">2022-01-13T17:35:00Z</dcterms:created>
  <dcterms:modified xsi:type="dcterms:W3CDTF">2022-01-13T17:35:00Z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