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6687B" w14:textId="23A42EB9" w:rsidR="00712636" w:rsidRPr="007660FD" w:rsidRDefault="00712636" w:rsidP="00712636">
      <w:pPr>
        <w:jc w:val="center"/>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60FD">
        <w:rPr>
          <w:rFonts w:asciiTheme="majorBidi" w:hAnsiTheme="majorBidi" w:cstheme="majorBidi"/>
          <w:b/>
          <w:color w:val="1F3864" w:themeColor="accent5" w:themeShade="80"/>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Maat for Peace’s Report submitted to the Committee on the Elimination of Racial Discrimination (CERD)</w:t>
      </w:r>
    </w:p>
    <w:p w14:paraId="4F33097B" w14:textId="77777777" w:rsidR="00712636" w:rsidRPr="007660FD" w:rsidRDefault="00712636" w:rsidP="00712636">
      <w:pPr>
        <w:pBdr>
          <w:bottom w:val="single" w:sz="18" w:space="1" w:color="auto"/>
        </w:pBdr>
        <w:jc w:val="center"/>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660FD">
        <w:rPr>
          <w:rFonts w:asciiTheme="majorBidi" w:hAnsiTheme="majorBidi" w:cstheme="majorBidi"/>
          <w:b/>
          <w:color w:val="C45911" w:themeColor="accent2" w:themeShade="B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Regarding Follow-up to the Concluding Observations Concerning Saudi Arabia</w:t>
      </w:r>
    </w:p>
    <w:p w14:paraId="73FF8281" w14:textId="77777777" w:rsidR="00712636" w:rsidRPr="00103CED" w:rsidRDefault="00712636" w:rsidP="00712636">
      <w:pPr>
        <w:jc w:val="both"/>
        <w:rPr>
          <w:rFonts w:asciiTheme="majorBidi" w:hAnsiTheme="majorBidi" w:cstheme="majorBidi"/>
        </w:rPr>
      </w:pPr>
      <w:r w:rsidRPr="003211A8">
        <w:rPr>
          <w:rFonts w:asciiTheme="majorBidi" w:hAnsiTheme="majorBidi" w:cstheme="majorBidi"/>
        </w:rPr>
        <w:t>Maat</w:t>
      </w:r>
      <w:r w:rsidRPr="00103CED">
        <w:rPr>
          <w:rFonts w:asciiTheme="majorBidi" w:hAnsiTheme="majorBidi" w:cstheme="majorBidi"/>
        </w:rPr>
        <w:t xml:space="preserve"> for Peace, Development and Human Rights submits this report to provide the CERD Committee with additional information on follow-up to the concluding observations concerning Saudi Arabia</w:t>
      </w:r>
      <w:r w:rsidRPr="003211A8">
        <w:rPr>
          <w:rFonts w:asciiTheme="majorBidi" w:hAnsiTheme="majorBidi" w:cstheme="majorBidi"/>
        </w:rPr>
        <w:t xml:space="preserve">, </w:t>
      </w:r>
      <w:r w:rsidRPr="00103CED">
        <w:rPr>
          <w:rFonts w:asciiTheme="majorBidi" w:hAnsiTheme="majorBidi" w:cstheme="majorBidi"/>
        </w:rPr>
        <w:t>particularly the recommendations contained in paragraphs 18(a) (complaints related to racial discrimination) and 20(a) (hate speeches and hate crimes), as well as 40(d) (migrant workers). Despite the positive measures taken by Saudi Arabia to address these recommendations, the State continues to face various challenges relating to complaints of racial discrimination and to hate speeches and hate crimes, as well as to practices affecting migrant workers.</w:t>
      </w:r>
    </w:p>
    <w:p w14:paraId="2C3E925D" w14:textId="77777777" w:rsidR="00712636" w:rsidRPr="00712636" w:rsidRDefault="00712636" w:rsidP="00712636">
      <w:pPr>
        <w:jc w:val="both"/>
        <w:rPr>
          <w:rFonts w:asciiTheme="majorBidi" w:hAnsiTheme="majorBidi" w:cstheme="majorBidi"/>
          <w:b/>
          <w:bCs/>
          <w:color w:val="C45911" w:themeColor="accent2" w:themeShade="BF"/>
          <w:sz w:val="28"/>
          <w:szCs w:val="28"/>
        </w:rPr>
      </w:pPr>
      <w:r w:rsidRPr="00712636">
        <w:rPr>
          <w:rFonts w:asciiTheme="majorBidi" w:hAnsiTheme="majorBidi" w:cstheme="majorBidi"/>
          <w:b/>
          <w:bCs/>
          <w:color w:val="C45911" w:themeColor="accent2" w:themeShade="BF"/>
          <w:sz w:val="28"/>
          <w:szCs w:val="28"/>
        </w:rPr>
        <w:t>First: Complaints Related to Racial Discrimination</w:t>
      </w:r>
    </w:p>
    <w:p w14:paraId="7781CB3B" w14:textId="77777777" w:rsidR="00712636" w:rsidRPr="00103CED" w:rsidRDefault="00712636" w:rsidP="00712636">
      <w:pPr>
        <w:jc w:val="both"/>
        <w:rPr>
          <w:rFonts w:asciiTheme="majorBidi" w:hAnsiTheme="majorBidi" w:cstheme="majorBidi"/>
        </w:rPr>
      </w:pPr>
      <w:r w:rsidRPr="00103CED">
        <w:rPr>
          <w:rFonts w:asciiTheme="majorBidi" w:hAnsiTheme="majorBidi" w:cstheme="majorBidi"/>
        </w:rPr>
        <w:t>Maat notes the availability of a complaint submission form for migrant workers regarding racial discrimination practices on the Ministry of Human Resources and Social Development website.</w:t>
      </w:r>
      <w:r w:rsidRPr="003211A8">
        <w:rPr>
          <w:rStyle w:val="FootnoteReference"/>
          <w:rFonts w:asciiTheme="majorBidi" w:hAnsiTheme="majorBidi" w:cstheme="majorBidi"/>
        </w:rPr>
        <w:footnoteReference w:id="1"/>
      </w:r>
      <w:r w:rsidRPr="00103CED">
        <w:rPr>
          <w:rFonts w:asciiTheme="majorBidi" w:hAnsiTheme="majorBidi" w:cstheme="majorBidi"/>
        </w:rPr>
        <w:t xml:space="preserve"> However, some criticisms have been raised regarding this form. Several migrant workers reported that the form is malfunctioning and not accessible at all times.</w:t>
      </w:r>
      <w:r w:rsidRPr="003211A8">
        <w:rPr>
          <w:rFonts w:asciiTheme="majorBidi" w:hAnsiTheme="majorBidi" w:cstheme="majorBidi"/>
        </w:rPr>
        <w:t xml:space="preserve"> </w:t>
      </w:r>
      <w:r w:rsidRPr="00103CED">
        <w:rPr>
          <w:rFonts w:asciiTheme="majorBidi" w:hAnsiTheme="majorBidi" w:cstheme="majorBidi"/>
        </w:rPr>
        <w:t>In this context, Maat also observes positive efforts by Saudi Arabia to enhance the capacity of official personnel in the field of human rights enforcement within government institutions. Such cooperation has included exploring ways to develop forensic training programmes and exchange relevant technical expertise,</w:t>
      </w:r>
      <w:r w:rsidRPr="003211A8">
        <w:rPr>
          <w:rStyle w:val="FootnoteReference"/>
          <w:rFonts w:asciiTheme="majorBidi" w:hAnsiTheme="majorBidi" w:cstheme="majorBidi"/>
        </w:rPr>
        <w:footnoteReference w:id="2"/>
      </w:r>
      <w:r w:rsidRPr="00103CED">
        <w:rPr>
          <w:rFonts w:asciiTheme="majorBidi" w:hAnsiTheme="majorBidi" w:cstheme="majorBidi"/>
        </w:rPr>
        <w:t xml:space="preserve"> as well as training employees to respond to complaints in various areas, including matters involving racial discrimination.</w:t>
      </w:r>
    </w:p>
    <w:p w14:paraId="495E8148" w14:textId="77777777" w:rsidR="00712636" w:rsidRPr="00103CED" w:rsidRDefault="00712636" w:rsidP="00712636">
      <w:pPr>
        <w:jc w:val="both"/>
        <w:rPr>
          <w:rFonts w:asciiTheme="majorBidi" w:hAnsiTheme="majorBidi" w:cstheme="majorBidi"/>
        </w:rPr>
      </w:pPr>
      <w:r w:rsidRPr="00103CED">
        <w:rPr>
          <w:rFonts w:asciiTheme="majorBidi" w:hAnsiTheme="majorBidi" w:cstheme="majorBidi"/>
        </w:rPr>
        <w:t xml:space="preserve">Maat has further documented reports indicating that Saudi Arabia has issued directives aimed at addressing manifestations of racial discrimination that may arise in certain sporting events. These directives emphasized the need to confront any practices or statements that undermine </w:t>
      </w:r>
      <w:r w:rsidRPr="003211A8">
        <w:rPr>
          <w:rFonts w:asciiTheme="majorBidi" w:hAnsiTheme="majorBidi" w:cstheme="majorBidi"/>
        </w:rPr>
        <w:t xml:space="preserve">the </w:t>
      </w:r>
      <w:r w:rsidRPr="00103CED">
        <w:rPr>
          <w:rFonts w:asciiTheme="majorBidi" w:hAnsiTheme="majorBidi" w:cstheme="majorBidi"/>
        </w:rPr>
        <w:t xml:space="preserve">values of tolerance or social cohesion. This step followed a number of incidents witnessed in some sporting occasions, including the use of discriminatory and racist expressions. In principle, these measures reflect an official recognition of the seriousness of discriminatory hate speech and the </w:t>
      </w:r>
      <w:r w:rsidRPr="00103CED">
        <w:rPr>
          <w:rFonts w:asciiTheme="majorBidi" w:hAnsiTheme="majorBidi" w:cstheme="majorBidi"/>
        </w:rPr>
        <w:lastRenderedPageBreak/>
        <w:t>need to address it, as well as a confirmation of the State’s declared commitment to rejecting all forms of hatred and promoting a culture of respect among different segments of society</w:t>
      </w:r>
      <w:r w:rsidRPr="003211A8">
        <w:rPr>
          <w:rFonts w:asciiTheme="majorBidi" w:hAnsiTheme="majorBidi" w:cstheme="majorBidi"/>
        </w:rPr>
        <w:t xml:space="preserve">, </w:t>
      </w:r>
      <w:r w:rsidRPr="00103CED">
        <w:rPr>
          <w:rFonts w:asciiTheme="majorBidi" w:hAnsiTheme="majorBidi" w:cstheme="majorBidi"/>
        </w:rPr>
        <w:t>including citizens, residents, and visitors.</w:t>
      </w:r>
      <w:r w:rsidRPr="003211A8">
        <w:rPr>
          <w:rStyle w:val="FootnoteReference"/>
          <w:rFonts w:asciiTheme="majorBidi" w:hAnsiTheme="majorBidi" w:cstheme="majorBidi"/>
        </w:rPr>
        <w:footnoteReference w:id="3"/>
      </w:r>
    </w:p>
    <w:p w14:paraId="499281E5" w14:textId="77777777" w:rsidR="00712636" w:rsidRPr="00103CED" w:rsidRDefault="00712636" w:rsidP="00712636">
      <w:pPr>
        <w:jc w:val="both"/>
        <w:rPr>
          <w:rFonts w:asciiTheme="majorBidi" w:hAnsiTheme="majorBidi" w:cstheme="majorBidi"/>
        </w:rPr>
      </w:pPr>
      <w:r w:rsidRPr="00103CED">
        <w:rPr>
          <w:rFonts w:asciiTheme="majorBidi" w:hAnsiTheme="majorBidi" w:cstheme="majorBidi"/>
        </w:rPr>
        <w:t>Despite the above, some reports have criticized the limited mechanisms for submitting complaints related to racial discrimination in Saudi Arabia. Maat has also documented significant shortcomings in awareness-raising efforts directed to the public, whether through media campaigns or specialized training programmes in this area. It appears that current efforts are limited to announcing the numbers of hotlines or electronic platforms for receiving complaints related to human rights generally, without developing effective communication tools specifically dedicated to racial discrimination cases or targeting the groups most vulnerable to such discrimination with guidance and advice.</w:t>
      </w:r>
    </w:p>
    <w:p w14:paraId="148E06C2" w14:textId="77777777" w:rsidR="00712636" w:rsidRPr="00103CED" w:rsidRDefault="00712636" w:rsidP="00712636">
      <w:pPr>
        <w:jc w:val="both"/>
        <w:rPr>
          <w:rFonts w:asciiTheme="majorBidi" w:hAnsiTheme="majorBidi" w:cstheme="majorBidi"/>
        </w:rPr>
      </w:pPr>
      <w:r w:rsidRPr="00103CED">
        <w:rPr>
          <w:rFonts w:asciiTheme="majorBidi" w:hAnsiTheme="majorBidi" w:cstheme="majorBidi"/>
        </w:rPr>
        <w:t>In this regard, the Saudi Human Rights Commission allows individuals and institutions to submit complaints or reports related to violations of human rights, including issues of equality and non-discrimination. However, limited public awareness of these mechanisms</w:t>
      </w:r>
      <w:r w:rsidRPr="003211A8">
        <w:rPr>
          <w:rFonts w:asciiTheme="majorBidi" w:hAnsiTheme="majorBidi" w:cstheme="majorBidi"/>
        </w:rPr>
        <w:t xml:space="preserve">, </w:t>
      </w:r>
      <w:r w:rsidRPr="00103CED">
        <w:rPr>
          <w:rFonts w:asciiTheme="majorBidi" w:hAnsiTheme="majorBidi" w:cstheme="majorBidi"/>
        </w:rPr>
        <w:t>particularly with respect to access, clarity, and effectiveness</w:t>
      </w:r>
      <w:r w:rsidRPr="003211A8">
        <w:rPr>
          <w:rFonts w:asciiTheme="majorBidi" w:hAnsiTheme="majorBidi" w:cstheme="majorBidi"/>
        </w:rPr>
        <w:t xml:space="preserve">, </w:t>
      </w:r>
      <w:r w:rsidRPr="00103CED">
        <w:rPr>
          <w:rFonts w:asciiTheme="majorBidi" w:hAnsiTheme="majorBidi" w:cstheme="majorBidi"/>
        </w:rPr>
        <w:t xml:space="preserve">raises questions about the extent to which individuals, especially vulnerable groups such as minorities and migrant workers, </w:t>
      </w:r>
      <w:r w:rsidRPr="003211A8">
        <w:rPr>
          <w:rFonts w:asciiTheme="majorBidi" w:hAnsiTheme="majorBidi" w:cstheme="majorBidi"/>
        </w:rPr>
        <w:t>can</w:t>
      </w:r>
      <w:r w:rsidRPr="00103CED">
        <w:rPr>
          <w:rFonts w:asciiTheme="majorBidi" w:hAnsiTheme="majorBidi" w:cstheme="majorBidi"/>
        </w:rPr>
        <w:t xml:space="preserve"> benefit from them effectively. The issue is not limited to weak awareness coverage; it also extends to concerns regarding the efficiency of responses to these mechanisms. Reports reviewed by Maat indicate that some complainants faced difficulties communicating through the announced telephone lines, including delays in responses despite repeated attempts, and the short duration of calls in a manner that does not allow the complaint to be presented in a sufficiently detailed and comprehensive way.</w:t>
      </w:r>
    </w:p>
    <w:p w14:paraId="27A60EC7" w14:textId="55C54C2A" w:rsidR="00712636" w:rsidRPr="00C0750B" w:rsidRDefault="00712636" w:rsidP="00712636">
      <w:pPr>
        <w:jc w:val="both"/>
        <w:rPr>
          <w:rFonts w:asciiTheme="majorBidi" w:hAnsiTheme="majorBidi" w:cstheme="majorBidi"/>
        </w:rPr>
      </w:pPr>
      <w:r w:rsidRPr="00C0750B">
        <w:rPr>
          <w:rFonts w:asciiTheme="majorBidi" w:hAnsiTheme="majorBidi" w:cstheme="majorBidi"/>
        </w:rPr>
        <w:t>As some complainants have noted, their accounts/numbers were banned following attempts to contact the relevant parties. This raises serious concerns about the effectiveness of these channels and their suitability for receiving complaints and addressing them in a professional manner. These findings point to a dual gap: insufficient awareness on the one hand, and limited effectiveness of the complaint-receiving mechanisms on the other. This could undermine individuals’ trust in the system and reduce their willingness to use it</w:t>
      </w:r>
      <w:r w:rsidRPr="003211A8">
        <w:rPr>
          <w:rFonts w:asciiTheme="majorBidi" w:hAnsiTheme="majorBidi" w:cstheme="majorBidi"/>
        </w:rPr>
        <w:t xml:space="preserve">, </w:t>
      </w:r>
      <w:r w:rsidRPr="00C0750B">
        <w:rPr>
          <w:rFonts w:asciiTheme="majorBidi" w:hAnsiTheme="majorBidi" w:cstheme="majorBidi"/>
        </w:rPr>
        <w:t>particularly in sensitive cases such as racial discrimination.</w:t>
      </w:r>
      <w:r w:rsidRPr="003211A8">
        <w:rPr>
          <w:rFonts w:asciiTheme="majorBidi" w:hAnsiTheme="majorBidi" w:cstheme="majorBidi"/>
        </w:rPr>
        <w:t xml:space="preserve"> </w:t>
      </w:r>
      <w:r w:rsidRPr="00C0750B">
        <w:rPr>
          <w:rFonts w:asciiTheme="majorBidi" w:hAnsiTheme="majorBidi" w:cstheme="majorBidi"/>
        </w:rPr>
        <w:t xml:space="preserve">In this regard, </w:t>
      </w:r>
      <w:r w:rsidRPr="003211A8">
        <w:rPr>
          <w:rFonts w:asciiTheme="majorBidi" w:hAnsiTheme="majorBidi" w:cstheme="majorBidi"/>
        </w:rPr>
        <w:t>Maat</w:t>
      </w:r>
      <w:r w:rsidRPr="00C0750B">
        <w:rPr>
          <w:rFonts w:asciiTheme="majorBidi" w:hAnsiTheme="majorBidi" w:cstheme="majorBidi"/>
        </w:rPr>
        <w:t xml:space="preserve"> stresses the need to focus specifically and in a targeted way on combating racial discrimination. Training programs should not be confined to the general </w:t>
      </w:r>
      <w:r w:rsidRPr="00C0750B">
        <w:rPr>
          <w:rFonts w:asciiTheme="majorBidi" w:hAnsiTheme="majorBidi" w:cstheme="majorBidi"/>
        </w:rPr>
        <w:lastRenderedPageBreak/>
        <w:t>framework of human rights, but should directly and systematically address different patterns and forms of racial discrimination. This has become increasingly important in light of the persistence and escalation of manifestations of racial discrimination across several sectors</w:t>
      </w:r>
      <w:r w:rsidRPr="003211A8">
        <w:rPr>
          <w:rFonts w:asciiTheme="majorBidi" w:hAnsiTheme="majorBidi" w:cstheme="majorBidi"/>
        </w:rPr>
        <w:t xml:space="preserve">, </w:t>
      </w:r>
      <w:r w:rsidRPr="00C0750B">
        <w:rPr>
          <w:rFonts w:asciiTheme="majorBidi" w:hAnsiTheme="majorBidi" w:cstheme="majorBidi"/>
        </w:rPr>
        <w:t xml:space="preserve">especially </w:t>
      </w:r>
      <w:r w:rsidRPr="003211A8">
        <w:rPr>
          <w:rFonts w:asciiTheme="majorBidi" w:hAnsiTheme="majorBidi" w:cstheme="majorBidi"/>
        </w:rPr>
        <w:t>regarding</w:t>
      </w:r>
      <w:r w:rsidRPr="00C0750B">
        <w:rPr>
          <w:rFonts w:asciiTheme="majorBidi" w:hAnsiTheme="majorBidi" w:cstheme="majorBidi"/>
        </w:rPr>
        <w:t xml:space="preserve"> the conditions of migrant workers and certain religious minorities</w:t>
      </w:r>
      <w:r w:rsidRPr="003211A8">
        <w:rPr>
          <w:rFonts w:asciiTheme="majorBidi" w:hAnsiTheme="majorBidi" w:cstheme="majorBidi"/>
        </w:rPr>
        <w:t xml:space="preserve">, </w:t>
      </w:r>
      <w:r w:rsidRPr="00C0750B">
        <w:rPr>
          <w:rFonts w:asciiTheme="majorBidi" w:hAnsiTheme="majorBidi" w:cstheme="majorBidi"/>
        </w:rPr>
        <w:t>which calls for deeper and more targeted training responses.</w:t>
      </w:r>
    </w:p>
    <w:p w14:paraId="2891BB04" w14:textId="77777777" w:rsidR="00712636" w:rsidRPr="00712636" w:rsidRDefault="00712636" w:rsidP="00712636">
      <w:pPr>
        <w:jc w:val="both"/>
        <w:rPr>
          <w:rFonts w:asciiTheme="majorBidi" w:hAnsiTheme="majorBidi" w:cstheme="majorBidi"/>
          <w:b/>
          <w:bCs/>
          <w:color w:val="C45911" w:themeColor="accent2" w:themeShade="BF"/>
          <w:sz w:val="28"/>
          <w:szCs w:val="28"/>
        </w:rPr>
      </w:pPr>
      <w:r w:rsidRPr="00712636">
        <w:rPr>
          <w:rFonts w:asciiTheme="majorBidi" w:hAnsiTheme="majorBidi" w:cstheme="majorBidi"/>
          <w:b/>
          <w:bCs/>
          <w:color w:val="C45911" w:themeColor="accent2" w:themeShade="BF"/>
          <w:sz w:val="28"/>
          <w:szCs w:val="28"/>
        </w:rPr>
        <w:t>Second: Crimes and Hate Speech</w:t>
      </w:r>
    </w:p>
    <w:p w14:paraId="79C0504E" w14:textId="77777777" w:rsidR="00712636" w:rsidRPr="00C0750B" w:rsidRDefault="00712636" w:rsidP="00712636">
      <w:pPr>
        <w:jc w:val="both"/>
        <w:rPr>
          <w:rFonts w:asciiTheme="majorBidi" w:hAnsiTheme="majorBidi" w:cstheme="majorBidi"/>
        </w:rPr>
      </w:pPr>
      <w:r w:rsidRPr="00C0750B">
        <w:rPr>
          <w:rFonts w:asciiTheme="majorBidi" w:hAnsiTheme="majorBidi" w:cstheme="majorBidi"/>
        </w:rPr>
        <w:t>The Committee urged the Kingdom of Saudi Arabia to expedite the drafting and adoption of a clear, comprehensive system of penalties. This should ensure the explicit criminalization of racial hate speech and hate crimes, in a manner consistent with Article (4) of the Convention, and covering all grounds of discrimination recognized in Article 1 thereof.</w:t>
      </w:r>
      <w:r w:rsidRPr="003211A8">
        <w:rPr>
          <w:rFonts w:asciiTheme="majorBidi" w:hAnsiTheme="majorBidi" w:cstheme="majorBidi"/>
        </w:rPr>
        <w:t xml:space="preserve"> </w:t>
      </w:r>
      <w:r w:rsidRPr="00C0750B">
        <w:rPr>
          <w:rFonts w:asciiTheme="majorBidi" w:hAnsiTheme="majorBidi" w:cstheme="majorBidi"/>
        </w:rPr>
        <w:t>This recommendation emphasizes the necessity of having a specific and direct legislative framework that criminalizes acts and statements of a racist nature, and ensures the effective enforcement of these laws and regulations in practice.</w:t>
      </w:r>
    </w:p>
    <w:p w14:paraId="61D5C7F4" w14:textId="77777777" w:rsidR="00712636" w:rsidRPr="00C0750B" w:rsidRDefault="00712636" w:rsidP="00712636">
      <w:pPr>
        <w:jc w:val="both"/>
        <w:rPr>
          <w:rFonts w:asciiTheme="majorBidi" w:hAnsiTheme="majorBidi" w:cstheme="majorBidi"/>
        </w:rPr>
      </w:pPr>
      <w:r w:rsidRPr="00C0750B">
        <w:rPr>
          <w:rFonts w:asciiTheme="majorBidi" w:hAnsiTheme="majorBidi" w:cstheme="majorBidi"/>
        </w:rPr>
        <w:t xml:space="preserve">Within this context, the Kingdom of Saudi Arabia’s legal system defines racism as any discrimination or preference between individuals or groups </w:t>
      </w:r>
      <w:r w:rsidRPr="003211A8">
        <w:rPr>
          <w:rFonts w:asciiTheme="majorBidi" w:hAnsiTheme="majorBidi" w:cstheme="majorBidi"/>
        </w:rPr>
        <w:t>based on</w:t>
      </w:r>
      <w:r w:rsidRPr="00C0750B">
        <w:rPr>
          <w:rFonts w:asciiTheme="majorBidi" w:hAnsiTheme="majorBidi" w:cstheme="majorBidi"/>
        </w:rPr>
        <w:t xml:space="preserve"> race, </w:t>
      </w:r>
      <w:proofErr w:type="spellStart"/>
      <w:r w:rsidRPr="00C0750B">
        <w:rPr>
          <w:rFonts w:asciiTheme="majorBidi" w:hAnsiTheme="majorBidi" w:cstheme="majorBidi"/>
        </w:rPr>
        <w:t>color</w:t>
      </w:r>
      <w:proofErr w:type="spellEnd"/>
      <w:r w:rsidRPr="00C0750B">
        <w:rPr>
          <w:rFonts w:asciiTheme="majorBidi" w:hAnsiTheme="majorBidi" w:cstheme="majorBidi"/>
        </w:rPr>
        <w:t>, descent, or tribal origin</w:t>
      </w:r>
      <w:r w:rsidRPr="003211A8">
        <w:rPr>
          <w:rFonts w:asciiTheme="majorBidi" w:hAnsiTheme="majorBidi" w:cstheme="majorBidi"/>
        </w:rPr>
        <w:t xml:space="preserve">, </w:t>
      </w:r>
      <w:r w:rsidRPr="00C0750B">
        <w:rPr>
          <w:rFonts w:asciiTheme="majorBidi" w:hAnsiTheme="majorBidi" w:cstheme="majorBidi"/>
        </w:rPr>
        <w:t>an approach that is broad in scope and largely overlaps with the definition set out in the Convention. This framework also includes prohibiting various forms of conduct or speech that undermine human dignity on account of personal characteristics, including verbal abuse, harassment, and the denial of fundamental rights. Existing laws criminalize incitement to hatred or discrimination, including the dissemination of racist ideas in public spaces or through social media. This reflects an official commitment to confronting these practices and promoting values of equality and social cohesion.</w:t>
      </w:r>
      <w:r w:rsidRPr="003211A8">
        <w:rPr>
          <w:rStyle w:val="FootnoteReference"/>
          <w:rFonts w:asciiTheme="majorBidi" w:hAnsiTheme="majorBidi" w:cstheme="majorBidi"/>
        </w:rPr>
        <w:footnoteReference w:id="4"/>
      </w:r>
      <w:r w:rsidRPr="003211A8">
        <w:rPr>
          <w:rFonts w:asciiTheme="majorBidi" w:hAnsiTheme="majorBidi" w:cstheme="majorBidi"/>
        </w:rPr>
        <w:t xml:space="preserve"> </w:t>
      </w:r>
      <w:r w:rsidRPr="00C0750B">
        <w:rPr>
          <w:rFonts w:asciiTheme="majorBidi" w:hAnsiTheme="majorBidi" w:cstheme="majorBidi"/>
        </w:rPr>
        <w:t xml:space="preserve">Nevertheless, the Saudi legal framework still lacks a definition of </w:t>
      </w:r>
      <w:r w:rsidRPr="003211A8">
        <w:rPr>
          <w:rFonts w:asciiTheme="majorBidi" w:hAnsiTheme="majorBidi" w:cstheme="majorBidi"/>
        </w:rPr>
        <w:t>hate speech</w:t>
      </w:r>
      <w:r w:rsidRPr="00C0750B">
        <w:rPr>
          <w:rFonts w:asciiTheme="majorBidi" w:hAnsiTheme="majorBidi" w:cstheme="majorBidi"/>
        </w:rPr>
        <w:t xml:space="preserve"> crimes. </w:t>
      </w:r>
      <w:r w:rsidRPr="003211A8">
        <w:rPr>
          <w:rFonts w:asciiTheme="majorBidi" w:hAnsiTheme="majorBidi" w:cstheme="majorBidi"/>
        </w:rPr>
        <w:t>Maat</w:t>
      </w:r>
      <w:r w:rsidRPr="00C0750B">
        <w:rPr>
          <w:rFonts w:asciiTheme="majorBidi" w:hAnsiTheme="majorBidi" w:cstheme="majorBidi"/>
        </w:rPr>
        <w:t xml:space="preserve"> believes it is necessary to align the development of a hate-speech definition with the United Nations strategy and plan of action issued by the UN Secretary-General on hate speech, alongside relevant resolutions adopted by the UN General Assembly and the UN Human Rights Council.</w:t>
      </w:r>
    </w:p>
    <w:p w14:paraId="6164D326" w14:textId="77777777" w:rsidR="00712636" w:rsidRPr="00C0750B" w:rsidRDefault="00712636" w:rsidP="00712636">
      <w:pPr>
        <w:jc w:val="both"/>
        <w:rPr>
          <w:rFonts w:asciiTheme="majorBidi" w:hAnsiTheme="majorBidi" w:cstheme="majorBidi"/>
        </w:rPr>
      </w:pPr>
      <w:r w:rsidRPr="00C0750B">
        <w:rPr>
          <w:rFonts w:asciiTheme="majorBidi" w:hAnsiTheme="majorBidi" w:cstheme="majorBidi"/>
        </w:rPr>
        <w:t xml:space="preserve">Moreover, although these efforts and measures to combat hate speech have accelerated, they remain fragmented. There is no unified and comprehensive law exclusively dedicated to combating racial discrimination practices; instead, these actions and practices are addressed through a set of </w:t>
      </w:r>
      <w:r w:rsidRPr="00C0750B">
        <w:rPr>
          <w:rFonts w:asciiTheme="majorBidi" w:hAnsiTheme="majorBidi" w:cstheme="majorBidi"/>
        </w:rPr>
        <w:lastRenderedPageBreak/>
        <w:t xml:space="preserve">overlapping legal instruments. Despite provisions that prohibit discrimination </w:t>
      </w:r>
      <w:r w:rsidRPr="003211A8">
        <w:rPr>
          <w:rFonts w:asciiTheme="majorBidi" w:hAnsiTheme="majorBidi" w:cstheme="majorBidi"/>
        </w:rPr>
        <w:t>based on</w:t>
      </w:r>
      <w:r w:rsidRPr="00C0750B">
        <w:rPr>
          <w:rFonts w:asciiTheme="majorBidi" w:hAnsiTheme="majorBidi" w:cstheme="majorBidi"/>
        </w:rPr>
        <w:t xml:space="preserve"> race or origin, available data indicate challenges regarding the adequacy of these provisions and procedures, as well as the effectiveness of their enforcement. In particular, the data point to a gap between the legal framework and its practical application</w:t>
      </w:r>
      <w:r w:rsidRPr="003211A8">
        <w:rPr>
          <w:rFonts w:asciiTheme="majorBidi" w:hAnsiTheme="majorBidi" w:cstheme="majorBidi"/>
        </w:rPr>
        <w:t xml:space="preserve">, </w:t>
      </w:r>
      <w:r w:rsidRPr="00C0750B">
        <w:rPr>
          <w:rFonts w:asciiTheme="majorBidi" w:hAnsiTheme="majorBidi" w:cstheme="majorBidi"/>
        </w:rPr>
        <w:t>especially in the absence of explicit, specific criminalization of all forms and manifestations of racial discrimination in a manner fully aligned with the requirements of the Convention.</w:t>
      </w:r>
      <w:r w:rsidRPr="003211A8">
        <w:rPr>
          <w:rStyle w:val="FootnoteReference"/>
          <w:rFonts w:asciiTheme="majorBidi" w:hAnsiTheme="majorBidi" w:cstheme="majorBidi"/>
        </w:rPr>
        <w:footnoteReference w:id="5"/>
      </w:r>
    </w:p>
    <w:p w14:paraId="74054E24" w14:textId="77777777" w:rsidR="00712636" w:rsidRPr="00712636" w:rsidRDefault="00712636" w:rsidP="00712636">
      <w:pPr>
        <w:jc w:val="both"/>
        <w:rPr>
          <w:rFonts w:asciiTheme="majorBidi" w:hAnsiTheme="majorBidi" w:cstheme="majorBidi"/>
          <w:b/>
          <w:bCs/>
          <w:color w:val="C45911" w:themeColor="accent2" w:themeShade="BF"/>
          <w:sz w:val="28"/>
          <w:szCs w:val="28"/>
        </w:rPr>
      </w:pPr>
      <w:r w:rsidRPr="00712636">
        <w:rPr>
          <w:rFonts w:asciiTheme="majorBidi" w:hAnsiTheme="majorBidi" w:cstheme="majorBidi"/>
          <w:b/>
          <w:bCs/>
          <w:color w:val="C45911" w:themeColor="accent2" w:themeShade="BF"/>
          <w:sz w:val="28"/>
          <w:szCs w:val="28"/>
        </w:rPr>
        <w:t>Third: Migrant Workers</w:t>
      </w:r>
    </w:p>
    <w:p w14:paraId="0A93A627" w14:textId="77777777" w:rsidR="00712636" w:rsidRPr="00C0750B" w:rsidRDefault="00712636" w:rsidP="00712636">
      <w:pPr>
        <w:jc w:val="both"/>
        <w:rPr>
          <w:rFonts w:asciiTheme="majorBidi" w:hAnsiTheme="majorBidi" w:cstheme="majorBidi"/>
        </w:rPr>
      </w:pPr>
      <w:r w:rsidRPr="00C0750B">
        <w:rPr>
          <w:rFonts w:asciiTheme="majorBidi" w:hAnsiTheme="majorBidi" w:cstheme="majorBidi"/>
        </w:rPr>
        <w:t>Reports estimate that 13 million migrant workers are employed in the Kingdom of Saudi Arabia, the majority of whom come from Southeast Asia and East Africa. They come to Saudi Arabia to obtain jobs in sectors such as construction, agriculture, and domestic services.</w:t>
      </w:r>
      <w:r w:rsidRPr="003211A8">
        <w:rPr>
          <w:rStyle w:val="FootnoteReference"/>
          <w:rFonts w:asciiTheme="majorBidi" w:hAnsiTheme="majorBidi" w:cstheme="majorBidi"/>
        </w:rPr>
        <w:footnoteReference w:id="6"/>
      </w:r>
      <w:r w:rsidRPr="00C0750B">
        <w:rPr>
          <w:rFonts w:asciiTheme="majorBidi" w:hAnsiTheme="majorBidi" w:cstheme="majorBidi"/>
        </w:rPr>
        <w:t xml:space="preserve"> These workers are exposed to forced labor under the sponsorship (kafala) system</w:t>
      </w:r>
      <w:r w:rsidRPr="003211A8">
        <w:rPr>
          <w:rFonts w:asciiTheme="majorBidi" w:hAnsiTheme="majorBidi" w:cstheme="majorBidi"/>
        </w:rPr>
        <w:t xml:space="preserve">, </w:t>
      </w:r>
      <w:r w:rsidRPr="00C0750B">
        <w:rPr>
          <w:rFonts w:asciiTheme="majorBidi" w:hAnsiTheme="majorBidi" w:cstheme="majorBidi"/>
        </w:rPr>
        <w:t>a set of laws, regulations, and policies that places responsibility for migrant workers on employers, including restrictions related to residence, work, and leaving the country.</w:t>
      </w:r>
      <w:r w:rsidRPr="003211A8">
        <w:rPr>
          <w:rFonts w:asciiTheme="majorBidi" w:hAnsiTheme="majorBidi" w:cstheme="majorBidi"/>
        </w:rPr>
        <w:t xml:space="preserve"> </w:t>
      </w:r>
      <w:r w:rsidRPr="00C0750B">
        <w:rPr>
          <w:rFonts w:asciiTheme="majorBidi" w:hAnsiTheme="majorBidi" w:cstheme="majorBidi"/>
        </w:rPr>
        <w:t>Saudi Arabia has introduced reforms affecting this group, including the right to change employers without prior approval, to leave the country without an exit visa, and to obtain legal protection that was not previously available to them under the sponsorship system.</w:t>
      </w:r>
      <w:r w:rsidRPr="003211A8">
        <w:rPr>
          <w:rStyle w:val="FootnoteReference"/>
          <w:rFonts w:asciiTheme="majorBidi" w:hAnsiTheme="majorBidi" w:cstheme="majorBidi"/>
        </w:rPr>
        <w:footnoteReference w:id="7"/>
      </w:r>
    </w:p>
    <w:p w14:paraId="5D59EF5F" w14:textId="77777777" w:rsidR="00712636" w:rsidRPr="00C0750B" w:rsidRDefault="00712636" w:rsidP="00712636">
      <w:pPr>
        <w:jc w:val="both"/>
        <w:rPr>
          <w:rFonts w:asciiTheme="majorBidi" w:hAnsiTheme="majorBidi" w:cstheme="majorBidi"/>
        </w:rPr>
      </w:pPr>
      <w:r w:rsidRPr="00C0750B">
        <w:rPr>
          <w:rFonts w:asciiTheme="majorBidi" w:hAnsiTheme="majorBidi" w:cstheme="majorBidi"/>
        </w:rPr>
        <w:t xml:space="preserve">Nevertheless, </w:t>
      </w:r>
      <w:r w:rsidRPr="003211A8">
        <w:rPr>
          <w:rFonts w:asciiTheme="majorBidi" w:hAnsiTheme="majorBidi" w:cstheme="majorBidi"/>
        </w:rPr>
        <w:t>Maat</w:t>
      </w:r>
      <w:r w:rsidRPr="00C0750B">
        <w:rPr>
          <w:rFonts w:asciiTheme="majorBidi" w:hAnsiTheme="majorBidi" w:cstheme="majorBidi"/>
        </w:rPr>
        <w:t xml:space="preserve"> has reviewed reports indicating that migrant workers have been subjected to exploitative practices, including at Carrefour branches. These practices were described as exploitative and equivalent to deception intended to subject workers to forced labor. The reported abuses included requiring employees to work consistently for around 60 hours per week, and at other times working 16 hours per day. In addition, domestic workers were subjected to physical assaults. In February 2023, Kenyan domestic workers in Riyadh reported experiences of physical and psychological abuse. One of them stated that she was regularly beaten by her employer and was deprived of medical care. She also reported verbal abuse and being constantly reminded that she was “worthless,” which led to severe psychological suffering.</w:t>
      </w:r>
    </w:p>
    <w:p w14:paraId="5E40FB1B" w14:textId="5D7BA778" w:rsidR="00712636" w:rsidRPr="00C0750B" w:rsidRDefault="00712636" w:rsidP="00712636">
      <w:pPr>
        <w:jc w:val="both"/>
        <w:rPr>
          <w:rFonts w:asciiTheme="majorBidi" w:hAnsiTheme="majorBidi" w:cstheme="majorBidi"/>
        </w:rPr>
      </w:pPr>
      <w:r w:rsidRPr="00C0750B">
        <w:rPr>
          <w:rFonts w:asciiTheme="majorBidi" w:hAnsiTheme="majorBidi" w:cstheme="majorBidi"/>
        </w:rPr>
        <w:t xml:space="preserve">In a parallel development, Saudi Arabia has required HIV testing as part of the requirements for obtaining visas or work and residence permits. </w:t>
      </w:r>
      <w:r w:rsidR="005B65A3">
        <w:rPr>
          <w:rFonts w:asciiTheme="majorBidi" w:hAnsiTheme="majorBidi" w:cstheme="majorBidi"/>
        </w:rPr>
        <w:t xml:space="preserve">Maat </w:t>
      </w:r>
      <w:r w:rsidRPr="00C0750B">
        <w:rPr>
          <w:rFonts w:asciiTheme="majorBidi" w:hAnsiTheme="majorBidi" w:cstheme="majorBidi"/>
        </w:rPr>
        <w:t>considers that these policies, in principle, fall within measures related to public health, and are not discriminatory if applied objectively and non-</w:t>
      </w:r>
      <w:r w:rsidRPr="00C0750B">
        <w:rPr>
          <w:rFonts w:asciiTheme="majorBidi" w:hAnsiTheme="majorBidi" w:cstheme="majorBidi"/>
        </w:rPr>
        <w:lastRenderedPageBreak/>
        <w:t>selectively, and not used as a pretext to deny individuals’ applications for reasons unrelated to legitimate health considerations.</w:t>
      </w:r>
      <w:r w:rsidRPr="003211A8">
        <w:rPr>
          <w:rStyle w:val="FootnoteReference"/>
          <w:rFonts w:asciiTheme="majorBidi" w:hAnsiTheme="majorBidi" w:cstheme="majorBidi"/>
        </w:rPr>
        <w:footnoteReference w:id="8"/>
      </w:r>
      <w:r w:rsidRPr="003211A8">
        <w:rPr>
          <w:rFonts w:asciiTheme="majorBidi" w:hAnsiTheme="majorBidi" w:cstheme="majorBidi"/>
        </w:rPr>
        <w:t xml:space="preserve"> </w:t>
      </w:r>
      <w:r w:rsidRPr="00C0750B">
        <w:rPr>
          <w:rFonts w:asciiTheme="majorBidi" w:hAnsiTheme="majorBidi" w:cstheme="majorBidi"/>
        </w:rPr>
        <w:t>Within the Saudi context, obtaining residence and employment remains highly linked to medical test results, including HIV testing. A positive result may lead to direct consequences, including cancellation of work or residence authorizations, or deportation within a short period of time. This practice reflects a clear reliance on health criteria as a condition for regulating the entry and residence of incoming labor.</w:t>
      </w:r>
      <w:r w:rsidRPr="003211A8">
        <w:rPr>
          <w:rStyle w:val="FootnoteReference"/>
          <w:rFonts w:asciiTheme="majorBidi" w:hAnsiTheme="majorBidi" w:cstheme="majorBidi"/>
        </w:rPr>
        <w:footnoteReference w:id="9"/>
      </w:r>
      <w:r w:rsidRPr="00C0750B">
        <w:rPr>
          <w:rFonts w:asciiTheme="majorBidi" w:hAnsiTheme="majorBidi" w:cstheme="majorBidi"/>
        </w:rPr>
        <w:t xml:space="preserve"> Some have argued that such measures fall within the State’s right to take necessary steps to protect public health</w:t>
      </w:r>
      <w:r w:rsidRPr="003211A8">
        <w:rPr>
          <w:rFonts w:asciiTheme="majorBidi" w:hAnsiTheme="majorBidi" w:cstheme="majorBidi"/>
        </w:rPr>
        <w:t xml:space="preserve">, </w:t>
      </w:r>
      <w:r w:rsidRPr="00C0750B">
        <w:rPr>
          <w:rFonts w:asciiTheme="majorBidi" w:hAnsiTheme="majorBidi" w:cstheme="majorBidi"/>
        </w:rPr>
        <w:t>particularly in light of the broad health and societal impacts that may result from the spread of infectious diseases. In this context, pre-employment medical screening, especially in sectors such as domestic work, is viewed as a preventive measure intended to protect all parties to the employment relationship, ensure a healthy and safe working environment, and reduce health risks or potential legal problems in the future.</w:t>
      </w:r>
      <w:r w:rsidRPr="003211A8">
        <w:rPr>
          <w:rStyle w:val="FootnoteReference"/>
          <w:rFonts w:asciiTheme="majorBidi" w:hAnsiTheme="majorBidi" w:cstheme="majorBidi"/>
        </w:rPr>
        <w:footnoteReference w:id="10"/>
      </w:r>
    </w:p>
    <w:p w14:paraId="7DEE34B7" w14:textId="77777777" w:rsidR="00712636" w:rsidRPr="005B65A3" w:rsidRDefault="00712636" w:rsidP="00712636">
      <w:pPr>
        <w:jc w:val="both"/>
        <w:rPr>
          <w:rFonts w:asciiTheme="majorBidi" w:hAnsiTheme="majorBidi" w:cstheme="majorBidi"/>
          <w:b/>
          <w:bCs/>
          <w:color w:val="C45911" w:themeColor="accent2" w:themeShade="BF"/>
          <w:sz w:val="28"/>
          <w:szCs w:val="28"/>
        </w:rPr>
      </w:pPr>
      <w:r w:rsidRPr="005B65A3">
        <w:rPr>
          <w:rFonts w:asciiTheme="majorBidi" w:hAnsiTheme="majorBidi" w:cstheme="majorBidi"/>
          <w:b/>
          <w:bCs/>
          <w:color w:val="C45911" w:themeColor="accent2" w:themeShade="BF"/>
          <w:sz w:val="28"/>
          <w:szCs w:val="28"/>
        </w:rPr>
        <w:t>Recommendations</w:t>
      </w:r>
    </w:p>
    <w:p w14:paraId="36693EA0" w14:textId="77777777" w:rsidR="00712636" w:rsidRPr="00C0750B" w:rsidRDefault="00712636" w:rsidP="00712636">
      <w:pPr>
        <w:jc w:val="both"/>
        <w:rPr>
          <w:rFonts w:asciiTheme="majorBidi" w:hAnsiTheme="majorBidi" w:cstheme="majorBidi"/>
          <w:b/>
          <w:bCs/>
        </w:rPr>
      </w:pPr>
      <w:r w:rsidRPr="003211A8">
        <w:rPr>
          <w:rFonts w:asciiTheme="majorBidi" w:hAnsiTheme="majorBidi" w:cstheme="majorBidi"/>
          <w:b/>
          <w:bCs/>
        </w:rPr>
        <w:t>Maat</w:t>
      </w:r>
      <w:r w:rsidRPr="00C0750B">
        <w:rPr>
          <w:rFonts w:asciiTheme="majorBidi" w:hAnsiTheme="majorBidi" w:cstheme="majorBidi"/>
          <w:b/>
          <w:bCs/>
        </w:rPr>
        <w:t xml:space="preserve"> for Peace, Development, and Human Rights recommends that the Committee urge the Kingdom of Saudi Arabia to:</w:t>
      </w:r>
    </w:p>
    <w:p w14:paraId="7E945A8F"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t>Develop specialized and regular training programs for law enforcement personnel to address complaints of racial discrimination and hate speech.</w:t>
      </w:r>
    </w:p>
    <w:p w14:paraId="1C63295F"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t>Continuously update official statistics and data related to complaints of racial discrimination, and fix existing electronic malfunctions affecting the current complaint mechanisms for submitting such complaints.</w:t>
      </w:r>
    </w:p>
    <w:p w14:paraId="2336DA16"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t>Establish a definition of hate speech that aligns with the UN strategy and plan of action addressing this issue.</w:t>
      </w:r>
    </w:p>
    <w:p w14:paraId="0A5936CB"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t>Consider adopting a national strategy to combat hate speech.</w:t>
      </w:r>
    </w:p>
    <w:p w14:paraId="1B97B116" w14:textId="77777777" w:rsidR="00712636" w:rsidRPr="00C0750B" w:rsidRDefault="00712636" w:rsidP="00712636">
      <w:pPr>
        <w:numPr>
          <w:ilvl w:val="0"/>
          <w:numId w:val="53"/>
        </w:numPr>
        <w:tabs>
          <w:tab w:val="clear" w:pos="360"/>
        </w:tabs>
        <w:jc w:val="both"/>
        <w:rPr>
          <w:rFonts w:asciiTheme="majorBidi" w:hAnsiTheme="majorBidi" w:cstheme="majorBidi"/>
        </w:rPr>
      </w:pPr>
      <w:r w:rsidRPr="00C0750B">
        <w:rPr>
          <w:rFonts w:asciiTheme="majorBidi" w:hAnsiTheme="majorBidi" w:cstheme="majorBidi"/>
        </w:rPr>
        <w:t>Encourage Saudi Arabia to strengthen the content of training programs by including practical and applied components to combat racial discrimination, integrating real case studies involving groups most vulnerable to discrimination</w:t>
      </w:r>
      <w:r w:rsidRPr="003211A8">
        <w:rPr>
          <w:rFonts w:asciiTheme="majorBidi" w:hAnsiTheme="majorBidi" w:cstheme="majorBidi"/>
        </w:rPr>
        <w:t xml:space="preserve">, </w:t>
      </w:r>
      <w:r w:rsidRPr="00C0750B">
        <w:rPr>
          <w:rFonts w:asciiTheme="majorBidi" w:hAnsiTheme="majorBidi" w:cstheme="majorBidi"/>
        </w:rPr>
        <w:t>especially migrant workers and religious minorities.</w:t>
      </w:r>
    </w:p>
    <w:p w14:paraId="25715A55"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lastRenderedPageBreak/>
        <w:t>Intensify and organize public awareness campaigns targeting the rights guaranteed under the International Convention, ensuring access for groups most exposed to discrimination, including racial and religious minorities, migrants, asylum seekers, and stateless persons.</w:t>
      </w:r>
    </w:p>
    <w:p w14:paraId="08A33158"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t>Take clear legislative steps toward adopting a unified and comprehensive law to combat racial discrimination, including an accurate and comprehensive definition of all forms of discrimination, in full accordance with the Convention’s provisions.</w:t>
      </w:r>
    </w:p>
    <w:p w14:paraId="77A8B4DD"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t>Strengthen labor inspection and monitoring mechanisms</w:t>
      </w:r>
      <w:r w:rsidRPr="003211A8">
        <w:rPr>
          <w:rFonts w:asciiTheme="majorBidi" w:hAnsiTheme="majorBidi" w:cstheme="majorBidi"/>
        </w:rPr>
        <w:t xml:space="preserve">, </w:t>
      </w:r>
      <w:r w:rsidRPr="00C0750B">
        <w:rPr>
          <w:rFonts w:asciiTheme="majorBidi" w:hAnsiTheme="majorBidi" w:cstheme="majorBidi"/>
        </w:rPr>
        <w:t>particularly in sectors with large numbers of migrant workers</w:t>
      </w:r>
      <w:r w:rsidRPr="003211A8">
        <w:rPr>
          <w:rFonts w:asciiTheme="majorBidi" w:hAnsiTheme="majorBidi" w:cstheme="majorBidi"/>
        </w:rPr>
        <w:t xml:space="preserve">, </w:t>
      </w:r>
      <w:r w:rsidRPr="00C0750B">
        <w:rPr>
          <w:rFonts w:asciiTheme="majorBidi" w:hAnsiTheme="majorBidi" w:cstheme="majorBidi"/>
        </w:rPr>
        <w:t>to ensure compliance with national legislation and international standards for decent work.</w:t>
      </w:r>
    </w:p>
    <w:p w14:paraId="1E2F6F75" w14:textId="77777777" w:rsidR="00712636" w:rsidRPr="00C0750B" w:rsidRDefault="00712636" w:rsidP="00712636">
      <w:pPr>
        <w:numPr>
          <w:ilvl w:val="0"/>
          <w:numId w:val="53"/>
        </w:numPr>
        <w:tabs>
          <w:tab w:val="clear" w:pos="360"/>
          <w:tab w:val="num" w:pos="720"/>
        </w:tabs>
        <w:jc w:val="both"/>
        <w:rPr>
          <w:rFonts w:asciiTheme="majorBidi" w:hAnsiTheme="majorBidi" w:cstheme="majorBidi"/>
        </w:rPr>
      </w:pPr>
      <w:r w:rsidRPr="00C0750B">
        <w:rPr>
          <w:rFonts w:asciiTheme="majorBidi" w:hAnsiTheme="majorBidi" w:cstheme="majorBidi"/>
        </w:rPr>
        <w:t>Continue applying health policies related to medical screening for incoming workers in a framework of transparency and non-discrimination, ensuring these procedures are not misused or used in a way that violates the fundamental rights of migrant workers.</w:t>
      </w:r>
    </w:p>
    <w:p w14:paraId="1CD3A802" w14:textId="77777777" w:rsidR="00712636" w:rsidRPr="003211A8" w:rsidRDefault="00712636" w:rsidP="00712636">
      <w:pPr>
        <w:jc w:val="both"/>
        <w:rPr>
          <w:rFonts w:asciiTheme="majorBidi" w:hAnsiTheme="majorBidi" w:cstheme="majorBidi"/>
        </w:rPr>
      </w:pPr>
    </w:p>
    <w:p w14:paraId="2202757A" w14:textId="35E3C13B" w:rsidR="00A736DD" w:rsidRPr="002E028A" w:rsidRDefault="00A736DD" w:rsidP="002E028A">
      <w:pPr>
        <w:rPr>
          <w:rtl/>
        </w:rPr>
      </w:pPr>
    </w:p>
    <w:sectPr w:rsidR="00A736DD" w:rsidRPr="002E028A" w:rsidSect="00786D2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D6F2B" w14:textId="77777777" w:rsidR="00A714A9" w:rsidRDefault="00A714A9" w:rsidP="004F6D5A">
      <w:pPr>
        <w:spacing w:after="0" w:line="240" w:lineRule="auto"/>
      </w:pPr>
      <w:r>
        <w:separator/>
      </w:r>
    </w:p>
  </w:endnote>
  <w:endnote w:type="continuationSeparator" w:id="0">
    <w:p w14:paraId="2467E87F" w14:textId="77777777" w:rsidR="00A714A9" w:rsidRDefault="00A714A9" w:rsidP="004F6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444"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16"/>
      <w:gridCol w:w="567"/>
      <w:gridCol w:w="1276"/>
      <w:gridCol w:w="536"/>
      <w:gridCol w:w="1812"/>
      <w:gridCol w:w="412"/>
      <w:gridCol w:w="4272"/>
    </w:tblGrid>
    <w:tr w:rsidR="00646A53" w14:paraId="228E00F9" w14:textId="77777777">
      <w:trPr>
        <w:jc w:val="center"/>
      </w:trPr>
      <w:tc>
        <w:tcPr>
          <w:tcW w:w="646" w:type="pct"/>
          <w:vMerge w:val="restart"/>
          <w:vAlign w:val="center"/>
        </w:tcPr>
        <w:p w14:paraId="289FA700" w14:textId="77777777" w:rsidR="00646A53" w:rsidRDefault="00646A53" w:rsidP="00646A53">
          <w:pPr>
            <w:spacing w:after="60"/>
            <w:jc w:val="center"/>
            <w:rPr>
              <w:noProof/>
              <w:rtl/>
            </w:rPr>
          </w:pPr>
          <w:r>
            <w:rPr>
              <w:rFonts w:hint="cs"/>
              <w:noProof/>
              <w:lang w:eastAsia="en-GB"/>
            </w:rPr>
            <w:drawing>
              <wp:inline distT="0" distB="0" distL="0" distR="0" wp14:anchorId="6E1055C6" wp14:editId="03B771DD">
                <wp:extent cx="721378" cy="560173"/>
                <wp:effectExtent l="0" t="0" r="2540" b="0"/>
                <wp:docPr id="2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صورة 1"/>
                        <pic:cNvPicPr>
                          <a:picLocks noChangeAspect="1" noChangeArrowheads="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729535" cy="566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54" w:type="pct"/>
          <w:gridSpan w:val="6"/>
        </w:tcPr>
        <w:p w14:paraId="0FD67016" w14:textId="77777777" w:rsidR="00646A53" w:rsidRDefault="00646A53" w:rsidP="00646A53">
          <w:pPr>
            <w:spacing w:after="60"/>
            <w:rPr>
              <w:rFonts w:ascii="Times New Roman" w:hAnsi="Times New Roman" w:cs="Times New Roman"/>
              <w:b/>
              <w:bCs/>
              <w:color w:val="000066"/>
              <w:sz w:val="20"/>
              <w:szCs w:val="20"/>
            </w:rPr>
          </w:pPr>
        </w:p>
        <w:p w14:paraId="3096C19A" w14:textId="77777777" w:rsidR="00646A53" w:rsidRPr="00EB74DC" w:rsidRDefault="00646A53" w:rsidP="00646A53">
          <w:pPr>
            <w:spacing w:after="60"/>
            <w:jc w:val="center"/>
            <w:rPr>
              <w:rFonts w:ascii="Times New Roman" w:hAnsi="Times New Roman" w:cs="Times New Roman"/>
              <w:b/>
              <w:bCs/>
              <w:color w:val="3333FF"/>
              <w:sz w:val="20"/>
              <w:szCs w:val="20"/>
            </w:rPr>
          </w:pPr>
          <w:r w:rsidRPr="00EB74DC">
            <w:rPr>
              <w:rFonts w:ascii="Times New Roman" w:hAnsi="Times New Roman" w:cs="Times New Roman"/>
              <w:b/>
              <w:bCs/>
              <w:color w:val="3333FF"/>
              <w:sz w:val="20"/>
              <w:szCs w:val="20"/>
            </w:rPr>
            <w:t>Organization in special consultative status with the Economic and Social Council since 2016</w:t>
          </w:r>
        </w:p>
      </w:tc>
    </w:tr>
    <w:tr w:rsidR="00646A53" w14:paraId="2DF3C675" w14:textId="77777777">
      <w:trPr>
        <w:jc w:val="center"/>
      </w:trPr>
      <w:tc>
        <w:tcPr>
          <w:tcW w:w="646" w:type="pct"/>
          <w:vMerge/>
        </w:tcPr>
        <w:p w14:paraId="3CC803A2" w14:textId="77777777" w:rsidR="00646A53" w:rsidRDefault="00646A53" w:rsidP="00646A53">
          <w:pPr>
            <w:jc w:val="center"/>
            <w:rPr>
              <w:b/>
              <w:bCs/>
              <w:noProof/>
              <w:lang w:bidi="ar-EG"/>
            </w:rPr>
          </w:pPr>
        </w:p>
      </w:tc>
      <w:tc>
        <w:tcPr>
          <w:tcW w:w="278" w:type="pct"/>
          <w:vMerge w:val="restart"/>
          <w:vAlign w:val="center"/>
        </w:tcPr>
        <w:p w14:paraId="60403A03" w14:textId="77777777" w:rsidR="00646A53" w:rsidRPr="000F15D5" w:rsidRDefault="00646A53" w:rsidP="00646A53">
          <w:pPr>
            <w:jc w:val="center"/>
            <w:rPr>
              <w:b/>
              <w:bCs/>
              <w:lang w:bidi="ar-EG"/>
            </w:rPr>
          </w:pPr>
          <w:r>
            <w:rPr>
              <w:b/>
              <w:bCs/>
              <w:noProof/>
              <w:lang w:eastAsia="en-GB"/>
            </w:rPr>
            <w:drawing>
              <wp:inline distT="0" distB="0" distL="0" distR="0" wp14:anchorId="2F97D22D" wp14:editId="6E66C63C">
                <wp:extent cx="113208" cy="180000"/>
                <wp:effectExtent l="0" t="0" r="1270" b="0"/>
                <wp:docPr id="18" name="صورة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7"/>
                        <pic:cNvPicPr/>
                      </pic:nvPicPr>
                      <pic:blipFill>
                        <a:blip r:embed="rId2" cstate="print">
                          <a:extLst>
                            <a:ext uri="{28A0092B-C50C-407E-A947-70E740481C1C}">
                              <a14:useLocalDpi xmlns:a14="http://schemas.microsoft.com/office/drawing/2010/main" val="0"/>
                            </a:ext>
                          </a:extLst>
                        </a:blip>
                        <a:stretch>
                          <a:fillRect/>
                        </a:stretch>
                      </pic:blipFill>
                      <pic:spPr>
                        <a:xfrm>
                          <a:off x="0" y="0"/>
                          <a:ext cx="113208" cy="180000"/>
                        </a:xfrm>
                        <a:prstGeom prst="rect">
                          <a:avLst/>
                        </a:prstGeom>
                      </pic:spPr>
                    </pic:pic>
                  </a:graphicData>
                </a:graphic>
              </wp:inline>
            </w:drawing>
          </w:r>
        </w:p>
      </w:tc>
      <w:tc>
        <w:tcPr>
          <w:tcW w:w="4076" w:type="pct"/>
          <w:gridSpan w:val="5"/>
          <w:vAlign w:val="center"/>
        </w:tcPr>
        <w:p w14:paraId="1AFE6EF7" w14:textId="77777777" w:rsidR="00646A53" w:rsidRPr="000F15D5" w:rsidRDefault="00646A53" w:rsidP="00646A53">
          <w:pPr>
            <w:ind w:left="-57"/>
            <w:rPr>
              <w:rFonts w:asciiTheme="majorBidi" w:hAnsiTheme="majorBidi" w:cstheme="majorBidi"/>
              <w:color w:val="000000"/>
              <w:sz w:val="18"/>
              <w:szCs w:val="18"/>
              <w:shd w:val="clear" w:color="auto" w:fill="FFFFFF"/>
            </w:rPr>
          </w:pPr>
          <w:r w:rsidRPr="0086433E">
            <w:rPr>
              <w:rFonts w:asciiTheme="majorBidi" w:eastAsia="Times New Roman" w:hAnsiTheme="majorBidi" w:cstheme="majorBidi"/>
              <w:b/>
              <w:bCs/>
              <w:color w:val="000000"/>
              <w:sz w:val="18"/>
              <w:szCs w:val="18"/>
            </w:rPr>
            <w:t>Headquarters</w:t>
          </w:r>
          <w:r>
            <w:rPr>
              <w:rFonts w:asciiTheme="majorBidi" w:eastAsia="Times New Roman" w:hAnsiTheme="majorBidi" w:cstheme="majorBidi"/>
              <w:color w:val="000000"/>
              <w:sz w:val="18"/>
              <w:szCs w:val="18"/>
            </w:rPr>
            <w:t>:</w:t>
          </w:r>
          <w:r w:rsidRPr="000F15D5">
            <w:rPr>
              <w:rFonts w:asciiTheme="majorBidi" w:eastAsia="Times New Roman" w:hAnsiTheme="majorBidi" w:cstheme="majorBidi"/>
              <w:color w:val="000000"/>
              <w:sz w:val="18"/>
              <w:szCs w:val="18"/>
            </w:rPr>
            <w:t xml:space="preserve">148 </w:t>
          </w:r>
          <w:proofErr w:type="spellStart"/>
          <w:r w:rsidRPr="000F15D5">
            <w:rPr>
              <w:rFonts w:asciiTheme="majorBidi" w:eastAsia="Times New Roman" w:hAnsiTheme="majorBidi" w:cstheme="majorBidi"/>
              <w:color w:val="000000"/>
              <w:sz w:val="18"/>
              <w:szCs w:val="18"/>
            </w:rPr>
            <w:t>Misr</w:t>
          </w:r>
          <w:proofErr w:type="spellEnd"/>
          <w:r w:rsidRPr="000F15D5">
            <w:rPr>
              <w:rFonts w:asciiTheme="majorBidi" w:eastAsia="Times New Roman" w:hAnsiTheme="majorBidi" w:cstheme="majorBidi"/>
              <w:color w:val="000000"/>
              <w:sz w:val="18"/>
              <w:szCs w:val="18"/>
            </w:rPr>
            <w:t xml:space="preserve"> Helwan El-</w:t>
          </w:r>
          <w:proofErr w:type="spellStart"/>
          <w:r w:rsidRPr="000F15D5">
            <w:rPr>
              <w:rFonts w:asciiTheme="majorBidi" w:eastAsia="Times New Roman" w:hAnsiTheme="majorBidi" w:cstheme="majorBidi"/>
              <w:color w:val="000000"/>
              <w:sz w:val="18"/>
              <w:szCs w:val="18"/>
            </w:rPr>
            <w:t>Zyrae</w:t>
          </w:r>
          <w:proofErr w:type="spellEnd"/>
          <w:r w:rsidRPr="000F15D5">
            <w:rPr>
              <w:rFonts w:asciiTheme="majorBidi" w:eastAsia="Times New Roman" w:hAnsiTheme="majorBidi" w:cstheme="majorBidi"/>
              <w:color w:val="000000"/>
              <w:sz w:val="18"/>
              <w:szCs w:val="18"/>
            </w:rPr>
            <w:t xml:space="preserve"> Road, El </w:t>
          </w:r>
          <w:proofErr w:type="spellStart"/>
          <w:r w:rsidRPr="000F15D5">
            <w:rPr>
              <w:rFonts w:asciiTheme="majorBidi" w:eastAsia="Times New Roman" w:hAnsiTheme="majorBidi" w:cstheme="majorBidi"/>
              <w:color w:val="000000"/>
              <w:sz w:val="18"/>
              <w:szCs w:val="18"/>
            </w:rPr>
            <w:t>Matbaa</w:t>
          </w:r>
          <w:proofErr w:type="spellEnd"/>
          <w:r w:rsidRPr="000F15D5">
            <w:rPr>
              <w:rFonts w:asciiTheme="majorBidi" w:eastAsia="Times New Roman" w:hAnsiTheme="majorBidi" w:cstheme="majorBidi"/>
              <w:color w:val="000000"/>
              <w:sz w:val="18"/>
              <w:szCs w:val="18"/>
              <w:rtl/>
            </w:rPr>
            <w:t xml:space="preserve"> </w:t>
          </w:r>
          <w:proofErr w:type="spellStart"/>
          <w:r w:rsidRPr="000F15D5">
            <w:rPr>
              <w:rFonts w:asciiTheme="majorBidi" w:eastAsia="Times New Roman" w:hAnsiTheme="majorBidi" w:cstheme="majorBidi"/>
              <w:color w:val="000000"/>
              <w:sz w:val="18"/>
              <w:szCs w:val="18"/>
            </w:rPr>
            <w:t>Sq</w:t>
          </w:r>
          <w:proofErr w:type="spellEnd"/>
          <w:r w:rsidRPr="000F15D5">
            <w:rPr>
              <w:rFonts w:asciiTheme="majorBidi" w:eastAsia="Times New Roman" w:hAnsiTheme="majorBidi" w:cstheme="majorBidi"/>
              <w:color w:val="000000"/>
              <w:sz w:val="18"/>
              <w:szCs w:val="18"/>
            </w:rPr>
            <w:t xml:space="preserve">, </w:t>
          </w:r>
          <w:proofErr w:type="spellStart"/>
          <w:r w:rsidRPr="000F15D5">
            <w:rPr>
              <w:rFonts w:asciiTheme="majorBidi" w:eastAsia="Times New Roman" w:hAnsiTheme="majorBidi" w:cstheme="majorBidi"/>
              <w:color w:val="000000"/>
              <w:sz w:val="18"/>
              <w:szCs w:val="18"/>
            </w:rPr>
            <w:t>Hadayek</w:t>
          </w:r>
          <w:proofErr w:type="spellEnd"/>
          <w:r w:rsidRPr="000F15D5">
            <w:rPr>
              <w:rFonts w:asciiTheme="majorBidi" w:eastAsia="Times New Roman" w:hAnsiTheme="majorBidi" w:cstheme="majorBidi"/>
              <w:color w:val="000000"/>
              <w:sz w:val="18"/>
              <w:szCs w:val="18"/>
            </w:rPr>
            <w:t xml:space="preserve"> El Maadi, 4</w:t>
          </w:r>
          <w:r w:rsidRPr="000F15D5">
            <w:rPr>
              <w:rFonts w:asciiTheme="majorBidi" w:eastAsia="Times New Roman" w:hAnsiTheme="majorBidi" w:cstheme="majorBidi"/>
              <w:color w:val="000000"/>
              <w:sz w:val="18"/>
              <w:szCs w:val="18"/>
              <w:vertAlign w:val="superscript"/>
            </w:rPr>
            <w:t>th</w:t>
          </w:r>
          <w:r w:rsidRPr="000F15D5">
            <w:rPr>
              <w:rFonts w:asciiTheme="majorBidi" w:eastAsia="Times New Roman" w:hAnsiTheme="majorBidi" w:cstheme="majorBidi"/>
              <w:color w:val="000000"/>
              <w:sz w:val="18"/>
              <w:szCs w:val="18"/>
            </w:rPr>
            <w:t xml:space="preserve"> Floor, No 41, Cairo, Egypt</w:t>
          </w:r>
          <w:r w:rsidRPr="000F15D5">
            <w:rPr>
              <w:rFonts w:asciiTheme="majorBidi" w:eastAsia="Times New Roman" w:hAnsiTheme="majorBidi" w:cstheme="majorBidi"/>
              <w:color w:val="FF0000"/>
              <w:sz w:val="18"/>
              <w:szCs w:val="18"/>
            </w:rPr>
            <w:t xml:space="preserve"> </w:t>
          </w:r>
        </w:p>
      </w:tc>
    </w:tr>
    <w:tr w:rsidR="00646A53" w14:paraId="21D64D10" w14:textId="77777777">
      <w:trPr>
        <w:jc w:val="center"/>
      </w:trPr>
      <w:tc>
        <w:tcPr>
          <w:tcW w:w="646" w:type="pct"/>
          <w:vMerge/>
        </w:tcPr>
        <w:p w14:paraId="7C115057" w14:textId="77777777" w:rsidR="00646A53" w:rsidRDefault="00646A53" w:rsidP="00646A53">
          <w:pPr>
            <w:jc w:val="center"/>
            <w:rPr>
              <w:lang w:bidi="ar-EG"/>
            </w:rPr>
          </w:pPr>
        </w:p>
      </w:tc>
      <w:tc>
        <w:tcPr>
          <w:tcW w:w="278" w:type="pct"/>
          <w:vMerge/>
          <w:vAlign w:val="center"/>
        </w:tcPr>
        <w:p w14:paraId="3F4411A4" w14:textId="77777777" w:rsidR="00646A53" w:rsidRDefault="00646A53" w:rsidP="00646A53">
          <w:pPr>
            <w:jc w:val="center"/>
            <w:rPr>
              <w:lang w:bidi="ar-EG"/>
            </w:rPr>
          </w:pPr>
        </w:p>
      </w:tc>
      <w:tc>
        <w:tcPr>
          <w:tcW w:w="4076" w:type="pct"/>
          <w:gridSpan w:val="5"/>
          <w:vAlign w:val="center"/>
        </w:tcPr>
        <w:p w14:paraId="31659A1E" w14:textId="77777777" w:rsidR="00646A53" w:rsidRPr="000F15D5" w:rsidRDefault="00646A53" w:rsidP="00646A53">
          <w:pPr>
            <w:rPr>
              <w:rFonts w:asciiTheme="majorBidi" w:hAnsiTheme="majorBidi" w:cstheme="majorBidi"/>
              <w:color w:val="000000"/>
              <w:sz w:val="18"/>
              <w:szCs w:val="18"/>
              <w:shd w:val="clear" w:color="auto" w:fill="FFFFFF"/>
            </w:rPr>
          </w:pPr>
          <w:r w:rsidRPr="005C2948">
            <w:rPr>
              <w:rFonts w:asciiTheme="majorBidi" w:hAnsiTheme="majorBidi" w:cstheme="majorBidi"/>
              <w:b/>
              <w:bCs/>
              <w:color w:val="000000" w:themeColor="text1"/>
              <w:sz w:val="18"/>
              <w:szCs w:val="18"/>
              <w:shd w:val="clear" w:color="auto" w:fill="FFFFFF"/>
            </w:rPr>
            <w:t>Maat Training Center</w:t>
          </w:r>
          <w:r>
            <w:rPr>
              <w:rFonts w:asciiTheme="majorBidi" w:hAnsiTheme="majorBidi" w:cstheme="majorBidi"/>
              <w:color w:val="000000"/>
              <w:sz w:val="18"/>
              <w:szCs w:val="18"/>
              <w:shd w:val="clear" w:color="auto" w:fill="FFFFFF"/>
            </w:rPr>
            <w:t xml:space="preserve">: </w:t>
          </w:r>
          <w:r w:rsidRPr="000F15D5">
            <w:rPr>
              <w:rFonts w:asciiTheme="majorBidi" w:hAnsiTheme="majorBidi" w:cstheme="majorBidi"/>
              <w:color w:val="000000"/>
              <w:sz w:val="18"/>
              <w:szCs w:val="18"/>
              <w:shd w:val="clear" w:color="auto" w:fill="FFFFFF"/>
            </w:rPr>
            <w:t xml:space="preserve">380 Corniche El Nil St., </w:t>
          </w:r>
          <w:proofErr w:type="spellStart"/>
          <w:r w:rsidRPr="000F15D5">
            <w:rPr>
              <w:rFonts w:asciiTheme="majorBidi" w:hAnsiTheme="majorBidi" w:cstheme="majorBidi"/>
              <w:color w:val="000000"/>
              <w:sz w:val="18"/>
              <w:szCs w:val="18"/>
              <w:shd w:val="clear" w:color="auto" w:fill="FFFFFF"/>
            </w:rPr>
            <w:t>Gawharet</w:t>
          </w:r>
          <w:proofErr w:type="spellEnd"/>
          <w:r w:rsidRPr="000F15D5">
            <w:rPr>
              <w:rFonts w:asciiTheme="majorBidi" w:hAnsiTheme="majorBidi" w:cstheme="majorBidi"/>
              <w:color w:val="000000"/>
              <w:sz w:val="18"/>
              <w:szCs w:val="18"/>
              <w:shd w:val="clear" w:color="auto" w:fill="FFFFFF"/>
            </w:rPr>
            <w:t xml:space="preserve"> El Maadi Tower,38th Floor, Tower B, Cairo, Egypt</w:t>
          </w:r>
        </w:p>
      </w:tc>
    </w:tr>
    <w:tr w:rsidR="00646A53" w14:paraId="7F46E2BA" w14:textId="77777777">
      <w:trPr>
        <w:jc w:val="center"/>
      </w:trPr>
      <w:tc>
        <w:tcPr>
          <w:tcW w:w="646" w:type="pct"/>
          <w:vMerge/>
        </w:tcPr>
        <w:p w14:paraId="35572253" w14:textId="77777777" w:rsidR="00646A53" w:rsidRDefault="00646A53" w:rsidP="00646A53">
          <w:pPr>
            <w:jc w:val="center"/>
            <w:rPr>
              <w:noProof/>
              <w:lang w:bidi="ar-EG"/>
            </w:rPr>
          </w:pPr>
        </w:p>
      </w:tc>
      <w:tc>
        <w:tcPr>
          <w:tcW w:w="278" w:type="pct"/>
          <w:vAlign w:val="center"/>
        </w:tcPr>
        <w:p w14:paraId="6ACC96E0" w14:textId="77777777" w:rsidR="00646A53" w:rsidRDefault="00646A53" w:rsidP="00646A53">
          <w:pPr>
            <w:jc w:val="center"/>
            <w:rPr>
              <w:lang w:bidi="ar-EG"/>
            </w:rPr>
          </w:pPr>
          <w:r>
            <w:rPr>
              <w:noProof/>
              <w:lang w:eastAsia="en-GB"/>
            </w:rPr>
            <w:drawing>
              <wp:inline distT="0" distB="0" distL="0" distR="0" wp14:anchorId="77CFED58" wp14:editId="7ED14B6A">
                <wp:extent cx="178378" cy="180000"/>
                <wp:effectExtent l="0" t="0" r="0" b="0"/>
                <wp:docPr id="1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8"/>
                        <pic:cNvPicPr/>
                      </pic:nvPicPr>
                      <pic:blipFill>
                        <a:blip r:embed="rId3"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626" w:type="pct"/>
          <w:vAlign w:val="center"/>
        </w:tcPr>
        <w:p w14:paraId="45C50F94" w14:textId="77777777" w:rsidR="00646A53" w:rsidRPr="000F15D5" w:rsidRDefault="00646A53" w:rsidP="00646A53">
          <w:pPr>
            <w:rPr>
              <w:sz w:val="18"/>
              <w:szCs w:val="18"/>
              <w:lang w:bidi="ar-EG"/>
            </w:rPr>
          </w:pPr>
          <w:r w:rsidRPr="000F15D5">
            <w:rPr>
              <w:rFonts w:ascii="Tahoma" w:hAnsi="Tahoma" w:cs="Tahoma"/>
              <w:color w:val="000000"/>
              <w:sz w:val="18"/>
              <w:szCs w:val="18"/>
              <w:shd w:val="clear" w:color="auto" w:fill="FFFFFF"/>
            </w:rPr>
            <w:t>490 El Maadi</w:t>
          </w:r>
          <w:r w:rsidRPr="000F15D5">
            <w:rPr>
              <w:sz w:val="18"/>
              <w:szCs w:val="18"/>
              <w:lang w:bidi="ar-EG"/>
            </w:rPr>
            <w:t xml:space="preserve"> </w:t>
          </w:r>
        </w:p>
      </w:tc>
      <w:tc>
        <w:tcPr>
          <w:tcW w:w="1152" w:type="pct"/>
          <w:gridSpan w:val="2"/>
          <w:vAlign w:val="center"/>
        </w:tcPr>
        <w:p w14:paraId="33F37283" w14:textId="77777777" w:rsidR="00646A53" w:rsidRPr="000F15D5" w:rsidRDefault="00646A53" w:rsidP="00646A53">
          <w:pPr>
            <w:rPr>
              <w:sz w:val="18"/>
              <w:szCs w:val="18"/>
              <w:lang w:bidi="ar-EG"/>
            </w:rPr>
          </w:pPr>
          <w:r w:rsidRPr="00A20672">
            <w:rPr>
              <w:b/>
              <w:bCs/>
              <w:noProof/>
              <w:sz w:val="18"/>
              <w:szCs w:val="18"/>
              <w:lang w:bidi="ar-EG"/>
            </w:rPr>
            <w:t>WWW</w:t>
          </w:r>
          <w:r>
            <w:rPr>
              <w:b/>
              <w:bCs/>
              <w:noProof/>
              <w:sz w:val="18"/>
              <w:szCs w:val="18"/>
              <w:lang w:bidi="ar-EG"/>
            </w:rPr>
            <w:t>.</w:t>
          </w:r>
          <w:r w:rsidRPr="0086433E">
            <w:rPr>
              <w:rFonts w:ascii="Times New Roman" w:eastAsia="Times New Roman" w:hAnsi="Times New Roman" w:cs="Times New Roman"/>
              <w:color w:val="000000"/>
              <w:sz w:val="20"/>
              <w:szCs w:val="20"/>
            </w:rPr>
            <w:t>maatpeace.org </w:t>
          </w:r>
        </w:p>
      </w:tc>
      <w:tc>
        <w:tcPr>
          <w:tcW w:w="202" w:type="pct"/>
          <w:vAlign w:val="center"/>
        </w:tcPr>
        <w:p w14:paraId="1D7CEBF3" w14:textId="77777777" w:rsidR="00646A53" w:rsidRPr="00A20672" w:rsidRDefault="00646A53" w:rsidP="00646A53">
          <w:pPr>
            <w:rPr>
              <w:b/>
              <w:bCs/>
              <w:sz w:val="18"/>
              <w:szCs w:val="18"/>
              <w:lang w:bidi="ar-EG"/>
            </w:rPr>
          </w:pPr>
          <w:r>
            <w:rPr>
              <w:b/>
              <w:bCs/>
              <w:noProof/>
              <w:sz w:val="18"/>
              <w:szCs w:val="18"/>
              <w:lang w:eastAsia="en-GB"/>
            </w:rPr>
            <w:drawing>
              <wp:inline distT="0" distB="0" distL="0" distR="0" wp14:anchorId="3E472ADA" wp14:editId="4B43C516">
                <wp:extent cx="185455" cy="180000"/>
                <wp:effectExtent l="0" t="0" r="5080" b="0"/>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صورة 15"/>
                        <pic:cNvPicPr/>
                      </pic:nvPicPr>
                      <pic:blipFill>
                        <a:blip r:embed="rId4" cstate="print">
                          <a:extLst>
                            <a:ext uri="{28A0092B-C50C-407E-A947-70E740481C1C}">
                              <a14:useLocalDpi xmlns:a14="http://schemas.microsoft.com/office/drawing/2010/main" val="0"/>
                            </a:ext>
                          </a:extLst>
                        </a:blip>
                        <a:stretch>
                          <a:fillRect/>
                        </a:stretch>
                      </pic:blipFill>
                      <pic:spPr>
                        <a:xfrm>
                          <a:off x="0" y="0"/>
                          <a:ext cx="185455" cy="180000"/>
                        </a:xfrm>
                        <a:prstGeom prst="rect">
                          <a:avLst/>
                        </a:prstGeom>
                      </pic:spPr>
                    </pic:pic>
                  </a:graphicData>
                </a:graphic>
              </wp:inline>
            </w:drawing>
          </w:r>
        </w:p>
      </w:tc>
      <w:tc>
        <w:tcPr>
          <w:tcW w:w="2096" w:type="pct"/>
          <w:vAlign w:val="center"/>
        </w:tcPr>
        <w:p w14:paraId="5C749361" w14:textId="77777777" w:rsidR="00646A53" w:rsidRPr="000F15D5" w:rsidRDefault="00646A53" w:rsidP="00646A53">
          <w:pPr>
            <w:rPr>
              <w:sz w:val="18"/>
              <w:szCs w:val="18"/>
              <w:lang w:bidi="ar-EG"/>
            </w:rPr>
          </w:pPr>
          <w:r w:rsidRPr="0086433E">
            <w:rPr>
              <w:rStyle w:val="apple-style-span"/>
              <w:color w:val="000000"/>
              <w:sz w:val="20"/>
              <w:szCs w:val="20"/>
            </w:rPr>
            <w:t>maat@maatpeace.org</w:t>
          </w:r>
        </w:p>
      </w:tc>
    </w:tr>
    <w:tr w:rsidR="00646A53" w14:paraId="20A66BA8" w14:textId="77777777">
      <w:trPr>
        <w:jc w:val="center"/>
      </w:trPr>
      <w:tc>
        <w:tcPr>
          <w:tcW w:w="646" w:type="pct"/>
          <w:vMerge/>
        </w:tcPr>
        <w:p w14:paraId="5D74E863" w14:textId="77777777" w:rsidR="00646A53" w:rsidRDefault="00646A53" w:rsidP="00646A53">
          <w:pPr>
            <w:jc w:val="center"/>
            <w:rPr>
              <w:noProof/>
              <w:lang w:bidi="ar-EG"/>
            </w:rPr>
          </w:pPr>
        </w:p>
      </w:tc>
      <w:tc>
        <w:tcPr>
          <w:tcW w:w="278" w:type="pct"/>
          <w:vAlign w:val="center"/>
        </w:tcPr>
        <w:p w14:paraId="690410AE" w14:textId="77777777" w:rsidR="00646A53" w:rsidRDefault="00646A53" w:rsidP="00646A53">
          <w:pPr>
            <w:jc w:val="center"/>
            <w:rPr>
              <w:noProof/>
              <w:lang w:bidi="ar-EG"/>
            </w:rPr>
          </w:pPr>
          <w:r>
            <w:rPr>
              <w:noProof/>
              <w:lang w:eastAsia="en-GB"/>
            </w:rPr>
            <w:drawing>
              <wp:inline distT="0" distB="0" distL="0" distR="0" wp14:anchorId="01ECB94F" wp14:editId="718DB6C8">
                <wp:extent cx="178378" cy="180000"/>
                <wp:effectExtent l="0" t="0" r="0" b="0"/>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صورة 9"/>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8378" cy="180000"/>
                        </a:xfrm>
                        <a:prstGeom prst="rect">
                          <a:avLst/>
                        </a:prstGeom>
                      </pic:spPr>
                    </pic:pic>
                  </a:graphicData>
                </a:graphic>
              </wp:inline>
            </w:drawing>
          </w:r>
        </w:p>
      </w:tc>
      <w:tc>
        <w:tcPr>
          <w:tcW w:w="889" w:type="pct"/>
          <w:gridSpan w:val="2"/>
          <w:vAlign w:val="center"/>
        </w:tcPr>
        <w:p w14:paraId="5C00C092" w14:textId="77777777" w:rsidR="00646A53" w:rsidRPr="00DE0507" w:rsidRDefault="00646A53" w:rsidP="00646A53">
          <w:pPr>
            <w:rPr>
              <w:rFonts w:ascii="Tahoma" w:hAnsi="Tahoma" w:cs="Tahoma"/>
              <w:color w:val="000000"/>
              <w:sz w:val="18"/>
              <w:szCs w:val="18"/>
              <w:shd w:val="clear" w:color="auto" w:fill="FFFFFF"/>
            </w:rPr>
          </w:pPr>
          <w:r w:rsidRPr="00DE0507">
            <w:rPr>
              <w:rStyle w:val="apple-style-span"/>
              <w:color w:val="000000"/>
              <w:sz w:val="18"/>
              <w:szCs w:val="18"/>
            </w:rPr>
            <w:t xml:space="preserve">00(20) (2) </w:t>
          </w:r>
          <w:r w:rsidRPr="00DE0507">
            <w:rPr>
              <w:rStyle w:val="apple-style-span"/>
              <w:b/>
              <w:bCs/>
              <w:color w:val="000000"/>
              <w:sz w:val="18"/>
              <w:szCs w:val="18"/>
            </w:rPr>
            <w:t>25266026</w:t>
          </w:r>
        </w:p>
      </w:tc>
      <w:tc>
        <w:tcPr>
          <w:tcW w:w="889" w:type="pct"/>
          <w:vAlign w:val="center"/>
        </w:tcPr>
        <w:p w14:paraId="23E88751" w14:textId="77777777" w:rsidR="00646A53" w:rsidRPr="00DE0507" w:rsidRDefault="00646A53" w:rsidP="00646A53">
          <w:pPr>
            <w:rPr>
              <w:noProof/>
              <w:sz w:val="18"/>
              <w:szCs w:val="18"/>
              <w:lang w:bidi="ar-EG"/>
            </w:rPr>
          </w:pPr>
          <w:r w:rsidRPr="00DE0507">
            <w:rPr>
              <w:rStyle w:val="apple-style-span"/>
              <w:color w:val="000000"/>
              <w:sz w:val="18"/>
              <w:szCs w:val="18"/>
            </w:rPr>
            <w:t xml:space="preserve">00(20) (2) </w:t>
          </w:r>
          <w:r w:rsidRPr="00DE0507">
            <w:rPr>
              <w:rStyle w:val="apple-style-span"/>
              <w:b/>
              <w:bCs/>
              <w:color w:val="000000"/>
              <w:sz w:val="18"/>
              <w:szCs w:val="18"/>
            </w:rPr>
            <w:t>25266019</w:t>
          </w:r>
        </w:p>
      </w:tc>
      <w:tc>
        <w:tcPr>
          <w:tcW w:w="202" w:type="pct"/>
          <w:vAlign w:val="center"/>
        </w:tcPr>
        <w:p w14:paraId="2A9C05F2" w14:textId="77777777" w:rsidR="00646A53" w:rsidRDefault="00646A53" w:rsidP="00646A53">
          <w:pPr>
            <w:rPr>
              <w:b/>
              <w:bCs/>
              <w:noProof/>
              <w:sz w:val="18"/>
              <w:szCs w:val="18"/>
              <w:lang w:bidi="ar-EG"/>
            </w:rPr>
          </w:pPr>
          <w:r w:rsidRPr="005C2948">
            <w:rPr>
              <w:rFonts w:asciiTheme="majorBidi" w:hAnsiTheme="majorBidi" w:cstheme="majorBidi"/>
              <w:b/>
              <w:bCs/>
              <w:noProof/>
              <w:color w:val="000000"/>
              <w:sz w:val="18"/>
              <w:szCs w:val="18"/>
              <w:shd w:val="clear" w:color="auto" w:fill="FFFFFF"/>
              <w:lang w:eastAsia="en-GB"/>
            </w:rPr>
            <w:drawing>
              <wp:inline distT="0" distB="0" distL="0" distR="0" wp14:anchorId="64AA0181" wp14:editId="6908A387">
                <wp:extent cx="100547" cy="180000"/>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صورة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0547" cy="180000"/>
                        </a:xfrm>
                        <a:prstGeom prst="rect">
                          <a:avLst/>
                        </a:prstGeom>
                      </pic:spPr>
                    </pic:pic>
                  </a:graphicData>
                </a:graphic>
              </wp:inline>
            </w:drawing>
          </w:r>
        </w:p>
      </w:tc>
      <w:tc>
        <w:tcPr>
          <w:tcW w:w="2096" w:type="pct"/>
          <w:vAlign w:val="center"/>
        </w:tcPr>
        <w:p w14:paraId="3E9CCE62" w14:textId="77777777" w:rsidR="00646A53" w:rsidRPr="0086433E" w:rsidRDefault="00646A53" w:rsidP="00646A53">
          <w:pPr>
            <w:rPr>
              <w:rStyle w:val="apple-style-span"/>
              <w:color w:val="000000"/>
              <w:sz w:val="20"/>
              <w:szCs w:val="20"/>
            </w:rPr>
          </w:pPr>
          <w:r w:rsidRPr="0086433E">
            <w:rPr>
              <w:rStyle w:val="apple-style-span"/>
              <w:b/>
              <w:bCs/>
              <w:color w:val="000000" w:themeColor="text1"/>
              <w:sz w:val="18"/>
              <w:szCs w:val="18"/>
            </w:rPr>
            <w:t>+201226521170</w:t>
          </w:r>
        </w:p>
      </w:tc>
    </w:tr>
  </w:tbl>
  <w:p w14:paraId="48FDA0F5" w14:textId="3EA43699" w:rsidR="00646A53" w:rsidRPr="00646A53" w:rsidRDefault="00646A53" w:rsidP="00646A53">
    <w:pPr>
      <w:pStyle w:val="Footer"/>
      <w:rPr>
        <w:sz w:val="2"/>
        <w:szCs w:val="2"/>
      </w:rPr>
    </w:pPr>
    <w:r>
      <w:rPr>
        <w:noProof/>
        <w:lang w:eastAsia="en-GB"/>
      </w:rPr>
      <w:drawing>
        <wp:anchor distT="0" distB="0" distL="114300" distR="114300" simplePos="0" relativeHeight="251659264" behindDoc="0" locked="0" layoutInCell="1" allowOverlap="1" wp14:anchorId="0B7660F1" wp14:editId="5771AA6F">
          <wp:simplePos x="0" y="0"/>
          <wp:positionH relativeFrom="page">
            <wp:posOffset>60896</wp:posOffset>
          </wp:positionH>
          <wp:positionV relativeFrom="paragraph">
            <wp:posOffset>-1053465</wp:posOffset>
          </wp:positionV>
          <wp:extent cx="7726693" cy="185531"/>
          <wp:effectExtent l="0" t="0" r="0" b="5080"/>
          <wp:wrapNone/>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aer blank wz water mark final.jpg"/>
                  <pic:cNvPicPr/>
                </pic:nvPicPr>
                <pic:blipFill rotWithShape="1">
                  <a:blip r:embed="rId7" cstate="print">
                    <a:extLst>
                      <a:ext uri="{28A0092B-C50C-407E-A947-70E740481C1C}">
                        <a14:useLocalDpi xmlns:a14="http://schemas.microsoft.com/office/drawing/2010/main" val="0"/>
                      </a:ext>
                    </a:extLst>
                  </a:blip>
                  <a:srcRect l="3247" t="96152" r="-3247" b="2006"/>
                  <a:stretch/>
                </pic:blipFill>
                <pic:spPr bwMode="auto">
                  <a:xfrm>
                    <a:off x="0" y="0"/>
                    <a:ext cx="7726693" cy="18553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50678" w14:textId="77777777" w:rsidR="00A714A9" w:rsidRDefault="00A714A9" w:rsidP="004F6D5A">
      <w:pPr>
        <w:spacing w:after="0" w:line="240" w:lineRule="auto"/>
      </w:pPr>
      <w:r>
        <w:separator/>
      </w:r>
    </w:p>
  </w:footnote>
  <w:footnote w:type="continuationSeparator" w:id="0">
    <w:p w14:paraId="5370EE7D" w14:textId="77777777" w:rsidR="00A714A9" w:rsidRDefault="00A714A9" w:rsidP="004F6D5A">
      <w:pPr>
        <w:spacing w:after="0" w:line="240" w:lineRule="auto"/>
      </w:pPr>
      <w:r>
        <w:continuationSeparator/>
      </w:r>
    </w:p>
  </w:footnote>
  <w:footnote w:id="1">
    <w:p w14:paraId="7EE119A8"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Available at the following link</w:t>
      </w:r>
      <w:r w:rsidRPr="00F53FBC">
        <w:rPr>
          <w:rFonts w:asciiTheme="majorBidi" w:hAnsiTheme="majorBidi" w:cstheme="majorBidi"/>
          <w:sz w:val="16"/>
          <w:szCs w:val="16"/>
          <w:rtl/>
        </w:rPr>
        <w:t xml:space="preserve">: </w:t>
      </w:r>
      <w:hyperlink r:id="rId1" w:history="1">
        <w:r w:rsidRPr="00F53FBC">
          <w:rPr>
            <w:rStyle w:val="Hyperlink"/>
            <w:rFonts w:asciiTheme="majorBidi" w:hAnsiTheme="majorBidi" w:cstheme="majorBidi"/>
            <w:sz w:val="16"/>
            <w:szCs w:val="16"/>
          </w:rPr>
          <w:t>https://www.hrsd.gov.sa/</w:t>
        </w:r>
      </w:hyperlink>
    </w:p>
  </w:footnote>
  <w:footnote w:id="2">
    <w:p w14:paraId="1CA2466F"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With the Saudi Human Rights Commission and the Judicial Training Center at the Ministry of Justice, the National Human Rights Committee signs an agreement and discusses enhancing judicial training, National Human Rights Committee, </w:t>
      </w:r>
      <w:hyperlink r:id="rId2" w:history="1">
        <w:r w:rsidRPr="00F53FBC">
          <w:rPr>
            <w:rStyle w:val="Hyperlink"/>
            <w:rFonts w:asciiTheme="majorBidi" w:hAnsiTheme="majorBidi" w:cstheme="majorBidi"/>
            <w:sz w:val="16"/>
            <w:szCs w:val="16"/>
          </w:rPr>
          <w:t>https://urli.info/1ovkc</w:t>
        </w:r>
      </w:hyperlink>
      <w:r w:rsidRPr="00F53FBC">
        <w:rPr>
          <w:rFonts w:asciiTheme="majorBidi" w:hAnsiTheme="majorBidi" w:cstheme="majorBidi"/>
          <w:sz w:val="16"/>
          <w:szCs w:val="16"/>
        </w:rPr>
        <w:t xml:space="preserve"> </w:t>
      </w:r>
    </w:p>
  </w:footnote>
  <w:footnote w:id="3">
    <w:p w14:paraId="1874C24E"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Saudi Arabia 365 reveals: Addressing racial discrimination tops the sports agenda...decisive measures are coming, Saudi Arabia 365, </w:t>
      </w:r>
      <w:hyperlink r:id="rId3" w:history="1">
        <w:r w:rsidRPr="00F53FBC">
          <w:rPr>
            <w:rStyle w:val="Hyperlink"/>
            <w:rFonts w:asciiTheme="majorBidi" w:hAnsiTheme="majorBidi" w:cstheme="majorBidi"/>
            <w:sz w:val="16"/>
            <w:szCs w:val="16"/>
          </w:rPr>
          <w:t>https://urli.info/1tNGe</w:t>
        </w:r>
      </w:hyperlink>
      <w:r w:rsidRPr="00F53FBC">
        <w:rPr>
          <w:rFonts w:asciiTheme="majorBidi" w:hAnsiTheme="majorBidi" w:cstheme="majorBidi"/>
          <w:sz w:val="16"/>
          <w:szCs w:val="16"/>
        </w:rPr>
        <w:t xml:space="preserve"> </w:t>
      </w:r>
    </w:p>
  </w:footnote>
  <w:footnote w:id="4">
    <w:p w14:paraId="37835C05"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The Punishment of Racism in Saudi Arabia, Lawyer Sanad Al-</w:t>
      </w:r>
      <w:proofErr w:type="spellStart"/>
      <w:r w:rsidRPr="00F53FBC">
        <w:rPr>
          <w:rFonts w:asciiTheme="majorBidi" w:hAnsiTheme="majorBidi" w:cstheme="majorBidi"/>
          <w:sz w:val="16"/>
          <w:szCs w:val="16"/>
        </w:rPr>
        <w:t>Jaeed</w:t>
      </w:r>
      <w:proofErr w:type="spellEnd"/>
      <w:r w:rsidRPr="00F53FBC">
        <w:rPr>
          <w:rFonts w:asciiTheme="majorBidi" w:hAnsiTheme="majorBidi" w:cstheme="majorBidi"/>
          <w:sz w:val="16"/>
          <w:szCs w:val="16"/>
        </w:rPr>
        <w:t xml:space="preserve"> Company, </w:t>
      </w:r>
      <w:hyperlink r:id="rId4" w:history="1">
        <w:r w:rsidRPr="00F53FBC">
          <w:rPr>
            <w:rStyle w:val="Hyperlink"/>
            <w:rFonts w:asciiTheme="majorBidi" w:hAnsiTheme="majorBidi" w:cstheme="majorBidi"/>
            <w:sz w:val="16"/>
            <w:szCs w:val="16"/>
          </w:rPr>
          <w:t>https://urli.info/1tNQC</w:t>
        </w:r>
      </w:hyperlink>
      <w:r w:rsidRPr="00F53FBC">
        <w:rPr>
          <w:rFonts w:asciiTheme="majorBidi" w:hAnsiTheme="majorBidi" w:cstheme="majorBidi"/>
          <w:sz w:val="16"/>
          <w:szCs w:val="16"/>
        </w:rPr>
        <w:t xml:space="preserve"> </w:t>
      </w:r>
    </w:p>
  </w:footnote>
  <w:footnote w:id="5">
    <w:p w14:paraId="456DF28C"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The Punishment of Racism in Saudi Arabia (New Legal System 2026), Saudi Criminal Lawyer, </w:t>
      </w:r>
      <w:hyperlink r:id="rId5" w:history="1">
        <w:r w:rsidRPr="00F53FBC">
          <w:rPr>
            <w:rStyle w:val="Hyperlink"/>
            <w:rFonts w:asciiTheme="majorBidi" w:hAnsiTheme="majorBidi" w:cstheme="majorBidi"/>
            <w:sz w:val="16"/>
            <w:szCs w:val="16"/>
          </w:rPr>
          <w:t>https://urli.info/1ossN</w:t>
        </w:r>
      </w:hyperlink>
      <w:r w:rsidRPr="00F53FBC">
        <w:rPr>
          <w:rFonts w:asciiTheme="majorBidi" w:hAnsiTheme="majorBidi" w:cstheme="majorBidi"/>
          <w:sz w:val="16"/>
          <w:szCs w:val="16"/>
        </w:rPr>
        <w:t xml:space="preserve"> </w:t>
      </w:r>
    </w:p>
  </w:footnote>
  <w:footnote w:id="6">
    <w:p w14:paraId="25FED0AF"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Saudi Arabia Abolishes Kafala System: A Landmark Reform for Migrant Workers, </w:t>
      </w:r>
      <w:hyperlink r:id="rId6" w:history="1">
        <w:r w:rsidRPr="00F53FBC">
          <w:rPr>
            <w:rStyle w:val="Hyperlink"/>
            <w:rFonts w:asciiTheme="majorBidi" w:hAnsiTheme="majorBidi" w:cstheme="majorBidi"/>
            <w:sz w:val="16"/>
            <w:szCs w:val="16"/>
          </w:rPr>
          <w:t>https://shorturl.at/oHQxE</w:t>
        </w:r>
      </w:hyperlink>
    </w:p>
  </w:footnote>
  <w:footnote w:id="7">
    <w:p w14:paraId="3B988BA9"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Ibid </w:t>
      </w:r>
    </w:p>
  </w:footnote>
  <w:footnote w:id="8">
    <w:p w14:paraId="6632B42D" w14:textId="645CFDBC"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w:t>
      </w:r>
      <w:r w:rsidRPr="00F53FBC">
        <w:rPr>
          <w:rFonts w:asciiTheme="majorBidi" w:hAnsiTheme="majorBidi" w:cstheme="majorBidi"/>
          <w:sz w:val="16"/>
          <w:szCs w:val="16"/>
          <w:lang w:bidi="ar-EG"/>
        </w:rPr>
        <w:t xml:space="preserve">Global study reveals 50 countries still enforce HIV-related travel restrictions, </w:t>
      </w:r>
      <w:r w:rsidR="005B65A3" w:rsidRPr="00F53FBC">
        <w:rPr>
          <w:rFonts w:asciiTheme="majorBidi" w:hAnsiTheme="majorBidi" w:cstheme="majorBidi"/>
          <w:sz w:val="16"/>
          <w:szCs w:val="16"/>
          <w:lang w:bidi="ar-EG"/>
        </w:rPr>
        <w:t>The European AIDS Treatment Group</w:t>
      </w:r>
      <w:r w:rsidRPr="00F53FBC">
        <w:rPr>
          <w:rFonts w:asciiTheme="majorBidi" w:hAnsiTheme="majorBidi" w:cstheme="majorBidi"/>
          <w:sz w:val="16"/>
          <w:szCs w:val="16"/>
          <w:lang w:bidi="ar-EG"/>
        </w:rPr>
        <w:t xml:space="preserve">, </w:t>
      </w:r>
      <w:hyperlink r:id="rId7" w:history="1">
        <w:r w:rsidRPr="00F53FBC">
          <w:rPr>
            <w:rStyle w:val="Hyperlink"/>
            <w:rFonts w:asciiTheme="majorBidi" w:hAnsiTheme="majorBidi" w:cstheme="majorBidi"/>
            <w:sz w:val="16"/>
            <w:szCs w:val="16"/>
            <w:lang w:bidi="ar-EG"/>
          </w:rPr>
          <w:t>https://urli.info/1ou-m</w:t>
        </w:r>
      </w:hyperlink>
    </w:p>
  </w:footnote>
  <w:footnote w:id="9">
    <w:p w14:paraId="4236FDC3"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Deportation was worse than HIV: </w:t>
      </w:r>
      <w:hyperlink r:id="rId8" w:history="1">
        <w:r w:rsidRPr="00F53FBC">
          <w:rPr>
            <w:rStyle w:val="Hyperlink"/>
            <w:rFonts w:asciiTheme="majorBidi" w:hAnsiTheme="majorBidi" w:cstheme="majorBidi"/>
            <w:sz w:val="16"/>
            <w:szCs w:val="16"/>
          </w:rPr>
          <w:t>https://urli.info/1ov47</w:t>
        </w:r>
      </w:hyperlink>
      <w:r w:rsidRPr="00F53FBC">
        <w:rPr>
          <w:rFonts w:asciiTheme="majorBidi" w:hAnsiTheme="majorBidi" w:cstheme="majorBidi"/>
          <w:sz w:val="16"/>
          <w:szCs w:val="16"/>
        </w:rPr>
        <w:t xml:space="preserve"> </w:t>
      </w:r>
    </w:p>
  </w:footnote>
  <w:footnote w:id="10">
    <w:p w14:paraId="52B1EC65" w14:textId="77777777" w:rsidR="00712636" w:rsidRPr="00F53FBC" w:rsidRDefault="00712636" w:rsidP="00712636">
      <w:pPr>
        <w:pStyle w:val="FootnoteText"/>
        <w:rPr>
          <w:rFonts w:asciiTheme="majorBidi" w:hAnsiTheme="majorBidi" w:cstheme="majorBidi"/>
          <w:sz w:val="16"/>
          <w:szCs w:val="16"/>
        </w:rPr>
      </w:pPr>
      <w:r w:rsidRPr="00F53FBC">
        <w:rPr>
          <w:rStyle w:val="FootnoteReference"/>
          <w:rFonts w:asciiTheme="majorBidi" w:hAnsiTheme="majorBidi" w:cstheme="majorBidi"/>
          <w:sz w:val="16"/>
          <w:szCs w:val="16"/>
        </w:rPr>
        <w:footnoteRef/>
      </w:r>
      <w:r w:rsidRPr="00F53FBC">
        <w:rPr>
          <w:rFonts w:asciiTheme="majorBidi" w:hAnsiTheme="majorBidi" w:cstheme="majorBidi"/>
          <w:sz w:val="16"/>
          <w:szCs w:val="16"/>
        </w:rPr>
        <w:t xml:space="preserve"> The importance of medical examination for domestic workers before recruitment, </w:t>
      </w:r>
      <w:proofErr w:type="spellStart"/>
      <w:r w:rsidRPr="00F53FBC">
        <w:rPr>
          <w:rFonts w:asciiTheme="majorBidi" w:hAnsiTheme="majorBidi" w:cstheme="majorBidi"/>
          <w:sz w:val="16"/>
          <w:szCs w:val="16"/>
        </w:rPr>
        <w:t>Durrat</w:t>
      </w:r>
      <w:proofErr w:type="spellEnd"/>
      <w:r w:rsidRPr="00F53FBC">
        <w:rPr>
          <w:rFonts w:asciiTheme="majorBidi" w:hAnsiTheme="majorBidi" w:cstheme="majorBidi"/>
          <w:sz w:val="16"/>
          <w:szCs w:val="16"/>
        </w:rPr>
        <w:t xml:space="preserve"> Al-Riyadh, </w:t>
      </w:r>
      <w:hyperlink r:id="rId9" w:history="1">
        <w:r w:rsidRPr="00F53FBC">
          <w:rPr>
            <w:rStyle w:val="Hyperlink"/>
            <w:rFonts w:asciiTheme="majorBidi" w:hAnsiTheme="majorBidi" w:cstheme="majorBidi"/>
            <w:sz w:val="16"/>
            <w:szCs w:val="16"/>
          </w:rPr>
          <w:t>https://urli.info/1tNm3</w:t>
        </w:r>
      </w:hyperlink>
      <w:r w:rsidRPr="00F53FBC">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CF735" w14:textId="18E60A97" w:rsidR="0058685C" w:rsidRPr="0058685C" w:rsidRDefault="0058685C" w:rsidP="0058685C">
    <w:pPr>
      <w:pStyle w:val="Header"/>
    </w:pPr>
    <w:r>
      <w:rPr>
        <w:noProof/>
        <w:lang w:eastAsia="en-GB"/>
      </w:rPr>
      <w:drawing>
        <wp:inline distT="0" distB="0" distL="0" distR="0" wp14:anchorId="4C31023F" wp14:editId="0F2FF7FE">
          <wp:extent cx="1471930" cy="1143000"/>
          <wp:effectExtent l="0" t="0" r="0" b="0"/>
          <wp:docPr id="5" name="صورة 1"/>
          <wp:cNvGraphicFramePr/>
          <a:graphic xmlns:a="http://schemas.openxmlformats.org/drawingml/2006/main">
            <a:graphicData uri="http://schemas.openxmlformats.org/drawingml/2006/picture">
              <pic:pic xmlns:pic="http://schemas.openxmlformats.org/drawingml/2006/picture">
                <pic:nvPicPr>
                  <pic:cNvPr id="5" name="صورة 1"/>
                  <pic:cNvPicPr/>
                </pic:nvPicPr>
                <pic:blipFill rotWithShape="1">
                  <a:blip r:embed="rId1">
                    <a:extLst>
                      <a:ext uri="{28A0092B-C50C-407E-A947-70E740481C1C}">
                        <a14:useLocalDpi xmlns:a14="http://schemas.microsoft.com/office/drawing/2010/main" val="0"/>
                      </a:ext>
                    </a:extLst>
                  </a:blip>
                  <a:srcRect t="10353" b="11993"/>
                  <a:stretch/>
                </pic:blipFill>
                <pic:spPr bwMode="auto">
                  <a:xfrm>
                    <a:off x="0" y="0"/>
                    <a:ext cx="1471930" cy="11430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E25F2"/>
    <w:multiLevelType w:val="hybridMultilevel"/>
    <w:tmpl w:val="D8A4C192"/>
    <w:lvl w:ilvl="0" w:tplc="F0FED06C">
      <w:numFmt w:val="bullet"/>
      <w:lvlText w:val="•"/>
      <w:lvlJc w:val="left"/>
      <w:pPr>
        <w:ind w:left="720" w:hanging="360"/>
      </w:pPr>
      <w:rPr>
        <w:rFonts w:ascii="Times New Roman" w:eastAsiaTheme="minorHAnsi" w:hAnsi="Times New Roman" w:cs="Times New Roman" w:hint="default"/>
        <w:b w:val="0"/>
        <w:color w:val="auto"/>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24699"/>
    <w:multiLevelType w:val="hybridMultilevel"/>
    <w:tmpl w:val="5AC6C20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FC1C07"/>
    <w:multiLevelType w:val="hybridMultilevel"/>
    <w:tmpl w:val="A76E9C24"/>
    <w:lvl w:ilvl="0" w:tplc="B5505BD0">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BBF4152"/>
    <w:multiLevelType w:val="multilevel"/>
    <w:tmpl w:val="2B5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73E80"/>
    <w:multiLevelType w:val="hybridMultilevel"/>
    <w:tmpl w:val="EA429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2C59E9"/>
    <w:multiLevelType w:val="hybridMultilevel"/>
    <w:tmpl w:val="835CCE3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8813640"/>
    <w:multiLevelType w:val="hybridMultilevel"/>
    <w:tmpl w:val="845C2A7E"/>
    <w:lvl w:ilvl="0" w:tplc="FDC2A49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E84018"/>
    <w:multiLevelType w:val="hybridMultilevel"/>
    <w:tmpl w:val="19BA3DF2"/>
    <w:lvl w:ilvl="0" w:tplc="E8C43CDC">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9938A0"/>
    <w:multiLevelType w:val="hybridMultilevel"/>
    <w:tmpl w:val="318E69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A52769"/>
    <w:multiLevelType w:val="hybridMultilevel"/>
    <w:tmpl w:val="77D25404"/>
    <w:lvl w:ilvl="0" w:tplc="04090001">
      <w:start w:val="1"/>
      <w:numFmt w:val="bullet"/>
      <w:lvlText w:val=""/>
      <w:lvlJc w:val="left"/>
      <w:pPr>
        <w:ind w:left="1080" w:hanging="720"/>
      </w:pPr>
      <w:rPr>
        <w:rFonts w:ascii="Symbol" w:hAnsi="Symbol" w:hint="default"/>
      </w:rPr>
    </w:lvl>
    <w:lvl w:ilvl="1" w:tplc="A8322572">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3557E8"/>
    <w:multiLevelType w:val="hybridMultilevel"/>
    <w:tmpl w:val="60AAE6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85395F"/>
    <w:multiLevelType w:val="multilevel"/>
    <w:tmpl w:val="5CF0EA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611B23"/>
    <w:multiLevelType w:val="hybridMultilevel"/>
    <w:tmpl w:val="15C8DD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73DFC"/>
    <w:multiLevelType w:val="hybridMultilevel"/>
    <w:tmpl w:val="3F4EF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141ABA"/>
    <w:multiLevelType w:val="multilevel"/>
    <w:tmpl w:val="FBAA4B2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28F62A5B"/>
    <w:multiLevelType w:val="hybridMultilevel"/>
    <w:tmpl w:val="63289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9733F2"/>
    <w:multiLevelType w:val="hybridMultilevel"/>
    <w:tmpl w:val="6298D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47589E"/>
    <w:multiLevelType w:val="hybridMultilevel"/>
    <w:tmpl w:val="D90C5B4C"/>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E469F9"/>
    <w:multiLevelType w:val="hybridMultilevel"/>
    <w:tmpl w:val="6E402D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425DC"/>
    <w:multiLevelType w:val="hybridMultilevel"/>
    <w:tmpl w:val="54E68E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CF40A1"/>
    <w:multiLevelType w:val="multilevel"/>
    <w:tmpl w:val="3BC0A66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45139A5"/>
    <w:multiLevelType w:val="hybridMultilevel"/>
    <w:tmpl w:val="A89A8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4B96ABB"/>
    <w:multiLevelType w:val="hybridMultilevel"/>
    <w:tmpl w:val="5D18C316"/>
    <w:lvl w:ilvl="0" w:tplc="1152C8B4">
      <w:numFmt w:val="bullet"/>
      <w:lvlText w:val="-"/>
      <w:lvlJc w:val="left"/>
      <w:pPr>
        <w:ind w:left="720" w:hanging="360"/>
      </w:pPr>
      <w:rPr>
        <w:rFonts w:ascii="Garamond" w:eastAsiaTheme="minorHAnsi" w:hAnsi="Garamond"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092316"/>
    <w:multiLevelType w:val="hybridMultilevel"/>
    <w:tmpl w:val="8CCE5CE0"/>
    <w:lvl w:ilvl="0" w:tplc="BAA2604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9EB2DF9"/>
    <w:multiLevelType w:val="multilevel"/>
    <w:tmpl w:val="D67AB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026491"/>
    <w:multiLevelType w:val="hybridMultilevel"/>
    <w:tmpl w:val="9A7029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3FA11BD"/>
    <w:multiLevelType w:val="hybridMultilevel"/>
    <w:tmpl w:val="892CF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67B27A1"/>
    <w:multiLevelType w:val="hybridMultilevel"/>
    <w:tmpl w:val="0E7C2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6D63ED5"/>
    <w:multiLevelType w:val="hybridMultilevel"/>
    <w:tmpl w:val="48C64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5133F0"/>
    <w:multiLevelType w:val="hybridMultilevel"/>
    <w:tmpl w:val="CD1E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0B6001"/>
    <w:multiLevelType w:val="hybridMultilevel"/>
    <w:tmpl w:val="BEAE8F96"/>
    <w:lvl w:ilvl="0" w:tplc="04090001">
      <w:start w:val="1"/>
      <w:numFmt w:val="bullet"/>
      <w:lvlText w:val=""/>
      <w:lvlJc w:val="left"/>
      <w:pPr>
        <w:ind w:left="720" w:hanging="360"/>
      </w:pPr>
      <w:rPr>
        <w:rFonts w:ascii="Symbol" w:hAnsi="Symbol"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A735A69"/>
    <w:multiLevelType w:val="hybridMultilevel"/>
    <w:tmpl w:val="4F6670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4B9272BF"/>
    <w:multiLevelType w:val="hybridMultilevel"/>
    <w:tmpl w:val="91BA2F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4C3C531E"/>
    <w:multiLevelType w:val="hybridMultilevel"/>
    <w:tmpl w:val="C290C4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C7557F5"/>
    <w:multiLevelType w:val="hybridMultilevel"/>
    <w:tmpl w:val="4364AC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53309C"/>
    <w:multiLevelType w:val="multilevel"/>
    <w:tmpl w:val="23B40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17C0FCF"/>
    <w:multiLevelType w:val="hybridMultilevel"/>
    <w:tmpl w:val="3496C198"/>
    <w:lvl w:ilvl="0" w:tplc="0409000F">
      <w:start w:val="1"/>
      <w:numFmt w:val="decimal"/>
      <w:lvlText w:val="%1."/>
      <w:lvlJc w:val="left"/>
      <w:pPr>
        <w:ind w:left="720" w:hanging="360"/>
      </w:pPr>
      <w:rPr>
        <w:rFonts w:hint="default"/>
      </w:rPr>
    </w:lvl>
    <w:lvl w:ilvl="1" w:tplc="5908E1FC">
      <w:start w:val="3"/>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784443"/>
    <w:multiLevelType w:val="hybridMultilevel"/>
    <w:tmpl w:val="F37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5F65EF3"/>
    <w:multiLevelType w:val="hybridMultilevel"/>
    <w:tmpl w:val="5F722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7655D76"/>
    <w:multiLevelType w:val="hybridMultilevel"/>
    <w:tmpl w:val="721AB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AE764FB"/>
    <w:multiLevelType w:val="multilevel"/>
    <w:tmpl w:val="55F2B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AFB628E"/>
    <w:multiLevelType w:val="hybridMultilevel"/>
    <w:tmpl w:val="75501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B5435CD"/>
    <w:multiLevelType w:val="hybridMultilevel"/>
    <w:tmpl w:val="6E08A2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6D397D5D"/>
    <w:multiLevelType w:val="hybridMultilevel"/>
    <w:tmpl w:val="302E9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08B47DF"/>
    <w:multiLevelType w:val="multilevel"/>
    <w:tmpl w:val="E95AD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C46772"/>
    <w:multiLevelType w:val="multilevel"/>
    <w:tmpl w:val="7756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5120721"/>
    <w:multiLevelType w:val="hybridMultilevel"/>
    <w:tmpl w:val="7D244A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6015039"/>
    <w:multiLevelType w:val="hybridMultilevel"/>
    <w:tmpl w:val="9D649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DB6F36"/>
    <w:multiLevelType w:val="hybridMultilevel"/>
    <w:tmpl w:val="549E8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BAF2F59"/>
    <w:multiLevelType w:val="hybridMultilevel"/>
    <w:tmpl w:val="547A621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15:restartNumberingAfterBreak="0">
    <w:nsid w:val="7C325036"/>
    <w:multiLevelType w:val="hybridMultilevel"/>
    <w:tmpl w:val="DD94F04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142B4F"/>
    <w:multiLevelType w:val="hybridMultilevel"/>
    <w:tmpl w:val="7A56D4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7F3F59E1"/>
    <w:multiLevelType w:val="hybridMultilevel"/>
    <w:tmpl w:val="C556F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8969025">
    <w:abstractNumId w:val="23"/>
  </w:num>
  <w:num w:numId="2" w16cid:durableId="319427900">
    <w:abstractNumId w:val="6"/>
  </w:num>
  <w:num w:numId="3" w16cid:durableId="483819352">
    <w:abstractNumId w:val="1"/>
  </w:num>
  <w:num w:numId="4" w16cid:durableId="1550531087">
    <w:abstractNumId w:val="17"/>
  </w:num>
  <w:num w:numId="5" w16cid:durableId="365302262">
    <w:abstractNumId w:val="4"/>
  </w:num>
  <w:num w:numId="6" w16cid:durableId="1490904455">
    <w:abstractNumId w:val="38"/>
  </w:num>
  <w:num w:numId="7" w16cid:durableId="1975796718">
    <w:abstractNumId w:val="46"/>
  </w:num>
  <w:num w:numId="8" w16cid:durableId="168910388">
    <w:abstractNumId w:val="50"/>
  </w:num>
  <w:num w:numId="9" w16cid:durableId="864364265">
    <w:abstractNumId w:val="36"/>
  </w:num>
  <w:num w:numId="10" w16cid:durableId="1110662610">
    <w:abstractNumId w:val="39"/>
  </w:num>
  <w:num w:numId="11" w16cid:durableId="48504678">
    <w:abstractNumId w:val="30"/>
  </w:num>
  <w:num w:numId="12" w16cid:durableId="1057243330">
    <w:abstractNumId w:val="49"/>
  </w:num>
  <w:num w:numId="13" w16cid:durableId="113838224">
    <w:abstractNumId w:val="28"/>
  </w:num>
  <w:num w:numId="14" w16cid:durableId="1819300015">
    <w:abstractNumId w:val="9"/>
  </w:num>
  <w:num w:numId="15" w16cid:durableId="1354769003">
    <w:abstractNumId w:val="34"/>
  </w:num>
  <w:num w:numId="16" w16cid:durableId="765884069">
    <w:abstractNumId w:val="18"/>
  </w:num>
  <w:num w:numId="17" w16cid:durableId="1830708544">
    <w:abstractNumId w:val="0"/>
  </w:num>
  <w:num w:numId="18" w16cid:durableId="1195772453">
    <w:abstractNumId w:val="25"/>
  </w:num>
  <w:num w:numId="19" w16cid:durableId="116266373">
    <w:abstractNumId w:val="2"/>
  </w:num>
  <w:num w:numId="20" w16cid:durableId="1165899663">
    <w:abstractNumId w:val="13"/>
  </w:num>
  <w:num w:numId="21" w16cid:durableId="1921870603">
    <w:abstractNumId w:val="52"/>
  </w:num>
  <w:num w:numId="22" w16cid:durableId="1106846340">
    <w:abstractNumId w:val="16"/>
  </w:num>
  <w:num w:numId="23" w16cid:durableId="1120413215">
    <w:abstractNumId w:val="22"/>
  </w:num>
  <w:num w:numId="24" w16cid:durableId="884490536">
    <w:abstractNumId w:val="37"/>
  </w:num>
  <w:num w:numId="25" w16cid:durableId="1098991049">
    <w:abstractNumId w:val="42"/>
  </w:num>
  <w:num w:numId="26" w16cid:durableId="631596808">
    <w:abstractNumId w:val="10"/>
  </w:num>
  <w:num w:numId="27" w16cid:durableId="1306087360">
    <w:abstractNumId w:val="8"/>
  </w:num>
  <w:num w:numId="28" w16cid:durableId="909191109">
    <w:abstractNumId w:val="31"/>
  </w:num>
  <w:num w:numId="29" w16cid:durableId="556204899">
    <w:abstractNumId w:val="32"/>
  </w:num>
  <w:num w:numId="30" w16cid:durableId="1668284805">
    <w:abstractNumId w:val="19"/>
  </w:num>
  <w:num w:numId="31" w16cid:durableId="1777868951">
    <w:abstractNumId w:val="29"/>
  </w:num>
  <w:num w:numId="32" w16cid:durableId="1614898655">
    <w:abstractNumId w:val="7"/>
  </w:num>
  <w:num w:numId="33" w16cid:durableId="364449577">
    <w:abstractNumId w:val="15"/>
  </w:num>
  <w:num w:numId="34" w16cid:durableId="248081818">
    <w:abstractNumId w:val="48"/>
  </w:num>
  <w:num w:numId="35" w16cid:durableId="1742749116">
    <w:abstractNumId w:val="43"/>
  </w:num>
  <w:num w:numId="36" w16cid:durableId="1632056943">
    <w:abstractNumId w:val="33"/>
  </w:num>
  <w:num w:numId="37" w16cid:durableId="16198188">
    <w:abstractNumId w:val="41"/>
  </w:num>
  <w:num w:numId="38" w16cid:durableId="995642619">
    <w:abstractNumId w:val="26"/>
  </w:num>
  <w:num w:numId="39" w16cid:durableId="1951429902">
    <w:abstractNumId w:val="51"/>
  </w:num>
  <w:num w:numId="40" w16cid:durableId="1660618793">
    <w:abstractNumId w:val="27"/>
  </w:num>
  <w:num w:numId="41" w16cid:durableId="566649021">
    <w:abstractNumId w:val="47"/>
  </w:num>
  <w:num w:numId="42" w16cid:durableId="230387690">
    <w:abstractNumId w:val="21"/>
  </w:num>
  <w:num w:numId="43" w16cid:durableId="335613693">
    <w:abstractNumId w:val="3"/>
  </w:num>
  <w:num w:numId="44" w16cid:durableId="1955866269">
    <w:abstractNumId w:val="5"/>
  </w:num>
  <w:num w:numId="45" w16cid:durableId="1236166310">
    <w:abstractNumId w:val="35"/>
  </w:num>
  <w:num w:numId="46" w16cid:durableId="1135757983">
    <w:abstractNumId w:val="44"/>
  </w:num>
  <w:num w:numId="47" w16cid:durableId="1772360755">
    <w:abstractNumId w:val="40"/>
  </w:num>
  <w:num w:numId="48" w16cid:durableId="562985464">
    <w:abstractNumId w:val="11"/>
  </w:num>
  <w:num w:numId="49" w16cid:durableId="1870022964">
    <w:abstractNumId w:val="24"/>
  </w:num>
  <w:num w:numId="50" w16cid:durableId="373162735">
    <w:abstractNumId w:val="45"/>
  </w:num>
  <w:num w:numId="51" w16cid:durableId="844592064">
    <w:abstractNumId w:val="14"/>
  </w:num>
  <w:num w:numId="52" w16cid:durableId="682244457">
    <w:abstractNumId w:val="12"/>
  </w:num>
  <w:num w:numId="53" w16cid:durableId="9675848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650"/>
    <w:rsid w:val="00015BCC"/>
    <w:rsid w:val="0002084A"/>
    <w:rsid w:val="00042C6F"/>
    <w:rsid w:val="0004495D"/>
    <w:rsid w:val="0004619A"/>
    <w:rsid w:val="00046C49"/>
    <w:rsid w:val="00047ED5"/>
    <w:rsid w:val="00050B79"/>
    <w:rsid w:val="00086352"/>
    <w:rsid w:val="00093D9F"/>
    <w:rsid w:val="0009467C"/>
    <w:rsid w:val="000A0E24"/>
    <w:rsid w:val="000A1102"/>
    <w:rsid w:val="000B5D57"/>
    <w:rsid w:val="000B6F75"/>
    <w:rsid w:val="000C5FAC"/>
    <w:rsid w:val="000C7C14"/>
    <w:rsid w:val="000D0F83"/>
    <w:rsid w:val="00101544"/>
    <w:rsid w:val="00107673"/>
    <w:rsid w:val="00114CCA"/>
    <w:rsid w:val="001167C4"/>
    <w:rsid w:val="00156C09"/>
    <w:rsid w:val="001668A8"/>
    <w:rsid w:val="001931EE"/>
    <w:rsid w:val="00196443"/>
    <w:rsid w:val="001A6E66"/>
    <w:rsid w:val="001B13EB"/>
    <w:rsid w:val="001B450B"/>
    <w:rsid w:val="001C7043"/>
    <w:rsid w:val="001D1DBC"/>
    <w:rsid w:val="001D532C"/>
    <w:rsid w:val="001D6213"/>
    <w:rsid w:val="001F354D"/>
    <w:rsid w:val="001F47FD"/>
    <w:rsid w:val="002257CD"/>
    <w:rsid w:val="002305C5"/>
    <w:rsid w:val="002533B2"/>
    <w:rsid w:val="00284AAE"/>
    <w:rsid w:val="0028723E"/>
    <w:rsid w:val="002876FE"/>
    <w:rsid w:val="0029400A"/>
    <w:rsid w:val="002C79F5"/>
    <w:rsid w:val="002D0B34"/>
    <w:rsid w:val="002D5B01"/>
    <w:rsid w:val="002D65A3"/>
    <w:rsid w:val="002D7273"/>
    <w:rsid w:val="002E028A"/>
    <w:rsid w:val="00307051"/>
    <w:rsid w:val="003216C7"/>
    <w:rsid w:val="00326F85"/>
    <w:rsid w:val="003319F3"/>
    <w:rsid w:val="003439F7"/>
    <w:rsid w:val="00360DAB"/>
    <w:rsid w:val="00371F59"/>
    <w:rsid w:val="00372B51"/>
    <w:rsid w:val="0038184B"/>
    <w:rsid w:val="00383811"/>
    <w:rsid w:val="00390234"/>
    <w:rsid w:val="003A0EBE"/>
    <w:rsid w:val="003A1F96"/>
    <w:rsid w:val="003A60A9"/>
    <w:rsid w:val="003A745E"/>
    <w:rsid w:val="003B7C83"/>
    <w:rsid w:val="003C01C1"/>
    <w:rsid w:val="00401F8D"/>
    <w:rsid w:val="004055DB"/>
    <w:rsid w:val="004134D4"/>
    <w:rsid w:val="00414D42"/>
    <w:rsid w:val="00424B8B"/>
    <w:rsid w:val="004273C5"/>
    <w:rsid w:val="00434DDB"/>
    <w:rsid w:val="00436AE3"/>
    <w:rsid w:val="004650D2"/>
    <w:rsid w:val="00477C56"/>
    <w:rsid w:val="00484A19"/>
    <w:rsid w:val="00490571"/>
    <w:rsid w:val="0049174B"/>
    <w:rsid w:val="004A7201"/>
    <w:rsid w:val="004F0624"/>
    <w:rsid w:val="004F28E4"/>
    <w:rsid w:val="004F6D5A"/>
    <w:rsid w:val="004F6EC6"/>
    <w:rsid w:val="004F7950"/>
    <w:rsid w:val="005025C7"/>
    <w:rsid w:val="00505CB3"/>
    <w:rsid w:val="005132DF"/>
    <w:rsid w:val="0051677C"/>
    <w:rsid w:val="00531689"/>
    <w:rsid w:val="00531CED"/>
    <w:rsid w:val="005612DD"/>
    <w:rsid w:val="00566EF4"/>
    <w:rsid w:val="0058685C"/>
    <w:rsid w:val="005A38AA"/>
    <w:rsid w:val="005B3A8D"/>
    <w:rsid w:val="005B65A3"/>
    <w:rsid w:val="005C3446"/>
    <w:rsid w:val="005D38D7"/>
    <w:rsid w:val="005E2E96"/>
    <w:rsid w:val="005E642C"/>
    <w:rsid w:val="006105E2"/>
    <w:rsid w:val="00640577"/>
    <w:rsid w:val="006412F6"/>
    <w:rsid w:val="00644334"/>
    <w:rsid w:val="00644785"/>
    <w:rsid w:val="00646A53"/>
    <w:rsid w:val="006807A3"/>
    <w:rsid w:val="00683E71"/>
    <w:rsid w:val="00690C3F"/>
    <w:rsid w:val="00693967"/>
    <w:rsid w:val="006946CB"/>
    <w:rsid w:val="006B1AFB"/>
    <w:rsid w:val="006C53FC"/>
    <w:rsid w:val="006F5D15"/>
    <w:rsid w:val="00712636"/>
    <w:rsid w:val="00713444"/>
    <w:rsid w:val="00720C57"/>
    <w:rsid w:val="00741D51"/>
    <w:rsid w:val="007421E4"/>
    <w:rsid w:val="0074772B"/>
    <w:rsid w:val="0075015E"/>
    <w:rsid w:val="00755B2C"/>
    <w:rsid w:val="007660FD"/>
    <w:rsid w:val="00771104"/>
    <w:rsid w:val="00786D2C"/>
    <w:rsid w:val="007A3C77"/>
    <w:rsid w:val="007B5697"/>
    <w:rsid w:val="007C2144"/>
    <w:rsid w:val="007C3E73"/>
    <w:rsid w:val="007E38ED"/>
    <w:rsid w:val="007E56C8"/>
    <w:rsid w:val="007F62CB"/>
    <w:rsid w:val="00823531"/>
    <w:rsid w:val="00823F46"/>
    <w:rsid w:val="00826C6D"/>
    <w:rsid w:val="00843A10"/>
    <w:rsid w:val="008566A8"/>
    <w:rsid w:val="00860C1C"/>
    <w:rsid w:val="00871BB0"/>
    <w:rsid w:val="00875304"/>
    <w:rsid w:val="008823E1"/>
    <w:rsid w:val="00884133"/>
    <w:rsid w:val="008A0867"/>
    <w:rsid w:val="008B71B3"/>
    <w:rsid w:val="008F0744"/>
    <w:rsid w:val="008F2641"/>
    <w:rsid w:val="0091285A"/>
    <w:rsid w:val="00920472"/>
    <w:rsid w:val="009337BF"/>
    <w:rsid w:val="009412A9"/>
    <w:rsid w:val="009850AD"/>
    <w:rsid w:val="00990858"/>
    <w:rsid w:val="009B028E"/>
    <w:rsid w:val="009C623E"/>
    <w:rsid w:val="009D1F8F"/>
    <w:rsid w:val="009E15C5"/>
    <w:rsid w:val="009E290C"/>
    <w:rsid w:val="009F46C1"/>
    <w:rsid w:val="00A10665"/>
    <w:rsid w:val="00A15C06"/>
    <w:rsid w:val="00A162C1"/>
    <w:rsid w:val="00A31EA7"/>
    <w:rsid w:val="00A3448D"/>
    <w:rsid w:val="00A37636"/>
    <w:rsid w:val="00A45C79"/>
    <w:rsid w:val="00A537CE"/>
    <w:rsid w:val="00A63977"/>
    <w:rsid w:val="00A64F85"/>
    <w:rsid w:val="00A714A9"/>
    <w:rsid w:val="00A736DD"/>
    <w:rsid w:val="00A81650"/>
    <w:rsid w:val="00A81860"/>
    <w:rsid w:val="00A83C1E"/>
    <w:rsid w:val="00AB2EAB"/>
    <w:rsid w:val="00AD6242"/>
    <w:rsid w:val="00AE7B0F"/>
    <w:rsid w:val="00AF7FD1"/>
    <w:rsid w:val="00B01D47"/>
    <w:rsid w:val="00B23185"/>
    <w:rsid w:val="00B35D5B"/>
    <w:rsid w:val="00B36D64"/>
    <w:rsid w:val="00B50DC2"/>
    <w:rsid w:val="00B53978"/>
    <w:rsid w:val="00B66916"/>
    <w:rsid w:val="00B76BA7"/>
    <w:rsid w:val="00BA7411"/>
    <w:rsid w:val="00BB10FB"/>
    <w:rsid w:val="00BB2414"/>
    <w:rsid w:val="00BB2E0C"/>
    <w:rsid w:val="00BC2D2E"/>
    <w:rsid w:val="00BC41A1"/>
    <w:rsid w:val="00BD5FAD"/>
    <w:rsid w:val="00BE6F35"/>
    <w:rsid w:val="00BF1B11"/>
    <w:rsid w:val="00BF478D"/>
    <w:rsid w:val="00C0706B"/>
    <w:rsid w:val="00C26FE4"/>
    <w:rsid w:val="00C34E13"/>
    <w:rsid w:val="00C351FE"/>
    <w:rsid w:val="00C47923"/>
    <w:rsid w:val="00C86D0C"/>
    <w:rsid w:val="00CC193E"/>
    <w:rsid w:val="00CC2F15"/>
    <w:rsid w:val="00CC606D"/>
    <w:rsid w:val="00CD3720"/>
    <w:rsid w:val="00CD497F"/>
    <w:rsid w:val="00CD5381"/>
    <w:rsid w:val="00D01C6A"/>
    <w:rsid w:val="00D11899"/>
    <w:rsid w:val="00D500E7"/>
    <w:rsid w:val="00D56CB6"/>
    <w:rsid w:val="00D57B63"/>
    <w:rsid w:val="00D65CAF"/>
    <w:rsid w:val="00D674C8"/>
    <w:rsid w:val="00D759CA"/>
    <w:rsid w:val="00DA1879"/>
    <w:rsid w:val="00DB04A9"/>
    <w:rsid w:val="00DB1A2D"/>
    <w:rsid w:val="00DB5AB9"/>
    <w:rsid w:val="00DC35AC"/>
    <w:rsid w:val="00DD77D6"/>
    <w:rsid w:val="00DE35AB"/>
    <w:rsid w:val="00DE6A62"/>
    <w:rsid w:val="00DF3596"/>
    <w:rsid w:val="00E12DC0"/>
    <w:rsid w:val="00E23D01"/>
    <w:rsid w:val="00E3117B"/>
    <w:rsid w:val="00E4520A"/>
    <w:rsid w:val="00E45A93"/>
    <w:rsid w:val="00E47C87"/>
    <w:rsid w:val="00E55456"/>
    <w:rsid w:val="00E820AA"/>
    <w:rsid w:val="00E94DD0"/>
    <w:rsid w:val="00E9641B"/>
    <w:rsid w:val="00EA2C34"/>
    <w:rsid w:val="00EA4670"/>
    <w:rsid w:val="00EB150E"/>
    <w:rsid w:val="00EB7424"/>
    <w:rsid w:val="00ED3ED2"/>
    <w:rsid w:val="00ED7702"/>
    <w:rsid w:val="00EF597D"/>
    <w:rsid w:val="00EF6E5F"/>
    <w:rsid w:val="00F27F37"/>
    <w:rsid w:val="00F533B4"/>
    <w:rsid w:val="00F53FBC"/>
    <w:rsid w:val="00F56B3D"/>
    <w:rsid w:val="00F60E10"/>
    <w:rsid w:val="00F715CB"/>
    <w:rsid w:val="00F72F2C"/>
    <w:rsid w:val="00F8429A"/>
    <w:rsid w:val="00F871C7"/>
    <w:rsid w:val="00F94355"/>
    <w:rsid w:val="00FA13E3"/>
    <w:rsid w:val="00FA5CD7"/>
    <w:rsid w:val="00FD2C1E"/>
    <w:rsid w:val="00FE66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8E1D3"/>
  <w15:docId w15:val="{07A2FAF7-B3D2-4556-A7C2-48C68B5A1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79F5"/>
    <w:pPr>
      <w:spacing w:line="278" w:lineRule="auto"/>
    </w:pPr>
    <w:rPr>
      <w:kern w:val="2"/>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qFormat/>
    <w:rsid w:val="004F6D5A"/>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4F6D5A"/>
    <w:rPr>
      <w:sz w:val="20"/>
      <w:szCs w:val="20"/>
    </w:rPr>
  </w:style>
  <w:style w:type="character" w:styleId="FootnoteReference">
    <w:name w:val="footnote reference"/>
    <w:aliases w:val="4_G,4_GA"/>
    <w:basedOn w:val="DefaultParagraphFont"/>
    <w:uiPriority w:val="99"/>
    <w:unhideWhenUsed/>
    <w:qFormat/>
    <w:rsid w:val="004F6D5A"/>
    <w:rPr>
      <w:vertAlign w:val="superscript"/>
    </w:rPr>
  </w:style>
  <w:style w:type="character" w:styleId="Hyperlink">
    <w:name w:val="Hyperlink"/>
    <w:basedOn w:val="DefaultParagraphFont"/>
    <w:uiPriority w:val="99"/>
    <w:unhideWhenUsed/>
    <w:rsid w:val="004F6D5A"/>
    <w:rPr>
      <w:color w:val="0563C1" w:themeColor="hyperlink"/>
      <w:u w:val="single"/>
    </w:rPr>
  </w:style>
  <w:style w:type="character" w:styleId="FollowedHyperlink">
    <w:name w:val="FollowedHyperlink"/>
    <w:basedOn w:val="DefaultParagraphFont"/>
    <w:uiPriority w:val="99"/>
    <w:semiHidden/>
    <w:unhideWhenUsed/>
    <w:rsid w:val="009D1F8F"/>
    <w:rPr>
      <w:color w:val="954F72" w:themeColor="followedHyperlink"/>
      <w:u w:val="single"/>
    </w:rPr>
  </w:style>
  <w:style w:type="paragraph" w:styleId="ListParagraph">
    <w:name w:val="List Paragraph"/>
    <w:basedOn w:val="Normal"/>
    <w:link w:val="ListParagraphChar"/>
    <w:uiPriority w:val="34"/>
    <w:qFormat/>
    <w:rsid w:val="00AF7FD1"/>
    <w:pPr>
      <w:ind w:left="720"/>
      <w:contextualSpacing/>
    </w:pPr>
  </w:style>
  <w:style w:type="paragraph" w:styleId="Header">
    <w:name w:val="header"/>
    <w:basedOn w:val="Normal"/>
    <w:link w:val="HeaderChar"/>
    <w:uiPriority w:val="99"/>
    <w:unhideWhenUsed/>
    <w:rsid w:val="005868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85C"/>
  </w:style>
  <w:style w:type="paragraph" w:styleId="Footer">
    <w:name w:val="footer"/>
    <w:basedOn w:val="Normal"/>
    <w:link w:val="FooterChar"/>
    <w:uiPriority w:val="99"/>
    <w:unhideWhenUsed/>
    <w:rsid w:val="005868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85C"/>
  </w:style>
  <w:style w:type="table" w:styleId="TableGrid">
    <w:name w:val="Table Grid"/>
    <w:basedOn w:val="TableNormal"/>
    <w:uiPriority w:val="39"/>
    <w:rsid w:val="00646A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646A53"/>
  </w:style>
  <w:style w:type="character" w:customStyle="1" w:styleId="UnresolvedMention1">
    <w:name w:val="Unresolved Mention1"/>
    <w:basedOn w:val="DefaultParagraphFont"/>
    <w:uiPriority w:val="99"/>
    <w:semiHidden/>
    <w:unhideWhenUsed/>
    <w:rsid w:val="007E56C8"/>
    <w:rPr>
      <w:color w:val="605E5C"/>
      <w:shd w:val="clear" w:color="auto" w:fill="E1DFDD"/>
    </w:rPr>
  </w:style>
  <w:style w:type="character" w:customStyle="1" w:styleId="ListParagraphChar">
    <w:name w:val="List Paragraph Char"/>
    <w:link w:val="ListParagraph"/>
    <w:uiPriority w:val="34"/>
    <w:rsid w:val="00E55456"/>
  </w:style>
  <w:style w:type="paragraph" w:styleId="HTMLPreformatted">
    <w:name w:val="HTML Preformatted"/>
    <w:basedOn w:val="Normal"/>
    <w:link w:val="HTMLPreformattedChar"/>
    <w:uiPriority w:val="99"/>
    <w:unhideWhenUsed/>
    <w:rsid w:val="00985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9850AD"/>
    <w:rPr>
      <w:rFonts w:ascii="Courier New" w:eastAsia="Times New Roman" w:hAnsi="Courier New" w:cs="Courier New"/>
      <w:sz w:val="20"/>
      <w:szCs w:val="20"/>
    </w:rPr>
  </w:style>
  <w:style w:type="character" w:customStyle="1" w:styleId="y2iqfc">
    <w:name w:val="y2iqfc"/>
    <w:basedOn w:val="DefaultParagraphFont"/>
    <w:rsid w:val="009850AD"/>
  </w:style>
  <w:style w:type="character" w:styleId="CommentReference">
    <w:name w:val="annotation reference"/>
    <w:basedOn w:val="DefaultParagraphFont"/>
    <w:uiPriority w:val="99"/>
    <w:semiHidden/>
    <w:unhideWhenUsed/>
    <w:rsid w:val="009850AD"/>
    <w:rPr>
      <w:sz w:val="16"/>
      <w:szCs w:val="16"/>
    </w:rPr>
  </w:style>
  <w:style w:type="paragraph" w:styleId="CommentText">
    <w:name w:val="annotation text"/>
    <w:basedOn w:val="Normal"/>
    <w:link w:val="CommentTextChar"/>
    <w:uiPriority w:val="99"/>
    <w:semiHidden/>
    <w:unhideWhenUsed/>
    <w:rsid w:val="009850AD"/>
    <w:pPr>
      <w:bidi/>
      <w:spacing w:after="200" w:line="240" w:lineRule="auto"/>
      <w:ind w:left="300" w:hanging="357"/>
    </w:pPr>
    <w:rPr>
      <w:rFonts w:eastAsiaTheme="minorEastAsia"/>
      <w:sz w:val="20"/>
      <w:szCs w:val="20"/>
    </w:rPr>
  </w:style>
  <w:style w:type="character" w:customStyle="1" w:styleId="CommentTextChar">
    <w:name w:val="Comment Text Char"/>
    <w:basedOn w:val="DefaultParagraphFont"/>
    <w:link w:val="CommentText"/>
    <w:uiPriority w:val="99"/>
    <w:semiHidden/>
    <w:rsid w:val="009850AD"/>
    <w:rPr>
      <w:rFonts w:eastAsiaTheme="minorEastAsia"/>
      <w:sz w:val="20"/>
      <w:szCs w:val="20"/>
    </w:rPr>
  </w:style>
  <w:style w:type="character" w:styleId="UnresolvedMention">
    <w:name w:val="Unresolved Mention"/>
    <w:basedOn w:val="DefaultParagraphFont"/>
    <w:uiPriority w:val="99"/>
    <w:semiHidden/>
    <w:unhideWhenUsed/>
    <w:rsid w:val="006105E2"/>
    <w:rPr>
      <w:color w:val="605E5C"/>
      <w:shd w:val="clear" w:color="auto" w:fill="E1DFDD"/>
    </w:rPr>
  </w:style>
  <w:style w:type="table" w:styleId="GridTable5Dark-Accent1">
    <w:name w:val="Grid Table 5 Dark Accent 1"/>
    <w:basedOn w:val="TableNormal"/>
    <w:uiPriority w:val="50"/>
    <w:rsid w:val="00D500E7"/>
    <w:pPr>
      <w:spacing w:before="100" w:beforeAutospacing="1" w:after="0" w:afterAutospacing="1"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1083">
      <w:bodyDiv w:val="1"/>
      <w:marLeft w:val="0"/>
      <w:marRight w:val="0"/>
      <w:marTop w:val="0"/>
      <w:marBottom w:val="0"/>
      <w:divBdr>
        <w:top w:val="none" w:sz="0" w:space="0" w:color="auto"/>
        <w:left w:val="none" w:sz="0" w:space="0" w:color="auto"/>
        <w:bottom w:val="none" w:sz="0" w:space="0" w:color="auto"/>
        <w:right w:val="none" w:sz="0" w:space="0" w:color="auto"/>
      </w:divBdr>
    </w:div>
    <w:div w:id="664556909">
      <w:bodyDiv w:val="1"/>
      <w:marLeft w:val="0"/>
      <w:marRight w:val="0"/>
      <w:marTop w:val="0"/>
      <w:marBottom w:val="0"/>
      <w:divBdr>
        <w:top w:val="none" w:sz="0" w:space="0" w:color="auto"/>
        <w:left w:val="none" w:sz="0" w:space="0" w:color="auto"/>
        <w:bottom w:val="none" w:sz="0" w:space="0" w:color="auto"/>
        <w:right w:val="none" w:sz="0" w:space="0" w:color="auto"/>
      </w:divBdr>
    </w:div>
    <w:div w:id="1346781868">
      <w:bodyDiv w:val="1"/>
      <w:marLeft w:val="0"/>
      <w:marRight w:val="0"/>
      <w:marTop w:val="0"/>
      <w:marBottom w:val="0"/>
      <w:divBdr>
        <w:top w:val="none" w:sz="0" w:space="0" w:color="auto"/>
        <w:left w:val="none" w:sz="0" w:space="0" w:color="auto"/>
        <w:bottom w:val="none" w:sz="0" w:space="0" w:color="auto"/>
        <w:right w:val="none" w:sz="0" w:space="0" w:color="auto"/>
      </w:divBdr>
    </w:div>
    <w:div w:id="165544671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urli.info/1ov47" TargetMode="External"/><Relationship Id="rId3" Type="http://schemas.openxmlformats.org/officeDocument/2006/relationships/hyperlink" Target="https://urli.info/1tNGe" TargetMode="External"/><Relationship Id="rId7" Type="http://schemas.openxmlformats.org/officeDocument/2006/relationships/hyperlink" Target="https://urli.info/1ou-m" TargetMode="External"/><Relationship Id="rId2" Type="http://schemas.openxmlformats.org/officeDocument/2006/relationships/hyperlink" Target="https://urli.info/1ovkc" TargetMode="External"/><Relationship Id="rId1" Type="http://schemas.openxmlformats.org/officeDocument/2006/relationships/hyperlink" Target="https://www.hrsd.gov.sa/" TargetMode="External"/><Relationship Id="rId6" Type="http://schemas.openxmlformats.org/officeDocument/2006/relationships/hyperlink" Target="https://shorturl.at/oHQxE" TargetMode="External"/><Relationship Id="rId5" Type="http://schemas.openxmlformats.org/officeDocument/2006/relationships/hyperlink" Target="https://urli.info/1ossN" TargetMode="External"/><Relationship Id="rId4" Type="http://schemas.openxmlformats.org/officeDocument/2006/relationships/hyperlink" Target="https://urli.info/1tNQC" TargetMode="External"/><Relationship Id="rId9" Type="http://schemas.openxmlformats.org/officeDocument/2006/relationships/hyperlink" Target="https://urli.info/1tNm3"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98CFA-3D8E-489F-8992-A7625FD7A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1926</Words>
  <Characters>10984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Mira</cp:lastModifiedBy>
  <cp:revision>4</cp:revision>
  <dcterms:created xsi:type="dcterms:W3CDTF">2026-05-11T08:17:00Z</dcterms:created>
  <dcterms:modified xsi:type="dcterms:W3CDTF">2026-05-11T08:34:00Z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a082c0eeaec495607543bb366324cad789a8f1398e9c10fe1a33a8fa08a1c73f</vt:lpwstr>
  </property>
</Properties>
</file>