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F0D" w:rsidRPr="008A2AB0" w:rsidRDefault="008A2AB0" w:rsidP="00DB1A00">
      <w:pPr>
        <w:jc w:val="center"/>
        <w:rPr>
          <w:rFonts w:ascii="Times New Roman" w:hAnsi="Times New Roman" w:cs="Times New Roman"/>
          <w:b/>
          <w:color w:val="2F5496" w:themeColor="accent5" w:themeShade="BF"/>
          <w:sz w:val="24"/>
        </w:rPr>
      </w:pPr>
      <w:bookmarkStart w:id="0" w:name="_GoBack"/>
      <w:bookmarkEnd w:id="0"/>
      <w:r w:rsidRPr="008A2AB0">
        <w:rPr>
          <w:rFonts w:ascii="Times New Roman" w:hAnsi="Times New Roman" w:cs="Times New Roman"/>
          <w:b/>
          <w:color w:val="2F5496" w:themeColor="accent5" w:themeShade="BF"/>
          <w:sz w:val="24"/>
        </w:rPr>
        <w:t>ANEXO N° 19</w:t>
      </w:r>
    </w:p>
    <w:p w:rsidR="00DB1A00" w:rsidRPr="008A2AB0" w:rsidRDefault="00DB1A00">
      <w:pPr>
        <w:rPr>
          <w:rFonts w:ascii="Times New Roman" w:hAnsi="Times New Roman" w:cs="Times New Roman"/>
        </w:rPr>
      </w:pPr>
    </w:p>
    <w:p w:rsidR="00DB1A00" w:rsidRPr="008A2AB0" w:rsidRDefault="009B051C" w:rsidP="00DB1A00">
      <w:pPr>
        <w:jc w:val="center"/>
        <w:rPr>
          <w:rFonts w:ascii="Times New Roman" w:hAnsi="Times New Roman" w:cs="Times New Roman"/>
          <w:b/>
          <w:color w:val="2F5496" w:themeColor="accent5" w:themeShade="BF"/>
          <w:szCs w:val="21"/>
          <w:u w:val="single"/>
        </w:rPr>
      </w:pPr>
      <w:r w:rsidRPr="008A2AB0">
        <w:rPr>
          <w:rFonts w:ascii="Times New Roman" w:hAnsi="Times New Roman" w:cs="Times New Roman"/>
          <w:b/>
          <w:color w:val="2F5496" w:themeColor="accent5" w:themeShade="BF"/>
          <w:szCs w:val="21"/>
          <w:u w:val="single"/>
        </w:rPr>
        <w:t>Tabla N° 1</w:t>
      </w:r>
      <w:r w:rsidR="00DB1A00" w:rsidRPr="008A2AB0">
        <w:rPr>
          <w:rFonts w:ascii="Times New Roman" w:hAnsi="Times New Roman" w:cs="Times New Roman"/>
          <w:b/>
          <w:color w:val="2F5496" w:themeColor="accent5" w:themeShade="BF"/>
          <w:szCs w:val="21"/>
        </w:rPr>
        <w:t xml:space="preserve">: </w:t>
      </w:r>
      <w:r w:rsidR="00DB1A00" w:rsidRPr="008A2AB0">
        <w:rPr>
          <w:rFonts w:ascii="Times New Roman" w:hAnsi="Times New Roman" w:cs="Times New Roman"/>
          <w:b/>
          <w:color w:val="2F5496" w:themeColor="accent5" w:themeShade="BF"/>
          <w:szCs w:val="21"/>
          <w:u w:val="single"/>
        </w:rPr>
        <w:t>Tasa de ocupación de los niños de 5 a 17 años</w:t>
      </w:r>
    </w:p>
    <w:p w:rsidR="00DB1A00" w:rsidRPr="008A2AB0" w:rsidRDefault="00DB1A00" w:rsidP="00DB1A00">
      <w:pPr>
        <w:rPr>
          <w:rFonts w:ascii="Times New Roman" w:hAnsi="Times New Roman" w:cs="Times New Roman"/>
        </w:rPr>
      </w:pPr>
    </w:p>
    <w:p w:rsidR="00DB1A00" w:rsidRPr="008A2AB0" w:rsidRDefault="00DB1A00" w:rsidP="00DB1A00">
      <w:pPr>
        <w:jc w:val="center"/>
        <w:rPr>
          <w:rFonts w:ascii="Times New Roman" w:hAnsi="Times New Roman" w:cs="Times New Roman"/>
        </w:rPr>
      </w:pPr>
      <w:r w:rsidRPr="008A2AB0">
        <w:rPr>
          <w:rFonts w:ascii="Times New Roman" w:hAnsi="Times New Roman" w:cs="Times New Roman"/>
          <w:noProof/>
          <w:lang w:eastAsia="es-PE"/>
        </w:rPr>
        <w:drawing>
          <wp:inline distT="0" distB="0" distL="0" distR="0" wp14:anchorId="2ECFE2B8" wp14:editId="78398ACD">
            <wp:extent cx="5586905" cy="4572000"/>
            <wp:effectExtent l="0" t="0" r="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4901" cy="4578544"/>
                    </a:xfrm>
                    <a:prstGeom prst="rect">
                      <a:avLst/>
                    </a:prstGeom>
                    <a:noFill/>
                    <a:ln>
                      <a:noFill/>
                    </a:ln>
                  </pic:spPr>
                </pic:pic>
              </a:graphicData>
            </a:graphic>
          </wp:inline>
        </w:drawing>
      </w:r>
    </w:p>
    <w:p w:rsidR="00DB1A00" w:rsidRPr="008A2AB0" w:rsidRDefault="00DB1A00" w:rsidP="00DB1A00">
      <w:pPr>
        <w:rPr>
          <w:rFonts w:ascii="Times New Roman" w:hAnsi="Times New Roman" w:cs="Times New Roman"/>
        </w:rPr>
      </w:pPr>
    </w:p>
    <w:p w:rsidR="00DB1A00" w:rsidRPr="008A2AB0" w:rsidRDefault="00DB1A00" w:rsidP="00DB1A00">
      <w:pPr>
        <w:rPr>
          <w:rFonts w:ascii="Times New Roman" w:hAnsi="Times New Roman" w:cs="Times New Roman"/>
        </w:rPr>
      </w:pPr>
      <w:r w:rsidRPr="008A2AB0">
        <w:rPr>
          <w:rFonts w:ascii="Times New Roman" w:hAnsi="Times New Roman" w:cs="Times New Roman"/>
          <w:noProof/>
          <w:lang w:eastAsia="es-PE"/>
        </w:rPr>
        <w:lastRenderedPageBreak/>
        <w:drawing>
          <wp:inline distT="0" distB="0" distL="0" distR="0" wp14:anchorId="528ED222" wp14:editId="4C203F56">
            <wp:extent cx="5400675" cy="3152775"/>
            <wp:effectExtent l="0" t="0" r="9525" b="952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3152775"/>
                    </a:xfrm>
                    <a:prstGeom prst="rect">
                      <a:avLst/>
                    </a:prstGeom>
                    <a:noFill/>
                    <a:ln>
                      <a:noFill/>
                    </a:ln>
                  </pic:spPr>
                </pic:pic>
              </a:graphicData>
            </a:graphic>
          </wp:inline>
        </w:drawing>
      </w:r>
    </w:p>
    <w:p w:rsidR="00DB1A00" w:rsidRPr="008A2AB0" w:rsidRDefault="00DB1A00" w:rsidP="00DB1A00">
      <w:pPr>
        <w:rPr>
          <w:rFonts w:ascii="Times New Roman" w:hAnsi="Times New Roman" w:cs="Times New Roman"/>
        </w:rPr>
      </w:pPr>
    </w:p>
    <w:p w:rsidR="00DB1A00" w:rsidRPr="008A2AB0" w:rsidRDefault="00DB1A00" w:rsidP="00DB1A00">
      <w:pPr>
        <w:rPr>
          <w:rFonts w:ascii="Times New Roman" w:hAnsi="Times New Roman" w:cs="Times New Roman"/>
        </w:rPr>
      </w:pPr>
    </w:p>
    <w:p w:rsidR="00DB1A00" w:rsidRPr="008A2AB0" w:rsidRDefault="00DB1A00" w:rsidP="00DB1A00">
      <w:pPr>
        <w:rPr>
          <w:rFonts w:ascii="Times New Roman" w:hAnsi="Times New Roman" w:cs="Times New Roman"/>
        </w:rPr>
      </w:pPr>
    </w:p>
    <w:p w:rsidR="00DB1A00" w:rsidRDefault="00DB1A00">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pPr>
        <w:rPr>
          <w:rFonts w:ascii="Times New Roman" w:hAnsi="Times New Roman" w:cs="Times New Roman"/>
        </w:rPr>
      </w:pPr>
    </w:p>
    <w:p w:rsidR="00592B99" w:rsidRDefault="00592B99" w:rsidP="00592B99">
      <w:pPr>
        <w:jc w:val="center"/>
        <w:rPr>
          <w:rFonts w:ascii="Times New Roman" w:hAnsi="Times New Roman" w:cs="Times New Roman"/>
          <w:b/>
          <w:color w:val="2F5496" w:themeColor="accent5" w:themeShade="BF"/>
          <w:szCs w:val="21"/>
          <w:u w:val="single"/>
        </w:rPr>
      </w:pPr>
      <w:r>
        <w:rPr>
          <w:rFonts w:ascii="Times New Roman" w:hAnsi="Times New Roman" w:cs="Times New Roman"/>
          <w:b/>
          <w:color w:val="2F5496" w:themeColor="accent5" w:themeShade="BF"/>
          <w:szCs w:val="21"/>
          <w:u w:val="single"/>
        </w:rPr>
        <w:lastRenderedPageBreak/>
        <w:t>Tabla N° 2</w:t>
      </w:r>
      <w:r w:rsidRPr="008A2AB0">
        <w:rPr>
          <w:rFonts w:ascii="Times New Roman" w:hAnsi="Times New Roman" w:cs="Times New Roman"/>
          <w:b/>
          <w:color w:val="2F5496" w:themeColor="accent5" w:themeShade="BF"/>
          <w:szCs w:val="21"/>
        </w:rPr>
        <w:t xml:space="preserve">: </w:t>
      </w:r>
      <w:r>
        <w:rPr>
          <w:rFonts w:ascii="Times New Roman" w:hAnsi="Times New Roman" w:cs="Times New Roman"/>
          <w:b/>
          <w:color w:val="2F5496" w:themeColor="accent5" w:themeShade="BF"/>
          <w:szCs w:val="21"/>
          <w:u w:val="single"/>
        </w:rPr>
        <w:t>Medidas adoptadas por el MIMP</w:t>
      </w:r>
      <w:r w:rsidR="003F79E1">
        <w:rPr>
          <w:rFonts w:ascii="Times New Roman" w:hAnsi="Times New Roman" w:cs="Times New Roman"/>
          <w:b/>
          <w:color w:val="2F5496" w:themeColor="accent5" w:themeShade="BF"/>
          <w:szCs w:val="21"/>
          <w:u w:val="single"/>
        </w:rPr>
        <w:t xml:space="preserve"> para prevenir y erradicar el trabajo infantil</w:t>
      </w:r>
    </w:p>
    <w:p w:rsidR="002E1679" w:rsidRPr="00592B99" w:rsidRDefault="002E1679" w:rsidP="00592B99">
      <w:pPr>
        <w:jc w:val="center"/>
        <w:rPr>
          <w:rFonts w:ascii="Times New Roman" w:hAnsi="Times New Roman" w:cs="Times New Roman"/>
          <w:b/>
          <w:color w:val="2F5496" w:themeColor="accent5" w:themeShade="BF"/>
          <w:szCs w:val="21"/>
          <w:u w:val="single"/>
        </w:rPr>
      </w:pPr>
    </w:p>
    <w:tbl>
      <w:tblPr>
        <w:tblStyle w:val="Tabladecuadrcula4-nfasis1"/>
        <w:tblW w:w="9639" w:type="dxa"/>
        <w:tblInd w:w="-572" w:type="dxa"/>
        <w:tblLook w:val="04A0" w:firstRow="1" w:lastRow="0" w:firstColumn="1" w:lastColumn="0" w:noHBand="0" w:noVBand="1"/>
      </w:tblPr>
      <w:tblGrid>
        <w:gridCol w:w="4111"/>
        <w:gridCol w:w="5528"/>
      </w:tblGrid>
      <w:tr w:rsidR="00592B99" w:rsidRPr="003C2271" w:rsidTr="005008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rsidR="00592B99" w:rsidRPr="003C2271" w:rsidRDefault="00592B99" w:rsidP="005008F0">
            <w:pPr>
              <w:jc w:val="center"/>
              <w:rPr>
                <w:rFonts w:ascii="Times New Roman" w:hAnsi="Times New Roman" w:cs="Times New Roman"/>
                <w:sz w:val="21"/>
                <w:szCs w:val="21"/>
              </w:rPr>
            </w:pPr>
            <w:r w:rsidRPr="003C2271">
              <w:rPr>
                <w:rFonts w:ascii="Times New Roman" w:hAnsi="Times New Roman" w:cs="Times New Roman"/>
                <w:sz w:val="21"/>
                <w:szCs w:val="21"/>
              </w:rPr>
              <w:t>Medidas adoptadas</w:t>
            </w:r>
          </w:p>
        </w:tc>
        <w:tc>
          <w:tcPr>
            <w:tcW w:w="5528" w:type="dxa"/>
          </w:tcPr>
          <w:p w:rsidR="00592B99" w:rsidRPr="003C2271" w:rsidRDefault="00592B99" w:rsidP="005008F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Resultados</w:t>
            </w:r>
          </w:p>
        </w:tc>
      </w:tr>
      <w:tr w:rsidR="00592B99" w:rsidRPr="003C2271" w:rsidTr="005008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rsidR="00592B99" w:rsidRPr="003C2271" w:rsidRDefault="00592B99" w:rsidP="005008F0">
            <w:pPr>
              <w:rPr>
                <w:rFonts w:ascii="Times New Roman" w:hAnsi="Times New Roman" w:cs="Times New Roman"/>
                <w:sz w:val="21"/>
                <w:szCs w:val="21"/>
              </w:rPr>
            </w:pPr>
            <w:r w:rsidRPr="003C2271">
              <w:rPr>
                <w:rFonts w:ascii="Times New Roman" w:hAnsi="Times New Roman" w:cs="Times New Roman"/>
                <w:sz w:val="21"/>
                <w:szCs w:val="21"/>
              </w:rPr>
              <w:t>2012</w:t>
            </w:r>
          </w:p>
          <w:p w:rsidR="00592B99" w:rsidRPr="003C2271" w:rsidRDefault="003F79E1" w:rsidP="005008F0">
            <w:pPr>
              <w:rPr>
                <w:rFonts w:ascii="Times New Roman" w:hAnsi="Times New Roman" w:cs="Times New Roman"/>
                <w:b w:val="0"/>
                <w:sz w:val="21"/>
                <w:szCs w:val="21"/>
              </w:rPr>
            </w:pPr>
            <w:r w:rsidRPr="003C2271">
              <w:rPr>
                <w:rFonts w:ascii="Times New Roman" w:hAnsi="Times New Roman" w:cs="Times New Roman"/>
                <w:sz w:val="21"/>
                <w:szCs w:val="21"/>
              </w:rPr>
              <w:t xml:space="preserve">Programa Nacional </w:t>
            </w:r>
            <w:proofErr w:type="spellStart"/>
            <w:r w:rsidRPr="003C2271">
              <w:rPr>
                <w:rFonts w:ascii="Times New Roman" w:hAnsi="Times New Roman" w:cs="Times New Roman"/>
                <w:sz w:val="21"/>
                <w:szCs w:val="21"/>
              </w:rPr>
              <w:t>Ll</w:t>
            </w:r>
            <w:r w:rsidR="00592B99" w:rsidRPr="003C2271">
              <w:rPr>
                <w:rFonts w:ascii="Times New Roman" w:hAnsi="Times New Roman" w:cs="Times New Roman"/>
                <w:sz w:val="21"/>
                <w:szCs w:val="21"/>
              </w:rPr>
              <w:t>achay</w:t>
            </w:r>
            <w:proofErr w:type="spellEnd"/>
            <w:r w:rsidR="00592B99" w:rsidRPr="003C2271">
              <w:rPr>
                <w:rFonts w:ascii="Times New Roman" w:hAnsi="Times New Roman" w:cs="Times New Roman"/>
                <w:sz w:val="21"/>
                <w:szCs w:val="21"/>
              </w:rPr>
              <w:t xml:space="preserve"> (</w:t>
            </w:r>
            <w:r w:rsidR="00592B99" w:rsidRPr="003C2271">
              <w:rPr>
                <w:rFonts w:ascii="Times New Roman" w:hAnsi="Times New Roman" w:cs="Times New Roman"/>
                <w:b w:val="0"/>
                <w:sz w:val="21"/>
                <w:szCs w:val="21"/>
              </w:rPr>
              <w:t>Aprobado mediante Decreto Supremo N° 005-2012-MIMP)</w:t>
            </w:r>
          </w:p>
          <w:p w:rsidR="00592B99" w:rsidRPr="003C2271" w:rsidRDefault="00592B99" w:rsidP="005008F0">
            <w:pPr>
              <w:rPr>
                <w:rFonts w:ascii="Times New Roman" w:hAnsi="Times New Roman" w:cs="Times New Roman"/>
                <w:sz w:val="21"/>
                <w:szCs w:val="21"/>
              </w:rPr>
            </w:pPr>
          </w:p>
          <w:p w:rsidR="00592B99" w:rsidRPr="003C2271" w:rsidRDefault="00592B99" w:rsidP="005008F0">
            <w:pPr>
              <w:rPr>
                <w:rFonts w:ascii="Times New Roman" w:hAnsi="Times New Roman" w:cs="Times New Roman"/>
                <w:b w:val="0"/>
                <w:sz w:val="21"/>
                <w:szCs w:val="21"/>
              </w:rPr>
            </w:pPr>
            <w:r w:rsidRPr="003C2271">
              <w:rPr>
                <w:rFonts w:ascii="Times New Roman" w:hAnsi="Times New Roman" w:cs="Times New Roman"/>
                <w:b w:val="0"/>
                <w:sz w:val="21"/>
                <w:szCs w:val="21"/>
              </w:rPr>
              <w:t>Único programa especializado en la atención del trabajo infantil y adolescente en situación de calle, cuyo objetivo es hacer que disminuya la exposición a riesgos de los niños, niñas y adolescentes que permanecen en la calle</w:t>
            </w:r>
          </w:p>
          <w:p w:rsidR="00592B99" w:rsidRPr="003C2271" w:rsidRDefault="00592B99" w:rsidP="003F79E1">
            <w:pPr>
              <w:rPr>
                <w:rFonts w:ascii="Times New Roman" w:hAnsi="Times New Roman" w:cs="Times New Roman"/>
                <w:b w:val="0"/>
                <w:sz w:val="21"/>
                <w:szCs w:val="21"/>
              </w:rPr>
            </w:pPr>
          </w:p>
        </w:tc>
        <w:tc>
          <w:tcPr>
            <w:tcW w:w="5528" w:type="dxa"/>
          </w:tcPr>
          <w:p w:rsidR="00592B99" w:rsidRPr="003C2271" w:rsidRDefault="00592B99" w:rsidP="005008F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1"/>
                <w:szCs w:val="21"/>
              </w:rPr>
            </w:pPr>
            <w:r w:rsidRPr="003C2271">
              <w:rPr>
                <w:rFonts w:ascii="Times New Roman" w:hAnsi="Times New Roman" w:cs="Times New Roman"/>
                <w:b/>
                <w:sz w:val="21"/>
                <w:szCs w:val="21"/>
              </w:rPr>
              <w:t>2015:</w:t>
            </w:r>
          </w:p>
          <w:p w:rsidR="00592B99" w:rsidRPr="003C2271" w:rsidRDefault="00592B99" w:rsidP="005008F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Atención a 6,518 niñas, niños y adolescentes (3,114 mujeres y 3,404 varones)</w:t>
            </w:r>
          </w:p>
          <w:p w:rsidR="00592B99" w:rsidRPr="003C2271" w:rsidRDefault="00592B99" w:rsidP="005008F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p>
          <w:p w:rsidR="00592B99" w:rsidRPr="003C2271" w:rsidRDefault="00592B99" w:rsidP="005008F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1"/>
                <w:szCs w:val="21"/>
              </w:rPr>
            </w:pPr>
            <w:r w:rsidRPr="003C2271">
              <w:rPr>
                <w:rFonts w:ascii="Times New Roman" w:hAnsi="Times New Roman" w:cs="Times New Roman"/>
                <w:b/>
                <w:sz w:val="21"/>
                <w:szCs w:val="21"/>
              </w:rPr>
              <w:t>A julio de 2016:</w:t>
            </w:r>
          </w:p>
          <w:p w:rsidR="00592B99" w:rsidRPr="003C2271" w:rsidRDefault="00592B99" w:rsidP="005008F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Atención a 66,463 niñas, niños y adolescentes (2247 mujeres y 2556 varones)</w:t>
            </w:r>
          </w:p>
        </w:tc>
      </w:tr>
      <w:tr w:rsidR="00592B99" w:rsidRPr="003C2271" w:rsidTr="005008F0">
        <w:tc>
          <w:tcPr>
            <w:cnfStyle w:val="001000000000" w:firstRow="0" w:lastRow="0" w:firstColumn="1" w:lastColumn="0" w:oddVBand="0" w:evenVBand="0" w:oddHBand="0" w:evenHBand="0" w:firstRowFirstColumn="0" w:firstRowLastColumn="0" w:lastRowFirstColumn="0" w:lastRowLastColumn="0"/>
            <w:tcW w:w="4111" w:type="dxa"/>
          </w:tcPr>
          <w:p w:rsidR="00592B99" w:rsidRPr="003C2271" w:rsidRDefault="00592B99" w:rsidP="005008F0">
            <w:pPr>
              <w:rPr>
                <w:rFonts w:ascii="Times New Roman" w:hAnsi="Times New Roman" w:cs="Times New Roman"/>
                <w:sz w:val="21"/>
                <w:szCs w:val="21"/>
              </w:rPr>
            </w:pPr>
            <w:r w:rsidRPr="003C2271">
              <w:rPr>
                <w:rFonts w:ascii="Times New Roman" w:hAnsi="Times New Roman" w:cs="Times New Roman"/>
                <w:sz w:val="21"/>
                <w:szCs w:val="21"/>
              </w:rPr>
              <w:t>2013</w:t>
            </w:r>
          </w:p>
          <w:p w:rsidR="00592B99" w:rsidRPr="003C2271" w:rsidRDefault="00592B99" w:rsidP="005008F0">
            <w:pPr>
              <w:rPr>
                <w:rFonts w:ascii="Times New Roman" w:hAnsi="Times New Roman" w:cs="Times New Roman"/>
                <w:b w:val="0"/>
                <w:sz w:val="21"/>
                <w:szCs w:val="21"/>
              </w:rPr>
            </w:pPr>
            <w:r w:rsidRPr="003C2271">
              <w:rPr>
                <w:rFonts w:ascii="Times New Roman" w:hAnsi="Times New Roman" w:cs="Times New Roman"/>
                <w:sz w:val="21"/>
                <w:szCs w:val="21"/>
              </w:rPr>
              <w:t>Propuesta de intervención piloto</w:t>
            </w:r>
            <w:r w:rsidRPr="003C2271">
              <w:rPr>
                <w:rFonts w:ascii="Times New Roman" w:hAnsi="Times New Roman" w:cs="Times New Roman"/>
                <w:b w:val="0"/>
                <w:sz w:val="21"/>
                <w:szCs w:val="21"/>
              </w:rPr>
              <w:t>, de manera conjunta con la ONG “Centro de Estudios Sociales y Publicaciones- CESIP”</w:t>
            </w:r>
          </w:p>
          <w:p w:rsidR="00592B99" w:rsidRPr="003C2271" w:rsidRDefault="00592B99" w:rsidP="005008F0">
            <w:pPr>
              <w:rPr>
                <w:rFonts w:ascii="Times New Roman" w:hAnsi="Times New Roman" w:cs="Times New Roman"/>
                <w:b w:val="0"/>
                <w:sz w:val="21"/>
                <w:szCs w:val="21"/>
              </w:rPr>
            </w:pPr>
          </w:p>
          <w:p w:rsidR="00592B99" w:rsidRPr="003C2271" w:rsidRDefault="00592B99" w:rsidP="005008F0">
            <w:pPr>
              <w:rPr>
                <w:rFonts w:ascii="Times New Roman" w:hAnsi="Times New Roman" w:cs="Times New Roman"/>
                <w:b w:val="0"/>
                <w:sz w:val="21"/>
                <w:szCs w:val="21"/>
              </w:rPr>
            </w:pPr>
            <w:r w:rsidRPr="003C2271">
              <w:rPr>
                <w:rFonts w:ascii="Times New Roman" w:hAnsi="Times New Roman" w:cs="Times New Roman"/>
                <w:b w:val="0"/>
                <w:sz w:val="21"/>
                <w:szCs w:val="21"/>
              </w:rPr>
              <w:t>Tiene el objetivo de promover el registro como un mecanismo de protección dirigido al trabajo adolescente doméstico (TAD) por parte de la DEMUNDA</w:t>
            </w:r>
            <w:r w:rsidR="003F79E1" w:rsidRPr="003C2271">
              <w:rPr>
                <w:rFonts w:ascii="Times New Roman" w:hAnsi="Times New Roman" w:cs="Times New Roman"/>
                <w:b w:val="0"/>
                <w:sz w:val="21"/>
                <w:szCs w:val="21"/>
              </w:rPr>
              <w:t>.</w:t>
            </w:r>
          </w:p>
        </w:tc>
        <w:tc>
          <w:tcPr>
            <w:tcW w:w="5528" w:type="dxa"/>
          </w:tcPr>
          <w:p w:rsidR="00592B99" w:rsidRPr="003C2271" w:rsidRDefault="00592B99" w:rsidP="005008F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1"/>
                <w:szCs w:val="21"/>
              </w:rPr>
            </w:pPr>
            <w:r w:rsidRPr="003C2271">
              <w:rPr>
                <w:rFonts w:ascii="Times New Roman" w:hAnsi="Times New Roman" w:cs="Times New Roman"/>
                <w:b/>
                <w:sz w:val="21"/>
                <w:szCs w:val="21"/>
              </w:rPr>
              <w:t>2015:</w:t>
            </w:r>
          </w:p>
          <w:p w:rsidR="00592B99" w:rsidRPr="003C2271" w:rsidRDefault="00592B99" w:rsidP="005008F0">
            <w:pPr>
              <w:tabs>
                <w:tab w:val="left" w:pos="142"/>
                <w:tab w:val="left" w:pos="993"/>
                <w:tab w:val="left" w:pos="1134"/>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(i)</w:t>
            </w:r>
            <w:r w:rsidR="003F79E1" w:rsidRPr="003C2271">
              <w:rPr>
                <w:rFonts w:ascii="Times New Roman" w:hAnsi="Times New Roman" w:cs="Times New Roman"/>
                <w:sz w:val="21"/>
                <w:szCs w:val="21"/>
              </w:rPr>
              <w:t xml:space="preserve"> R</w:t>
            </w:r>
            <w:r w:rsidRPr="003C2271">
              <w:rPr>
                <w:rFonts w:ascii="Times New Roman" w:hAnsi="Times New Roman" w:cs="Times New Roman"/>
                <w:sz w:val="21"/>
                <w:szCs w:val="21"/>
              </w:rPr>
              <w:t>egistro de las adolescentes trabajadoras del hogar y corroboración del vínculo laboral, pero no las condiciones laborales en que se desenvolvía dicha labor.</w:t>
            </w:r>
          </w:p>
          <w:p w:rsidR="00592B99" w:rsidRPr="003C2271" w:rsidRDefault="00592B99" w:rsidP="005008F0">
            <w:pPr>
              <w:tabs>
                <w:tab w:val="left" w:pos="142"/>
                <w:tab w:val="left" w:pos="993"/>
                <w:tab w:val="left" w:pos="1134"/>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p>
          <w:p w:rsidR="00592B99" w:rsidRPr="003C2271" w:rsidRDefault="00592B99" w:rsidP="005008F0">
            <w:pPr>
              <w:tabs>
                <w:tab w:val="left" w:pos="142"/>
                <w:tab w:val="left" w:pos="993"/>
                <w:tab w:val="left" w:pos="1134"/>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(ii) En Lima, se mejoró la relación entre la adolescente trabajadora del hogar y la empleadora, pero en provincias existieron otras condiciones que ameritaron la articulación con otras instituciones al denotarse situaciones de abuso, explotación y abandono, y</w:t>
            </w:r>
          </w:p>
          <w:p w:rsidR="00592B99" w:rsidRPr="003C2271" w:rsidRDefault="00592B99" w:rsidP="005008F0">
            <w:pPr>
              <w:tabs>
                <w:tab w:val="left" w:pos="142"/>
                <w:tab w:val="left" w:pos="993"/>
                <w:tab w:val="left" w:pos="1134"/>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 xml:space="preserve"> </w:t>
            </w:r>
          </w:p>
          <w:p w:rsidR="00592B99" w:rsidRPr="003C2271" w:rsidRDefault="00592B99" w:rsidP="005008F0">
            <w:pPr>
              <w:tabs>
                <w:tab w:val="left" w:pos="142"/>
                <w:tab w:val="left" w:pos="993"/>
                <w:tab w:val="left" w:pos="1134"/>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(iii) Las empleadoras muestran su aceptación a dialogar sobre derechos en salud, educación y protección integral de las adolescentes, siendo renuentes a tocar los temas vinculados a los derechos laborales de estas.</w:t>
            </w:r>
          </w:p>
          <w:p w:rsidR="00592B99" w:rsidRPr="003C2271" w:rsidRDefault="00592B99" w:rsidP="005008F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p>
        </w:tc>
      </w:tr>
      <w:tr w:rsidR="00592B99" w:rsidRPr="003C2271" w:rsidTr="005008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rsidR="00592B99" w:rsidRPr="003C2271" w:rsidRDefault="00592B99" w:rsidP="005008F0">
            <w:pPr>
              <w:rPr>
                <w:rFonts w:ascii="Times New Roman" w:hAnsi="Times New Roman" w:cs="Times New Roman"/>
                <w:sz w:val="21"/>
                <w:szCs w:val="21"/>
              </w:rPr>
            </w:pPr>
            <w:r w:rsidRPr="003C2271">
              <w:rPr>
                <w:rFonts w:ascii="Times New Roman" w:hAnsi="Times New Roman" w:cs="Times New Roman"/>
                <w:sz w:val="21"/>
                <w:szCs w:val="21"/>
              </w:rPr>
              <w:t>2015</w:t>
            </w:r>
          </w:p>
          <w:p w:rsidR="00592B99" w:rsidRPr="003C2271" w:rsidRDefault="00592B99" w:rsidP="005008F0">
            <w:pPr>
              <w:rPr>
                <w:rFonts w:ascii="Times New Roman" w:hAnsi="Times New Roman" w:cs="Times New Roman"/>
                <w:b w:val="0"/>
                <w:sz w:val="21"/>
                <w:szCs w:val="21"/>
              </w:rPr>
            </w:pPr>
            <w:r w:rsidRPr="003C2271">
              <w:rPr>
                <w:rFonts w:ascii="Times New Roman" w:hAnsi="Times New Roman" w:cs="Times New Roman"/>
                <w:b w:val="0"/>
                <w:sz w:val="21"/>
                <w:szCs w:val="21"/>
              </w:rPr>
              <w:t xml:space="preserve">Fundación Telefónica transfirió al MIMP la metodología denominada </w:t>
            </w:r>
            <w:r w:rsidRPr="003C2271">
              <w:rPr>
                <w:rFonts w:ascii="Times New Roman" w:hAnsi="Times New Roman" w:cs="Times New Roman"/>
                <w:sz w:val="21"/>
                <w:szCs w:val="21"/>
              </w:rPr>
              <w:t>“Aprendiendo a Pensar en Trabajo Infantil”</w:t>
            </w:r>
            <w:r w:rsidRPr="003C2271">
              <w:rPr>
                <w:rFonts w:ascii="Times New Roman" w:hAnsi="Times New Roman" w:cs="Times New Roman"/>
                <w:b w:val="0"/>
                <w:sz w:val="21"/>
                <w:szCs w:val="21"/>
              </w:rPr>
              <w:t xml:space="preserve"> </w:t>
            </w:r>
          </w:p>
          <w:p w:rsidR="00592B99" w:rsidRPr="003C2271" w:rsidRDefault="00592B99" w:rsidP="005008F0">
            <w:pPr>
              <w:rPr>
                <w:rFonts w:ascii="Times New Roman" w:hAnsi="Times New Roman" w:cs="Times New Roman"/>
                <w:b w:val="0"/>
                <w:sz w:val="21"/>
                <w:szCs w:val="21"/>
              </w:rPr>
            </w:pPr>
          </w:p>
        </w:tc>
        <w:tc>
          <w:tcPr>
            <w:tcW w:w="5528" w:type="dxa"/>
          </w:tcPr>
          <w:p w:rsidR="00592B99" w:rsidRPr="003C2271" w:rsidRDefault="00592B99" w:rsidP="005008F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 xml:space="preserve">-La metodología fue validada y premiada internacionalmente por mostrar resultados favorables en la reversión de las decisiones familiares que exponen a los niños, niñas y adolescentes al trabajo infantil. </w:t>
            </w:r>
          </w:p>
          <w:p w:rsidR="00592B99" w:rsidRPr="003C2271" w:rsidRDefault="00592B99" w:rsidP="005008F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p>
          <w:p w:rsidR="00592B99" w:rsidRPr="003C2271" w:rsidRDefault="00592B99" w:rsidP="005008F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-Se emitió una propuesta de registro del trabajo adolescente en 6 distritos de Lima Metropolitana.</w:t>
            </w:r>
          </w:p>
        </w:tc>
      </w:tr>
      <w:tr w:rsidR="00592B99" w:rsidRPr="003C2271" w:rsidTr="005008F0">
        <w:tc>
          <w:tcPr>
            <w:cnfStyle w:val="001000000000" w:firstRow="0" w:lastRow="0" w:firstColumn="1" w:lastColumn="0" w:oddVBand="0" w:evenVBand="0" w:oddHBand="0" w:evenHBand="0" w:firstRowFirstColumn="0" w:firstRowLastColumn="0" w:lastRowFirstColumn="0" w:lastRowLastColumn="0"/>
            <w:tcW w:w="4111" w:type="dxa"/>
          </w:tcPr>
          <w:p w:rsidR="00592B99" w:rsidRPr="003C2271" w:rsidRDefault="00592B99" w:rsidP="005008F0">
            <w:pPr>
              <w:rPr>
                <w:rFonts w:ascii="Times New Roman" w:hAnsi="Times New Roman" w:cs="Times New Roman"/>
                <w:sz w:val="21"/>
                <w:szCs w:val="21"/>
              </w:rPr>
            </w:pPr>
            <w:r w:rsidRPr="003C2271">
              <w:rPr>
                <w:rFonts w:ascii="Times New Roman" w:hAnsi="Times New Roman" w:cs="Times New Roman"/>
                <w:sz w:val="21"/>
                <w:szCs w:val="21"/>
              </w:rPr>
              <w:t>2016</w:t>
            </w:r>
          </w:p>
          <w:p w:rsidR="00592B99" w:rsidRPr="003C2271" w:rsidRDefault="00592B99" w:rsidP="005008F0">
            <w:pPr>
              <w:rPr>
                <w:rFonts w:ascii="Times New Roman" w:hAnsi="Times New Roman" w:cs="Times New Roman"/>
                <w:sz w:val="21"/>
                <w:szCs w:val="21"/>
              </w:rPr>
            </w:pPr>
            <w:r w:rsidRPr="003C2271">
              <w:rPr>
                <w:rFonts w:ascii="Times New Roman" w:hAnsi="Times New Roman" w:cs="Times New Roman"/>
                <w:b w:val="0"/>
                <w:sz w:val="21"/>
                <w:szCs w:val="21"/>
              </w:rPr>
              <w:t>Participación en la elaboración del</w:t>
            </w:r>
            <w:r w:rsidRPr="003C2271">
              <w:rPr>
                <w:rFonts w:ascii="Times New Roman" w:hAnsi="Times New Roman" w:cs="Times New Roman"/>
                <w:sz w:val="21"/>
                <w:szCs w:val="21"/>
              </w:rPr>
              <w:t xml:space="preserve"> “Plan Anual de Acción Sectorial frente a actos de discriminación y violencia de género que afecten a las y los trabajadoras/es del hogar, así como frente al trabajo doméstico que realizan niñas, niños y adolescentes”</w:t>
            </w:r>
          </w:p>
        </w:tc>
        <w:tc>
          <w:tcPr>
            <w:tcW w:w="5528" w:type="dxa"/>
          </w:tcPr>
          <w:p w:rsidR="00592B99" w:rsidRPr="003C2271" w:rsidRDefault="00592B99" w:rsidP="005008F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1"/>
                <w:szCs w:val="21"/>
              </w:rPr>
            </w:pPr>
            <w:r w:rsidRPr="003C2271">
              <w:rPr>
                <w:rFonts w:ascii="Times New Roman" w:hAnsi="Times New Roman" w:cs="Times New Roman"/>
                <w:b/>
                <w:sz w:val="21"/>
                <w:szCs w:val="21"/>
              </w:rPr>
              <w:t>2016</w:t>
            </w:r>
          </w:p>
          <w:p w:rsidR="00592B99" w:rsidRPr="003C2271" w:rsidRDefault="00592B99" w:rsidP="005008F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3C2271">
              <w:rPr>
                <w:rFonts w:ascii="Times New Roman" w:hAnsi="Times New Roman" w:cs="Times New Roman"/>
                <w:sz w:val="21"/>
                <w:szCs w:val="21"/>
              </w:rPr>
              <w:t>Mediante Resolución Ministerial N° 154-2016-MIMP, se aprobó el referido Plan, mediante el cual se establecen las medidas que deben adoptarse para promover los derechos de los afectados.</w:t>
            </w:r>
          </w:p>
        </w:tc>
      </w:tr>
    </w:tbl>
    <w:p w:rsidR="00592B99" w:rsidRPr="003C2271" w:rsidRDefault="00592B99">
      <w:pPr>
        <w:rPr>
          <w:rFonts w:ascii="Times New Roman" w:hAnsi="Times New Roman" w:cs="Times New Roman"/>
          <w:sz w:val="20"/>
          <w:szCs w:val="20"/>
        </w:rPr>
      </w:pPr>
    </w:p>
    <w:p w:rsidR="00592B99" w:rsidRPr="003C2271" w:rsidRDefault="00592B99">
      <w:pPr>
        <w:rPr>
          <w:rFonts w:ascii="Times New Roman" w:hAnsi="Times New Roman" w:cs="Times New Roman"/>
          <w:sz w:val="20"/>
          <w:szCs w:val="20"/>
        </w:rPr>
      </w:pPr>
      <w:r w:rsidRPr="003C2271">
        <w:rPr>
          <w:rFonts w:ascii="Times New Roman" w:hAnsi="Times New Roman" w:cs="Times New Roman"/>
          <w:b/>
          <w:sz w:val="20"/>
          <w:szCs w:val="20"/>
        </w:rPr>
        <w:t>Fuente:</w:t>
      </w:r>
      <w:r w:rsidRPr="003C2271">
        <w:rPr>
          <w:rFonts w:ascii="Times New Roman" w:hAnsi="Times New Roman" w:cs="Times New Roman"/>
          <w:sz w:val="20"/>
          <w:szCs w:val="20"/>
        </w:rPr>
        <w:t xml:space="preserve"> Informe N° 063-2016-MIMP-DGNNA-OAAA, de fecha 17.10.2016</w:t>
      </w:r>
    </w:p>
    <w:p w:rsidR="002E1679" w:rsidRDefault="002E1679">
      <w:pPr>
        <w:rPr>
          <w:rFonts w:ascii="Times New Roman" w:hAnsi="Times New Roman" w:cs="Times New Roman"/>
        </w:rPr>
      </w:pPr>
    </w:p>
    <w:p w:rsidR="002E1679" w:rsidRDefault="002E1679">
      <w:pPr>
        <w:rPr>
          <w:rFonts w:ascii="Times New Roman" w:hAnsi="Times New Roman" w:cs="Times New Roman"/>
        </w:rPr>
      </w:pPr>
    </w:p>
    <w:p w:rsidR="002E1679" w:rsidRDefault="002E1679">
      <w:pPr>
        <w:rPr>
          <w:rFonts w:ascii="Times New Roman" w:hAnsi="Times New Roman" w:cs="Times New Roman"/>
        </w:rPr>
      </w:pPr>
    </w:p>
    <w:p w:rsidR="002E1679" w:rsidRDefault="002E1679">
      <w:pPr>
        <w:rPr>
          <w:rFonts w:ascii="Times New Roman" w:hAnsi="Times New Roman" w:cs="Times New Roman"/>
        </w:rPr>
      </w:pPr>
    </w:p>
    <w:p w:rsidR="003C2271" w:rsidRDefault="003C2271" w:rsidP="002E1679">
      <w:pPr>
        <w:jc w:val="center"/>
        <w:rPr>
          <w:rFonts w:ascii="Times New Roman" w:hAnsi="Times New Roman" w:cs="Times New Roman"/>
          <w:b/>
          <w:color w:val="2F5496" w:themeColor="accent5" w:themeShade="BF"/>
          <w:szCs w:val="21"/>
          <w:u w:val="single"/>
        </w:rPr>
      </w:pPr>
    </w:p>
    <w:p w:rsidR="003C2271" w:rsidRDefault="003C2271" w:rsidP="002E1679">
      <w:pPr>
        <w:jc w:val="center"/>
        <w:rPr>
          <w:rFonts w:ascii="Times New Roman" w:hAnsi="Times New Roman" w:cs="Times New Roman"/>
          <w:b/>
          <w:color w:val="2F5496" w:themeColor="accent5" w:themeShade="BF"/>
          <w:szCs w:val="21"/>
          <w:u w:val="single"/>
        </w:rPr>
      </w:pPr>
    </w:p>
    <w:p w:rsidR="002E1679" w:rsidRDefault="003C2271" w:rsidP="002E1679">
      <w:pPr>
        <w:jc w:val="center"/>
        <w:rPr>
          <w:rFonts w:ascii="Times New Roman" w:hAnsi="Times New Roman" w:cs="Times New Roman"/>
          <w:b/>
          <w:color w:val="2F5496" w:themeColor="accent5" w:themeShade="BF"/>
          <w:szCs w:val="21"/>
          <w:u w:val="single"/>
        </w:rPr>
      </w:pPr>
      <w:r>
        <w:rPr>
          <w:rFonts w:ascii="Times New Roman" w:hAnsi="Times New Roman" w:cs="Times New Roman"/>
          <w:b/>
          <w:color w:val="2F5496" w:themeColor="accent5" w:themeShade="BF"/>
          <w:szCs w:val="21"/>
          <w:u w:val="single"/>
        </w:rPr>
        <w:t>Tabla N° 3</w:t>
      </w:r>
      <w:r w:rsidR="002E1679" w:rsidRPr="008A2AB0">
        <w:rPr>
          <w:rFonts w:ascii="Times New Roman" w:hAnsi="Times New Roman" w:cs="Times New Roman"/>
          <w:b/>
          <w:color w:val="2F5496" w:themeColor="accent5" w:themeShade="BF"/>
          <w:szCs w:val="21"/>
        </w:rPr>
        <w:t xml:space="preserve">: </w:t>
      </w:r>
      <w:r>
        <w:rPr>
          <w:rFonts w:ascii="Times New Roman" w:hAnsi="Times New Roman" w:cs="Times New Roman"/>
          <w:b/>
          <w:color w:val="2F5496" w:themeColor="accent5" w:themeShade="BF"/>
          <w:szCs w:val="21"/>
          <w:u w:val="single"/>
        </w:rPr>
        <w:t>Principales acciones desarrolladas con relación al Segundo Plan Nacional contra el Trabajo Forzoso 2013-2017</w:t>
      </w:r>
    </w:p>
    <w:p w:rsidR="002E1679" w:rsidRDefault="002E1679">
      <w:pPr>
        <w:rPr>
          <w:rFonts w:ascii="Times New Roman" w:hAnsi="Times New Roman" w:cs="Times New Roman"/>
        </w:rPr>
      </w:pPr>
    </w:p>
    <w:p w:rsidR="003C2271" w:rsidRDefault="003C2271">
      <w:pPr>
        <w:rPr>
          <w:rFonts w:ascii="Times New Roman" w:hAnsi="Times New Roman" w:cs="Times New Roman"/>
        </w:rPr>
      </w:pPr>
    </w:p>
    <w:tbl>
      <w:tblPr>
        <w:tblStyle w:val="Tablaconcuadrcula"/>
        <w:tblW w:w="0" w:type="auto"/>
        <w:tblLook w:val="04A0" w:firstRow="1" w:lastRow="0" w:firstColumn="1" w:lastColumn="0" w:noHBand="0" w:noVBand="1"/>
      </w:tblPr>
      <w:tblGrid>
        <w:gridCol w:w="8494"/>
      </w:tblGrid>
      <w:tr w:rsidR="002E1679" w:rsidRPr="003C2271" w:rsidTr="005008F0">
        <w:tc>
          <w:tcPr>
            <w:tcW w:w="8494" w:type="dxa"/>
            <w:shd w:val="clear" w:color="auto" w:fill="F7CAAC" w:themeFill="accent2" w:themeFillTint="66"/>
          </w:tcPr>
          <w:p w:rsidR="002E1679" w:rsidRPr="003C2271" w:rsidRDefault="002E1679" w:rsidP="005008F0">
            <w:pPr>
              <w:jc w:val="center"/>
              <w:rPr>
                <w:rFonts w:ascii="Times New Roman" w:hAnsi="Times New Roman" w:cs="Times New Roman"/>
                <w:b/>
                <w:sz w:val="21"/>
                <w:szCs w:val="21"/>
              </w:rPr>
            </w:pPr>
            <w:r w:rsidRPr="003C2271">
              <w:rPr>
                <w:rFonts w:ascii="Times New Roman" w:hAnsi="Times New Roman" w:cs="Times New Roman"/>
                <w:b/>
                <w:sz w:val="21"/>
                <w:szCs w:val="21"/>
              </w:rPr>
              <w:t>Acciones adoptadas con relación al Segundo Plan Nacional contra el Trabajo Forzoso 2013-2017</w:t>
            </w:r>
          </w:p>
        </w:tc>
      </w:tr>
      <w:tr w:rsidR="002E1679" w:rsidRPr="003C2271" w:rsidTr="005008F0">
        <w:tc>
          <w:tcPr>
            <w:tcW w:w="8494" w:type="dxa"/>
          </w:tcPr>
          <w:p w:rsidR="002E1679" w:rsidRPr="003C2271" w:rsidRDefault="002E1679" w:rsidP="005008F0">
            <w:pPr>
              <w:tabs>
                <w:tab w:val="left" w:pos="851"/>
                <w:tab w:val="left" w:pos="993"/>
              </w:tabs>
              <w:jc w:val="both"/>
              <w:rPr>
                <w:rFonts w:ascii="Times New Roman" w:hAnsi="Times New Roman" w:cs="Times New Roman"/>
                <w:sz w:val="21"/>
                <w:szCs w:val="21"/>
              </w:rPr>
            </w:pPr>
            <w:r w:rsidRPr="003C2271">
              <w:rPr>
                <w:rFonts w:ascii="Times New Roman" w:hAnsi="Times New Roman" w:cs="Times New Roman"/>
                <w:sz w:val="21"/>
                <w:szCs w:val="21"/>
              </w:rPr>
              <w:t>Se realizaron actividades, a nivel nacional y regional, de difusión y comunicación interinstitucionales, tales como talleres y capacitaciones, videoconferencias a las diversas entidades públicas, organizaciones de empleadores y trabajadores.</w:t>
            </w:r>
          </w:p>
          <w:p w:rsidR="002E1679" w:rsidRPr="003C2271" w:rsidRDefault="002E1679" w:rsidP="005008F0">
            <w:pPr>
              <w:rPr>
                <w:rFonts w:ascii="Times New Roman" w:hAnsi="Times New Roman" w:cs="Times New Roman"/>
                <w:sz w:val="21"/>
                <w:szCs w:val="21"/>
              </w:rPr>
            </w:pPr>
          </w:p>
        </w:tc>
      </w:tr>
      <w:tr w:rsidR="002E1679" w:rsidRPr="003C2271" w:rsidTr="005008F0">
        <w:tc>
          <w:tcPr>
            <w:tcW w:w="8494" w:type="dxa"/>
          </w:tcPr>
          <w:p w:rsidR="002E1679" w:rsidRPr="003C2271" w:rsidRDefault="002E1679" w:rsidP="005008F0">
            <w:pPr>
              <w:tabs>
                <w:tab w:val="left" w:pos="851"/>
                <w:tab w:val="left" w:pos="993"/>
              </w:tabs>
              <w:jc w:val="both"/>
              <w:rPr>
                <w:rFonts w:ascii="Times New Roman" w:hAnsi="Times New Roman" w:cs="Times New Roman"/>
                <w:sz w:val="21"/>
                <w:szCs w:val="21"/>
              </w:rPr>
            </w:pPr>
            <w:r w:rsidRPr="003C2271">
              <w:rPr>
                <w:rFonts w:ascii="Times New Roman" w:hAnsi="Times New Roman" w:cs="Times New Roman"/>
                <w:sz w:val="21"/>
                <w:szCs w:val="21"/>
              </w:rPr>
              <w:t xml:space="preserve">Se han establecido alianzas para brindar una efectiva respuesta frente al trabajo forzoso. </w:t>
            </w:r>
          </w:p>
          <w:p w:rsidR="002E1679" w:rsidRPr="003C2271" w:rsidRDefault="002E1679" w:rsidP="005008F0">
            <w:pPr>
              <w:tabs>
                <w:tab w:val="left" w:pos="851"/>
                <w:tab w:val="left" w:pos="993"/>
              </w:tabs>
              <w:jc w:val="both"/>
              <w:rPr>
                <w:rFonts w:ascii="Times New Roman" w:hAnsi="Times New Roman" w:cs="Times New Roman"/>
                <w:sz w:val="21"/>
                <w:szCs w:val="21"/>
              </w:rPr>
            </w:pPr>
          </w:p>
          <w:p w:rsidR="002E1679" w:rsidRPr="003C2271" w:rsidRDefault="002E1679" w:rsidP="005008F0">
            <w:pPr>
              <w:rPr>
                <w:rFonts w:ascii="Times New Roman" w:hAnsi="Times New Roman" w:cs="Times New Roman"/>
                <w:b/>
                <w:sz w:val="21"/>
                <w:szCs w:val="21"/>
              </w:rPr>
            </w:pPr>
            <w:r w:rsidRPr="003C2271">
              <w:rPr>
                <w:rFonts w:ascii="Times New Roman" w:hAnsi="Times New Roman" w:cs="Times New Roman"/>
                <w:b/>
                <w:sz w:val="21"/>
                <w:szCs w:val="21"/>
              </w:rPr>
              <w:t>2015</w:t>
            </w:r>
          </w:p>
          <w:p w:rsidR="002E1679" w:rsidRPr="003C2271" w:rsidRDefault="002E1679" w:rsidP="005008F0">
            <w:pPr>
              <w:tabs>
                <w:tab w:val="left" w:pos="851"/>
                <w:tab w:val="left" w:pos="993"/>
              </w:tabs>
              <w:jc w:val="both"/>
              <w:rPr>
                <w:rFonts w:ascii="Times New Roman" w:hAnsi="Times New Roman" w:cs="Times New Roman"/>
                <w:sz w:val="21"/>
                <w:szCs w:val="21"/>
              </w:rPr>
            </w:pPr>
            <w:r w:rsidRPr="003C2271">
              <w:rPr>
                <w:rFonts w:ascii="Times New Roman" w:hAnsi="Times New Roman" w:cs="Times New Roman"/>
                <w:sz w:val="21"/>
                <w:szCs w:val="21"/>
              </w:rPr>
              <w:t>Se presentaron los resultados del proyecto “Consolidando y Difundiendo Esfuerzos para Combatir el Trabajo Forzoso en Brasil y Perú”, y se realizaron las consultas tripartitas para la segunda etapa denominada “Del Protocolo a la Práctica: un puente para la acción global contra el trabajo forzoso”, ambas financiadas por el Departamento de Trabajo de los Estados Unidos (USDOL) y ejecutadas por la Organización Internacional del Trabajo.</w:t>
            </w:r>
          </w:p>
          <w:p w:rsidR="002E1679" w:rsidRPr="003C2271" w:rsidRDefault="002E1679" w:rsidP="005008F0">
            <w:pPr>
              <w:tabs>
                <w:tab w:val="left" w:pos="851"/>
                <w:tab w:val="left" w:pos="993"/>
              </w:tabs>
              <w:jc w:val="both"/>
              <w:rPr>
                <w:rFonts w:ascii="Times New Roman" w:hAnsi="Times New Roman" w:cs="Times New Roman"/>
                <w:sz w:val="21"/>
                <w:szCs w:val="21"/>
              </w:rPr>
            </w:pPr>
          </w:p>
        </w:tc>
      </w:tr>
      <w:tr w:rsidR="002E1679" w:rsidRPr="003C2271" w:rsidTr="005008F0">
        <w:tc>
          <w:tcPr>
            <w:tcW w:w="8494" w:type="dxa"/>
          </w:tcPr>
          <w:p w:rsidR="002E1679" w:rsidRPr="003C2271" w:rsidRDefault="002E1679" w:rsidP="005008F0">
            <w:pPr>
              <w:tabs>
                <w:tab w:val="left" w:pos="851"/>
                <w:tab w:val="left" w:pos="993"/>
              </w:tabs>
              <w:jc w:val="both"/>
              <w:rPr>
                <w:rFonts w:ascii="Times New Roman" w:hAnsi="Times New Roman" w:cs="Times New Roman"/>
                <w:b/>
                <w:sz w:val="21"/>
                <w:szCs w:val="21"/>
              </w:rPr>
            </w:pPr>
            <w:r w:rsidRPr="003C2271">
              <w:rPr>
                <w:rFonts w:ascii="Times New Roman" w:hAnsi="Times New Roman" w:cs="Times New Roman"/>
                <w:b/>
                <w:sz w:val="21"/>
                <w:szCs w:val="21"/>
              </w:rPr>
              <w:t xml:space="preserve">En el marco de la Cooperación Sur-Sur entre Brasil y Perú </w:t>
            </w:r>
          </w:p>
          <w:p w:rsidR="002E1679" w:rsidRPr="003C2271" w:rsidRDefault="002E1679" w:rsidP="005008F0">
            <w:pPr>
              <w:tabs>
                <w:tab w:val="left" w:pos="851"/>
                <w:tab w:val="left" w:pos="993"/>
              </w:tabs>
              <w:jc w:val="both"/>
              <w:rPr>
                <w:rFonts w:ascii="Times New Roman" w:hAnsi="Times New Roman" w:cs="Times New Roman"/>
                <w:sz w:val="21"/>
                <w:szCs w:val="21"/>
              </w:rPr>
            </w:pPr>
          </w:p>
          <w:p w:rsidR="002E1679" w:rsidRPr="003C2271" w:rsidRDefault="002E1679" w:rsidP="005008F0">
            <w:pPr>
              <w:tabs>
                <w:tab w:val="left" w:pos="851"/>
                <w:tab w:val="left" w:pos="993"/>
              </w:tabs>
              <w:jc w:val="both"/>
              <w:rPr>
                <w:rFonts w:ascii="Times New Roman" w:hAnsi="Times New Roman" w:cs="Times New Roman"/>
                <w:sz w:val="21"/>
                <w:szCs w:val="21"/>
              </w:rPr>
            </w:pPr>
            <w:r w:rsidRPr="003C2271">
              <w:rPr>
                <w:rFonts w:ascii="Times New Roman" w:hAnsi="Times New Roman" w:cs="Times New Roman"/>
                <w:sz w:val="21"/>
                <w:szCs w:val="21"/>
              </w:rPr>
              <w:t>Se recibió la visita técnica de intercambio de Buenas Prácticas en el combate contra el trabajo forzoso, con la finalidad de fomentar que el gobierno peruano adopte la experiencia de la inspección móvil brasilera de combate al trabajo forzoso de acuerdo con su realidad y necesidades, en el nivel que haya evidencia de trabajo forzoso y trata de personas.</w:t>
            </w:r>
          </w:p>
          <w:p w:rsidR="002E1679" w:rsidRPr="003C2271" w:rsidRDefault="002E1679" w:rsidP="005008F0">
            <w:pPr>
              <w:tabs>
                <w:tab w:val="left" w:pos="851"/>
                <w:tab w:val="left" w:pos="993"/>
              </w:tabs>
              <w:jc w:val="both"/>
              <w:rPr>
                <w:rFonts w:ascii="Times New Roman" w:hAnsi="Times New Roman" w:cs="Times New Roman"/>
                <w:sz w:val="21"/>
                <w:szCs w:val="21"/>
              </w:rPr>
            </w:pPr>
          </w:p>
        </w:tc>
      </w:tr>
      <w:tr w:rsidR="002E1679" w:rsidRPr="003C2271" w:rsidTr="005008F0">
        <w:tc>
          <w:tcPr>
            <w:tcW w:w="8494" w:type="dxa"/>
          </w:tcPr>
          <w:p w:rsidR="002E1679" w:rsidRPr="003C2271" w:rsidRDefault="002E1679" w:rsidP="005008F0">
            <w:pPr>
              <w:tabs>
                <w:tab w:val="left" w:pos="851"/>
                <w:tab w:val="left" w:pos="993"/>
              </w:tabs>
              <w:jc w:val="both"/>
              <w:rPr>
                <w:rFonts w:ascii="Times New Roman" w:hAnsi="Times New Roman" w:cs="Times New Roman"/>
                <w:sz w:val="21"/>
                <w:szCs w:val="21"/>
              </w:rPr>
            </w:pPr>
            <w:r w:rsidRPr="003C2271">
              <w:rPr>
                <w:rFonts w:ascii="Times New Roman" w:hAnsi="Times New Roman" w:cs="Times New Roman"/>
                <w:sz w:val="21"/>
                <w:szCs w:val="21"/>
              </w:rPr>
              <w:t>Aprobación del Protocolo Intersectorial contra el Trabajo Forzoso, mediante Decreto Supremo N° 011-2014-TR</w:t>
            </w:r>
          </w:p>
          <w:p w:rsidR="002E1679" w:rsidRPr="003C2271" w:rsidRDefault="002E1679" w:rsidP="005008F0">
            <w:pPr>
              <w:tabs>
                <w:tab w:val="left" w:pos="851"/>
                <w:tab w:val="left" w:pos="993"/>
              </w:tabs>
              <w:jc w:val="both"/>
              <w:rPr>
                <w:rFonts w:ascii="Times New Roman" w:hAnsi="Times New Roman" w:cs="Times New Roman"/>
                <w:sz w:val="21"/>
                <w:szCs w:val="21"/>
              </w:rPr>
            </w:pPr>
          </w:p>
          <w:p w:rsidR="002E1679" w:rsidRPr="003C2271" w:rsidRDefault="002E1679" w:rsidP="005008F0">
            <w:pPr>
              <w:rPr>
                <w:rFonts w:ascii="Times New Roman" w:hAnsi="Times New Roman" w:cs="Times New Roman"/>
                <w:sz w:val="21"/>
                <w:szCs w:val="21"/>
              </w:rPr>
            </w:pPr>
            <w:r w:rsidRPr="003C2271">
              <w:rPr>
                <w:rFonts w:ascii="Times New Roman" w:hAnsi="Times New Roman" w:cs="Times New Roman"/>
                <w:b/>
                <w:i/>
                <w:sz w:val="21"/>
                <w:szCs w:val="21"/>
              </w:rPr>
              <w:t>(i)</w:t>
            </w:r>
            <w:r w:rsidRPr="003C2271">
              <w:rPr>
                <w:rFonts w:ascii="Times New Roman" w:hAnsi="Times New Roman" w:cs="Times New Roman"/>
                <w:sz w:val="21"/>
                <w:szCs w:val="21"/>
              </w:rPr>
              <w:t xml:space="preserve"> se establece la necesidad de una respuesta articulada de parte de los actores clave; </w:t>
            </w:r>
          </w:p>
          <w:p w:rsidR="002E1679" w:rsidRPr="003C2271" w:rsidRDefault="002E1679" w:rsidP="005008F0">
            <w:pPr>
              <w:rPr>
                <w:rFonts w:ascii="Times New Roman" w:hAnsi="Times New Roman" w:cs="Times New Roman"/>
                <w:sz w:val="21"/>
                <w:szCs w:val="21"/>
              </w:rPr>
            </w:pPr>
          </w:p>
          <w:p w:rsidR="002E1679" w:rsidRPr="003C2271" w:rsidRDefault="002E1679" w:rsidP="005008F0">
            <w:pPr>
              <w:rPr>
                <w:rFonts w:ascii="Times New Roman" w:hAnsi="Times New Roman" w:cs="Times New Roman"/>
                <w:sz w:val="21"/>
                <w:szCs w:val="21"/>
              </w:rPr>
            </w:pPr>
            <w:r w:rsidRPr="003C2271">
              <w:rPr>
                <w:rFonts w:ascii="Times New Roman" w:hAnsi="Times New Roman" w:cs="Times New Roman"/>
                <w:b/>
                <w:i/>
                <w:sz w:val="21"/>
                <w:szCs w:val="21"/>
              </w:rPr>
              <w:t>(ii)</w:t>
            </w:r>
            <w:r w:rsidRPr="003C2271">
              <w:rPr>
                <w:rFonts w:ascii="Times New Roman" w:hAnsi="Times New Roman" w:cs="Times New Roman"/>
                <w:sz w:val="21"/>
                <w:szCs w:val="21"/>
              </w:rPr>
              <w:t xml:space="preserve"> se identifican las acciones sectoriales frente al trabajo forzoso, precisando las gestiones que deben cumplir las instituciones y organizaciones a las que les corresponde prestar servicios a la población vulnerable al trabajo forzoso; </w:t>
            </w:r>
          </w:p>
          <w:p w:rsidR="002E1679" w:rsidRPr="003C2271" w:rsidRDefault="002E1679" w:rsidP="005008F0">
            <w:pPr>
              <w:rPr>
                <w:rFonts w:ascii="Times New Roman" w:hAnsi="Times New Roman" w:cs="Times New Roman"/>
                <w:sz w:val="21"/>
                <w:szCs w:val="21"/>
              </w:rPr>
            </w:pPr>
          </w:p>
          <w:p w:rsidR="002E1679" w:rsidRPr="003C2271" w:rsidRDefault="002E1679" w:rsidP="005008F0">
            <w:pPr>
              <w:rPr>
                <w:rFonts w:ascii="Times New Roman" w:hAnsi="Times New Roman" w:cs="Times New Roman"/>
                <w:sz w:val="21"/>
                <w:szCs w:val="21"/>
              </w:rPr>
            </w:pPr>
            <w:r w:rsidRPr="003C2271">
              <w:rPr>
                <w:rFonts w:ascii="Times New Roman" w:hAnsi="Times New Roman" w:cs="Times New Roman"/>
                <w:b/>
                <w:i/>
                <w:sz w:val="21"/>
                <w:szCs w:val="21"/>
              </w:rPr>
              <w:t>(iii)</w:t>
            </w:r>
            <w:r w:rsidRPr="003C2271">
              <w:rPr>
                <w:rFonts w:ascii="Times New Roman" w:hAnsi="Times New Roman" w:cs="Times New Roman"/>
                <w:sz w:val="21"/>
                <w:szCs w:val="21"/>
              </w:rPr>
              <w:t xml:space="preserve"> se establece el sistema para la promoción, prevención y vigilancia de factores de riesgo, así como la detección, atención y recuperación de las víctimas; y </w:t>
            </w:r>
          </w:p>
          <w:p w:rsidR="002E1679" w:rsidRPr="003C2271" w:rsidRDefault="002E1679" w:rsidP="005008F0">
            <w:pPr>
              <w:rPr>
                <w:rFonts w:ascii="Times New Roman" w:hAnsi="Times New Roman" w:cs="Times New Roman"/>
                <w:sz w:val="21"/>
                <w:szCs w:val="21"/>
              </w:rPr>
            </w:pPr>
          </w:p>
          <w:p w:rsidR="002E1679" w:rsidRPr="003C2271" w:rsidRDefault="002E1679" w:rsidP="005008F0">
            <w:pPr>
              <w:rPr>
                <w:rFonts w:ascii="Times New Roman" w:hAnsi="Times New Roman" w:cs="Times New Roman"/>
                <w:sz w:val="21"/>
                <w:szCs w:val="21"/>
              </w:rPr>
            </w:pPr>
            <w:r w:rsidRPr="003C2271">
              <w:rPr>
                <w:rFonts w:ascii="Times New Roman" w:hAnsi="Times New Roman" w:cs="Times New Roman"/>
                <w:b/>
                <w:i/>
                <w:sz w:val="21"/>
                <w:szCs w:val="21"/>
              </w:rPr>
              <w:t>(iv)</w:t>
            </w:r>
            <w:r w:rsidRPr="003C2271">
              <w:rPr>
                <w:rFonts w:ascii="Times New Roman" w:hAnsi="Times New Roman" w:cs="Times New Roman"/>
                <w:sz w:val="21"/>
                <w:szCs w:val="21"/>
              </w:rPr>
              <w:t xml:space="preserve"> se identifica las instituciones nacionales responsables de la protección de los derechos y la provisión de servicios de acogida y acompañamiento.</w:t>
            </w:r>
          </w:p>
          <w:p w:rsidR="002E1679" w:rsidRPr="003C2271" w:rsidRDefault="002E1679" w:rsidP="005008F0">
            <w:pPr>
              <w:tabs>
                <w:tab w:val="left" w:pos="426"/>
              </w:tabs>
              <w:contextualSpacing/>
              <w:jc w:val="both"/>
              <w:rPr>
                <w:rFonts w:ascii="Times New Roman" w:hAnsi="Times New Roman" w:cs="Times New Roman"/>
                <w:sz w:val="21"/>
                <w:szCs w:val="21"/>
              </w:rPr>
            </w:pPr>
          </w:p>
          <w:p w:rsidR="002E1679" w:rsidRPr="003C2271" w:rsidRDefault="002E1679" w:rsidP="005008F0">
            <w:pPr>
              <w:rPr>
                <w:rFonts w:ascii="Times New Roman" w:hAnsi="Times New Roman" w:cs="Times New Roman"/>
                <w:sz w:val="21"/>
                <w:szCs w:val="21"/>
              </w:rPr>
            </w:pPr>
          </w:p>
          <w:p w:rsidR="002E1679" w:rsidRPr="003C2271" w:rsidRDefault="002E1679" w:rsidP="005008F0">
            <w:pPr>
              <w:tabs>
                <w:tab w:val="left" w:pos="851"/>
                <w:tab w:val="left" w:pos="993"/>
              </w:tabs>
              <w:jc w:val="both"/>
              <w:rPr>
                <w:rFonts w:ascii="Times New Roman" w:hAnsi="Times New Roman" w:cs="Times New Roman"/>
                <w:sz w:val="21"/>
                <w:szCs w:val="21"/>
              </w:rPr>
            </w:pPr>
          </w:p>
        </w:tc>
      </w:tr>
    </w:tbl>
    <w:p w:rsidR="003C2271" w:rsidRPr="003C2271" w:rsidRDefault="003C2271" w:rsidP="003C2271">
      <w:pPr>
        <w:rPr>
          <w:rFonts w:ascii="Times New Roman" w:hAnsi="Times New Roman" w:cs="Times New Roman"/>
          <w:sz w:val="20"/>
          <w:szCs w:val="20"/>
        </w:rPr>
      </w:pPr>
      <w:r w:rsidRPr="003C2271">
        <w:rPr>
          <w:rFonts w:ascii="Times New Roman" w:hAnsi="Times New Roman" w:cs="Times New Roman"/>
          <w:b/>
          <w:sz w:val="20"/>
          <w:szCs w:val="20"/>
        </w:rPr>
        <w:t>Fuente:</w:t>
      </w:r>
      <w:r w:rsidRPr="003C2271">
        <w:rPr>
          <w:rFonts w:ascii="Times New Roman" w:hAnsi="Times New Roman" w:cs="Times New Roman"/>
          <w:sz w:val="20"/>
          <w:szCs w:val="20"/>
        </w:rPr>
        <w:t xml:space="preserve"> Oficio N° 846-2016-MTPE/2/15, de fecha 13.10.2016</w:t>
      </w:r>
    </w:p>
    <w:p w:rsidR="002E1679" w:rsidRPr="008A2AB0" w:rsidRDefault="002E1679">
      <w:pPr>
        <w:rPr>
          <w:rFonts w:ascii="Times New Roman" w:hAnsi="Times New Roman" w:cs="Times New Roman"/>
        </w:rPr>
      </w:pPr>
    </w:p>
    <w:sectPr w:rsidR="002E1679" w:rsidRPr="008A2AB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D4A" w:rsidRDefault="00426D4A" w:rsidP="008A2AB0">
      <w:pPr>
        <w:spacing w:after="0" w:line="240" w:lineRule="auto"/>
      </w:pPr>
      <w:r>
        <w:separator/>
      </w:r>
    </w:p>
  </w:endnote>
  <w:endnote w:type="continuationSeparator" w:id="0">
    <w:p w:rsidR="00426D4A" w:rsidRDefault="00426D4A" w:rsidP="008A2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D4A" w:rsidRDefault="00426D4A" w:rsidP="008A2AB0">
      <w:pPr>
        <w:spacing w:after="0" w:line="240" w:lineRule="auto"/>
      </w:pPr>
      <w:r>
        <w:separator/>
      </w:r>
    </w:p>
  </w:footnote>
  <w:footnote w:type="continuationSeparator" w:id="0">
    <w:p w:rsidR="00426D4A" w:rsidRDefault="00426D4A" w:rsidP="008A2A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AB0" w:rsidRPr="00EF3016" w:rsidRDefault="008A2AB0" w:rsidP="008A2AB0">
    <w:pPr>
      <w:jc w:val="center"/>
      <w:rPr>
        <w:rFonts w:ascii="Times New Roman" w:hAnsi="Times New Roman" w:cs="Times New Roman"/>
        <w:b/>
        <w:sz w:val="20"/>
        <w:szCs w:val="24"/>
      </w:rPr>
    </w:pPr>
    <w:r w:rsidRPr="00EF3016">
      <w:rPr>
        <w:rFonts w:ascii="Times New Roman" w:hAnsi="Times New Roman" w:cs="Times New Roman"/>
        <w:b/>
        <w:sz w:val="20"/>
        <w:szCs w:val="24"/>
      </w:rPr>
      <w:t>INFORME DEL PERÚ ANTE EL COMITÉ CONTRA LA TORTURA RELACIONADO A LAS MEDIDAS ADOPTADAS PARA DAR CUMPLIMIENTO A LA CONVENCIÓN CONTRA LA TORTURA Y OTROS TRATOS O PENAS CRUELES, INHUMANOS O DEGRADANTES</w:t>
    </w:r>
  </w:p>
  <w:p w:rsidR="008A2AB0" w:rsidRDefault="008A2AB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A00"/>
    <w:rsid w:val="00137A36"/>
    <w:rsid w:val="002E1679"/>
    <w:rsid w:val="003C2271"/>
    <w:rsid w:val="003F79E1"/>
    <w:rsid w:val="00426D4A"/>
    <w:rsid w:val="00577D86"/>
    <w:rsid w:val="00592B99"/>
    <w:rsid w:val="006902F1"/>
    <w:rsid w:val="008A2AB0"/>
    <w:rsid w:val="009B051C"/>
    <w:rsid w:val="00A00857"/>
    <w:rsid w:val="00DB1A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1300F2-6599-47BD-A001-F5435838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2A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A2AB0"/>
  </w:style>
  <w:style w:type="paragraph" w:styleId="Piedepgina">
    <w:name w:val="footer"/>
    <w:basedOn w:val="Normal"/>
    <w:link w:val="PiedepginaCar"/>
    <w:uiPriority w:val="99"/>
    <w:unhideWhenUsed/>
    <w:rsid w:val="008A2A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2AB0"/>
  </w:style>
  <w:style w:type="table" w:styleId="Tabladecuadrcula4-nfasis1">
    <w:name w:val="Grid Table 4 Accent 1"/>
    <w:basedOn w:val="Tablanormal"/>
    <w:uiPriority w:val="49"/>
    <w:rsid w:val="00592B9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
    <w:name w:val="Table Grid"/>
    <w:basedOn w:val="Tablanormal"/>
    <w:uiPriority w:val="39"/>
    <w:rsid w:val="002E1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82D23-AEE0-4267-B7E5-4E59A80BD349}"/>
</file>

<file path=customXml/itemProps2.xml><?xml version="1.0" encoding="utf-8"?>
<ds:datastoreItem xmlns:ds="http://schemas.openxmlformats.org/officeDocument/2006/customXml" ds:itemID="{FC9DB9F0-8C8E-4A2C-9473-C28B71AE945F}"/>
</file>

<file path=customXml/itemProps3.xml><?xml version="1.0" encoding="utf-8"?>
<ds:datastoreItem xmlns:ds="http://schemas.openxmlformats.org/officeDocument/2006/customXml" ds:itemID="{A10756E6-76E0-4440-909A-D2ADAFE15C84}"/>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4064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Elizabeth Arzapalo Villon</dc:creator>
  <cp:keywords/>
  <dc:description/>
  <cp:lastModifiedBy>Daniela Soto Flórez</cp:lastModifiedBy>
  <cp:revision>2</cp:revision>
  <dcterms:created xsi:type="dcterms:W3CDTF">2017-06-12T19:47:00Z</dcterms:created>
  <dcterms:modified xsi:type="dcterms:W3CDTF">2017-06-12T19:47:00Z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