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0A5" w:rsidRPr="00D316E0" w:rsidRDefault="009400A5" w:rsidP="009400A5">
      <w:pPr>
        <w:spacing w:line="240" w:lineRule="auto"/>
        <w:jc w:val="both"/>
        <w:rPr>
          <w:rFonts w:eastAsia="Times New Roman" w:cs="Times New Roman"/>
          <w:color w:val="17365D"/>
          <w:spacing w:val="5"/>
          <w:kern w:val="28"/>
          <w:sz w:val="50"/>
          <w:szCs w:val="50"/>
        </w:rPr>
      </w:pPr>
      <w:r w:rsidRPr="00D316E0">
        <w:rPr>
          <w:rFonts w:eastAsia="Times New Roman" w:cs="Times New Roman"/>
          <w:color w:val="17365D"/>
          <w:spacing w:val="5"/>
          <w:kern w:val="28"/>
          <w:sz w:val="50"/>
          <w:szCs w:val="50"/>
        </w:rPr>
        <w:t xml:space="preserve">European Union Agency for Fundamental Rights, selection of rights of the child passages from published reports related to </w:t>
      </w:r>
      <w:r w:rsidR="008637AE">
        <w:rPr>
          <w:rFonts w:eastAsia="Times New Roman" w:cs="Times New Roman"/>
          <w:color w:val="17365D"/>
          <w:spacing w:val="5"/>
          <w:kern w:val="28"/>
          <w:sz w:val="50"/>
          <w:szCs w:val="50"/>
        </w:rPr>
        <w:t>Italy</w:t>
      </w:r>
    </w:p>
    <w:p w:rsidR="009400A5" w:rsidRPr="00DA2D41" w:rsidRDefault="009400A5" w:rsidP="009400A5">
      <w:pPr>
        <w:pBdr>
          <w:bottom w:val="single" w:sz="8" w:space="4" w:color="4F81BD"/>
        </w:pBdr>
        <w:spacing w:line="240" w:lineRule="auto"/>
        <w:contextualSpacing/>
        <w:jc w:val="both"/>
        <w:rPr>
          <w:rFonts w:eastAsia="Times New Roman" w:cs="Times New Roman"/>
          <w:color w:val="17365D"/>
          <w:spacing w:val="5"/>
          <w:kern w:val="28"/>
          <w:sz w:val="50"/>
          <w:szCs w:val="50"/>
          <w:lang w:val="it-IT"/>
        </w:rPr>
      </w:pPr>
      <w:r w:rsidRPr="00DA2D41">
        <w:rPr>
          <w:rFonts w:eastAsia="Times New Roman" w:cs="Times New Roman"/>
          <w:color w:val="17365D"/>
          <w:spacing w:val="5"/>
          <w:kern w:val="28"/>
          <w:sz w:val="50"/>
          <w:szCs w:val="50"/>
          <w:lang w:val="it-IT"/>
        </w:rPr>
        <w:t>fra.europa.eu</w:t>
      </w:r>
    </w:p>
    <w:p w:rsidR="009400A5" w:rsidRDefault="009400A5" w:rsidP="009400A5">
      <w:pPr>
        <w:spacing w:line="240" w:lineRule="auto"/>
        <w:jc w:val="both"/>
        <w:rPr>
          <w:lang w:val="it-IT"/>
        </w:rPr>
      </w:pPr>
    </w:p>
    <w:p w:rsidR="009400A5" w:rsidRPr="00DA2D41" w:rsidRDefault="009400A5" w:rsidP="009400A5">
      <w:pPr>
        <w:spacing w:line="240" w:lineRule="auto"/>
        <w:jc w:val="both"/>
        <w:rPr>
          <w:i/>
          <w:lang w:val="it-IT"/>
        </w:rPr>
      </w:pPr>
      <w:r>
        <w:rPr>
          <w:lang w:val="it-IT"/>
        </w:rPr>
        <w:t>21 December</w:t>
      </w:r>
      <w:r>
        <w:rPr>
          <w:i/>
          <w:vertAlign w:val="superscript"/>
          <w:lang w:val="it-IT"/>
        </w:rPr>
        <w:t xml:space="preserve"> </w:t>
      </w:r>
      <w:r w:rsidRPr="009400A5">
        <w:rPr>
          <w:lang w:val="it-IT"/>
        </w:rPr>
        <w:t>2018,</w:t>
      </w:r>
      <w:r w:rsidRPr="00236538">
        <w:rPr>
          <w:i/>
          <w:lang w:val="it-IT"/>
        </w:rPr>
        <w:t xml:space="preserve"> Vienna</w:t>
      </w:r>
    </w:p>
    <w:p w:rsidR="009400A5" w:rsidRPr="00DA2D41" w:rsidRDefault="009400A5" w:rsidP="009400A5">
      <w:pPr>
        <w:spacing w:line="240" w:lineRule="auto"/>
        <w:jc w:val="both"/>
        <w:rPr>
          <w:i/>
          <w:lang w:val="it-IT"/>
        </w:rPr>
      </w:pPr>
    </w:p>
    <w:sdt>
      <w:sdtPr>
        <w:rPr>
          <w:rFonts w:asciiTheme="minorHAnsi" w:eastAsiaTheme="minorHAnsi" w:hAnsiTheme="minorHAnsi" w:cstheme="minorBidi"/>
          <w:color w:val="auto"/>
          <w:sz w:val="22"/>
          <w:szCs w:val="22"/>
          <w:lang w:val="en-GB"/>
        </w:rPr>
        <w:id w:val="-1941521781"/>
        <w:docPartObj>
          <w:docPartGallery w:val="Table of Contents"/>
          <w:docPartUnique/>
        </w:docPartObj>
      </w:sdtPr>
      <w:sdtEndPr>
        <w:rPr>
          <w:b/>
          <w:bCs/>
          <w:noProof/>
        </w:rPr>
      </w:sdtEndPr>
      <w:sdtContent>
        <w:p w:rsidR="009400A5" w:rsidRPr="00DA2D41" w:rsidRDefault="009400A5" w:rsidP="009400A5">
          <w:pPr>
            <w:pStyle w:val="TOCHeading"/>
            <w:spacing w:before="0" w:after="160" w:line="240" w:lineRule="auto"/>
            <w:jc w:val="both"/>
            <w:rPr>
              <w:lang w:val="it-IT"/>
            </w:rPr>
          </w:pPr>
          <w:r w:rsidRPr="00DA2D41">
            <w:rPr>
              <w:lang w:val="it-IT"/>
            </w:rPr>
            <w:t>Contents</w:t>
          </w:r>
        </w:p>
        <w:p w:rsidR="000B5173" w:rsidRDefault="009400A5">
          <w:pPr>
            <w:pStyle w:val="TOC1"/>
            <w:tabs>
              <w:tab w:val="left" w:pos="440"/>
              <w:tab w:val="right" w:leader="dot" w:pos="9016"/>
            </w:tabs>
            <w:rPr>
              <w:rFonts w:eastAsiaTheme="minorEastAsia"/>
              <w:noProof/>
              <w:lang w:eastAsia="en-GB"/>
            </w:rPr>
          </w:pPr>
          <w:r w:rsidRPr="00D316E0">
            <w:fldChar w:fldCharType="begin"/>
          </w:r>
          <w:r w:rsidRPr="00D316E0">
            <w:instrText xml:space="preserve"> TOC \o "1-3" \h \z \u </w:instrText>
          </w:r>
          <w:r w:rsidRPr="00D316E0">
            <w:fldChar w:fldCharType="separate"/>
          </w:r>
          <w:hyperlink w:anchor="_Toc533175711" w:history="1">
            <w:r w:rsidR="000B5173" w:rsidRPr="004F5BCD">
              <w:rPr>
                <w:rStyle w:val="Hyperlink"/>
                <w:rFonts w:eastAsiaTheme="majorEastAsia" w:cstheme="majorBidi"/>
                <w:b/>
                <w:noProof/>
              </w:rPr>
              <w:t>1.</w:t>
            </w:r>
            <w:r w:rsidR="000B5173">
              <w:rPr>
                <w:rFonts w:eastAsiaTheme="minorEastAsia"/>
                <w:noProof/>
                <w:lang w:eastAsia="en-GB"/>
              </w:rPr>
              <w:tab/>
            </w:r>
            <w:r w:rsidR="000B5173" w:rsidRPr="004F5BCD">
              <w:rPr>
                <w:rStyle w:val="Hyperlink"/>
                <w:rFonts w:eastAsiaTheme="majorEastAsia" w:cstheme="majorBidi"/>
                <w:b/>
                <w:noProof/>
              </w:rPr>
              <w:t>Annual reports</w:t>
            </w:r>
            <w:r w:rsidR="000B5173">
              <w:rPr>
                <w:noProof/>
                <w:webHidden/>
              </w:rPr>
              <w:tab/>
            </w:r>
            <w:r w:rsidR="000B5173">
              <w:rPr>
                <w:noProof/>
                <w:webHidden/>
              </w:rPr>
              <w:fldChar w:fldCharType="begin"/>
            </w:r>
            <w:r w:rsidR="000B5173">
              <w:rPr>
                <w:noProof/>
                <w:webHidden/>
              </w:rPr>
              <w:instrText xml:space="preserve"> PAGEREF _Toc533175711 \h </w:instrText>
            </w:r>
            <w:r w:rsidR="000B5173">
              <w:rPr>
                <w:noProof/>
                <w:webHidden/>
              </w:rPr>
            </w:r>
            <w:r w:rsidR="000B5173">
              <w:rPr>
                <w:noProof/>
                <w:webHidden/>
              </w:rPr>
              <w:fldChar w:fldCharType="separate"/>
            </w:r>
            <w:r w:rsidR="000B5173">
              <w:rPr>
                <w:noProof/>
                <w:webHidden/>
              </w:rPr>
              <w:t>2</w:t>
            </w:r>
            <w:r w:rsidR="000B5173">
              <w:rPr>
                <w:noProof/>
                <w:webHidden/>
              </w:rPr>
              <w:fldChar w:fldCharType="end"/>
            </w:r>
          </w:hyperlink>
        </w:p>
        <w:p w:rsidR="000B5173" w:rsidRDefault="009C7C04">
          <w:pPr>
            <w:pStyle w:val="TOC2"/>
            <w:tabs>
              <w:tab w:val="left" w:pos="880"/>
              <w:tab w:val="right" w:leader="dot" w:pos="9016"/>
            </w:tabs>
            <w:rPr>
              <w:rFonts w:eastAsiaTheme="minorEastAsia"/>
              <w:noProof/>
              <w:lang w:eastAsia="en-GB"/>
            </w:rPr>
          </w:pPr>
          <w:hyperlink w:anchor="_Toc533175712" w:history="1">
            <w:r w:rsidR="000B5173" w:rsidRPr="004F5BCD">
              <w:rPr>
                <w:rStyle w:val="Hyperlink"/>
                <w:rFonts w:eastAsiaTheme="majorEastAsia" w:cstheme="majorBidi"/>
                <w:noProof/>
              </w:rPr>
              <w:t>1.1</w:t>
            </w:r>
            <w:r w:rsidR="000B5173">
              <w:rPr>
                <w:rFonts w:eastAsiaTheme="minorEastAsia"/>
                <w:noProof/>
                <w:lang w:eastAsia="en-GB"/>
              </w:rPr>
              <w:tab/>
            </w:r>
            <w:r w:rsidR="000B5173" w:rsidRPr="004F5BCD">
              <w:rPr>
                <w:rStyle w:val="Hyperlink"/>
                <w:rFonts w:eastAsiaTheme="majorEastAsia" w:cstheme="majorBidi"/>
                <w:noProof/>
              </w:rPr>
              <w:t>Fundamental Rights Report 2018 Report</w:t>
            </w:r>
            <w:r w:rsidR="000B5173">
              <w:rPr>
                <w:noProof/>
                <w:webHidden/>
              </w:rPr>
              <w:tab/>
            </w:r>
            <w:r w:rsidR="000B5173">
              <w:rPr>
                <w:noProof/>
                <w:webHidden/>
              </w:rPr>
              <w:fldChar w:fldCharType="begin"/>
            </w:r>
            <w:r w:rsidR="000B5173">
              <w:rPr>
                <w:noProof/>
                <w:webHidden/>
              </w:rPr>
              <w:instrText xml:space="preserve"> PAGEREF _Toc533175712 \h </w:instrText>
            </w:r>
            <w:r w:rsidR="000B5173">
              <w:rPr>
                <w:noProof/>
                <w:webHidden/>
              </w:rPr>
            </w:r>
            <w:r w:rsidR="000B5173">
              <w:rPr>
                <w:noProof/>
                <w:webHidden/>
              </w:rPr>
              <w:fldChar w:fldCharType="separate"/>
            </w:r>
            <w:r w:rsidR="000B5173">
              <w:rPr>
                <w:noProof/>
                <w:webHidden/>
              </w:rPr>
              <w:t>2</w:t>
            </w:r>
            <w:r w:rsidR="000B5173">
              <w:rPr>
                <w:noProof/>
                <w:webHidden/>
              </w:rPr>
              <w:fldChar w:fldCharType="end"/>
            </w:r>
          </w:hyperlink>
        </w:p>
        <w:p w:rsidR="000B5173" w:rsidRDefault="009C7C04">
          <w:pPr>
            <w:pStyle w:val="TOC2"/>
            <w:tabs>
              <w:tab w:val="left" w:pos="880"/>
              <w:tab w:val="right" w:leader="dot" w:pos="9016"/>
            </w:tabs>
            <w:rPr>
              <w:rFonts w:eastAsiaTheme="minorEastAsia"/>
              <w:noProof/>
              <w:lang w:eastAsia="en-GB"/>
            </w:rPr>
          </w:pPr>
          <w:hyperlink w:anchor="_Toc533175713" w:history="1">
            <w:r w:rsidR="000B5173" w:rsidRPr="004F5BCD">
              <w:rPr>
                <w:rStyle w:val="Hyperlink"/>
                <w:rFonts w:eastAsiaTheme="majorEastAsia" w:cstheme="majorBidi"/>
                <w:noProof/>
              </w:rPr>
              <w:t>1.2</w:t>
            </w:r>
            <w:r w:rsidR="000B5173">
              <w:rPr>
                <w:rFonts w:eastAsiaTheme="minorEastAsia"/>
                <w:noProof/>
                <w:lang w:eastAsia="en-GB"/>
              </w:rPr>
              <w:tab/>
            </w:r>
            <w:r w:rsidR="000B5173" w:rsidRPr="004F5BCD">
              <w:rPr>
                <w:rStyle w:val="Hyperlink"/>
                <w:rFonts w:eastAsiaTheme="majorEastAsia" w:cstheme="majorBidi"/>
                <w:noProof/>
              </w:rPr>
              <w:t>Fundamental Rights Report 2017 Report</w:t>
            </w:r>
            <w:r w:rsidR="000B5173">
              <w:rPr>
                <w:noProof/>
                <w:webHidden/>
              </w:rPr>
              <w:tab/>
            </w:r>
            <w:r w:rsidR="000B5173">
              <w:rPr>
                <w:noProof/>
                <w:webHidden/>
              </w:rPr>
              <w:fldChar w:fldCharType="begin"/>
            </w:r>
            <w:r w:rsidR="000B5173">
              <w:rPr>
                <w:noProof/>
                <w:webHidden/>
              </w:rPr>
              <w:instrText xml:space="preserve"> PAGEREF _Toc533175713 \h </w:instrText>
            </w:r>
            <w:r w:rsidR="000B5173">
              <w:rPr>
                <w:noProof/>
                <w:webHidden/>
              </w:rPr>
            </w:r>
            <w:r w:rsidR="000B5173">
              <w:rPr>
                <w:noProof/>
                <w:webHidden/>
              </w:rPr>
              <w:fldChar w:fldCharType="separate"/>
            </w:r>
            <w:r w:rsidR="000B5173">
              <w:rPr>
                <w:noProof/>
                <w:webHidden/>
              </w:rPr>
              <w:t>2</w:t>
            </w:r>
            <w:r w:rsidR="000B5173">
              <w:rPr>
                <w:noProof/>
                <w:webHidden/>
              </w:rPr>
              <w:fldChar w:fldCharType="end"/>
            </w:r>
          </w:hyperlink>
        </w:p>
        <w:p w:rsidR="000B5173" w:rsidRDefault="009C7C04">
          <w:pPr>
            <w:pStyle w:val="TOC2"/>
            <w:tabs>
              <w:tab w:val="left" w:pos="880"/>
              <w:tab w:val="right" w:leader="dot" w:pos="9016"/>
            </w:tabs>
            <w:rPr>
              <w:rFonts w:eastAsiaTheme="minorEastAsia"/>
              <w:noProof/>
              <w:lang w:eastAsia="en-GB"/>
            </w:rPr>
          </w:pPr>
          <w:hyperlink w:anchor="_Toc533175714" w:history="1">
            <w:r w:rsidR="000B5173" w:rsidRPr="004F5BCD">
              <w:rPr>
                <w:rStyle w:val="Hyperlink"/>
                <w:rFonts w:eastAsiaTheme="majorEastAsia" w:cstheme="majorBidi"/>
                <w:noProof/>
              </w:rPr>
              <w:t>1.3</w:t>
            </w:r>
            <w:r w:rsidR="000B5173">
              <w:rPr>
                <w:rFonts w:eastAsiaTheme="minorEastAsia"/>
                <w:noProof/>
                <w:lang w:eastAsia="en-GB"/>
              </w:rPr>
              <w:tab/>
            </w:r>
            <w:r w:rsidR="000B5173" w:rsidRPr="004F5BCD">
              <w:rPr>
                <w:rStyle w:val="Hyperlink"/>
                <w:rFonts w:eastAsiaTheme="majorEastAsia" w:cstheme="majorBidi"/>
                <w:noProof/>
              </w:rPr>
              <w:t>Fundamental Rights Report 2016 Report</w:t>
            </w:r>
            <w:r w:rsidR="000B5173">
              <w:rPr>
                <w:noProof/>
                <w:webHidden/>
              </w:rPr>
              <w:tab/>
            </w:r>
            <w:r w:rsidR="000B5173">
              <w:rPr>
                <w:noProof/>
                <w:webHidden/>
              </w:rPr>
              <w:fldChar w:fldCharType="begin"/>
            </w:r>
            <w:r w:rsidR="000B5173">
              <w:rPr>
                <w:noProof/>
                <w:webHidden/>
              </w:rPr>
              <w:instrText xml:space="preserve"> PAGEREF _Toc533175714 \h </w:instrText>
            </w:r>
            <w:r w:rsidR="000B5173">
              <w:rPr>
                <w:noProof/>
                <w:webHidden/>
              </w:rPr>
            </w:r>
            <w:r w:rsidR="000B5173">
              <w:rPr>
                <w:noProof/>
                <w:webHidden/>
              </w:rPr>
              <w:fldChar w:fldCharType="separate"/>
            </w:r>
            <w:r w:rsidR="000B5173">
              <w:rPr>
                <w:noProof/>
                <w:webHidden/>
              </w:rPr>
              <w:t>3</w:t>
            </w:r>
            <w:r w:rsidR="000B5173">
              <w:rPr>
                <w:noProof/>
                <w:webHidden/>
              </w:rPr>
              <w:fldChar w:fldCharType="end"/>
            </w:r>
          </w:hyperlink>
        </w:p>
        <w:p w:rsidR="000B5173" w:rsidRDefault="009C7C04">
          <w:pPr>
            <w:pStyle w:val="TOC1"/>
            <w:tabs>
              <w:tab w:val="left" w:pos="440"/>
              <w:tab w:val="right" w:leader="dot" w:pos="9016"/>
            </w:tabs>
            <w:rPr>
              <w:rFonts w:eastAsiaTheme="minorEastAsia"/>
              <w:noProof/>
              <w:lang w:eastAsia="en-GB"/>
            </w:rPr>
          </w:pPr>
          <w:hyperlink w:anchor="_Toc533175715" w:history="1">
            <w:r w:rsidR="000B5173" w:rsidRPr="004F5BCD">
              <w:rPr>
                <w:rStyle w:val="Hyperlink"/>
                <w:rFonts w:eastAsiaTheme="majorEastAsia" w:cstheme="majorBidi"/>
                <w:b/>
                <w:noProof/>
              </w:rPr>
              <w:t>2.</w:t>
            </w:r>
            <w:r w:rsidR="000B5173">
              <w:rPr>
                <w:rFonts w:eastAsiaTheme="minorEastAsia"/>
                <w:noProof/>
                <w:lang w:eastAsia="en-GB"/>
              </w:rPr>
              <w:tab/>
            </w:r>
            <w:r w:rsidR="000B5173" w:rsidRPr="004F5BCD">
              <w:rPr>
                <w:rStyle w:val="Hyperlink"/>
                <w:rFonts w:eastAsiaTheme="majorEastAsia" w:cstheme="majorBidi"/>
                <w:b/>
                <w:noProof/>
              </w:rPr>
              <w:t>Thematic reports</w:t>
            </w:r>
            <w:r w:rsidR="000B5173">
              <w:rPr>
                <w:noProof/>
                <w:webHidden/>
              </w:rPr>
              <w:tab/>
            </w:r>
            <w:r w:rsidR="000B5173">
              <w:rPr>
                <w:noProof/>
                <w:webHidden/>
              </w:rPr>
              <w:fldChar w:fldCharType="begin"/>
            </w:r>
            <w:r w:rsidR="000B5173">
              <w:rPr>
                <w:noProof/>
                <w:webHidden/>
              </w:rPr>
              <w:instrText xml:space="preserve"> PAGEREF _Toc533175715 \h </w:instrText>
            </w:r>
            <w:r w:rsidR="000B5173">
              <w:rPr>
                <w:noProof/>
                <w:webHidden/>
              </w:rPr>
            </w:r>
            <w:r w:rsidR="000B5173">
              <w:rPr>
                <w:noProof/>
                <w:webHidden/>
              </w:rPr>
              <w:fldChar w:fldCharType="separate"/>
            </w:r>
            <w:r w:rsidR="000B5173">
              <w:rPr>
                <w:noProof/>
                <w:webHidden/>
              </w:rPr>
              <w:t>4</w:t>
            </w:r>
            <w:r w:rsidR="000B5173">
              <w:rPr>
                <w:noProof/>
                <w:webHidden/>
              </w:rPr>
              <w:fldChar w:fldCharType="end"/>
            </w:r>
          </w:hyperlink>
        </w:p>
        <w:p w:rsidR="000B5173" w:rsidRDefault="009C7C04">
          <w:pPr>
            <w:pStyle w:val="TOC2"/>
            <w:tabs>
              <w:tab w:val="left" w:pos="880"/>
              <w:tab w:val="right" w:leader="dot" w:pos="9016"/>
            </w:tabs>
            <w:rPr>
              <w:rFonts w:eastAsiaTheme="minorEastAsia"/>
              <w:noProof/>
              <w:lang w:eastAsia="en-GB"/>
            </w:rPr>
          </w:pPr>
          <w:hyperlink w:anchor="_Toc533175716" w:history="1">
            <w:r w:rsidR="000B5173" w:rsidRPr="004F5BCD">
              <w:rPr>
                <w:rStyle w:val="Hyperlink"/>
                <w:noProof/>
              </w:rPr>
              <w:t>2.1</w:t>
            </w:r>
            <w:r w:rsidR="000B5173">
              <w:rPr>
                <w:rFonts w:eastAsiaTheme="minorEastAsia"/>
                <w:noProof/>
                <w:lang w:eastAsia="en-GB"/>
              </w:rPr>
              <w:tab/>
            </w:r>
            <w:r w:rsidR="000B5173" w:rsidRPr="004F5BCD">
              <w:rPr>
                <w:rStyle w:val="Hyperlink"/>
                <w:noProof/>
              </w:rPr>
              <w:t>Combating child poverty: an issue of fundamental rights (2018)</w:t>
            </w:r>
            <w:r w:rsidR="000B5173">
              <w:rPr>
                <w:noProof/>
                <w:webHidden/>
              </w:rPr>
              <w:tab/>
            </w:r>
            <w:r w:rsidR="000B5173">
              <w:rPr>
                <w:noProof/>
                <w:webHidden/>
              </w:rPr>
              <w:fldChar w:fldCharType="begin"/>
            </w:r>
            <w:r w:rsidR="000B5173">
              <w:rPr>
                <w:noProof/>
                <w:webHidden/>
              </w:rPr>
              <w:instrText xml:space="preserve"> PAGEREF _Toc533175716 \h </w:instrText>
            </w:r>
            <w:r w:rsidR="000B5173">
              <w:rPr>
                <w:noProof/>
                <w:webHidden/>
              </w:rPr>
            </w:r>
            <w:r w:rsidR="000B5173">
              <w:rPr>
                <w:noProof/>
                <w:webHidden/>
              </w:rPr>
              <w:fldChar w:fldCharType="separate"/>
            </w:r>
            <w:r w:rsidR="000B5173">
              <w:rPr>
                <w:noProof/>
                <w:webHidden/>
              </w:rPr>
              <w:t>4</w:t>
            </w:r>
            <w:r w:rsidR="000B5173">
              <w:rPr>
                <w:noProof/>
                <w:webHidden/>
              </w:rPr>
              <w:fldChar w:fldCharType="end"/>
            </w:r>
          </w:hyperlink>
        </w:p>
        <w:p w:rsidR="000B5173" w:rsidRDefault="009C7C04">
          <w:pPr>
            <w:pStyle w:val="TOC2"/>
            <w:tabs>
              <w:tab w:val="right" w:leader="dot" w:pos="9016"/>
            </w:tabs>
            <w:rPr>
              <w:rFonts w:eastAsiaTheme="minorEastAsia"/>
              <w:noProof/>
              <w:lang w:eastAsia="en-GB"/>
            </w:rPr>
          </w:pPr>
          <w:hyperlink w:anchor="_Toc533175717" w:history="1">
            <w:r w:rsidR="000B5173" w:rsidRPr="004F5BCD">
              <w:rPr>
                <w:rStyle w:val="Hyperlink"/>
                <w:rFonts w:eastAsiaTheme="majorEastAsia" w:cstheme="majorBidi"/>
                <w:noProof/>
              </w:rPr>
              <w:t xml:space="preserve">2.2 </w:t>
            </w:r>
            <w:r w:rsidR="000B5173">
              <w:rPr>
                <w:rStyle w:val="Hyperlink"/>
                <w:rFonts w:eastAsiaTheme="majorEastAsia" w:cstheme="majorBidi"/>
                <w:noProof/>
              </w:rPr>
              <w:t xml:space="preserve">       </w:t>
            </w:r>
            <w:r w:rsidR="000B5173" w:rsidRPr="004F5BCD">
              <w:rPr>
                <w:rStyle w:val="Hyperlink"/>
                <w:rFonts w:eastAsiaTheme="majorEastAsia" w:cstheme="majorBidi"/>
                <w:noProof/>
              </w:rPr>
              <w:t>European legal and policy framework on immigration detention of children (2017)</w:t>
            </w:r>
            <w:r w:rsidR="000B5173">
              <w:rPr>
                <w:noProof/>
                <w:webHidden/>
              </w:rPr>
              <w:tab/>
            </w:r>
            <w:r w:rsidR="000B5173">
              <w:rPr>
                <w:noProof/>
                <w:webHidden/>
              </w:rPr>
              <w:fldChar w:fldCharType="begin"/>
            </w:r>
            <w:r w:rsidR="000B5173">
              <w:rPr>
                <w:noProof/>
                <w:webHidden/>
              </w:rPr>
              <w:instrText xml:space="preserve"> PAGEREF _Toc533175717 \h </w:instrText>
            </w:r>
            <w:r w:rsidR="000B5173">
              <w:rPr>
                <w:noProof/>
                <w:webHidden/>
              </w:rPr>
            </w:r>
            <w:r w:rsidR="000B5173">
              <w:rPr>
                <w:noProof/>
                <w:webHidden/>
              </w:rPr>
              <w:fldChar w:fldCharType="separate"/>
            </w:r>
            <w:r w:rsidR="000B5173">
              <w:rPr>
                <w:noProof/>
                <w:webHidden/>
              </w:rPr>
              <w:t>4</w:t>
            </w:r>
            <w:r w:rsidR="000B5173">
              <w:rPr>
                <w:noProof/>
                <w:webHidden/>
              </w:rPr>
              <w:fldChar w:fldCharType="end"/>
            </w:r>
          </w:hyperlink>
        </w:p>
        <w:p w:rsidR="000B5173" w:rsidRDefault="009C7C04">
          <w:pPr>
            <w:pStyle w:val="TOC2"/>
            <w:tabs>
              <w:tab w:val="right" w:leader="dot" w:pos="9016"/>
            </w:tabs>
            <w:rPr>
              <w:rFonts w:eastAsiaTheme="minorEastAsia"/>
              <w:noProof/>
              <w:lang w:eastAsia="en-GB"/>
            </w:rPr>
          </w:pPr>
          <w:hyperlink w:anchor="_Toc533175718" w:history="1">
            <w:r w:rsidR="000B5173" w:rsidRPr="004F5BCD">
              <w:rPr>
                <w:rStyle w:val="Hyperlink"/>
                <w:rFonts w:eastAsiaTheme="majorEastAsia" w:cstheme="majorBidi"/>
                <w:noProof/>
              </w:rPr>
              <w:t xml:space="preserve">2.3 </w:t>
            </w:r>
            <w:r w:rsidR="000B5173">
              <w:rPr>
                <w:rStyle w:val="Hyperlink"/>
                <w:rFonts w:eastAsiaTheme="majorEastAsia" w:cstheme="majorBidi"/>
                <w:noProof/>
              </w:rPr>
              <w:t xml:space="preserve">       </w:t>
            </w:r>
            <w:r w:rsidR="000B5173" w:rsidRPr="004F5BCD">
              <w:rPr>
                <w:rStyle w:val="Hyperlink"/>
                <w:rFonts w:eastAsiaTheme="majorEastAsia" w:cstheme="majorBidi"/>
                <w:noProof/>
              </w:rPr>
              <w:t>Regular overviews of migration-related fundamental rights concerns (2018)</w:t>
            </w:r>
            <w:r w:rsidR="000B5173">
              <w:rPr>
                <w:noProof/>
                <w:webHidden/>
              </w:rPr>
              <w:tab/>
            </w:r>
            <w:r w:rsidR="000B5173">
              <w:rPr>
                <w:noProof/>
                <w:webHidden/>
              </w:rPr>
              <w:fldChar w:fldCharType="begin"/>
            </w:r>
            <w:r w:rsidR="000B5173">
              <w:rPr>
                <w:noProof/>
                <w:webHidden/>
              </w:rPr>
              <w:instrText xml:space="preserve"> PAGEREF _Toc533175718 \h </w:instrText>
            </w:r>
            <w:r w:rsidR="000B5173">
              <w:rPr>
                <w:noProof/>
                <w:webHidden/>
              </w:rPr>
            </w:r>
            <w:r w:rsidR="000B5173">
              <w:rPr>
                <w:noProof/>
                <w:webHidden/>
              </w:rPr>
              <w:fldChar w:fldCharType="separate"/>
            </w:r>
            <w:r w:rsidR="000B5173">
              <w:rPr>
                <w:noProof/>
                <w:webHidden/>
              </w:rPr>
              <w:t>5</w:t>
            </w:r>
            <w:r w:rsidR="000B5173">
              <w:rPr>
                <w:noProof/>
                <w:webHidden/>
              </w:rPr>
              <w:fldChar w:fldCharType="end"/>
            </w:r>
          </w:hyperlink>
        </w:p>
        <w:p w:rsidR="000B5173" w:rsidRDefault="009C7C04">
          <w:pPr>
            <w:pStyle w:val="TOC2"/>
            <w:tabs>
              <w:tab w:val="right" w:leader="dot" w:pos="9016"/>
            </w:tabs>
            <w:rPr>
              <w:rFonts w:eastAsiaTheme="minorEastAsia"/>
              <w:noProof/>
              <w:lang w:eastAsia="en-GB"/>
            </w:rPr>
          </w:pPr>
          <w:hyperlink w:anchor="_Toc533175719" w:history="1">
            <w:r w:rsidR="000B5173" w:rsidRPr="004F5BCD">
              <w:rPr>
                <w:rStyle w:val="Hyperlink"/>
                <w:rFonts w:eastAsiaTheme="majorEastAsia" w:cstheme="majorBidi"/>
                <w:noProof/>
              </w:rPr>
              <w:t xml:space="preserve">2.4 </w:t>
            </w:r>
            <w:r w:rsidR="000B5173">
              <w:rPr>
                <w:rStyle w:val="Hyperlink"/>
                <w:rFonts w:eastAsiaTheme="majorEastAsia" w:cstheme="majorBidi"/>
                <w:noProof/>
              </w:rPr>
              <w:t xml:space="preserve">       </w:t>
            </w:r>
            <w:r w:rsidR="000B5173" w:rsidRPr="004F5BCD">
              <w:rPr>
                <w:rStyle w:val="Hyperlink"/>
                <w:rFonts w:eastAsiaTheme="majorEastAsia" w:cstheme="majorBidi"/>
                <w:noProof/>
              </w:rPr>
              <w:t>Mapping of minimum age requirements</w:t>
            </w:r>
            <w:r>
              <w:rPr>
                <w:rStyle w:val="Hyperlink"/>
                <w:rFonts w:eastAsiaTheme="majorEastAsia" w:cstheme="majorBidi"/>
                <w:noProof/>
              </w:rPr>
              <w:t xml:space="preserve"> (2018)</w:t>
            </w:r>
            <w:bookmarkStart w:id="0" w:name="_GoBack"/>
            <w:bookmarkEnd w:id="0"/>
            <w:r w:rsidR="000B5173">
              <w:rPr>
                <w:noProof/>
                <w:webHidden/>
              </w:rPr>
              <w:tab/>
            </w:r>
            <w:r w:rsidR="000B5173">
              <w:rPr>
                <w:noProof/>
                <w:webHidden/>
              </w:rPr>
              <w:fldChar w:fldCharType="begin"/>
            </w:r>
            <w:r w:rsidR="000B5173">
              <w:rPr>
                <w:noProof/>
                <w:webHidden/>
              </w:rPr>
              <w:instrText xml:space="preserve"> PAGEREF _Toc533175719 \h </w:instrText>
            </w:r>
            <w:r w:rsidR="000B5173">
              <w:rPr>
                <w:noProof/>
                <w:webHidden/>
              </w:rPr>
            </w:r>
            <w:r w:rsidR="000B5173">
              <w:rPr>
                <w:noProof/>
                <w:webHidden/>
              </w:rPr>
              <w:fldChar w:fldCharType="separate"/>
            </w:r>
            <w:r w:rsidR="000B5173">
              <w:rPr>
                <w:noProof/>
                <w:webHidden/>
              </w:rPr>
              <w:t>7</w:t>
            </w:r>
            <w:r w:rsidR="000B5173">
              <w:rPr>
                <w:noProof/>
                <w:webHidden/>
              </w:rPr>
              <w:fldChar w:fldCharType="end"/>
            </w:r>
          </w:hyperlink>
        </w:p>
        <w:p w:rsidR="009400A5" w:rsidRPr="00D316E0" w:rsidRDefault="009400A5" w:rsidP="009400A5">
          <w:pPr>
            <w:spacing w:line="240" w:lineRule="auto"/>
            <w:jc w:val="both"/>
          </w:pPr>
          <w:r w:rsidRPr="00D316E0">
            <w:rPr>
              <w:b/>
              <w:bCs/>
              <w:noProof/>
            </w:rPr>
            <w:fldChar w:fldCharType="end"/>
          </w:r>
        </w:p>
      </w:sdtContent>
    </w:sdt>
    <w:p w:rsidR="009400A5" w:rsidRPr="00D316E0" w:rsidRDefault="009400A5" w:rsidP="009400A5">
      <w:pPr>
        <w:spacing w:line="240" w:lineRule="auto"/>
        <w:jc w:val="both"/>
        <w:rPr>
          <w:i/>
        </w:rPr>
      </w:pPr>
    </w:p>
    <w:p w:rsidR="009400A5" w:rsidRPr="00D316E0" w:rsidRDefault="009400A5" w:rsidP="009400A5">
      <w:pPr>
        <w:spacing w:line="240" w:lineRule="auto"/>
        <w:jc w:val="both"/>
        <w:rPr>
          <w:i/>
        </w:rPr>
      </w:pPr>
    </w:p>
    <w:p w:rsidR="006C3678" w:rsidRDefault="006C3678">
      <w:pPr>
        <w:rPr>
          <w:i/>
        </w:rPr>
      </w:pPr>
      <w:r>
        <w:rPr>
          <w:i/>
        </w:rPr>
        <w:br w:type="page"/>
      </w:r>
    </w:p>
    <w:p w:rsidR="009400A5" w:rsidRPr="00D316E0" w:rsidRDefault="009400A5" w:rsidP="009400A5">
      <w:pPr>
        <w:spacing w:line="240" w:lineRule="auto"/>
        <w:jc w:val="both"/>
        <w:rPr>
          <w:i/>
        </w:rPr>
      </w:pPr>
    </w:p>
    <w:p w:rsidR="009400A5" w:rsidRPr="00D316E0" w:rsidRDefault="009400A5" w:rsidP="009400A5">
      <w:pPr>
        <w:spacing w:line="240" w:lineRule="auto"/>
        <w:jc w:val="both"/>
      </w:pPr>
    </w:p>
    <w:p w:rsidR="009400A5" w:rsidRDefault="009400A5" w:rsidP="009400A5">
      <w:pPr>
        <w:pStyle w:val="ListParagraph"/>
        <w:keepNext/>
        <w:keepLines/>
        <w:numPr>
          <w:ilvl w:val="0"/>
          <w:numId w:val="1"/>
        </w:numPr>
        <w:spacing w:after="160"/>
        <w:jc w:val="both"/>
        <w:outlineLvl w:val="0"/>
        <w:rPr>
          <w:rFonts w:eastAsiaTheme="majorEastAsia" w:cstheme="majorBidi"/>
          <w:b/>
          <w:color w:val="2E74B5" w:themeColor="accent1" w:themeShade="BF"/>
          <w:sz w:val="32"/>
          <w:szCs w:val="32"/>
          <w:lang w:val="en-GB"/>
        </w:rPr>
      </w:pPr>
      <w:bookmarkStart w:id="1" w:name="_Toc447537933"/>
      <w:bookmarkStart w:id="2" w:name="_Toc533175711"/>
      <w:r w:rsidRPr="00D316E0">
        <w:rPr>
          <w:rFonts w:eastAsiaTheme="majorEastAsia" w:cstheme="majorBidi"/>
          <w:b/>
          <w:color w:val="2E74B5" w:themeColor="accent1" w:themeShade="BF"/>
          <w:sz w:val="32"/>
          <w:szCs w:val="32"/>
          <w:lang w:val="en-GB"/>
        </w:rPr>
        <w:t>Annual reports</w:t>
      </w:r>
      <w:bookmarkEnd w:id="1"/>
      <w:bookmarkEnd w:id="2"/>
    </w:p>
    <w:p w:rsidR="00C65E84" w:rsidRPr="00D316E0" w:rsidRDefault="00C65E84" w:rsidP="00C65E84">
      <w:pPr>
        <w:pStyle w:val="ListParagraph"/>
        <w:keepNext/>
        <w:keepLines/>
        <w:spacing w:after="160"/>
        <w:jc w:val="both"/>
        <w:outlineLvl w:val="0"/>
        <w:rPr>
          <w:rFonts w:eastAsiaTheme="majorEastAsia" w:cstheme="majorBidi"/>
          <w:b/>
          <w:color w:val="2E74B5" w:themeColor="accent1" w:themeShade="BF"/>
          <w:sz w:val="32"/>
          <w:szCs w:val="32"/>
          <w:lang w:val="en-GB"/>
        </w:rPr>
      </w:pPr>
    </w:p>
    <w:p w:rsidR="00C65E84" w:rsidRDefault="00C65E84" w:rsidP="00C65E84">
      <w:pPr>
        <w:pStyle w:val="ListParagraph"/>
        <w:keepNext/>
        <w:keepLines/>
        <w:numPr>
          <w:ilvl w:val="1"/>
          <w:numId w:val="3"/>
        </w:numPr>
        <w:outlineLvl w:val="1"/>
        <w:rPr>
          <w:rFonts w:eastAsiaTheme="majorEastAsia" w:cstheme="majorBidi"/>
          <w:color w:val="2E74B5" w:themeColor="accent1" w:themeShade="BF"/>
          <w:sz w:val="26"/>
          <w:szCs w:val="26"/>
        </w:rPr>
      </w:pPr>
      <w:bookmarkStart w:id="3" w:name="_Toc533175712"/>
      <w:r w:rsidRPr="00434961">
        <w:rPr>
          <w:rFonts w:eastAsiaTheme="majorEastAsia" w:cstheme="majorBidi"/>
          <w:color w:val="2E74B5" w:themeColor="accent1" w:themeShade="BF"/>
          <w:sz w:val="28"/>
          <w:szCs w:val="26"/>
        </w:rPr>
        <w:t>Fundamental</w:t>
      </w:r>
      <w:r w:rsidRPr="00434961">
        <w:rPr>
          <w:rFonts w:eastAsiaTheme="majorEastAsia" w:cstheme="majorBidi"/>
          <w:color w:val="2E74B5" w:themeColor="accent1" w:themeShade="BF"/>
          <w:sz w:val="26"/>
          <w:szCs w:val="26"/>
        </w:rPr>
        <w:t xml:space="preserve"> Rights Report 201</w:t>
      </w:r>
      <w:r>
        <w:rPr>
          <w:rFonts w:eastAsiaTheme="majorEastAsia" w:cstheme="majorBidi"/>
          <w:color w:val="2E74B5" w:themeColor="accent1" w:themeShade="BF"/>
          <w:sz w:val="26"/>
          <w:szCs w:val="26"/>
        </w:rPr>
        <w:t>8</w:t>
      </w:r>
      <w:r w:rsidRPr="00434961">
        <w:rPr>
          <w:rFonts w:eastAsiaTheme="majorEastAsia" w:cstheme="majorBidi"/>
          <w:color w:val="2E74B5" w:themeColor="accent1" w:themeShade="BF"/>
          <w:sz w:val="26"/>
          <w:szCs w:val="26"/>
        </w:rPr>
        <w:t xml:space="preserve"> Report</w:t>
      </w:r>
      <w:bookmarkEnd w:id="3"/>
    </w:p>
    <w:p w:rsidR="00C65E84" w:rsidRPr="00C65E84" w:rsidRDefault="00C65E84" w:rsidP="00C65E84">
      <w:r>
        <w:t xml:space="preserve">For more detailed information: </w:t>
      </w:r>
      <w:hyperlink r:id="rId7" w:anchor="child-rights" w:history="1">
        <w:r w:rsidRPr="00F16132">
          <w:rPr>
            <w:rStyle w:val="Hyperlink"/>
          </w:rPr>
          <w:t>https://fra.europa.eu/en/publications-and-resources/publications/annual-reports/fundamental-rights-2018#child-rights</w:t>
        </w:r>
      </w:hyperlink>
      <w:r>
        <w:t xml:space="preserve"> </w:t>
      </w:r>
    </w:p>
    <w:p w:rsidR="008637AE" w:rsidRDefault="008637AE" w:rsidP="008637AE">
      <w:pPr>
        <w:spacing w:line="240" w:lineRule="auto"/>
        <w:jc w:val="both"/>
      </w:pPr>
      <w:r>
        <w:t xml:space="preserve">“In 2017, several Member States adopted new laws or regulations related to social housing, eviction or homelessness. For example, in </w:t>
      </w:r>
      <w:r w:rsidRPr="008637AE">
        <w:rPr>
          <w:b/>
        </w:rPr>
        <w:t>Italy</w:t>
      </w:r>
      <w:r>
        <w:t>, the Law on urgent provisions on the safety of cities establishes that, in cases of squatting of buildings, the mayor can decide to prevent forced eviction if children or particularly vulnerable people live in the building.” (p.180)</w:t>
      </w:r>
    </w:p>
    <w:p w:rsidR="008637AE" w:rsidRDefault="008637AE" w:rsidP="009400A5">
      <w:pPr>
        <w:spacing w:line="240" w:lineRule="auto"/>
        <w:jc w:val="both"/>
      </w:pPr>
      <w:r>
        <w:t xml:space="preserve">“Unaccompanied children filed 63,245 asylum applications in 2016, according to the latest available Eurostat figures. </w:t>
      </w:r>
      <w:r w:rsidRPr="008637AE">
        <w:rPr>
          <w:b/>
        </w:rPr>
        <w:t>In Italy</w:t>
      </w:r>
      <w:r w:rsidRPr="008637AE">
        <w:t>,</w:t>
      </w:r>
      <w:r>
        <w:t xml:space="preserve"> by 31 December 2017, 18,303 unaccompanied children, 93 % male and 7 % female, were registered as being present, according to the Ministry of Labour and Social Politics.” (p. 182)</w:t>
      </w:r>
    </w:p>
    <w:p w:rsidR="009400A5" w:rsidRDefault="009400A5" w:rsidP="009400A5">
      <w:pPr>
        <w:pStyle w:val="ListParagraph"/>
        <w:keepNext/>
        <w:keepLines/>
        <w:numPr>
          <w:ilvl w:val="1"/>
          <w:numId w:val="3"/>
        </w:numPr>
        <w:outlineLvl w:val="1"/>
        <w:rPr>
          <w:rFonts w:eastAsiaTheme="majorEastAsia" w:cstheme="majorBidi"/>
          <w:color w:val="2E74B5" w:themeColor="accent1" w:themeShade="BF"/>
          <w:sz w:val="26"/>
          <w:szCs w:val="26"/>
        </w:rPr>
      </w:pPr>
      <w:bookmarkStart w:id="4" w:name="_Toc533175713"/>
      <w:r w:rsidRPr="00434961">
        <w:rPr>
          <w:rFonts w:eastAsiaTheme="majorEastAsia" w:cstheme="majorBidi"/>
          <w:color w:val="2E74B5" w:themeColor="accent1" w:themeShade="BF"/>
          <w:sz w:val="28"/>
          <w:szCs w:val="26"/>
        </w:rPr>
        <w:t>Fundamental</w:t>
      </w:r>
      <w:r w:rsidRPr="00434961">
        <w:rPr>
          <w:rFonts w:eastAsiaTheme="majorEastAsia" w:cstheme="majorBidi"/>
          <w:color w:val="2E74B5" w:themeColor="accent1" w:themeShade="BF"/>
          <w:sz w:val="26"/>
          <w:szCs w:val="26"/>
        </w:rPr>
        <w:t xml:space="preserve"> Rights Report 2017 Report</w:t>
      </w:r>
      <w:bookmarkEnd w:id="4"/>
    </w:p>
    <w:p w:rsidR="008637AE" w:rsidRDefault="009400A5" w:rsidP="00004AB9">
      <w:r w:rsidRPr="00D316E0">
        <w:t>For more detailed information:</w:t>
      </w:r>
      <w:r>
        <w:t xml:space="preserve"> </w:t>
      </w:r>
      <w:hyperlink r:id="rId8" w:anchor="child-rights" w:history="1">
        <w:r w:rsidRPr="00331907">
          <w:rPr>
            <w:rStyle w:val="Hyperlink"/>
          </w:rPr>
          <w:t>http://fra.europa.eu/en/publications-and-resources/publications/annual-reports/fundamental-rights-2017#child-rights</w:t>
        </w:r>
      </w:hyperlink>
      <w:r>
        <w:t xml:space="preserve"> </w:t>
      </w:r>
    </w:p>
    <w:p w:rsidR="008637AE" w:rsidRDefault="008637AE" w:rsidP="008637AE">
      <w:pPr>
        <w:jc w:val="both"/>
      </w:pPr>
      <w:r>
        <w:t xml:space="preserve">“In 20 countries, the percentage of children at risk of poverty or social exclusion decreased between 2014 and 2015. In seven Member States, it increased, most significantly in Cyprus and Lithuania – by around 4 percentage points. In Denmark, Greece, </w:t>
      </w:r>
      <w:r w:rsidRPr="008637AE">
        <w:rPr>
          <w:b/>
        </w:rPr>
        <w:t>Italy</w:t>
      </w:r>
      <w:r>
        <w:t xml:space="preserve"> and Slovakia, it increased only slightly – by around 1 percentage point.” (p. 175)</w:t>
      </w:r>
    </w:p>
    <w:p w:rsidR="008637AE" w:rsidRDefault="008637AE" w:rsidP="008637AE">
      <w:pPr>
        <w:jc w:val="both"/>
      </w:pPr>
      <w:r>
        <w:t xml:space="preserve">“In seven countries, the proportions of children at risk of poverty or social exclusion increased by 2–12 percentage points over time: Austria, Cyprus, France, Greece, </w:t>
      </w:r>
      <w:r w:rsidRPr="008637AE">
        <w:rPr>
          <w:b/>
        </w:rPr>
        <w:t>Italy</w:t>
      </w:r>
      <w:r>
        <w:t>, Malta and Spain. In Greece, the increase over the 10-year period in question was around 12 percentage points.” (p. 176)</w:t>
      </w:r>
    </w:p>
    <w:p w:rsidR="008637AE" w:rsidRDefault="008637AE" w:rsidP="008637AE">
      <w:pPr>
        <w:jc w:val="both"/>
      </w:pPr>
      <w:r w:rsidRPr="008637AE">
        <w:rPr>
          <w:noProof/>
          <w:lang w:eastAsia="en-GB"/>
        </w:rPr>
        <w:drawing>
          <wp:inline distT="0" distB="0" distL="0" distR="0">
            <wp:extent cx="4199454" cy="302117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19835" cy="3035840"/>
                    </a:xfrm>
                    <a:prstGeom prst="rect">
                      <a:avLst/>
                    </a:prstGeom>
                    <a:noFill/>
                    <a:ln>
                      <a:noFill/>
                    </a:ln>
                  </pic:spPr>
                </pic:pic>
              </a:graphicData>
            </a:graphic>
          </wp:inline>
        </w:drawing>
      </w:r>
      <w:r>
        <w:t>(p. 176)</w:t>
      </w:r>
    </w:p>
    <w:p w:rsidR="008637AE" w:rsidRDefault="00004AB9" w:rsidP="00004AB9">
      <w:pPr>
        <w:jc w:val="both"/>
      </w:pPr>
      <w:r>
        <w:lastRenderedPageBreak/>
        <w:t xml:space="preserve">“In Italy, a new law introduced an experimental Fund to Combat Education Poverty (2016–2018) in cooperation with banking foundations. Banks that donate to the fund benefit from tax </w:t>
      </w:r>
      <w:proofErr w:type="spellStart"/>
      <w:r>
        <w:t>reductions.The</w:t>
      </w:r>
      <w:proofErr w:type="spellEnd"/>
      <w:r>
        <w:t xml:space="preserve"> fund will have an annual budget of € 100 million.” (p. 179)</w:t>
      </w:r>
    </w:p>
    <w:p w:rsidR="00004AB9" w:rsidRDefault="00004AB9" w:rsidP="00004AB9">
      <w:pPr>
        <w:jc w:val="both"/>
      </w:pPr>
      <w:r>
        <w:t>“In 2015, the five EU Member States that received the highest numbers of asylum applications from unaccompanied children were Sweden (35,250 applications), Germany (22,255), Hungary (8,805), Austria (8,275) and</w:t>
      </w:r>
      <w:r w:rsidRPr="00004AB9">
        <w:rPr>
          <w:b/>
        </w:rPr>
        <w:t xml:space="preserve"> Italy</w:t>
      </w:r>
      <w:r>
        <w:t xml:space="preserve"> (4,070).” (p.181)</w:t>
      </w:r>
    </w:p>
    <w:p w:rsidR="00004AB9" w:rsidRDefault="00004AB9" w:rsidP="00004AB9">
      <w:pPr>
        <w:jc w:val="both"/>
      </w:pPr>
      <w:r>
        <w:t>“Meanwhile, UNHCR reported that, between January and September 2016, close to 20,000 unaccompanied children arrived in</w:t>
      </w:r>
      <w:r w:rsidRPr="00004AB9">
        <w:rPr>
          <w:b/>
        </w:rPr>
        <w:t xml:space="preserve"> Italy</w:t>
      </w:r>
      <w:r>
        <w:t>, 70 but the Italian authorities identified and registered only 14,225 unaccompanied children.” (p. 182)</w:t>
      </w:r>
    </w:p>
    <w:p w:rsidR="00004AB9" w:rsidRDefault="00004AB9" w:rsidP="00004AB9">
      <w:pPr>
        <w:jc w:val="both"/>
      </w:pPr>
      <w:r>
        <w:t xml:space="preserve">“To address the situation in </w:t>
      </w:r>
      <w:r w:rsidRPr="00004AB9">
        <w:rPr>
          <w:b/>
        </w:rPr>
        <w:t>Italy</w:t>
      </w:r>
      <w:r>
        <w:t>, a new law regulates the minimum standards for first reception centres that provide care for unaccompanied children 24 hours a day, seven days a week. The new law includes the possibility of creating temporary facilities with up to 50 places. Civil society organisations have criticised this, among other aspects of the new law, for contravening national frameworks on reception facilities, which promote communities of family-type care or small-scale facilities. They argue that the law could lead to the depersonalisation of relations, preventing the creation of a family-type atmosphere” (p.183)</w:t>
      </w:r>
    </w:p>
    <w:p w:rsidR="00004AB9" w:rsidRDefault="00004AB9" w:rsidP="00004AB9">
      <w:pPr>
        <w:jc w:val="both"/>
      </w:pPr>
      <w:r>
        <w:t>“[B]y September</w:t>
      </w:r>
      <w:proofErr w:type="gramStart"/>
      <w:r>
        <w:t>  2016</w:t>
      </w:r>
      <w:proofErr w:type="gramEnd"/>
      <w:r>
        <w:t xml:space="preserve">, 427 unaccompanied children had gone missing in Denmark, 104 77 in Finland and 6,357 in </w:t>
      </w:r>
      <w:r w:rsidRPr="00004AB9">
        <w:rPr>
          <w:b/>
        </w:rPr>
        <w:t>Italy</w:t>
      </w:r>
      <w:r>
        <w:t>” (p.183)</w:t>
      </w:r>
    </w:p>
    <w:p w:rsidR="00004AB9" w:rsidRDefault="00004AB9" w:rsidP="00004AB9">
      <w:pPr>
        <w:jc w:val="both"/>
      </w:pPr>
      <w:r>
        <w:t xml:space="preserve">“In </w:t>
      </w:r>
      <w:r w:rsidRPr="00004AB9">
        <w:rPr>
          <w:b/>
        </w:rPr>
        <w:t>Italy</w:t>
      </w:r>
      <w:r>
        <w:t>, unaccompanied children live in emergency shelters for up to six months without having a guardian appointed or receiving any kind of specific assistance” (p.186)</w:t>
      </w:r>
    </w:p>
    <w:p w:rsidR="00004AB9" w:rsidRDefault="00004AB9" w:rsidP="00004AB9">
      <w:pPr>
        <w:jc w:val="both"/>
      </w:pPr>
      <w:r>
        <w:t>“A</w:t>
      </w:r>
      <w:proofErr w:type="gramStart"/>
      <w:r>
        <w:t>  number</w:t>
      </w:r>
      <w:proofErr w:type="gramEnd"/>
      <w:r>
        <w:t xml:space="preserve"> of Member States  – including Bulgaria and </w:t>
      </w:r>
      <w:r w:rsidRPr="00004AB9">
        <w:rPr>
          <w:b/>
        </w:rPr>
        <w:t>Italy</w:t>
      </w:r>
      <w:r>
        <w:t> – assign guardianship tasks to staff members of reception facilities at which children are placed to overcome delays. This raises concerns that guardians may experience conflicts of interest and lack independence and impartiality.” (p. 189)</w:t>
      </w:r>
    </w:p>
    <w:p w:rsidR="009400A5" w:rsidRPr="00434961" w:rsidRDefault="009400A5" w:rsidP="009400A5">
      <w:pPr>
        <w:pStyle w:val="ListParagraph"/>
        <w:keepNext/>
        <w:keepLines/>
        <w:numPr>
          <w:ilvl w:val="1"/>
          <w:numId w:val="3"/>
        </w:numPr>
        <w:outlineLvl w:val="1"/>
        <w:rPr>
          <w:rFonts w:eastAsiaTheme="majorEastAsia" w:cstheme="majorBidi"/>
          <w:color w:val="2E74B5" w:themeColor="accent1" w:themeShade="BF"/>
          <w:sz w:val="26"/>
          <w:szCs w:val="26"/>
        </w:rPr>
      </w:pPr>
      <w:bookmarkStart w:id="5" w:name="_Toc533175714"/>
      <w:r w:rsidRPr="00434961">
        <w:rPr>
          <w:rFonts w:eastAsiaTheme="majorEastAsia" w:cstheme="majorBidi"/>
          <w:color w:val="2E74B5" w:themeColor="accent1" w:themeShade="BF"/>
          <w:sz w:val="28"/>
          <w:szCs w:val="26"/>
        </w:rPr>
        <w:t>Fundamental</w:t>
      </w:r>
      <w:r w:rsidRPr="00434961">
        <w:rPr>
          <w:rFonts w:eastAsiaTheme="majorEastAsia" w:cstheme="majorBidi"/>
          <w:color w:val="2E74B5" w:themeColor="accent1" w:themeShade="BF"/>
          <w:sz w:val="26"/>
          <w:szCs w:val="26"/>
        </w:rPr>
        <w:t xml:space="preserve"> Rights Report 201</w:t>
      </w:r>
      <w:r>
        <w:rPr>
          <w:rFonts w:eastAsiaTheme="majorEastAsia" w:cstheme="majorBidi"/>
          <w:color w:val="2E74B5" w:themeColor="accent1" w:themeShade="BF"/>
          <w:sz w:val="26"/>
          <w:szCs w:val="26"/>
        </w:rPr>
        <w:t>6</w:t>
      </w:r>
      <w:r w:rsidRPr="00434961">
        <w:rPr>
          <w:rFonts w:eastAsiaTheme="majorEastAsia" w:cstheme="majorBidi"/>
          <w:color w:val="2E74B5" w:themeColor="accent1" w:themeShade="BF"/>
          <w:sz w:val="26"/>
          <w:szCs w:val="26"/>
        </w:rPr>
        <w:t xml:space="preserve"> Report</w:t>
      </w:r>
      <w:bookmarkEnd w:id="5"/>
    </w:p>
    <w:p w:rsidR="00C65E84" w:rsidRPr="00152E72" w:rsidRDefault="009400A5" w:rsidP="00152E72">
      <w:pPr>
        <w:spacing w:line="240" w:lineRule="auto"/>
        <w:rPr>
          <w:color w:val="0563C1" w:themeColor="hyperlink"/>
          <w:u w:val="single"/>
        </w:rPr>
      </w:pPr>
      <w:r w:rsidRPr="00D316E0">
        <w:t xml:space="preserve">For more detailed information: </w:t>
      </w:r>
      <w:hyperlink r:id="rId10" w:history="1">
        <w:r w:rsidRPr="00D316E0">
          <w:rPr>
            <w:rStyle w:val="Hyperlink"/>
          </w:rPr>
          <w:t>http://fra.europa.eu/en/publications-and-resources/publications/annual-reports/fundamental-rights-2016</w:t>
        </w:r>
      </w:hyperlink>
    </w:p>
    <w:p w:rsidR="00004AB9" w:rsidRDefault="009400A5" w:rsidP="009400A5">
      <w:pPr>
        <w:spacing w:line="240" w:lineRule="auto"/>
        <w:jc w:val="both"/>
      </w:pPr>
      <w:r w:rsidRPr="00D316E0">
        <w:rPr>
          <w:rFonts w:cs="DaxlinePro-Regular"/>
          <w:color w:val="000000"/>
          <w:sz w:val="24"/>
          <w:szCs w:val="24"/>
        </w:rPr>
        <w:t>“</w:t>
      </w:r>
      <w:r w:rsidR="00C65E84">
        <w:t>The EU has established common safeguards in relation to specific forms of violence, such as sexual violence against children. But the implementation of the Directive on combating sexual abuse and sexual exploitation of children and child pornography (2011/93/EU</w:t>
      </w:r>
      <w:proofErr w:type="gramStart"/>
      <w:r w:rsidR="00C65E84">
        <w:t>)57</w:t>
      </w:r>
      <w:proofErr w:type="gramEnd"/>
      <w:r w:rsidR="00C65E84">
        <w:t xml:space="preserve"> continued to encounter difficulties. In 2014, the Commission opened formal infringement procedures against 11 Member States for non-communication of national measures implementing the directive. By the end of 2015, it did close the cases involving Cyprus, Hungary, the Netherlands and the United Kingdom due to correct implementation or submission of information.5 However, in the cases of </w:t>
      </w:r>
      <w:r w:rsidR="00C65E84" w:rsidRPr="00004AB9">
        <w:t>Belgium</w:t>
      </w:r>
      <w:r w:rsidR="00C65E84">
        <w:t xml:space="preserve">, Greece, </w:t>
      </w:r>
      <w:r w:rsidR="00C65E84" w:rsidRPr="00004AB9">
        <w:rPr>
          <w:b/>
        </w:rPr>
        <w:t>Italy</w:t>
      </w:r>
      <w:r w:rsidR="00C65E84">
        <w:t>, Malta, Portugal, Romania and Spain, the Commission launched the second stage of infringement procedures with reasoned opinions, asking them to notify the Commission of all measures taken to ensure full implementation, including bringing national legislation in line with EU law.” (p. 142)</w:t>
      </w:r>
    </w:p>
    <w:p w:rsidR="009400A5" w:rsidRPr="006C3678" w:rsidRDefault="00C65E84" w:rsidP="009400A5">
      <w:pPr>
        <w:spacing w:line="240" w:lineRule="auto"/>
        <w:jc w:val="both"/>
        <w:rPr>
          <w:rFonts w:cs="DaxlinePro-Regular"/>
          <w:color w:val="000000"/>
          <w:sz w:val="24"/>
          <w:szCs w:val="24"/>
        </w:rPr>
      </w:pPr>
      <w:r>
        <w:t xml:space="preserve">“The European Committee of Social Rights (ESCR) focused on corporal punishment as a form of violence against children and has now adopted all decisions on the merits of the collective complaints made in 2013 against several Member States. The ESCR found a violation of Article 17 of the European Social Charter in Ireland, Slovenia, </w:t>
      </w:r>
      <w:r w:rsidRPr="00004AB9">
        <w:t>Belgium</w:t>
      </w:r>
      <w:r>
        <w:t xml:space="preserve">, the Czech Republic and France – but not in </w:t>
      </w:r>
      <w:r w:rsidRPr="00004AB9">
        <w:rPr>
          <w:b/>
        </w:rPr>
        <w:t>Italy</w:t>
      </w:r>
      <w:r>
        <w:t xml:space="preserve"> – for not explicitly prohibiting all forms of corporal punishments.” (p. 143)</w:t>
      </w:r>
    </w:p>
    <w:p w:rsidR="009400A5" w:rsidRDefault="009400A5" w:rsidP="009400A5">
      <w:pPr>
        <w:pStyle w:val="ListParagraph"/>
        <w:keepNext/>
        <w:keepLines/>
        <w:numPr>
          <w:ilvl w:val="0"/>
          <w:numId w:val="1"/>
        </w:numPr>
        <w:spacing w:after="160"/>
        <w:outlineLvl w:val="0"/>
        <w:rPr>
          <w:rFonts w:eastAsiaTheme="majorEastAsia" w:cstheme="majorBidi"/>
          <w:b/>
          <w:color w:val="2E74B5" w:themeColor="accent1" w:themeShade="BF"/>
          <w:sz w:val="32"/>
          <w:szCs w:val="32"/>
          <w:lang w:val="en-GB"/>
        </w:rPr>
      </w:pPr>
      <w:bookmarkStart w:id="6" w:name="_Toc447537936"/>
      <w:bookmarkStart w:id="7" w:name="_Toc533175715"/>
      <w:r w:rsidRPr="00D316E0">
        <w:rPr>
          <w:rFonts w:eastAsiaTheme="majorEastAsia" w:cstheme="majorBidi"/>
          <w:b/>
          <w:color w:val="2E74B5" w:themeColor="accent1" w:themeShade="BF"/>
          <w:sz w:val="32"/>
          <w:szCs w:val="32"/>
          <w:lang w:val="en-GB"/>
        </w:rPr>
        <w:lastRenderedPageBreak/>
        <w:t>Thematic reports</w:t>
      </w:r>
      <w:bookmarkEnd w:id="6"/>
      <w:bookmarkEnd w:id="7"/>
    </w:p>
    <w:p w:rsidR="006C3678" w:rsidRPr="00152E72" w:rsidRDefault="005F142B" w:rsidP="006C3678">
      <w:pPr>
        <w:pStyle w:val="Heading2"/>
        <w:numPr>
          <w:ilvl w:val="1"/>
          <w:numId w:val="5"/>
        </w:numPr>
      </w:pPr>
      <w:bookmarkStart w:id="8" w:name="_Toc533175716"/>
      <w:r w:rsidRPr="005F142B">
        <w:t>Combating child poverty: an issue of fundamental rights</w:t>
      </w:r>
      <w:r w:rsidR="000B5173">
        <w:t xml:space="preserve"> (2018)</w:t>
      </w:r>
      <w:bookmarkEnd w:id="8"/>
    </w:p>
    <w:p w:rsidR="005F142B" w:rsidRPr="005F142B" w:rsidRDefault="005F142B" w:rsidP="006C3678">
      <w:r>
        <w:t xml:space="preserve">For more detailed information: </w:t>
      </w:r>
      <w:hyperlink r:id="rId11" w:history="1">
        <w:r w:rsidRPr="00F16132">
          <w:rPr>
            <w:rStyle w:val="Hyperlink"/>
          </w:rPr>
          <w:t>https://fra.europa.eu/en/publication/2018/child-poverty</w:t>
        </w:r>
      </w:hyperlink>
      <w:r>
        <w:t xml:space="preserve"> </w:t>
      </w:r>
    </w:p>
    <w:p w:rsidR="000D249B" w:rsidRDefault="000D249B" w:rsidP="000D249B">
      <w:r>
        <w:t xml:space="preserve">“More than 30 % of children were at risk of poverty or social exclusion in countries such as Greece (37.5 %), Hungary (33.6 %), </w:t>
      </w:r>
      <w:r w:rsidRPr="000D249B">
        <w:rPr>
          <w:b/>
        </w:rPr>
        <w:t>Italy</w:t>
      </w:r>
      <w:r>
        <w:t xml:space="preserve"> (33.2 %), Spain (32.9 %) and Lithuania (32.4 %).” (p. 15)</w:t>
      </w:r>
    </w:p>
    <w:p w:rsidR="000D249B" w:rsidRDefault="000D249B" w:rsidP="000D249B">
      <w:r w:rsidRPr="000D249B">
        <w:rPr>
          <w:noProof/>
          <w:lang w:eastAsia="en-GB"/>
        </w:rPr>
        <w:drawing>
          <wp:inline distT="0" distB="0" distL="0" distR="0">
            <wp:extent cx="5397019" cy="1002182"/>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9758" cy="1015689"/>
                    </a:xfrm>
                    <a:prstGeom prst="rect">
                      <a:avLst/>
                    </a:prstGeom>
                    <a:noFill/>
                    <a:ln>
                      <a:noFill/>
                    </a:ln>
                  </pic:spPr>
                </pic:pic>
              </a:graphicData>
            </a:graphic>
          </wp:inline>
        </w:drawing>
      </w:r>
      <w:r>
        <w:t>(p.43)</w:t>
      </w:r>
    </w:p>
    <w:p w:rsidR="005F142B" w:rsidRDefault="006C3678" w:rsidP="009400A5">
      <w:pPr>
        <w:keepNext/>
        <w:keepLines/>
        <w:spacing w:line="240" w:lineRule="auto"/>
        <w:outlineLvl w:val="1"/>
        <w:rPr>
          <w:rFonts w:eastAsiaTheme="majorEastAsia" w:cstheme="majorBidi"/>
          <w:color w:val="2E74B5" w:themeColor="accent1" w:themeShade="BF"/>
          <w:sz w:val="26"/>
          <w:szCs w:val="26"/>
        </w:rPr>
      </w:pPr>
      <w:bookmarkStart w:id="9" w:name="_Toc533175717"/>
      <w:bookmarkStart w:id="10" w:name="_Toc447537937"/>
      <w:r>
        <w:rPr>
          <w:rFonts w:eastAsiaTheme="majorEastAsia" w:cstheme="majorBidi"/>
          <w:color w:val="2E74B5" w:themeColor="accent1" w:themeShade="BF"/>
          <w:sz w:val="26"/>
          <w:szCs w:val="26"/>
        </w:rPr>
        <w:t>2.2</w:t>
      </w:r>
      <w:r w:rsidR="0097112F">
        <w:rPr>
          <w:rFonts w:eastAsiaTheme="majorEastAsia" w:cstheme="majorBidi"/>
          <w:color w:val="2E74B5" w:themeColor="accent1" w:themeShade="BF"/>
          <w:sz w:val="26"/>
          <w:szCs w:val="26"/>
        </w:rPr>
        <w:t xml:space="preserve"> </w:t>
      </w:r>
      <w:r w:rsidR="0097112F" w:rsidRPr="0097112F">
        <w:rPr>
          <w:rFonts w:eastAsiaTheme="majorEastAsia" w:cstheme="majorBidi"/>
          <w:color w:val="2E74B5" w:themeColor="accent1" w:themeShade="BF"/>
          <w:sz w:val="26"/>
          <w:szCs w:val="26"/>
        </w:rPr>
        <w:t>European legal and policy framework on immigration detention of children</w:t>
      </w:r>
      <w:r w:rsidR="0097112F">
        <w:rPr>
          <w:rFonts w:eastAsiaTheme="majorEastAsia" w:cstheme="majorBidi"/>
          <w:color w:val="2E74B5" w:themeColor="accent1" w:themeShade="BF"/>
          <w:sz w:val="26"/>
          <w:szCs w:val="26"/>
        </w:rPr>
        <w:t xml:space="preserve"> (2017)</w:t>
      </w:r>
      <w:bookmarkEnd w:id="9"/>
    </w:p>
    <w:p w:rsidR="0097112F" w:rsidRDefault="0097112F" w:rsidP="0097112F">
      <w:r>
        <w:t xml:space="preserve">For more detailed information: </w:t>
      </w:r>
      <w:hyperlink r:id="rId13" w:history="1">
        <w:r w:rsidRPr="00F16132">
          <w:rPr>
            <w:rStyle w:val="Hyperlink"/>
          </w:rPr>
          <w:t>https://fra.europa.eu/en/publication/2017/child-migrant-detention</w:t>
        </w:r>
      </w:hyperlink>
      <w:r>
        <w:t xml:space="preserve"> </w:t>
      </w:r>
    </w:p>
    <w:p w:rsidR="000D249B" w:rsidRDefault="000D249B" w:rsidP="0097112F">
      <w:pPr>
        <w:jc w:val="both"/>
      </w:pPr>
      <w:r>
        <w:t xml:space="preserve">“Age assessment procedures should only be used when there are serious doubts about a child’s age. Normally, authorities should register the age that the person declares. In practice, three situations can necessitate assessing a child’s age. (…) Third, a child may insist that they are over 18 years to avoid national child protection systems; for example, Nigerian girls at risk of trafficking have done this upon reaching southern </w:t>
      </w:r>
      <w:r w:rsidRPr="000D249B">
        <w:rPr>
          <w:b/>
        </w:rPr>
        <w:t>Italy</w:t>
      </w:r>
      <w:r>
        <w:t>.” (p.20)</w:t>
      </w:r>
    </w:p>
    <w:p w:rsidR="000D249B" w:rsidRDefault="000D249B" w:rsidP="0097112F">
      <w:pPr>
        <w:jc w:val="both"/>
      </w:pPr>
      <w:r>
        <w:t xml:space="preserve">“Reports from Bulgaria, Spain and </w:t>
      </w:r>
      <w:r w:rsidRPr="000D249B">
        <w:rPr>
          <w:b/>
        </w:rPr>
        <w:t>Italy</w:t>
      </w:r>
      <w:r>
        <w:t xml:space="preserve"> suggest that children there are also improperly identified as adults or attached to and registered with unrelated adults and, as a result, being detained.” (p.21)</w:t>
      </w:r>
    </w:p>
    <w:p w:rsidR="000D249B" w:rsidRDefault="000D249B" w:rsidP="0097112F">
      <w:pPr>
        <w:jc w:val="both"/>
      </w:pPr>
      <w:r>
        <w:t xml:space="preserve">“The practice of not detaining children for asylum or return purposes also prevails in </w:t>
      </w:r>
      <w:r w:rsidRPr="000D249B">
        <w:rPr>
          <w:b/>
        </w:rPr>
        <w:t>Italy</w:t>
      </w:r>
      <w:r>
        <w:t>, Portugal and Spain. In</w:t>
      </w:r>
      <w:r w:rsidRPr="000D249B">
        <w:rPr>
          <w:b/>
        </w:rPr>
        <w:t xml:space="preserve"> Italy</w:t>
      </w:r>
      <w:r>
        <w:t xml:space="preserve"> and Portugal, the authorities have a policy not to detain families with children, partly because appropriate facilities are not available.” (p.35)</w:t>
      </w:r>
    </w:p>
    <w:p w:rsidR="000D249B" w:rsidRDefault="000D249B" w:rsidP="0097112F">
      <w:pPr>
        <w:jc w:val="both"/>
      </w:pPr>
      <w:r>
        <w:t xml:space="preserve">“Many EU Member States also require that national authorities seek alternatives to detention and apply less coercive measures when deciding on the imprisonment of parents for criminal purposes, especially mothers. In </w:t>
      </w:r>
      <w:r w:rsidRPr="000D249B">
        <w:rPr>
          <w:b/>
        </w:rPr>
        <w:t>Italy</w:t>
      </w:r>
      <w:r>
        <w:t>, for example, national law provides that, unless condemned for violent crimes, mothers whose children are aged under six years may have their imprisonment suspended and may be held under alternative forms of detention, such as in correctional institutions or home detention. The possibility of accessing alternative detention measures is extended to the father if the mother has died or is unable to take care of the child.” (p.53)</w:t>
      </w:r>
    </w:p>
    <w:p w:rsidR="000D249B" w:rsidRDefault="000D249B" w:rsidP="0097112F">
      <w:pPr>
        <w:jc w:val="both"/>
      </w:pPr>
      <w:r>
        <w:t>“</w:t>
      </w:r>
      <w:r w:rsidR="00F378B1">
        <w:t xml:space="preserve">In </w:t>
      </w:r>
      <w:r w:rsidR="00F378B1" w:rsidRPr="00F378B1">
        <w:rPr>
          <w:b/>
        </w:rPr>
        <w:t>Italy</w:t>
      </w:r>
      <w:r w:rsidR="00F378B1">
        <w:t>, children are not detained with their parents, but it is possible when at least one of the parents submits a request or if the juvenile court decides that it is in the best interests of the child.” (p. 56)</w:t>
      </w:r>
    </w:p>
    <w:p w:rsidR="00F378B1" w:rsidRDefault="00AB7C03" w:rsidP="0097112F">
      <w:pPr>
        <w:jc w:val="both"/>
      </w:pPr>
      <w:r>
        <w:t>“I</w:t>
      </w:r>
      <w:r w:rsidR="00F378B1">
        <w:t xml:space="preserve">n </w:t>
      </w:r>
      <w:r w:rsidR="00F378B1" w:rsidRPr="00AB7C03">
        <w:rPr>
          <w:b/>
        </w:rPr>
        <w:t>Italy</w:t>
      </w:r>
      <w:r w:rsidR="00F378B1">
        <w:t>, asylum detention can last for a maximum of 12 months (compared with 18 months for detention pending return).” (p.59)</w:t>
      </w:r>
    </w:p>
    <w:p w:rsidR="00F378B1" w:rsidRDefault="00F378B1" w:rsidP="00F378B1">
      <w:pPr>
        <w:jc w:val="both"/>
      </w:pPr>
      <w:r>
        <w:t xml:space="preserve">“EU Member States that, although they do not formally prohibit detention of children, have non-detention policies or practices in place, such as Cyprus, </w:t>
      </w:r>
      <w:r w:rsidRPr="00F378B1">
        <w:rPr>
          <w:b/>
        </w:rPr>
        <w:t>Italy</w:t>
      </w:r>
      <w:r>
        <w:t xml:space="preserve"> or Lithuania, have not created specialised facilities for detention of children.” (p. 73)</w:t>
      </w:r>
    </w:p>
    <w:p w:rsidR="00F378B1" w:rsidRDefault="00F378B1" w:rsidP="00F378B1">
      <w:pPr>
        <w:jc w:val="both"/>
      </w:pPr>
      <w:r>
        <w:t xml:space="preserve">“In Greece and </w:t>
      </w:r>
      <w:r w:rsidRPr="00AB7C03">
        <w:rPr>
          <w:b/>
        </w:rPr>
        <w:t>Italy</w:t>
      </w:r>
      <w:r>
        <w:t>, new arrivals by sea, including children, are confined to the hotspots until they are registered and fingerprinted. In Italy, deprivation of liberty by the police can last for a maximum of 96 hours, after which detention can be continued only if confirmed by a judge, except for unaccompanied children, who must be released.” (p.78)</w:t>
      </w:r>
    </w:p>
    <w:p w:rsidR="00F378B1" w:rsidRDefault="00F378B1" w:rsidP="00F378B1">
      <w:pPr>
        <w:jc w:val="both"/>
      </w:pPr>
      <w:r>
        <w:t>“The time in short-term holding facilities is normally limited to a</w:t>
      </w:r>
      <w:proofErr w:type="gramStart"/>
      <w:r>
        <w:t>  few</w:t>
      </w:r>
      <w:proofErr w:type="gramEnd"/>
      <w:r>
        <w:t xml:space="preserve"> hours or days. However, delays in transferring children to specialised facilities may occur, particularly if specialised holding or reception facilities are crowded or not available, as is the case in hotspots in Greece and </w:t>
      </w:r>
      <w:r w:rsidRPr="00F378B1">
        <w:rPr>
          <w:b/>
        </w:rPr>
        <w:t>Italy</w:t>
      </w:r>
      <w:r>
        <w:t>.” (p.78)</w:t>
      </w:r>
    </w:p>
    <w:p w:rsidR="00F378B1" w:rsidRDefault="00F378B1" w:rsidP="00F378B1">
      <w:pPr>
        <w:jc w:val="both"/>
      </w:pPr>
      <w:r>
        <w:t xml:space="preserve">“For example, when visiting hotspots in </w:t>
      </w:r>
      <w:r w:rsidRPr="00F378B1">
        <w:rPr>
          <w:b/>
        </w:rPr>
        <w:t>Italy</w:t>
      </w:r>
      <w:r>
        <w:t xml:space="preserve"> and Greece, FRA observed unaccompanied children staying there for a long time without access to education.” (p. 81)</w:t>
      </w:r>
    </w:p>
    <w:p w:rsidR="00B434B9" w:rsidRDefault="00B434B9" w:rsidP="00B434B9">
      <w:pPr>
        <w:keepNext/>
        <w:keepLines/>
        <w:spacing w:line="240" w:lineRule="auto"/>
        <w:outlineLvl w:val="1"/>
        <w:rPr>
          <w:rFonts w:eastAsiaTheme="majorEastAsia" w:cstheme="majorBidi"/>
          <w:color w:val="2E74B5" w:themeColor="accent1" w:themeShade="BF"/>
          <w:sz w:val="26"/>
          <w:szCs w:val="26"/>
        </w:rPr>
      </w:pPr>
      <w:bookmarkStart w:id="11" w:name="_Toc484698247"/>
      <w:bookmarkStart w:id="12" w:name="_Toc533175718"/>
      <w:r>
        <w:rPr>
          <w:rFonts w:eastAsiaTheme="majorEastAsia" w:cstheme="majorBidi"/>
          <w:color w:val="2E74B5" w:themeColor="accent1" w:themeShade="BF"/>
          <w:sz w:val="26"/>
          <w:szCs w:val="26"/>
        </w:rPr>
        <w:t xml:space="preserve">2.3 </w:t>
      </w:r>
      <w:r w:rsidRPr="00C43FA4">
        <w:rPr>
          <w:rFonts w:eastAsiaTheme="majorEastAsia" w:cstheme="majorBidi"/>
          <w:color w:val="2E74B5" w:themeColor="accent1" w:themeShade="BF"/>
          <w:sz w:val="26"/>
          <w:szCs w:val="26"/>
        </w:rPr>
        <w:t>Regular overviews of migration-related fundamental rights concerns</w:t>
      </w:r>
      <w:bookmarkEnd w:id="11"/>
      <w:r w:rsidR="000B5173">
        <w:rPr>
          <w:rFonts w:eastAsiaTheme="majorEastAsia" w:cstheme="majorBidi"/>
          <w:color w:val="2E74B5" w:themeColor="accent1" w:themeShade="BF"/>
          <w:sz w:val="26"/>
          <w:szCs w:val="26"/>
        </w:rPr>
        <w:t xml:space="preserve"> (2018)</w:t>
      </w:r>
      <w:bookmarkEnd w:id="12"/>
    </w:p>
    <w:p w:rsidR="00B434B9" w:rsidRDefault="00B434B9" w:rsidP="00B434B9">
      <w:pPr>
        <w:jc w:val="both"/>
      </w:pPr>
      <w:r w:rsidRPr="00C17836">
        <w:rPr>
          <w:lang w:val="en-IE"/>
        </w:rPr>
        <w:t>The</w:t>
      </w:r>
      <w:r>
        <w:rPr>
          <w:lang w:val="en-IE"/>
        </w:rPr>
        <w:t xml:space="preserve"> monthly</w:t>
      </w:r>
      <w:r w:rsidRPr="00C17836">
        <w:rPr>
          <w:lang w:val="en-IE"/>
        </w:rPr>
        <w:t xml:space="preserve"> </w:t>
      </w:r>
      <w:r>
        <w:rPr>
          <w:lang w:val="en-IE"/>
        </w:rPr>
        <w:t>reports include</w:t>
      </w:r>
      <w:r w:rsidRPr="00C17836">
        <w:rPr>
          <w:lang w:val="en-IE"/>
        </w:rPr>
        <w:t xml:space="preserve"> extensive information regarding </w:t>
      </w:r>
      <w:r>
        <w:rPr>
          <w:lang w:val="en-IE"/>
        </w:rPr>
        <w:t>Italy</w:t>
      </w:r>
      <w:r w:rsidRPr="00C17836">
        <w:rPr>
          <w:lang w:val="en-IE"/>
        </w:rPr>
        <w:t>, these excerpts are just a selection.</w:t>
      </w:r>
      <w:r>
        <w:rPr>
          <w:lang w:val="en-IE"/>
        </w:rPr>
        <w:t xml:space="preserve"> </w:t>
      </w:r>
      <w:r w:rsidRPr="00D316E0">
        <w:t>For more detailed information:</w:t>
      </w:r>
      <w:r w:rsidRPr="00C43FA4">
        <w:t xml:space="preserve"> </w:t>
      </w:r>
      <w:hyperlink r:id="rId14" w:history="1">
        <w:r w:rsidRPr="003C4AD4">
          <w:rPr>
            <w:rStyle w:val="Hyperlink"/>
          </w:rPr>
          <w:t>http://fra.europa.eu/en/theme/asylum-migration-borders/overviews</w:t>
        </w:r>
      </w:hyperlink>
      <w:r>
        <w:t xml:space="preserve"> </w:t>
      </w:r>
    </w:p>
    <w:p w:rsidR="00B434B9" w:rsidRDefault="00B434B9" w:rsidP="00F378B1">
      <w:pPr>
        <w:jc w:val="both"/>
      </w:pPr>
      <w:r>
        <w:t xml:space="preserve">“Summary returns and denial of access to the asylum procedure continued at the border between France and </w:t>
      </w:r>
      <w:r w:rsidRPr="001205A1">
        <w:rPr>
          <w:b/>
        </w:rPr>
        <w:t>Italy</w:t>
      </w:r>
      <w:r>
        <w:t>, also affecting children, both unaccompanied and with families, the National Consultative Commission on Human Rights and NGOs reported in interviews.” (</w:t>
      </w:r>
      <w:r w:rsidR="001205A1">
        <w:t xml:space="preserve">Bi-monthly data collection: </w:t>
      </w:r>
      <w:hyperlink r:id="rId15" w:history="1">
        <w:r w:rsidR="001205A1" w:rsidRPr="001205A1">
          <w:rPr>
            <w:rStyle w:val="Hyperlink"/>
          </w:rPr>
          <w:t>November 2018</w:t>
        </w:r>
      </w:hyperlink>
      <w:r w:rsidR="001205A1">
        <w:t xml:space="preserve">, </w:t>
      </w:r>
      <w:r>
        <w:t>p. 4)</w:t>
      </w:r>
    </w:p>
    <w:p w:rsidR="001205A1" w:rsidRDefault="001205A1" w:rsidP="00F378B1">
      <w:pPr>
        <w:jc w:val="both"/>
      </w:pPr>
      <w:r>
        <w:t xml:space="preserve">“The Ministry of Foreign Affairs of </w:t>
      </w:r>
      <w:r w:rsidRPr="001205A1">
        <w:rPr>
          <w:b/>
        </w:rPr>
        <w:t xml:space="preserve">Italy </w:t>
      </w:r>
      <w:r>
        <w:t xml:space="preserve">requested clarification from the French government concerning an incident involving French police officers trying to drop off unaccompanied children they had apprehended in a forested area in </w:t>
      </w:r>
      <w:r w:rsidRPr="001205A1">
        <w:rPr>
          <w:b/>
        </w:rPr>
        <w:t>Italy</w:t>
      </w:r>
      <w:r>
        <w:t xml:space="preserve">. A number of NGOs – including Amnesty International, Doctors </w:t>
      </w:r>
      <w:proofErr w:type="gramStart"/>
      <w:r>
        <w:t>Without</w:t>
      </w:r>
      <w:proofErr w:type="gramEnd"/>
      <w:r>
        <w:t xml:space="preserve"> Borders Italy and the Italian Red Cross – have been reporting about similar incidents. Meanwhile, press reports accuse the Italian police of informally returning migrants apprehended near the border to Slovenia.”</w:t>
      </w:r>
      <w:r w:rsidRPr="001205A1">
        <w:t xml:space="preserve"> </w:t>
      </w:r>
      <w:r>
        <w:t xml:space="preserve">(Bi-monthly data collection: </w:t>
      </w:r>
      <w:hyperlink r:id="rId16" w:history="1">
        <w:r w:rsidRPr="001205A1">
          <w:rPr>
            <w:rStyle w:val="Hyperlink"/>
          </w:rPr>
          <w:t>November 2018</w:t>
        </w:r>
      </w:hyperlink>
      <w:r>
        <w:t>, p. 5)</w:t>
      </w:r>
    </w:p>
    <w:p w:rsidR="001205A1" w:rsidRDefault="001205A1" w:rsidP="001205A1">
      <w:pPr>
        <w:jc w:val="both"/>
      </w:pPr>
      <w:r>
        <w:t xml:space="preserve">“After an on-site mission, several civil society organisations reported multiple human rights violations, such as the </w:t>
      </w:r>
      <w:proofErr w:type="spellStart"/>
      <w:r>
        <w:t>refoulement</w:t>
      </w:r>
      <w:proofErr w:type="spellEnd"/>
      <w:r>
        <w:t xml:space="preserve"> of 26 people from the border post in </w:t>
      </w:r>
      <w:proofErr w:type="spellStart"/>
      <w:r>
        <w:t>Montgenèvre</w:t>
      </w:r>
      <w:proofErr w:type="spellEnd"/>
      <w:r>
        <w:t xml:space="preserve"> to </w:t>
      </w:r>
      <w:proofErr w:type="spellStart"/>
      <w:r>
        <w:t>Clavière</w:t>
      </w:r>
      <w:proofErr w:type="spellEnd"/>
      <w:r>
        <w:t xml:space="preserve"> (on the </w:t>
      </w:r>
      <w:r w:rsidRPr="00AB7C03">
        <w:rPr>
          <w:b/>
        </w:rPr>
        <w:t xml:space="preserve">Italian </w:t>
      </w:r>
      <w:r>
        <w:t xml:space="preserve">side of the border), without any individual examination of their situation and without giving them any possibility to apply for asylum. The vulnerability of some of the migrants was not taken into account (eight persons declared themselves children).” (Bi-monthly data collection: </w:t>
      </w:r>
      <w:hyperlink r:id="rId17" w:history="1">
        <w:r w:rsidRPr="001205A1">
          <w:rPr>
            <w:rStyle w:val="Hyperlink"/>
          </w:rPr>
          <w:t>November 2018</w:t>
        </w:r>
      </w:hyperlink>
      <w:r>
        <w:t>, p. 6)</w:t>
      </w:r>
    </w:p>
    <w:p w:rsidR="001205A1" w:rsidRDefault="001205A1" w:rsidP="001205A1">
      <w:pPr>
        <w:jc w:val="both"/>
      </w:pPr>
      <w:r>
        <w:t>“According to the Ministry of the Interior, by 15 October 2018, 3,330 unaccompanied children had arrived in</w:t>
      </w:r>
      <w:r w:rsidRPr="001205A1">
        <w:rPr>
          <w:b/>
        </w:rPr>
        <w:t xml:space="preserve"> Italy</w:t>
      </w:r>
      <w:r>
        <w:t xml:space="preserve"> since the beginning of 2018.” (Bi-monthly data collection: </w:t>
      </w:r>
      <w:hyperlink r:id="rId18" w:history="1">
        <w:r w:rsidRPr="001205A1">
          <w:rPr>
            <w:rStyle w:val="Hyperlink"/>
          </w:rPr>
          <w:t>November 2018</w:t>
        </w:r>
      </w:hyperlink>
      <w:r>
        <w:t>, p. 12)</w:t>
      </w:r>
    </w:p>
    <w:p w:rsidR="001205A1" w:rsidRDefault="001205A1" w:rsidP="001205A1">
      <w:pPr>
        <w:jc w:val="both"/>
      </w:pPr>
      <w:r>
        <w:t xml:space="preserve">“In </w:t>
      </w:r>
      <w:r w:rsidRPr="001205A1">
        <w:rPr>
          <w:b/>
        </w:rPr>
        <w:t>Italy</w:t>
      </w:r>
      <w:r>
        <w:t>, the Authority for the Protection of Childhood and Adolescence (</w:t>
      </w:r>
      <w:proofErr w:type="spellStart"/>
      <w:r>
        <w:t>Autorità</w:t>
      </w:r>
      <w:proofErr w:type="spellEnd"/>
      <w:r>
        <w:t xml:space="preserve"> </w:t>
      </w:r>
      <w:proofErr w:type="spellStart"/>
      <w:r>
        <w:t>Garante</w:t>
      </w:r>
      <w:proofErr w:type="spellEnd"/>
      <w:r>
        <w:t xml:space="preserve"> per </w:t>
      </w:r>
      <w:proofErr w:type="spellStart"/>
      <w:r>
        <w:t>l’Infanzia</w:t>
      </w:r>
      <w:proofErr w:type="spellEnd"/>
      <w:r>
        <w:t xml:space="preserve"> e </w:t>
      </w:r>
      <w:proofErr w:type="spellStart"/>
      <w:r>
        <w:t>l’Adolescenza</w:t>
      </w:r>
      <w:proofErr w:type="spellEnd"/>
      <w:r>
        <w:t xml:space="preserve">, AGA) launched a project aimed at monitoring voluntary guardianship. The initiative, which is funded by the Asylum, Migration and Integration Fund (AMIF) and the Italian Ministry of the Interior, aims to: provide updated statistical data on voluntary guardianship, create an institutional network to support voluntary guardians, and provide training, for example, with unaccompanied children as trainers.” (Bi-monthly data collection: </w:t>
      </w:r>
      <w:hyperlink r:id="rId19" w:history="1">
        <w:r w:rsidRPr="001205A1">
          <w:rPr>
            <w:rStyle w:val="Hyperlink"/>
          </w:rPr>
          <w:t>November 2018</w:t>
        </w:r>
      </w:hyperlink>
      <w:r>
        <w:t>, p. 13)</w:t>
      </w:r>
    </w:p>
    <w:p w:rsidR="001205A1" w:rsidRDefault="001205A1" w:rsidP="001205A1">
      <w:pPr>
        <w:jc w:val="both"/>
      </w:pPr>
      <w:r>
        <w:t xml:space="preserve">“The situation at the border between France and </w:t>
      </w:r>
      <w:r w:rsidRPr="00152E72">
        <w:rPr>
          <w:b/>
        </w:rPr>
        <w:t xml:space="preserve">Italy </w:t>
      </w:r>
      <w:r>
        <w:t xml:space="preserve">(in particular in the French Department of Alpes-Maritimes) remained challenging. A phenomenon in this region is the prostitution of young female irregular migrants, mainly from Sub-Saharan Africa. Many attempted to reach France and could not pay smugglers, the NGO ‘Save the Children’ found in their recent report.” (Bi-monthly data collection: </w:t>
      </w:r>
      <w:hyperlink r:id="rId20" w:history="1">
        <w:r w:rsidRPr="00E13A67">
          <w:rPr>
            <w:rStyle w:val="Hyperlink"/>
          </w:rPr>
          <w:t>September 2018</w:t>
        </w:r>
      </w:hyperlink>
      <w:r>
        <w:t>, p.6)</w:t>
      </w:r>
    </w:p>
    <w:p w:rsidR="00E13A67" w:rsidRDefault="00E13A67" w:rsidP="00E13A67">
      <w:pPr>
        <w:jc w:val="both"/>
      </w:pPr>
      <w:r>
        <w:t xml:space="preserve">“6,042 unaccompanied children disembarked at </w:t>
      </w:r>
      <w:r w:rsidRPr="00AB7C03">
        <w:rPr>
          <w:b/>
        </w:rPr>
        <w:t>Italian</w:t>
      </w:r>
      <w:r>
        <w:t xml:space="preserve"> ports during the period from 1 August 2017 to 31 July 2018, compared to 24,797 during the same period of the previous year (from 1 August 2016 to 31 July 2017).” (Bi-monthly data collection: </w:t>
      </w:r>
      <w:hyperlink r:id="rId21" w:history="1">
        <w:r w:rsidRPr="00E13A67">
          <w:rPr>
            <w:rStyle w:val="Hyperlink"/>
          </w:rPr>
          <w:t>September 2018</w:t>
        </w:r>
      </w:hyperlink>
      <w:r>
        <w:t>, p.12)</w:t>
      </w:r>
    </w:p>
    <w:p w:rsidR="00E13A67" w:rsidRDefault="00E13A67" w:rsidP="00E13A67">
      <w:pPr>
        <w:jc w:val="both"/>
      </w:pPr>
      <w:r>
        <w:t xml:space="preserve">“In </w:t>
      </w:r>
      <w:r w:rsidRPr="00152E72">
        <w:rPr>
          <w:b/>
        </w:rPr>
        <w:t>Italy</w:t>
      </w:r>
      <w:r>
        <w:t xml:space="preserve">, the Independent Authority for Children and Adolescents and UNHCR found severe shortages in 15 first and second-level reception centres hosting overall 135 unaccompanied children. Critical issues concerned the lack of adequate information and social activities for children, the length of children staying in emergency or first-level reception centres as well as delayed appointments of guardians and shortcomings in the age assessment procedure.” (Bi-monthly data collection: </w:t>
      </w:r>
      <w:hyperlink r:id="rId22" w:history="1">
        <w:r w:rsidRPr="00E13A67">
          <w:rPr>
            <w:rStyle w:val="Hyperlink"/>
          </w:rPr>
          <w:t>September 2018</w:t>
        </w:r>
      </w:hyperlink>
      <w:r>
        <w:t>, p.12)</w:t>
      </w:r>
    </w:p>
    <w:p w:rsidR="00E13A67" w:rsidRDefault="00E13A67" w:rsidP="00E13A67">
      <w:pPr>
        <w:jc w:val="both"/>
      </w:pPr>
      <w:r>
        <w:t xml:space="preserve">“The Region of Lazio, </w:t>
      </w:r>
      <w:r w:rsidRPr="00152E72">
        <w:rPr>
          <w:b/>
        </w:rPr>
        <w:t>Italy</w:t>
      </w:r>
      <w:r>
        <w:t>, trained 700 voluntary guardians, who can now be appointed by the competent judicial authorities.</w:t>
      </w:r>
      <w:r w:rsidR="00152E72">
        <w:t xml:space="preserve"> The Region of Apulia issued an</w:t>
      </w:r>
      <w:r>
        <w:t xml:space="preserve"> official notice for the selection and training of potential future voluntary guardians for children hosted in the regional territory.” (Bi-monthly data collection: </w:t>
      </w:r>
      <w:hyperlink r:id="rId23" w:history="1">
        <w:r w:rsidRPr="00E13A67">
          <w:rPr>
            <w:rStyle w:val="Hyperlink"/>
          </w:rPr>
          <w:t>September 2018</w:t>
        </w:r>
      </w:hyperlink>
      <w:r>
        <w:t>, p.12 -13)</w:t>
      </w:r>
    </w:p>
    <w:p w:rsidR="00E13A67" w:rsidRDefault="00E13A67" w:rsidP="00E13A67">
      <w:pPr>
        <w:jc w:val="both"/>
      </w:pPr>
      <w:r>
        <w:t xml:space="preserve">“The Municipality of </w:t>
      </w:r>
      <w:proofErr w:type="spellStart"/>
      <w:r>
        <w:t>Monfalcone</w:t>
      </w:r>
      <w:proofErr w:type="spellEnd"/>
      <w:r>
        <w:t xml:space="preserve"> (Friuli </w:t>
      </w:r>
      <w:proofErr w:type="spellStart"/>
      <w:r>
        <w:t>Venezia</w:t>
      </w:r>
      <w:proofErr w:type="spellEnd"/>
      <w:r>
        <w:t xml:space="preserve"> Giulia), </w:t>
      </w:r>
      <w:r w:rsidRPr="00152E72">
        <w:rPr>
          <w:b/>
        </w:rPr>
        <w:t>Italy</w:t>
      </w:r>
      <w:r>
        <w:t xml:space="preserve">, signed an agreement with the local primary school that no more than 45 % of students will be foreign, preventing some 60 potential students from enrolling in local schools and forcing them to attend primary schools in nearby towns.” (Bi-monthly data collection: </w:t>
      </w:r>
      <w:hyperlink r:id="rId24" w:history="1">
        <w:r w:rsidRPr="00E13A67">
          <w:rPr>
            <w:rStyle w:val="Hyperlink"/>
          </w:rPr>
          <w:t>September 2018</w:t>
        </w:r>
      </w:hyperlink>
      <w:r>
        <w:t>, p.13)</w:t>
      </w:r>
    </w:p>
    <w:p w:rsidR="00E13A67" w:rsidRDefault="00E13A67" w:rsidP="00E13A67">
      <w:pPr>
        <w:jc w:val="both"/>
      </w:pPr>
      <w:r>
        <w:t>“The situation at the border between France and</w:t>
      </w:r>
      <w:r w:rsidRPr="00152E72">
        <w:rPr>
          <w:b/>
        </w:rPr>
        <w:t xml:space="preserve"> Italy</w:t>
      </w:r>
      <w:r>
        <w:t xml:space="preserve"> (in particular in the Department of Alpes-Maritimes) remained problematic. With a growing number of migrants, including young people and families taking more dangerous alpine routes to France to avoid police checks, this led to several deaths, according to various media reports and blogs.” (Bi-monthly data collection: </w:t>
      </w:r>
      <w:hyperlink r:id="rId25" w:history="1">
        <w:r w:rsidRPr="00E13A67">
          <w:rPr>
            <w:rStyle w:val="Hyperlink"/>
          </w:rPr>
          <w:t>July 2018</w:t>
        </w:r>
      </w:hyperlink>
      <w:r>
        <w:t>, p.6)</w:t>
      </w:r>
    </w:p>
    <w:p w:rsidR="00B434B9" w:rsidRDefault="00E13A67" w:rsidP="00F378B1">
      <w:pPr>
        <w:jc w:val="both"/>
      </w:pPr>
      <w:r>
        <w:t xml:space="preserve">“Oxfam, the Association for Legal Studies on Immigration, and the Waldensian Evangelical Church released a report about unaccompanied children returned to </w:t>
      </w:r>
      <w:r w:rsidRPr="00152E72">
        <w:rPr>
          <w:b/>
        </w:rPr>
        <w:t>Italy</w:t>
      </w:r>
      <w:r>
        <w:t xml:space="preserve"> from France. The report describes pushbacks from the French border police at the border close to Ventimiglia (Liguria). Authorities do not provide any assistance, so many end up living on the streets or in informal camps, waiting for the first opportunity to cross the border again. There is only one formal camp managed by the Italian Red Cross with a capacity of 444 places. In the first four months of 2018, however, some 4,231 migrants (including unaccompanied children) came to Ventimiglia, wanting to cross the border to France.” (Bi-monthly data collection: </w:t>
      </w:r>
      <w:hyperlink r:id="rId26" w:history="1">
        <w:r w:rsidRPr="00E13A67">
          <w:rPr>
            <w:rStyle w:val="Hyperlink"/>
          </w:rPr>
          <w:t>July 2018</w:t>
        </w:r>
      </w:hyperlink>
      <w:r>
        <w:t>, p.14)</w:t>
      </w:r>
    </w:p>
    <w:p w:rsidR="00B434B9" w:rsidRDefault="008948F0" w:rsidP="00F378B1">
      <w:pPr>
        <w:jc w:val="both"/>
      </w:pPr>
      <w:r>
        <w:t xml:space="preserve">“In France, Greece, </w:t>
      </w:r>
      <w:r w:rsidRPr="00152E72">
        <w:rPr>
          <w:b/>
        </w:rPr>
        <w:t>Italy</w:t>
      </w:r>
      <w:r>
        <w:t xml:space="preserve"> and Spain, high numbers of unaccompanied children continued to arrive, leading to insufficient capacity and reception conditions. For example, in </w:t>
      </w:r>
      <w:r w:rsidRPr="00152E72">
        <w:rPr>
          <w:b/>
        </w:rPr>
        <w:t>Italy</w:t>
      </w:r>
      <w:r>
        <w:t xml:space="preserve">, since 2011, there has been a </w:t>
      </w:r>
      <w:proofErr w:type="spellStart"/>
      <w:r>
        <w:t>sixfold</w:t>
      </w:r>
      <w:proofErr w:type="spellEnd"/>
      <w:r>
        <w:t xml:space="preserve"> increase in annual arrivals, a gradual increase in the proportion of children under the age of 15, and a growing number of girls among unaccompanied children” (Two year overview report: </w:t>
      </w:r>
      <w:hyperlink r:id="rId27" w:history="1">
        <w:r w:rsidRPr="008948F0">
          <w:rPr>
            <w:rStyle w:val="Hyperlink"/>
          </w:rPr>
          <w:t>Migration to the EU- five persistent challenges</w:t>
        </w:r>
      </w:hyperlink>
      <w:r>
        <w:t>, February 2018, p.14)</w:t>
      </w:r>
    </w:p>
    <w:p w:rsidR="00B434B9" w:rsidRDefault="008948F0" w:rsidP="00F378B1">
      <w:pPr>
        <w:jc w:val="both"/>
      </w:pPr>
      <w:r>
        <w:t xml:space="preserve">“In </w:t>
      </w:r>
      <w:r w:rsidRPr="00152E72">
        <w:rPr>
          <w:b/>
        </w:rPr>
        <w:t>Italy</w:t>
      </w:r>
      <w:r>
        <w:t xml:space="preserve">, the reception system could not accommodate the increasing number of arriving unaccompanied children; many of them – an average of 28 daily – lived on the streets, stayed in adult facilities or disappeared.” (Two year overview report: </w:t>
      </w:r>
      <w:hyperlink r:id="rId28" w:history="1">
        <w:r w:rsidRPr="008948F0">
          <w:rPr>
            <w:rStyle w:val="Hyperlink"/>
          </w:rPr>
          <w:t>Migration to the EU- five persistent challenges</w:t>
        </w:r>
      </w:hyperlink>
      <w:r>
        <w:t>, February 2018, p.15)</w:t>
      </w:r>
    </w:p>
    <w:p w:rsidR="008948F0" w:rsidRDefault="008948F0" w:rsidP="00F378B1">
      <w:pPr>
        <w:jc w:val="both"/>
      </w:pPr>
      <w:r>
        <w:t xml:space="preserve">“However, a significant change occurred in </w:t>
      </w:r>
      <w:r w:rsidRPr="00152E72">
        <w:rPr>
          <w:b/>
        </w:rPr>
        <w:t>Italy</w:t>
      </w:r>
      <w:r>
        <w:t xml:space="preserve">: to overcome systemic shortcomings, a new law created the function of volunteer guardians; the training and recruitment of such guardians started at the end of 2017.” (Two year overview report: </w:t>
      </w:r>
      <w:hyperlink r:id="rId29" w:history="1">
        <w:r w:rsidRPr="008948F0">
          <w:rPr>
            <w:rStyle w:val="Hyperlink"/>
          </w:rPr>
          <w:t>Migration to the EU- five persistent challenges</w:t>
        </w:r>
      </w:hyperlink>
      <w:r>
        <w:t>, February 2018, p.15)</w:t>
      </w:r>
    </w:p>
    <w:p w:rsidR="008948F0" w:rsidRDefault="008948F0" w:rsidP="00F378B1">
      <w:pPr>
        <w:jc w:val="both"/>
      </w:pPr>
      <w:r>
        <w:t xml:space="preserve">“In several countries, severe problems regarding the appointment of guardians persisted. (…) In Como, northern </w:t>
      </w:r>
      <w:r w:rsidRPr="00152E72">
        <w:rPr>
          <w:b/>
        </w:rPr>
        <w:t>Italy</w:t>
      </w:r>
      <w:r>
        <w:t xml:space="preserve">, legal counselling and a guardian were only available to unaccompanied children once they applied for asylum.” (Two year overview report: </w:t>
      </w:r>
      <w:hyperlink r:id="rId30" w:history="1">
        <w:r w:rsidRPr="008948F0">
          <w:rPr>
            <w:rStyle w:val="Hyperlink"/>
          </w:rPr>
          <w:t>Migration to the EU- five persistent challenges</w:t>
        </w:r>
      </w:hyperlink>
      <w:r>
        <w:t>, February 2018, p.15)</w:t>
      </w:r>
    </w:p>
    <w:p w:rsidR="008948F0" w:rsidRDefault="008948F0" w:rsidP="00F378B1">
      <w:pPr>
        <w:jc w:val="both"/>
      </w:pPr>
      <w:r>
        <w:t xml:space="preserve">“In </w:t>
      </w:r>
      <w:r w:rsidRPr="00152E72">
        <w:rPr>
          <w:b/>
        </w:rPr>
        <w:t>Italy</w:t>
      </w:r>
      <w:r>
        <w:t xml:space="preserve">, [age] assessments were made without using the multidisciplinary approach envisaged under national law.” (Two year overview report: </w:t>
      </w:r>
      <w:hyperlink r:id="rId31" w:history="1">
        <w:r w:rsidRPr="008948F0">
          <w:rPr>
            <w:rStyle w:val="Hyperlink"/>
          </w:rPr>
          <w:t>Migration to the EU- five persistent challenges</w:t>
        </w:r>
      </w:hyperlink>
      <w:r>
        <w:t>, February 2018, p.16)</w:t>
      </w:r>
    </w:p>
    <w:p w:rsidR="009F4A13" w:rsidRDefault="00B434B9" w:rsidP="009F4A13">
      <w:pPr>
        <w:keepNext/>
        <w:keepLines/>
        <w:spacing w:line="240" w:lineRule="auto"/>
        <w:outlineLvl w:val="1"/>
        <w:rPr>
          <w:rFonts w:eastAsiaTheme="majorEastAsia" w:cstheme="majorBidi"/>
          <w:color w:val="2E74B5" w:themeColor="accent1" w:themeShade="BF"/>
          <w:sz w:val="26"/>
          <w:szCs w:val="26"/>
        </w:rPr>
      </w:pPr>
      <w:bookmarkStart w:id="13" w:name="_Toc533175719"/>
      <w:r>
        <w:rPr>
          <w:rFonts w:eastAsiaTheme="majorEastAsia" w:cstheme="majorBidi"/>
          <w:color w:val="2E74B5" w:themeColor="accent1" w:themeShade="BF"/>
          <w:sz w:val="26"/>
          <w:szCs w:val="26"/>
        </w:rPr>
        <w:t>2.4</w:t>
      </w:r>
      <w:r w:rsidR="006C3678">
        <w:rPr>
          <w:rFonts w:eastAsiaTheme="majorEastAsia" w:cstheme="majorBidi"/>
          <w:color w:val="2E74B5" w:themeColor="accent1" w:themeShade="BF"/>
          <w:sz w:val="26"/>
          <w:szCs w:val="26"/>
        </w:rPr>
        <w:t xml:space="preserve"> </w:t>
      </w:r>
      <w:r w:rsidR="009F4A13">
        <w:rPr>
          <w:rFonts w:eastAsiaTheme="majorEastAsia" w:cstheme="majorBidi"/>
          <w:color w:val="2E74B5" w:themeColor="accent1" w:themeShade="BF"/>
          <w:sz w:val="26"/>
          <w:szCs w:val="26"/>
        </w:rPr>
        <w:t>Mapping of minimum age requirements</w:t>
      </w:r>
      <w:bookmarkEnd w:id="13"/>
    </w:p>
    <w:p w:rsidR="009F4A13" w:rsidRDefault="009F4A13" w:rsidP="006C3678">
      <w:pPr>
        <w:jc w:val="both"/>
        <w:rPr>
          <w:rFonts w:eastAsiaTheme="majorEastAsia" w:cstheme="majorBidi"/>
          <w:color w:val="2E74B5" w:themeColor="accent1" w:themeShade="BF"/>
          <w:sz w:val="26"/>
          <w:szCs w:val="26"/>
        </w:rPr>
      </w:pPr>
      <w:r>
        <w:rPr>
          <w:shd w:val="clear" w:color="auto" w:fill="FBFBFB"/>
        </w:rPr>
        <w:t>In 2017, FRA is mapped national laws across EU governing age requirements linked to the child rights of protection and participation. The Convention on the rights of the Child requires States to take children's views into consideration on matters which concern them in accordance with their age and maturity. However, FRA research has shown that the way children are recognised as rights holders differs across the EU. Age requirements can also be arbitrary and inconsistent, potentially limiting child rights</w:t>
      </w:r>
      <w:r w:rsidR="008948F0">
        <w:rPr>
          <w:shd w:val="clear" w:color="auto" w:fill="FBFBFB"/>
        </w:rPr>
        <w:t xml:space="preserve"> </w:t>
      </w:r>
    </w:p>
    <w:p w:rsidR="009F4A13" w:rsidRDefault="009F4A13" w:rsidP="006C3678">
      <w:pPr>
        <w:jc w:val="both"/>
        <w:rPr>
          <w:shd w:val="clear" w:color="auto" w:fill="FBFBFB"/>
        </w:rPr>
      </w:pPr>
      <w:r>
        <w:rPr>
          <w:shd w:val="clear" w:color="auto" w:fill="FBFBFB"/>
        </w:rPr>
        <w:t xml:space="preserve">The areas covered in this mapping exercise are: the legal definition of a child; political participation; social rights and welfare; education; health and medical treatment; employment; child care and child protection; access to justice (including juvenile justice); children in the digital world; asylum and migration. </w:t>
      </w:r>
    </w:p>
    <w:p w:rsidR="0097112F" w:rsidRPr="006C3678" w:rsidRDefault="009F4A13" w:rsidP="006C3678">
      <w:pPr>
        <w:rPr>
          <w:shd w:val="clear" w:color="auto" w:fill="FBFBFB"/>
        </w:rPr>
      </w:pPr>
      <w:r>
        <w:rPr>
          <w:shd w:val="clear" w:color="auto" w:fill="FBFBFB"/>
        </w:rPr>
        <w:t xml:space="preserve">For more detailed information: </w:t>
      </w:r>
      <w:hyperlink r:id="rId32" w:history="1">
        <w:r w:rsidRPr="00F16132">
          <w:rPr>
            <w:rStyle w:val="Hyperlink"/>
            <w:rFonts w:ascii="Verdana" w:hAnsi="Verdana"/>
            <w:sz w:val="19"/>
            <w:szCs w:val="19"/>
            <w:shd w:val="clear" w:color="auto" w:fill="FBFBFB"/>
          </w:rPr>
          <w:t>https://fra.europa.eu/en/publications-and-resources/data-and-maps/minag?mdq1=theme&amp;mdq2=3509</w:t>
        </w:r>
      </w:hyperlink>
      <w:r>
        <w:rPr>
          <w:shd w:val="clear" w:color="auto" w:fill="FBFBFB"/>
        </w:rPr>
        <w:t xml:space="preserve"> </w:t>
      </w:r>
    </w:p>
    <w:p w:rsidR="00152E72" w:rsidRDefault="009F4A13" w:rsidP="006C3678">
      <w:pPr>
        <w:rPr>
          <w:shd w:val="clear" w:color="auto" w:fill="FBFBFB"/>
        </w:rPr>
      </w:pPr>
      <w:r>
        <w:rPr>
          <w:shd w:val="clear" w:color="auto" w:fill="FBFBFB"/>
        </w:rPr>
        <w:t xml:space="preserve">As a matter of example, please find some extracts of this mapping concerning the age requirements in </w:t>
      </w:r>
      <w:r w:rsidR="00F15112" w:rsidRPr="00AB7C03">
        <w:rPr>
          <w:b/>
          <w:shd w:val="clear" w:color="auto" w:fill="FBFBFB"/>
        </w:rPr>
        <w:t>Italy</w:t>
      </w:r>
      <w:r w:rsidRPr="00AB7C03">
        <w:rPr>
          <w:b/>
          <w:shd w:val="clear" w:color="auto" w:fill="FBFBFB"/>
        </w:rPr>
        <w:t xml:space="preserve"> </w:t>
      </w:r>
      <w:r>
        <w:rPr>
          <w:shd w:val="clear" w:color="auto" w:fill="FBFBFB"/>
        </w:rPr>
        <w:t xml:space="preserve">in the area of asylum and migration: </w:t>
      </w:r>
    </w:p>
    <w:p w:rsidR="009F4A13" w:rsidRPr="009F4A13" w:rsidRDefault="00152E72" w:rsidP="006C3678">
      <w:pPr>
        <w:rPr>
          <w:shd w:val="clear" w:color="auto" w:fill="FBFBFB"/>
        </w:rPr>
      </w:pPr>
      <w:r w:rsidRPr="009F4A13">
        <w:rPr>
          <w:noProof/>
          <w:lang w:eastAsia="en-GB"/>
        </w:rPr>
        <w:drawing>
          <wp:anchor distT="0" distB="0" distL="114300" distR="114300" simplePos="0" relativeHeight="251658240" behindDoc="0" locked="0" layoutInCell="1" allowOverlap="1" wp14:editId="01AD09D7">
            <wp:simplePos x="0" y="0"/>
            <wp:positionH relativeFrom="margin">
              <wp:posOffset>599440</wp:posOffset>
            </wp:positionH>
            <wp:positionV relativeFrom="margin">
              <wp:posOffset>-161290</wp:posOffset>
            </wp:positionV>
            <wp:extent cx="4836160" cy="5376545"/>
            <wp:effectExtent l="0" t="0" r="2540" b="0"/>
            <wp:wrapSquare wrapText="bothSides"/>
            <wp:docPr id="2" name="Picture 2" descr="C:\Users\beckele\Downloads\MDX-MAP-MINAG_en_76078-Tk9ORQ==-Tk9ORQ==-Z3JvdXAwNg==-TUlOQUdfQVMwMQ==-TUlOQUdfQVMwMQ==-MjAxNw==-740.e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ckele\Downloads\MDX-MAP-MINAG_en_76078-Tk9ORQ==-Tk9ORQ==-Z3JvdXAwNg==-TUlOQUdfQVMwMQ==-TUlOQUdfQVMwMQ==-MjAxNw==-740.entitled.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36160" cy="53765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7112F" w:rsidRDefault="00E94A1D" w:rsidP="006C3678">
      <w:r>
        <w:rPr>
          <w:noProof/>
          <w:lang w:eastAsia="en-GB"/>
        </w:rPr>
        <w:drawing>
          <wp:inline distT="0" distB="0" distL="0" distR="0">
            <wp:extent cx="5731510" cy="64439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named.png"/>
                    <pic:cNvPicPr/>
                  </pic:nvPicPr>
                  <pic:blipFill>
                    <a:blip r:embed="rId34">
                      <a:extLst>
                        <a:ext uri="{28A0092B-C50C-407E-A947-70E740481C1C}">
                          <a14:useLocalDpi xmlns:a14="http://schemas.microsoft.com/office/drawing/2010/main" val="0"/>
                        </a:ext>
                      </a:extLst>
                    </a:blip>
                    <a:stretch>
                      <a:fillRect/>
                    </a:stretch>
                  </pic:blipFill>
                  <pic:spPr>
                    <a:xfrm>
                      <a:off x="0" y="0"/>
                      <a:ext cx="5731510" cy="6443980"/>
                    </a:xfrm>
                    <a:prstGeom prst="rect">
                      <a:avLst/>
                    </a:prstGeom>
                  </pic:spPr>
                </pic:pic>
              </a:graphicData>
            </a:graphic>
          </wp:inline>
        </w:drawing>
      </w:r>
    </w:p>
    <w:p w:rsidR="0097112F" w:rsidRDefault="0097112F" w:rsidP="009400A5">
      <w:pPr>
        <w:keepNext/>
        <w:keepLines/>
        <w:spacing w:line="240" w:lineRule="auto"/>
        <w:outlineLvl w:val="1"/>
        <w:rPr>
          <w:rFonts w:eastAsiaTheme="majorEastAsia" w:cstheme="majorBidi"/>
          <w:color w:val="2E74B5" w:themeColor="accent1" w:themeShade="BF"/>
          <w:sz w:val="26"/>
          <w:szCs w:val="26"/>
        </w:rPr>
      </w:pPr>
    </w:p>
    <w:p w:rsidR="0097112F" w:rsidRDefault="0097112F" w:rsidP="009400A5">
      <w:pPr>
        <w:keepNext/>
        <w:keepLines/>
        <w:spacing w:line="240" w:lineRule="auto"/>
        <w:outlineLvl w:val="1"/>
        <w:rPr>
          <w:rFonts w:eastAsiaTheme="majorEastAsia" w:cstheme="majorBidi"/>
          <w:color w:val="2E74B5" w:themeColor="accent1" w:themeShade="BF"/>
          <w:sz w:val="26"/>
          <w:szCs w:val="26"/>
        </w:rPr>
      </w:pPr>
    </w:p>
    <w:p w:rsidR="0097112F" w:rsidRDefault="0097112F" w:rsidP="009400A5">
      <w:pPr>
        <w:keepNext/>
        <w:keepLines/>
        <w:spacing w:line="240" w:lineRule="auto"/>
        <w:outlineLvl w:val="1"/>
        <w:rPr>
          <w:rFonts w:eastAsiaTheme="majorEastAsia" w:cstheme="majorBidi"/>
          <w:color w:val="2E74B5" w:themeColor="accent1" w:themeShade="BF"/>
          <w:sz w:val="26"/>
          <w:szCs w:val="26"/>
        </w:rPr>
      </w:pPr>
    </w:p>
    <w:p w:rsidR="0097112F" w:rsidRDefault="0097112F" w:rsidP="009400A5">
      <w:pPr>
        <w:keepNext/>
        <w:keepLines/>
        <w:spacing w:line="240" w:lineRule="auto"/>
        <w:outlineLvl w:val="1"/>
        <w:rPr>
          <w:rFonts w:eastAsiaTheme="majorEastAsia" w:cstheme="majorBidi"/>
          <w:color w:val="2E74B5" w:themeColor="accent1" w:themeShade="BF"/>
          <w:sz w:val="26"/>
          <w:szCs w:val="26"/>
        </w:rPr>
      </w:pPr>
    </w:p>
    <w:bookmarkEnd w:id="10"/>
    <w:p w:rsidR="009400A5" w:rsidRDefault="009400A5" w:rsidP="009400A5">
      <w:pPr>
        <w:spacing w:line="240" w:lineRule="auto"/>
        <w:jc w:val="both"/>
        <w:rPr>
          <w:noProof/>
          <w:lang w:eastAsia="en-GB"/>
        </w:rPr>
      </w:pPr>
    </w:p>
    <w:p w:rsidR="00B14C39" w:rsidRDefault="00B14C39"/>
    <w:sectPr w:rsidR="00B14C39" w:rsidSect="00645959">
      <w:footerReference w:type="default" r:id="rId35"/>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3B47" w:rsidRDefault="00CD3B47">
      <w:pPr>
        <w:spacing w:after="0" w:line="240" w:lineRule="auto"/>
      </w:pPr>
      <w:r>
        <w:separator/>
      </w:r>
    </w:p>
  </w:endnote>
  <w:endnote w:type="continuationSeparator" w:id="0">
    <w:p w:rsidR="00CD3B47" w:rsidRDefault="00CD3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DaxlinePro-Regular">
    <w:altName w:val="Arial"/>
    <w:panose1 w:val="00000000000000000000"/>
    <w:charset w:val="00"/>
    <w:family w:val="swiss"/>
    <w:notTrueType/>
    <w:pitch w:val="variable"/>
    <w:sig w:usb0="A00002FF" w:usb1="4000A4FB"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9127134"/>
      <w:docPartObj>
        <w:docPartGallery w:val="Page Numbers (Bottom of Page)"/>
        <w:docPartUnique/>
      </w:docPartObj>
    </w:sdtPr>
    <w:sdtEndPr>
      <w:rPr>
        <w:noProof/>
      </w:rPr>
    </w:sdtEndPr>
    <w:sdtContent>
      <w:p w:rsidR="000F0B79" w:rsidRDefault="006C3678">
        <w:pPr>
          <w:pStyle w:val="Footer"/>
          <w:jc w:val="right"/>
        </w:pPr>
        <w:r>
          <w:fldChar w:fldCharType="begin"/>
        </w:r>
        <w:r>
          <w:instrText xml:space="preserve"> PAGE   \* MERGEFORMAT </w:instrText>
        </w:r>
        <w:r>
          <w:fldChar w:fldCharType="separate"/>
        </w:r>
        <w:r w:rsidR="009C7C04">
          <w:rPr>
            <w:noProof/>
          </w:rPr>
          <w:t>9</w:t>
        </w:r>
        <w:r>
          <w:rPr>
            <w:noProof/>
          </w:rPr>
          <w:fldChar w:fldCharType="end"/>
        </w:r>
      </w:p>
    </w:sdtContent>
  </w:sdt>
  <w:p w:rsidR="000F0B79" w:rsidRDefault="009C7C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3B47" w:rsidRDefault="00CD3B47">
      <w:pPr>
        <w:spacing w:after="0" w:line="240" w:lineRule="auto"/>
      </w:pPr>
      <w:r>
        <w:separator/>
      </w:r>
    </w:p>
  </w:footnote>
  <w:footnote w:type="continuationSeparator" w:id="0">
    <w:p w:rsidR="00CD3B47" w:rsidRDefault="00CD3B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130F7E"/>
    <w:multiLevelType w:val="multilevel"/>
    <w:tmpl w:val="E0C223EA"/>
    <w:lvl w:ilvl="0">
      <w:start w:val="1"/>
      <w:numFmt w:val="decimal"/>
      <w:lvlText w:val="%1."/>
      <w:lvlJc w:val="left"/>
      <w:pPr>
        <w:ind w:left="720" w:hanging="360"/>
      </w:p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8C52EF0"/>
    <w:multiLevelType w:val="multilevel"/>
    <w:tmpl w:val="2D88082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BC95BE3"/>
    <w:multiLevelType w:val="multilevel"/>
    <w:tmpl w:val="CB6A39EE"/>
    <w:lvl w:ilvl="0">
      <w:start w:val="2"/>
      <w:numFmt w:val="decimal"/>
      <w:lvlText w:val="%1"/>
      <w:lvlJc w:val="left"/>
      <w:pPr>
        <w:ind w:left="360" w:hanging="360"/>
      </w:pPr>
      <w:rPr>
        <w:rFonts w:asciiTheme="majorHAnsi" w:eastAsiaTheme="majorEastAsia" w:hAnsiTheme="majorHAnsi" w:cstheme="majorBidi" w:hint="default"/>
        <w:color w:val="2E74B5" w:themeColor="accent1" w:themeShade="BF"/>
        <w:sz w:val="26"/>
      </w:rPr>
    </w:lvl>
    <w:lvl w:ilvl="1">
      <w:start w:val="1"/>
      <w:numFmt w:val="decimal"/>
      <w:lvlText w:val="%1.%2"/>
      <w:lvlJc w:val="left"/>
      <w:pPr>
        <w:ind w:left="360" w:hanging="360"/>
      </w:pPr>
      <w:rPr>
        <w:rFonts w:asciiTheme="majorHAnsi" w:eastAsiaTheme="majorEastAsia" w:hAnsiTheme="majorHAnsi" w:cstheme="majorBidi" w:hint="default"/>
        <w:color w:val="2E74B5" w:themeColor="accent1" w:themeShade="BF"/>
        <w:sz w:val="26"/>
      </w:rPr>
    </w:lvl>
    <w:lvl w:ilvl="2">
      <w:start w:val="1"/>
      <w:numFmt w:val="decimal"/>
      <w:lvlText w:val="%1.%2.%3"/>
      <w:lvlJc w:val="left"/>
      <w:pPr>
        <w:ind w:left="720" w:hanging="720"/>
      </w:pPr>
      <w:rPr>
        <w:rFonts w:asciiTheme="majorHAnsi" w:eastAsiaTheme="majorEastAsia" w:hAnsiTheme="majorHAnsi" w:cstheme="majorBidi" w:hint="default"/>
        <w:color w:val="2E74B5" w:themeColor="accent1" w:themeShade="BF"/>
        <w:sz w:val="26"/>
      </w:rPr>
    </w:lvl>
    <w:lvl w:ilvl="3">
      <w:start w:val="1"/>
      <w:numFmt w:val="decimal"/>
      <w:lvlText w:val="%1.%2.%3.%4"/>
      <w:lvlJc w:val="left"/>
      <w:pPr>
        <w:ind w:left="720" w:hanging="720"/>
      </w:pPr>
      <w:rPr>
        <w:rFonts w:asciiTheme="majorHAnsi" w:eastAsiaTheme="majorEastAsia" w:hAnsiTheme="majorHAnsi" w:cstheme="majorBidi" w:hint="default"/>
        <w:color w:val="2E74B5" w:themeColor="accent1" w:themeShade="BF"/>
        <w:sz w:val="26"/>
      </w:rPr>
    </w:lvl>
    <w:lvl w:ilvl="4">
      <w:start w:val="1"/>
      <w:numFmt w:val="decimal"/>
      <w:lvlText w:val="%1.%2.%3.%4.%5"/>
      <w:lvlJc w:val="left"/>
      <w:pPr>
        <w:ind w:left="1080" w:hanging="1080"/>
      </w:pPr>
      <w:rPr>
        <w:rFonts w:asciiTheme="majorHAnsi" w:eastAsiaTheme="majorEastAsia" w:hAnsiTheme="majorHAnsi" w:cstheme="majorBidi" w:hint="default"/>
        <w:color w:val="2E74B5" w:themeColor="accent1" w:themeShade="BF"/>
        <w:sz w:val="26"/>
      </w:rPr>
    </w:lvl>
    <w:lvl w:ilvl="5">
      <w:start w:val="1"/>
      <w:numFmt w:val="decimal"/>
      <w:lvlText w:val="%1.%2.%3.%4.%5.%6"/>
      <w:lvlJc w:val="left"/>
      <w:pPr>
        <w:ind w:left="1080" w:hanging="1080"/>
      </w:pPr>
      <w:rPr>
        <w:rFonts w:asciiTheme="majorHAnsi" w:eastAsiaTheme="majorEastAsia" w:hAnsiTheme="majorHAnsi" w:cstheme="majorBidi" w:hint="default"/>
        <w:color w:val="2E74B5" w:themeColor="accent1" w:themeShade="BF"/>
        <w:sz w:val="26"/>
      </w:rPr>
    </w:lvl>
    <w:lvl w:ilvl="6">
      <w:start w:val="1"/>
      <w:numFmt w:val="decimal"/>
      <w:lvlText w:val="%1.%2.%3.%4.%5.%6.%7"/>
      <w:lvlJc w:val="left"/>
      <w:pPr>
        <w:ind w:left="1440" w:hanging="1440"/>
      </w:pPr>
      <w:rPr>
        <w:rFonts w:asciiTheme="majorHAnsi" w:eastAsiaTheme="majorEastAsia" w:hAnsiTheme="majorHAnsi" w:cstheme="majorBidi" w:hint="default"/>
        <w:color w:val="2E74B5" w:themeColor="accent1" w:themeShade="BF"/>
        <w:sz w:val="26"/>
      </w:rPr>
    </w:lvl>
    <w:lvl w:ilvl="7">
      <w:start w:val="1"/>
      <w:numFmt w:val="decimal"/>
      <w:lvlText w:val="%1.%2.%3.%4.%5.%6.%7.%8"/>
      <w:lvlJc w:val="left"/>
      <w:pPr>
        <w:ind w:left="1440" w:hanging="1440"/>
      </w:pPr>
      <w:rPr>
        <w:rFonts w:asciiTheme="majorHAnsi" w:eastAsiaTheme="majorEastAsia" w:hAnsiTheme="majorHAnsi" w:cstheme="majorBidi" w:hint="default"/>
        <w:color w:val="2E74B5" w:themeColor="accent1" w:themeShade="BF"/>
        <w:sz w:val="26"/>
      </w:rPr>
    </w:lvl>
    <w:lvl w:ilvl="8">
      <w:start w:val="1"/>
      <w:numFmt w:val="decimal"/>
      <w:lvlText w:val="%1.%2.%3.%4.%5.%6.%7.%8.%9"/>
      <w:lvlJc w:val="left"/>
      <w:pPr>
        <w:ind w:left="1440" w:hanging="1440"/>
      </w:pPr>
      <w:rPr>
        <w:rFonts w:asciiTheme="majorHAnsi" w:eastAsiaTheme="majorEastAsia" w:hAnsiTheme="majorHAnsi" w:cstheme="majorBidi" w:hint="default"/>
        <w:color w:val="2E74B5" w:themeColor="accent1" w:themeShade="BF"/>
        <w:sz w:val="26"/>
      </w:rPr>
    </w:lvl>
  </w:abstractNum>
  <w:abstractNum w:abstractNumId="3" w15:restartNumberingAfterBreak="0">
    <w:nsid w:val="5AB105CC"/>
    <w:multiLevelType w:val="multilevel"/>
    <w:tmpl w:val="02A4CDDE"/>
    <w:lvl w:ilvl="0">
      <w:start w:val="2"/>
      <w:numFmt w:val="decimal"/>
      <w:lvlText w:val="%1"/>
      <w:lvlJc w:val="left"/>
      <w:pPr>
        <w:ind w:left="360" w:hanging="360"/>
      </w:pPr>
      <w:rPr>
        <w:rFonts w:asciiTheme="majorHAnsi" w:eastAsiaTheme="majorEastAsia" w:hAnsiTheme="majorHAnsi" w:cstheme="majorBidi" w:hint="default"/>
        <w:color w:val="2E74B5" w:themeColor="accent1" w:themeShade="BF"/>
        <w:sz w:val="26"/>
      </w:rPr>
    </w:lvl>
    <w:lvl w:ilvl="1">
      <w:start w:val="1"/>
      <w:numFmt w:val="decimal"/>
      <w:lvlText w:val="%1.%2"/>
      <w:lvlJc w:val="left"/>
      <w:pPr>
        <w:ind w:left="720" w:hanging="360"/>
      </w:pPr>
      <w:rPr>
        <w:rFonts w:asciiTheme="majorHAnsi" w:eastAsiaTheme="majorEastAsia" w:hAnsiTheme="majorHAnsi" w:cstheme="majorBidi" w:hint="default"/>
        <w:color w:val="2E74B5" w:themeColor="accent1" w:themeShade="BF"/>
        <w:sz w:val="26"/>
      </w:rPr>
    </w:lvl>
    <w:lvl w:ilvl="2">
      <w:start w:val="1"/>
      <w:numFmt w:val="decimal"/>
      <w:lvlText w:val="%1.%2.%3"/>
      <w:lvlJc w:val="left"/>
      <w:pPr>
        <w:ind w:left="1440" w:hanging="720"/>
      </w:pPr>
      <w:rPr>
        <w:rFonts w:asciiTheme="majorHAnsi" w:eastAsiaTheme="majorEastAsia" w:hAnsiTheme="majorHAnsi" w:cstheme="majorBidi" w:hint="default"/>
        <w:color w:val="2E74B5" w:themeColor="accent1" w:themeShade="BF"/>
        <w:sz w:val="26"/>
      </w:rPr>
    </w:lvl>
    <w:lvl w:ilvl="3">
      <w:start w:val="1"/>
      <w:numFmt w:val="decimal"/>
      <w:lvlText w:val="%1.%2.%3.%4"/>
      <w:lvlJc w:val="left"/>
      <w:pPr>
        <w:ind w:left="1800" w:hanging="720"/>
      </w:pPr>
      <w:rPr>
        <w:rFonts w:asciiTheme="majorHAnsi" w:eastAsiaTheme="majorEastAsia" w:hAnsiTheme="majorHAnsi" w:cstheme="majorBidi" w:hint="default"/>
        <w:color w:val="2E74B5" w:themeColor="accent1" w:themeShade="BF"/>
        <w:sz w:val="26"/>
      </w:rPr>
    </w:lvl>
    <w:lvl w:ilvl="4">
      <w:start w:val="1"/>
      <w:numFmt w:val="decimal"/>
      <w:lvlText w:val="%1.%2.%3.%4.%5"/>
      <w:lvlJc w:val="left"/>
      <w:pPr>
        <w:ind w:left="2520" w:hanging="1080"/>
      </w:pPr>
      <w:rPr>
        <w:rFonts w:asciiTheme="majorHAnsi" w:eastAsiaTheme="majorEastAsia" w:hAnsiTheme="majorHAnsi" w:cstheme="majorBidi" w:hint="default"/>
        <w:color w:val="2E74B5" w:themeColor="accent1" w:themeShade="BF"/>
        <w:sz w:val="26"/>
      </w:rPr>
    </w:lvl>
    <w:lvl w:ilvl="5">
      <w:start w:val="1"/>
      <w:numFmt w:val="decimal"/>
      <w:lvlText w:val="%1.%2.%3.%4.%5.%6"/>
      <w:lvlJc w:val="left"/>
      <w:pPr>
        <w:ind w:left="2880" w:hanging="1080"/>
      </w:pPr>
      <w:rPr>
        <w:rFonts w:asciiTheme="majorHAnsi" w:eastAsiaTheme="majorEastAsia" w:hAnsiTheme="majorHAnsi" w:cstheme="majorBidi" w:hint="default"/>
        <w:color w:val="2E74B5" w:themeColor="accent1" w:themeShade="BF"/>
        <w:sz w:val="26"/>
      </w:rPr>
    </w:lvl>
    <w:lvl w:ilvl="6">
      <w:start w:val="1"/>
      <w:numFmt w:val="decimal"/>
      <w:lvlText w:val="%1.%2.%3.%4.%5.%6.%7"/>
      <w:lvlJc w:val="left"/>
      <w:pPr>
        <w:ind w:left="3600" w:hanging="1440"/>
      </w:pPr>
      <w:rPr>
        <w:rFonts w:asciiTheme="majorHAnsi" w:eastAsiaTheme="majorEastAsia" w:hAnsiTheme="majorHAnsi" w:cstheme="majorBidi" w:hint="default"/>
        <w:color w:val="2E74B5" w:themeColor="accent1" w:themeShade="BF"/>
        <w:sz w:val="26"/>
      </w:rPr>
    </w:lvl>
    <w:lvl w:ilvl="7">
      <w:start w:val="1"/>
      <w:numFmt w:val="decimal"/>
      <w:lvlText w:val="%1.%2.%3.%4.%5.%6.%7.%8"/>
      <w:lvlJc w:val="left"/>
      <w:pPr>
        <w:ind w:left="3960" w:hanging="1440"/>
      </w:pPr>
      <w:rPr>
        <w:rFonts w:asciiTheme="majorHAnsi" w:eastAsiaTheme="majorEastAsia" w:hAnsiTheme="majorHAnsi" w:cstheme="majorBidi" w:hint="default"/>
        <w:color w:val="2E74B5" w:themeColor="accent1" w:themeShade="BF"/>
        <w:sz w:val="26"/>
      </w:rPr>
    </w:lvl>
    <w:lvl w:ilvl="8">
      <w:start w:val="1"/>
      <w:numFmt w:val="decimal"/>
      <w:lvlText w:val="%1.%2.%3.%4.%5.%6.%7.%8.%9"/>
      <w:lvlJc w:val="left"/>
      <w:pPr>
        <w:ind w:left="4320" w:hanging="1440"/>
      </w:pPr>
      <w:rPr>
        <w:rFonts w:asciiTheme="majorHAnsi" w:eastAsiaTheme="majorEastAsia" w:hAnsiTheme="majorHAnsi" w:cstheme="majorBidi" w:hint="default"/>
        <w:color w:val="2E74B5" w:themeColor="accent1" w:themeShade="BF"/>
        <w:sz w:val="26"/>
      </w:rPr>
    </w:lvl>
  </w:abstractNum>
  <w:abstractNum w:abstractNumId="4" w15:restartNumberingAfterBreak="0">
    <w:nsid w:val="72D76714"/>
    <w:multiLevelType w:val="hybridMultilevel"/>
    <w:tmpl w:val="FEC0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0A5"/>
    <w:rsid w:val="00004AB9"/>
    <w:rsid w:val="00044011"/>
    <w:rsid w:val="000B5173"/>
    <w:rsid w:val="000D249B"/>
    <w:rsid w:val="001205A1"/>
    <w:rsid w:val="00152E72"/>
    <w:rsid w:val="00373980"/>
    <w:rsid w:val="00390A4F"/>
    <w:rsid w:val="003A62EA"/>
    <w:rsid w:val="00493838"/>
    <w:rsid w:val="005F142B"/>
    <w:rsid w:val="006C3678"/>
    <w:rsid w:val="008637AE"/>
    <w:rsid w:val="008948F0"/>
    <w:rsid w:val="009400A5"/>
    <w:rsid w:val="0097112F"/>
    <w:rsid w:val="009C7C04"/>
    <w:rsid w:val="009F4A13"/>
    <w:rsid w:val="00AB7C03"/>
    <w:rsid w:val="00B14C39"/>
    <w:rsid w:val="00B434B9"/>
    <w:rsid w:val="00B70C7C"/>
    <w:rsid w:val="00C65E84"/>
    <w:rsid w:val="00CD3B47"/>
    <w:rsid w:val="00D7659C"/>
    <w:rsid w:val="00E13A67"/>
    <w:rsid w:val="00E94A1D"/>
    <w:rsid w:val="00F15112"/>
    <w:rsid w:val="00F37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749176-BFC5-453D-9B89-0C84CB458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00A5"/>
  </w:style>
  <w:style w:type="paragraph" w:styleId="Heading1">
    <w:name w:val="heading 1"/>
    <w:basedOn w:val="Normal"/>
    <w:next w:val="Normal"/>
    <w:link w:val="Heading1Char"/>
    <w:uiPriority w:val="9"/>
    <w:qFormat/>
    <w:rsid w:val="009400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00A5"/>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400A5"/>
    <w:rPr>
      <w:rFonts w:asciiTheme="majorHAnsi" w:eastAsiaTheme="majorEastAsia" w:hAnsiTheme="majorHAnsi" w:cstheme="majorBidi"/>
      <w:color w:val="2E74B5" w:themeColor="accent1" w:themeShade="BF"/>
      <w:sz w:val="26"/>
      <w:szCs w:val="26"/>
      <w:lang w:val="en-US"/>
    </w:rPr>
  </w:style>
  <w:style w:type="paragraph" w:styleId="ListParagraph">
    <w:name w:val="List Paragraph"/>
    <w:basedOn w:val="Normal"/>
    <w:uiPriority w:val="34"/>
    <w:qFormat/>
    <w:rsid w:val="009400A5"/>
    <w:pPr>
      <w:spacing w:after="0" w:line="240" w:lineRule="auto"/>
      <w:ind w:left="720"/>
      <w:contextualSpacing/>
    </w:pPr>
    <w:rPr>
      <w:lang w:val="en-US"/>
    </w:rPr>
  </w:style>
  <w:style w:type="character" w:styleId="Hyperlink">
    <w:name w:val="Hyperlink"/>
    <w:basedOn w:val="DefaultParagraphFont"/>
    <w:uiPriority w:val="99"/>
    <w:unhideWhenUsed/>
    <w:rsid w:val="009400A5"/>
    <w:rPr>
      <w:color w:val="0563C1" w:themeColor="hyperlink"/>
      <w:u w:val="single"/>
    </w:rPr>
  </w:style>
  <w:style w:type="paragraph" w:styleId="Footer">
    <w:name w:val="footer"/>
    <w:basedOn w:val="Normal"/>
    <w:link w:val="FooterChar"/>
    <w:uiPriority w:val="99"/>
    <w:unhideWhenUsed/>
    <w:rsid w:val="00940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00A5"/>
  </w:style>
  <w:style w:type="character" w:customStyle="1" w:styleId="Heading1Char">
    <w:name w:val="Heading 1 Char"/>
    <w:basedOn w:val="DefaultParagraphFont"/>
    <w:link w:val="Heading1"/>
    <w:uiPriority w:val="9"/>
    <w:rsid w:val="009400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400A5"/>
    <w:pPr>
      <w:outlineLvl w:val="9"/>
    </w:pPr>
    <w:rPr>
      <w:lang w:val="en-US"/>
    </w:rPr>
  </w:style>
  <w:style w:type="paragraph" w:styleId="TOC1">
    <w:name w:val="toc 1"/>
    <w:basedOn w:val="Normal"/>
    <w:next w:val="Normal"/>
    <w:autoRedefine/>
    <w:uiPriority w:val="39"/>
    <w:unhideWhenUsed/>
    <w:rsid w:val="009400A5"/>
    <w:pPr>
      <w:spacing w:after="100"/>
    </w:pPr>
  </w:style>
  <w:style w:type="paragraph" w:styleId="TOC2">
    <w:name w:val="toc 2"/>
    <w:basedOn w:val="Normal"/>
    <w:next w:val="Normal"/>
    <w:autoRedefine/>
    <w:uiPriority w:val="39"/>
    <w:unhideWhenUsed/>
    <w:rsid w:val="009400A5"/>
    <w:pPr>
      <w:spacing w:after="100"/>
      <w:ind w:left="220"/>
    </w:pPr>
  </w:style>
  <w:style w:type="character" w:customStyle="1" w:styleId="A7">
    <w:name w:val="A7"/>
    <w:uiPriority w:val="99"/>
    <w:rsid w:val="009400A5"/>
    <w:rPr>
      <w:rFonts w:cs="DaxlinePro-Regular"/>
      <w:color w:val="000000"/>
      <w:sz w:val="10"/>
      <w:szCs w:val="10"/>
    </w:rPr>
  </w:style>
  <w:style w:type="paragraph" w:customStyle="1" w:styleId="Pa12">
    <w:name w:val="Pa12"/>
    <w:basedOn w:val="Normal"/>
    <w:next w:val="Normal"/>
    <w:uiPriority w:val="99"/>
    <w:rsid w:val="009400A5"/>
    <w:pPr>
      <w:autoSpaceDE w:val="0"/>
      <w:autoSpaceDN w:val="0"/>
      <w:adjustRightInd w:val="0"/>
      <w:spacing w:after="0" w:line="185" w:lineRule="atLeast"/>
    </w:pPr>
    <w:rPr>
      <w:rFonts w:ascii="DaxlinePro-Regular" w:eastAsia="DaxlinePro-Regular"/>
      <w:sz w:val="24"/>
      <w:szCs w:val="24"/>
      <w:lang w:val="en-IE"/>
    </w:rPr>
  </w:style>
  <w:style w:type="paragraph" w:customStyle="1" w:styleId="Pa10">
    <w:name w:val="Pa10"/>
    <w:basedOn w:val="Normal"/>
    <w:next w:val="Normal"/>
    <w:uiPriority w:val="99"/>
    <w:rsid w:val="009400A5"/>
    <w:pPr>
      <w:autoSpaceDE w:val="0"/>
      <w:autoSpaceDN w:val="0"/>
      <w:adjustRightInd w:val="0"/>
      <w:spacing w:after="0" w:line="185" w:lineRule="atLeast"/>
    </w:pPr>
    <w:rPr>
      <w:rFonts w:ascii="DaxlinePro-Regular" w:eastAsia="DaxlinePro-Regular"/>
      <w:sz w:val="24"/>
      <w:szCs w:val="24"/>
      <w:lang w:val="en-IE"/>
    </w:rPr>
  </w:style>
  <w:style w:type="character" w:styleId="Strong">
    <w:name w:val="Strong"/>
    <w:basedOn w:val="DefaultParagraphFont"/>
    <w:uiPriority w:val="22"/>
    <w:qFormat/>
    <w:rsid w:val="009400A5"/>
    <w:rPr>
      <w:b/>
      <w:bCs/>
    </w:rPr>
  </w:style>
  <w:style w:type="character" w:customStyle="1" w:styleId="apple-converted-space">
    <w:name w:val="apple-converted-space"/>
    <w:basedOn w:val="DefaultParagraphFont"/>
    <w:rsid w:val="009400A5"/>
  </w:style>
  <w:style w:type="paragraph" w:styleId="Header">
    <w:name w:val="header"/>
    <w:basedOn w:val="Normal"/>
    <w:link w:val="HeaderChar"/>
    <w:uiPriority w:val="99"/>
    <w:unhideWhenUsed/>
    <w:rsid w:val="00004A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A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0408644">
      <w:bodyDiv w:val="1"/>
      <w:marLeft w:val="0"/>
      <w:marRight w:val="0"/>
      <w:marTop w:val="0"/>
      <w:marBottom w:val="0"/>
      <w:divBdr>
        <w:top w:val="none" w:sz="0" w:space="0" w:color="auto"/>
        <w:left w:val="none" w:sz="0" w:space="0" w:color="auto"/>
        <w:bottom w:val="none" w:sz="0" w:space="0" w:color="auto"/>
        <w:right w:val="none" w:sz="0" w:space="0" w:color="auto"/>
      </w:divBdr>
    </w:div>
    <w:div w:id="560141873">
      <w:bodyDiv w:val="1"/>
      <w:marLeft w:val="0"/>
      <w:marRight w:val="0"/>
      <w:marTop w:val="0"/>
      <w:marBottom w:val="0"/>
      <w:divBdr>
        <w:top w:val="none" w:sz="0" w:space="0" w:color="auto"/>
        <w:left w:val="none" w:sz="0" w:space="0" w:color="auto"/>
        <w:bottom w:val="none" w:sz="0" w:space="0" w:color="auto"/>
        <w:right w:val="none" w:sz="0" w:space="0" w:color="auto"/>
      </w:divBdr>
    </w:div>
    <w:div w:id="907613852">
      <w:bodyDiv w:val="1"/>
      <w:marLeft w:val="0"/>
      <w:marRight w:val="0"/>
      <w:marTop w:val="0"/>
      <w:marBottom w:val="0"/>
      <w:divBdr>
        <w:top w:val="none" w:sz="0" w:space="0" w:color="auto"/>
        <w:left w:val="none" w:sz="0" w:space="0" w:color="auto"/>
        <w:bottom w:val="none" w:sz="0" w:space="0" w:color="auto"/>
        <w:right w:val="none" w:sz="0" w:space="0" w:color="auto"/>
      </w:divBdr>
    </w:div>
    <w:div w:id="2044550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ra.europa.eu/en/publication/2017/child-migrant-detention" TargetMode="External"/><Relationship Id="rId18" Type="http://schemas.openxmlformats.org/officeDocument/2006/relationships/hyperlink" Target="https://fra.europa.eu/en/publication/2018/migration-overviews-november-2018" TargetMode="External"/><Relationship Id="rId26" Type="http://schemas.openxmlformats.org/officeDocument/2006/relationships/hyperlink" Target="https://fra.europa.eu/en/publication/2018/migration-overviews-july-2018" TargetMode="External"/><Relationship Id="rId39" Type="http://schemas.openxmlformats.org/officeDocument/2006/relationships/customXml" Target="../customXml/item2.xml"/><Relationship Id="rId21" Type="http://schemas.openxmlformats.org/officeDocument/2006/relationships/hyperlink" Target="https://fra.europa.eu/en/publication/2018/migration-overviews-september-2018" TargetMode="External"/><Relationship Id="rId34" Type="http://schemas.openxmlformats.org/officeDocument/2006/relationships/image" Target="media/image4.png"/><Relationship Id="rId7" Type="http://schemas.openxmlformats.org/officeDocument/2006/relationships/hyperlink" Target="https://fra.europa.eu/en/publications-and-resources/publications/annual-reports/fundamental-rights-2018" TargetMode="External"/><Relationship Id="rId12" Type="http://schemas.openxmlformats.org/officeDocument/2006/relationships/image" Target="media/image2.emf"/><Relationship Id="rId17" Type="http://schemas.openxmlformats.org/officeDocument/2006/relationships/hyperlink" Target="https://fra.europa.eu/en/publication/2018/migration-overviews-november-2018" TargetMode="External"/><Relationship Id="rId25" Type="http://schemas.openxmlformats.org/officeDocument/2006/relationships/hyperlink" Target="https://fra.europa.eu/en/publication/2018/migration-overviews-july-2018" TargetMode="External"/><Relationship Id="rId33" Type="http://schemas.openxmlformats.org/officeDocument/2006/relationships/image" Target="media/image3.jpeg"/><Relationship Id="rId38"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s://fra.europa.eu/en/publication/2018/migration-overviews-november-2018" TargetMode="External"/><Relationship Id="rId20" Type="http://schemas.openxmlformats.org/officeDocument/2006/relationships/hyperlink" Target="https://fra.europa.eu/en/publication/2018/migration-overviews-september-2018" TargetMode="External"/><Relationship Id="rId29" Type="http://schemas.openxmlformats.org/officeDocument/2006/relationships/hyperlink" Target="https://fra.europa.eu/en/publication/2018/five-persistent-migration-challeng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ra.europa.eu/en/publication/2018/child-poverty" TargetMode="External"/><Relationship Id="rId24" Type="http://schemas.openxmlformats.org/officeDocument/2006/relationships/hyperlink" Target="https://fra.europa.eu/en/publication/2018/migration-overviews-september-2018" TargetMode="External"/><Relationship Id="rId32" Type="http://schemas.openxmlformats.org/officeDocument/2006/relationships/hyperlink" Target="https://fra.europa.eu/en/publications-and-resources/data-and-maps/minag?mdq1=theme&amp;mdq2=3509" TargetMode="External"/><Relationship Id="rId37" Type="http://schemas.openxmlformats.org/officeDocument/2006/relationships/theme" Target="theme/theme1.xml"/><Relationship Id="rId40"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fra.europa.eu/en/publication/2018/migration-overviews-november-2018" TargetMode="External"/><Relationship Id="rId23" Type="http://schemas.openxmlformats.org/officeDocument/2006/relationships/hyperlink" Target="https://fra.europa.eu/en/publication/2018/migration-overviews-september-2018" TargetMode="External"/><Relationship Id="rId28" Type="http://schemas.openxmlformats.org/officeDocument/2006/relationships/hyperlink" Target="https://fra.europa.eu/en/publication/2018/five-persistent-migration-challenges" TargetMode="External"/><Relationship Id="rId36" Type="http://schemas.openxmlformats.org/officeDocument/2006/relationships/fontTable" Target="fontTable.xml"/><Relationship Id="rId10" Type="http://schemas.openxmlformats.org/officeDocument/2006/relationships/hyperlink" Target="http://fra.europa.eu/en/publications-and-resources/publications/annual-reports/fundamental-rights-2016" TargetMode="External"/><Relationship Id="rId19" Type="http://schemas.openxmlformats.org/officeDocument/2006/relationships/hyperlink" Target="https://fra.europa.eu/en/publication/2018/migration-overviews-november-2018" TargetMode="External"/><Relationship Id="rId31" Type="http://schemas.openxmlformats.org/officeDocument/2006/relationships/hyperlink" Target="https://fra.europa.eu/en/publication/2018/five-persistent-migration-challenges" TargetMode="Externa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hyperlink" Target="http://fra.europa.eu/en/theme/asylum-migration-borders/overviews" TargetMode="External"/><Relationship Id="rId22" Type="http://schemas.openxmlformats.org/officeDocument/2006/relationships/hyperlink" Target="https://fra.europa.eu/en/publication/2018/migration-overviews-september-2018" TargetMode="External"/><Relationship Id="rId27" Type="http://schemas.openxmlformats.org/officeDocument/2006/relationships/hyperlink" Target="https://fra.europa.eu/en/publication/2018/five-persistent-migration-challenges" TargetMode="External"/><Relationship Id="rId30" Type="http://schemas.openxmlformats.org/officeDocument/2006/relationships/hyperlink" Target="https://fra.europa.eu/en/publication/2018/five-persistent-migration-challenges" TargetMode="External"/><Relationship Id="rId35" Type="http://schemas.openxmlformats.org/officeDocument/2006/relationships/footer" Target="footer1.xml"/><Relationship Id="rId8" Type="http://schemas.openxmlformats.org/officeDocument/2006/relationships/hyperlink" Target="http://fra.europa.eu/en/publications-and-resources/publications/annual-reports/fundamental-rights-2017"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348448-369B-4E4D-9EC4-A0275D3E2F7A}"/>
</file>

<file path=customXml/itemProps2.xml><?xml version="1.0" encoding="utf-8"?>
<ds:datastoreItem xmlns:ds="http://schemas.openxmlformats.org/officeDocument/2006/customXml" ds:itemID="{75374097-8826-4632-B909-FCF0D6BF0DA1}"/>
</file>

<file path=customXml/itemProps3.xml><?xml version="1.0" encoding="utf-8"?>
<ds:datastoreItem xmlns:ds="http://schemas.openxmlformats.org/officeDocument/2006/customXml" ds:itemID="{5EC41473-6946-44AB-A9CA-CB67AC493DAD}"/>
</file>

<file path=docProps/app.xml><?xml version="1.0" encoding="utf-8"?>
<Properties xmlns="http://schemas.openxmlformats.org/officeDocument/2006/extended-properties" xmlns:vt="http://schemas.openxmlformats.org/officeDocument/2006/docPropsVTypes">
  <Template>Normal</Template>
  <TotalTime>1</TotalTime>
  <Pages>9</Pages>
  <Words>3082</Words>
  <Characters>17571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EU Agency for Fundamental Rights</Company>
  <LinksUpToDate>false</LinksUpToDate>
  <CharactersWithSpaces>20612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BECKER Lena Ellen (FRA)</dc:creator>
  <cp:keywords/>
  <dc:description/>
  <cp:lastModifiedBy>GUTIERREZ ARQUES Monica (FRA)</cp:lastModifiedBy>
  <cp:revision>3</cp:revision>
  <dcterms:created xsi:type="dcterms:W3CDTF">2018-12-21T16:30:00Z</dcterms:created>
  <dcterms:modified xsi:type="dcterms:W3CDTF">2018-12-21T16:34:00Z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