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lang w:val="en" w:eastAsia="en-GB"/>
        </w:rPr>
        <w:id w:val="1108468749"/>
        <w:docPartObj>
          <w:docPartGallery w:val="Cover Pages"/>
          <w:docPartUnique/>
        </w:docPartObj>
      </w:sdtPr>
      <w:sdtEndPr>
        <w:rPr>
          <w:sz w:val="30"/>
          <w:szCs w:val="30"/>
        </w:rPr>
      </w:sdtEndPr>
      <w:sdtContent>
        <w:p w14:paraId="62EE50E2" w14:textId="77B71B34" w:rsidR="00DC5C54" w:rsidRDefault="00892D85">
          <w:pPr>
            <w:pStyle w:val="NoSpacing"/>
          </w:pPr>
          <w:r>
            <w:rPr>
              <w:noProof/>
            </w:rPr>
            <w:drawing>
              <wp:anchor distT="0" distB="0" distL="114300" distR="114300" simplePos="0" relativeHeight="251658240" behindDoc="0" locked="0" layoutInCell="1" allowOverlap="1" wp14:anchorId="63E2E279" wp14:editId="32E9F6C4">
                <wp:simplePos x="0" y="0"/>
                <wp:positionH relativeFrom="column">
                  <wp:posOffset>-947947</wp:posOffset>
                </wp:positionH>
                <wp:positionV relativeFrom="page">
                  <wp:posOffset>-78280</wp:posOffset>
                </wp:positionV>
                <wp:extent cx="7606665" cy="10764520"/>
                <wp:effectExtent l="0" t="0" r="635"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7">
                          <a:extLst>
                            <a:ext uri="{28A0092B-C50C-407E-A947-70E740481C1C}">
                              <a14:useLocalDpi xmlns:a14="http://schemas.microsoft.com/office/drawing/2010/main" val="0"/>
                            </a:ext>
                          </a:extLst>
                        </a:blip>
                        <a:stretch>
                          <a:fillRect/>
                        </a:stretch>
                      </pic:blipFill>
                      <pic:spPr>
                        <a:xfrm>
                          <a:off x="0" y="0"/>
                          <a:ext cx="7606665" cy="10764520"/>
                        </a:xfrm>
                        <a:prstGeom prst="rect">
                          <a:avLst/>
                        </a:prstGeom>
                      </pic:spPr>
                    </pic:pic>
                  </a:graphicData>
                </a:graphic>
                <wp14:sizeRelH relativeFrom="page">
                  <wp14:pctWidth>0</wp14:pctWidth>
                </wp14:sizeRelH>
                <wp14:sizeRelV relativeFrom="page">
                  <wp14:pctHeight>0</wp14:pctHeight>
                </wp14:sizeRelV>
              </wp:anchor>
            </w:drawing>
          </w:r>
        </w:p>
        <w:p w14:paraId="719A640B" w14:textId="50B1A4A4" w:rsidR="00DC5C54" w:rsidRDefault="00000000">
          <w:pPr>
            <w:spacing w:line="240" w:lineRule="auto"/>
            <w:rPr>
              <w:rFonts w:ascii="Calibri" w:eastAsia="Calibri" w:hAnsi="Calibri" w:cs="Calibri"/>
              <w:b/>
              <w:color w:val="FF6D00"/>
              <w:sz w:val="30"/>
              <w:szCs w:val="30"/>
            </w:rPr>
          </w:pPr>
        </w:p>
      </w:sdtContent>
    </w:sdt>
    <w:p w14:paraId="037C2FE3" w14:textId="1F85F87C" w:rsidR="003823DA" w:rsidRDefault="003823DA" w:rsidP="003823DA">
      <w:pPr>
        <w:pStyle w:val="Heading1"/>
        <w:ind w:left="0" w:firstLine="0"/>
      </w:pPr>
      <w:r>
        <w:rPr>
          <w:sz w:val="30"/>
          <w:szCs w:val="30"/>
        </w:rPr>
        <w:t>INTRODUCTION </w:t>
      </w:r>
    </w:p>
    <w:p w14:paraId="4E45D8BA" w14:textId="6C116B3D" w:rsidR="003823DA" w:rsidRDefault="003823DA" w:rsidP="003823DA">
      <w:pPr>
        <w:pStyle w:val="NormalWeb"/>
        <w:spacing w:before="0" w:beforeAutospacing="0" w:after="0" w:afterAutospacing="0"/>
        <w:jc w:val="both"/>
      </w:pPr>
      <w:r>
        <w:rPr>
          <w:rFonts w:ascii="Calibri" w:hAnsi="Calibri" w:cs="Calibri"/>
          <w:color w:val="000000"/>
          <w:sz w:val="22"/>
          <w:szCs w:val="22"/>
        </w:rPr>
        <w:t xml:space="preserve">Manushya Foundation </w:t>
      </w:r>
      <w:r w:rsidR="00F0294C">
        <w:rPr>
          <w:rFonts w:ascii="Calibri" w:hAnsi="Calibri" w:cs="Calibri"/>
          <w:color w:val="000000"/>
          <w:sz w:val="22"/>
          <w:szCs w:val="22"/>
        </w:rPr>
        <w:t xml:space="preserve">and the Thai BHR Network </w:t>
      </w:r>
      <w:r>
        <w:rPr>
          <w:rFonts w:ascii="Calibri" w:hAnsi="Calibri" w:cs="Calibri"/>
          <w:color w:val="000000"/>
          <w:sz w:val="22"/>
          <w:szCs w:val="22"/>
        </w:rPr>
        <w:t xml:space="preserve">respectfully presents this report for your consideration for the adoption of List of Issues by the Committee for the Elimination of Discrimination against Women during the pre-sessional working group for its 85th session (31 October to 4 November 2022). This report relates to </w:t>
      </w:r>
      <w:r w:rsidRPr="00FC3074">
        <w:rPr>
          <w:rFonts w:ascii="Calibri" w:hAnsi="Calibri" w:cs="Calibri"/>
          <w:b/>
          <w:bCs/>
          <w:color w:val="000000"/>
          <w:sz w:val="22"/>
          <w:szCs w:val="22"/>
        </w:rPr>
        <w:t>Articles 11 to 16</w:t>
      </w:r>
      <w:r>
        <w:rPr>
          <w:rFonts w:ascii="Calibri" w:hAnsi="Calibri" w:cs="Calibri"/>
          <w:color w:val="000000"/>
          <w:sz w:val="22"/>
          <w:szCs w:val="22"/>
        </w:rPr>
        <w:t xml:space="preserve"> of the Convention and provides an inclusive and accurate overview of the most challenging issues faced by women and marginalized women in Thailand – including women with disabilities; older women; indigenous, ethnic and religious minority women; Malay Muslim women; migrant stateless, refugee and asylum-seeking women; women living with HIV; women sex workers; migrant workers; and LBTIQ+ women – with respect to gender-based discrimination in their daily life, but as well during the COVID-19 </w:t>
      </w:r>
      <w:r w:rsidRPr="002347B2">
        <w:rPr>
          <w:rFonts w:ascii="Calibri" w:hAnsi="Calibri" w:cs="Calibri"/>
          <w:color w:val="000000"/>
          <w:sz w:val="22"/>
          <w:szCs w:val="22"/>
        </w:rPr>
        <w:t xml:space="preserve">pandemic. </w:t>
      </w:r>
      <w:r w:rsidR="002347B2" w:rsidRPr="002347B2">
        <w:rPr>
          <w:rFonts w:ascii="Calibri" w:hAnsi="Calibri" w:cs="Calibri"/>
          <w:color w:val="000000"/>
          <w:sz w:val="22"/>
          <w:szCs w:val="22"/>
        </w:rPr>
        <w:t>A</w:t>
      </w:r>
      <w:r w:rsidRPr="002347B2">
        <w:rPr>
          <w:rFonts w:ascii="Calibri" w:hAnsi="Calibri" w:cs="Calibri"/>
          <w:color w:val="000000"/>
          <w:sz w:val="22"/>
          <w:szCs w:val="22"/>
        </w:rPr>
        <w:t xml:space="preserve"> set of recommendations is </w:t>
      </w:r>
      <w:r w:rsidR="002347B2" w:rsidRPr="002347B2">
        <w:rPr>
          <w:rFonts w:ascii="Calibri" w:hAnsi="Calibri" w:cs="Calibri"/>
          <w:color w:val="000000"/>
          <w:sz w:val="22"/>
          <w:szCs w:val="22"/>
        </w:rPr>
        <w:t xml:space="preserve">also </w:t>
      </w:r>
      <w:r w:rsidRPr="002347B2">
        <w:rPr>
          <w:rFonts w:ascii="Calibri" w:hAnsi="Calibri" w:cs="Calibri"/>
          <w:color w:val="000000"/>
          <w:sz w:val="22"/>
          <w:szCs w:val="22"/>
        </w:rPr>
        <w:t>provided</w:t>
      </w:r>
      <w:r w:rsidR="002347B2" w:rsidRPr="002347B2">
        <w:rPr>
          <w:rFonts w:ascii="Calibri" w:hAnsi="Calibri" w:cs="Calibri"/>
          <w:color w:val="000000"/>
          <w:sz w:val="22"/>
          <w:szCs w:val="22"/>
        </w:rPr>
        <w:t>.</w:t>
      </w:r>
    </w:p>
    <w:p w14:paraId="6898396D" w14:textId="77777777" w:rsidR="003823DA" w:rsidRDefault="003823DA" w:rsidP="003823DA"/>
    <w:p w14:paraId="32DFECFB" w14:textId="2001DF74" w:rsidR="003823DA" w:rsidRDefault="003823DA" w:rsidP="003823DA">
      <w:pPr>
        <w:pStyle w:val="NormalWeb"/>
        <w:spacing w:before="0" w:beforeAutospacing="0" w:after="0" w:afterAutospacing="0"/>
        <w:jc w:val="both"/>
      </w:pPr>
      <w:r>
        <w:rPr>
          <w:rFonts w:ascii="Calibri" w:hAnsi="Calibri" w:cs="Calibri"/>
          <w:color w:val="000000"/>
          <w:sz w:val="22"/>
          <w:szCs w:val="22"/>
        </w:rPr>
        <w:t>This List of Issues is informed by communities on the ground facing and representing women who face gender-based discrimination</w:t>
      </w:r>
      <w:r w:rsidR="00F0294C">
        <w:rPr>
          <w:rFonts w:ascii="Calibri" w:hAnsi="Calibri" w:cs="Calibri"/>
          <w:color w:val="000000"/>
          <w:sz w:val="22"/>
          <w:szCs w:val="22"/>
        </w:rPr>
        <w:t>, particularly by members of the Thai BHR Network.</w:t>
      </w:r>
      <w:r>
        <w:rPr>
          <w:rFonts w:ascii="Calibri" w:hAnsi="Calibri" w:cs="Calibri"/>
          <w:color w:val="000000"/>
          <w:sz w:val="22"/>
          <w:szCs w:val="22"/>
        </w:rPr>
        <w:t xml:space="preserve"> The submission also includes information sourced from various authorities including UN human rights mechanisms and entities, government notifications, intergovernmental bodies, submissions by civil society, news articles, reports, studies, and other analysis. </w:t>
      </w:r>
    </w:p>
    <w:p w14:paraId="7C6695B5" w14:textId="575BD289" w:rsidR="003823DA" w:rsidRDefault="003823DA" w:rsidP="003823DA">
      <w:pPr>
        <w:jc w:val="both"/>
        <w:rPr>
          <w:rFonts w:ascii="Calibri" w:eastAsia="Calibri" w:hAnsi="Calibri" w:cs="Calibri"/>
        </w:rPr>
      </w:pPr>
    </w:p>
    <w:p w14:paraId="7B1F8214" w14:textId="77777777" w:rsidR="002347B2" w:rsidRDefault="00000000" w:rsidP="002347B2">
      <w:r>
        <w:rPr>
          <w:noProof/>
        </w:rPr>
        <w:pict w14:anchorId="5872D80D">
          <v:rect id="_x0000_i1025" alt="" style="width:451.3pt;height:.05pt;mso-width-percent:0;mso-height-percent:0;mso-width-percent:0;mso-height-percent:0" o:hralign="center" o:hrstd="t" o:hr="t" fillcolor="#a0a0a0" stroked="f"/>
        </w:pict>
      </w:r>
    </w:p>
    <w:p w14:paraId="02CE4576" w14:textId="77777777" w:rsidR="002347B2" w:rsidRDefault="002347B2" w:rsidP="002347B2">
      <w:pPr>
        <w:pStyle w:val="NormalWeb"/>
        <w:spacing w:before="0" w:beforeAutospacing="0" w:after="0" w:afterAutospacing="0"/>
        <w:jc w:val="both"/>
      </w:pPr>
      <w:r>
        <w:rPr>
          <w:rFonts w:ascii="Calibri" w:hAnsi="Calibri" w:cs="Calibri"/>
          <w:b/>
          <w:bCs/>
          <w:color w:val="DD3382"/>
        </w:rPr>
        <w:t>About Manushya Foundation</w:t>
      </w:r>
    </w:p>
    <w:p w14:paraId="3E4B6DA6" w14:textId="0B79C271" w:rsidR="002347B2" w:rsidRDefault="002347B2" w:rsidP="002347B2">
      <w:pPr>
        <w:pStyle w:val="NormalWeb"/>
        <w:spacing w:before="0" w:beforeAutospacing="0" w:after="240" w:afterAutospacing="0"/>
        <w:jc w:val="both"/>
      </w:pPr>
      <w:r>
        <w:rPr>
          <w:rFonts w:ascii="Calibri" w:hAnsi="Calibri" w:cs="Calibri"/>
          <w:color w:val="000000"/>
          <w:sz w:val="22"/>
          <w:szCs w:val="22"/>
        </w:rPr>
        <w:t xml:space="preserve">Manushya Foundation was founded in 2017 with the vision to build a movement of Equal Human Beings </w:t>
      </w:r>
      <w:r>
        <w:rPr>
          <w:rFonts w:ascii="Calibri" w:hAnsi="Calibri" w:cs="Calibri"/>
          <w:i/>
          <w:iCs/>
          <w:color w:val="000000"/>
          <w:sz w:val="22"/>
          <w:szCs w:val="22"/>
        </w:rPr>
        <w:t>#WeAreManushyan</w:t>
      </w:r>
      <w:r>
        <w:rPr>
          <w:rFonts w:ascii="Calibri" w:hAnsi="Calibri" w:cs="Calibri"/>
          <w:color w:val="000000"/>
          <w:sz w:val="22"/>
          <w:szCs w:val="22"/>
        </w:rPr>
        <w:t xml:space="preserve">. Manushya is an intersectional feminist human rights organization reinforcing the power of humans, in particular women, human rights defenders, indigenous peoples, forest-dependent communities, environmental defenders, LGBTI groups, and Youth, to be at the heart of decision-making processes that concern them and to speak truth to power at the forefront of their fight for Human Rights, Equality, Social Justice and Peace. </w:t>
      </w:r>
      <w:r w:rsidRPr="002347B2">
        <w:rPr>
          <w:rFonts w:ascii="Calibri" w:hAnsi="Calibri" w:cs="Calibri"/>
          <w:color w:val="000000"/>
          <w:sz w:val="22"/>
          <w:szCs w:val="22"/>
        </w:rPr>
        <w:t xml:space="preserve">For further information on the work of Manushya Foundation, visit: </w:t>
      </w:r>
      <w:hyperlink r:id="rId8" w:history="1">
        <w:r w:rsidRPr="002347B2">
          <w:rPr>
            <w:rStyle w:val="Hyperlink"/>
            <w:rFonts w:ascii="Calibri" w:eastAsia="Arial" w:hAnsi="Calibri" w:cs="Calibri"/>
            <w:color w:val="1155CC"/>
            <w:sz w:val="22"/>
            <w:szCs w:val="22"/>
          </w:rPr>
          <w:t>https://www.manushyafoundation.org/</w:t>
        </w:r>
      </w:hyperlink>
      <w:r>
        <w:rPr>
          <w:rFonts w:ascii="Calibri" w:hAnsi="Calibri" w:cs="Calibri"/>
          <w:color w:val="000000"/>
          <w:sz w:val="22"/>
          <w:szCs w:val="22"/>
        </w:rPr>
        <w:t> </w:t>
      </w:r>
    </w:p>
    <w:p w14:paraId="4BEFEE62" w14:textId="77777777" w:rsidR="00F0294C" w:rsidRDefault="00F0294C" w:rsidP="00F0294C">
      <w:pPr>
        <w:pStyle w:val="NormalWeb"/>
        <w:spacing w:before="0" w:beforeAutospacing="0" w:after="0" w:afterAutospacing="0"/>
        <w:jc w:val="both"/>
      </w:pPr>
      <w:r>
        <w:rPr>
          <w:rFonts w:ascii="Calibri" w:hAnsi="Calibri" w:cs="Calibri"/>
          <w:b/>
          <w:bCs/>
          <w:color w:val="DD3382"/>
        </w:rPr>
        <w:t>About the Thai Business and Human Rights Network</w:t>
      </w:r>
    </w:p>
    <w:p w14:paraId="4E98F0FB" w14:textId="7ED5A372" w:rsidR="00F0294C" w:rsidRDefault="00F0294C" w:rsidP="00F0294C">
      <w:pPr>
        <w:pStyle w:val="NormalWeb"/>
        <w:spacing w:before="0" w:beforeAutospacing="0" w:after="0" w:afterAutospacing="0"/>
        <w:jc w:val="both"/>
      </w:pPr>
      <w:r>
        <w:rPr>
          <w:rFonts w:ascii="Calibri" w:hAnsi="Calibri" w:cs="Calibri"/>
          <w:color w:val="000000"/>
          <w:sz w:val="22"/>
          <w:szCs w:val="22"/>
        </w:rPr>
        <w:t xml:space="preserve">The Thai Business and Human Rights Network is an informal, inclusive and intersectional coalition of human rights defenders, community leaders, researchers, academics, and non-governmental organizations from the local, national and regional spheres, who are joining hands to ensure local com communities are central to the business and human rights response in Thailand. </w:t>
      </w:r>
    </w:p>
    <w:p w14:paraId="61286FF3" w14:textId="77777777" w:rsidR="00F0294C" w:rsidRDefault="00F0294C" w:rsidP="002347B2"/>
    <w:p w14:paraId="34997C4E" w14:textId="3A0EB452" w:rsidR="002347B2" w:rsidRDefault="00000000" w:rsidP="002347B2">
      <w:r>
        <w:rPr>
          <w:noProof/>
        </w:rPr>
        <w:pict w14:anchorId="43C75760">
          <v:rect id="_x0000_i1026" alt="" style="width:451.3pt;height:.05pt;mso-width-percent:0;mso-height-percent:0;mso-width-percent:0;mso-height-percent:0" o:hralign="center" o:hrstd="t" o:hr="t" fillcolor="#a0a0a0" stroked="f"/>
        </w:pict>
      </w:r>
    </w:p>
    <w:p w14:paraId="37FE143A" w14:textId="77777777" w:rsidR="002347B2" w:rsidRDefault="002347B2" w:rsidP="002347B2">
      <w:pPr>
        <w:pStyle w:val="NormalWeb"/>
        <w:spacing w:before="0" w:beforeAutospacing="0" w:after="0" w:afterAutospacing="0"/>
        <w:jc w:val="both"/>
      </w:pPr>
      <w:r>
        <w:rPr>
          <w:rFonts w:ascii="Calibri" w:hAnsi="Calibri" w:cs="Calibri"/>
          <w:b/>
          <w:bCs/>
          <w:color w:val="000000"/>
        </w:rPr>
        <w:t>For more information, please contact:</w:t>
      </w:r>
    </w:p>
    <w:p w14:paraId="78A8B472" w14:textId="7EE3318A" w:rsidR="002347B2" w:rsidRDefault="002347B2" w:rsidP="002347B2">
      <w:pPr>
        <w:rPr>
          <w:rStyle w:val="Hyperlink"/>
          <w:rFonts w:ascii="Calibri" w:hAnsi="Calibri" w:cs="Calibri"/>
          <w:color w:val="1155CC"/>
        </w:rPr>
      </w:pPr>
      <w:r>
        <w:rPr>
          <w:rFonts w:ascii="Calibri" w:hAnsi="Calibri" w:cs="Calibri"/>
          <w:color w:val="000000"/>
        </w:rPr>
        <w:t xml:space="preserve">Ms. Emilie Palamy Pradichit, Founder and Executive Director of Manushya Foundation </w:t>
      </w:r>
      <w:hyperlink r:id="rId9" w:history="1">
        <w:r>
          <w:rPr>
            <w:rStyle w:val="Hyperlink"/>
            <w:rFonts w:ascii="Calibri" w:hAnsi="Calibri" w:cs="Calibri"/>
            <w:color w:val="1155CC"/>
          </w:rPr>
          <w:t>emilie@manushyafoundation.org</w:t>
        </w:r>
      </w:hyperlink>
    </w:p>
    <w:p w14:paraId="6CF0654E" w14:textId="5D6B4A02" w:rsidR="002347B2" w:rsidRDefault="002347B2" w:rsidP="002347B2">
      <w:pPr>
        <w:rPr>
          <w:rStyle w:val="Hyperlink"/>
          <w:rFonts w:ascii="Calibri" w:hAnsi="Calibri" w:cs="Calibri"/>
          <w:color w:val="1155CC"/>
        </w:rPr>
      </w:pPr>
    </w:p>
    <w:p w14:paraId="7803257C" w14:textId="2BC2026E" w:rsidR="002347B2" w:rsidRDefault="002347B2" w:rsidP="002347B2">
      <w:pPr>
        <w:rPr>
          <w:rStyle w:val="Hyperlink"/>
          <w:rFonts w:ascii="Calibri" w:hAnsi="Calibri" w:cs="Calibri"/>
          <w:color w:val="1155CC"/>
        </w:rPr>
      </w:pPr>
    </w:p>
    <w:p w14:paraId="4CE3FD84" w14:textId="2501D593" w:rsidR="002347B2" w:rsidRDefault="002347B2" w:rsidP="002347B2">
      <w:pPr>
        <w:rPr>
          <w:rStyle w:val="Hyperlink"/>
          <w:rFonts w:ascii="Calibri" w:hAnsi="Calibri" w:cs="Calibri"/>
          <w:color w:val="1155CC"/>
        </w:rPr>
      </w:pPr>
    </w:p>
    <w:p w14:paraId="526B3341" w14:textId="759A300F" w:rsidR="004059A3" w:rsidRDefault="004059A3" w:rsidP="002347B2">
      <w:pPr>
        <w:rPr>
          <w:rStyle w:val="Hyperlink"/>
          <w:rFonts w:ascii="Calibri" w:hAnsi="Calibri" w:cs="Calibri"/>
          <w:color w:val="1155CC"/>
        </w:rPr>
      </w:pPr>
    </w:p>
    <w:p w14:paraId="37329B6C" w14:textId="2B814E56" w:rsidR="004059A3" w:rsidRDefault="004059A3" w:rsidP="002347B2">
      <w:pPr>
        <w:rPr>
          <w:rStyle w:val="Hyperlink"/>
          <w:rFonts w:ascii="Calibri" w:hAnsi="Calibri" w:cs="Calibri"/>
          <w:color w:val="1155CC"/>
        </w:rPr>
      </w:pPr>
    </w:p>
    <w:p w14:paraId="1AA6F364" w14:textId="11D3F502" w:rsidR="004059A3" w:rsidRDefault="004059A3" w:rsidP="002347B2">
      <w:pPr>
        <w:rPr>
          <w:rStyle w:val="Hyperlink"/>
          <w:rFonts w:ascii="Calibri" w:hAnsi="Calibri" w:cs="Calibri"/>
          <w:color w:val="1155CC"/>
        </w:rPr>
      </w:pPr>
    </w:p>
    <w:p w14:paraId="0B6B119D" w14:textId="258F7D3E" w:rsidR="004059A3" w:rsidRDefault="004059A3" w:rsidP="002347B2">
      <w:pPr>
        <w:rPr>
          <w:rStyle w:val="Hyperlink"/>
          <w:rFonts w:ascii="Calibri" w:hAnsi="Calibri" w:cs="Calibri"/>
          <w:color w:val="1155CC"/>
        </w:rPr>
      </w:pPr>
    </w:p>
    <w:p w14:paraId="0CC478C3" w14:textId="68597E05" w:rsidR="004059A3" w:rsidRDefault="004059A3" w:rsidP="002347B2">
      <w:pPr>
        <w:rPr>
          <w:rStyle w:val="Hyperlink"/>
          <w:rFonts w:ascii="Calibri" w:hAnsi="Calibri" w:cs="Calibri"/>
          <w:color w:val="1155CC"/>
        </w:rPr>
      </w:pPr>
    </w:p>
    <w:p w14:paraId="4C4473F6" w14:textId="4338A013" w:rsidR="004059A3" w:rsidRDefault="004059A3" w:rsidP="002347B2">
      <w:pPr>
        <w:rPr>
          <w:rStyle w:val="Hyperlink"/>
          <w:rFonts w:ascii="Calibri" w:hAnsi="Calibri" w:cs="Calibri"/>
          <w:color w:val="1155CC"/>
        </w:rPr>
      </w:pPr>
    </w:p>
    <w:p w14:paraId="6E61DA75" w14:textId="77777777" w:rsidR="004059A3" w:rsidRDefault="004059A3" w:rsidP="002347B2">
      <w:pPr>
        <w:rPr>
          <w:rStyle w:val="Hyperlink"/>
          <w:rFonts w:ascii="Calibri" w:hAnsi="Calibri" w:cs="Calibri"/>
          <w:color w:val="1155CC"/>
        </w:rPr>
      </w:pPr>
    </w:p>
    <w:p w14:paraId="44656082" w14:textId="750F1491" w:rsidR="002347B2" w:rsidRDefault="002347B2" w:rsidP="002347B2">
      <w:pPr>
        <w:rPr>
          <w:rStyle w:val="Hyperlink"/>
          <w:rFonts w:ascii="Calibri" w:hAnsi="Calibri" w:cs="Calibri"/>
          <w:color w:val="1155CC"/>
        </w:rPr>
      </w:pPr>
    </w:p>
    <w:p w14:paraId="7DC254CA" w14:textId="045D3C74" w:rsidR="003823DA" w:rsidRDefault="00000000" w:rsidP="003823DA">
      <w:pPr>
        <w:jc w:val="both"/>
        <w:rPr>
          <w:rFonts w:ascii="Calibri" w:eastAsia="Calibri" w:hAnsi="Calibri" w:cs="Calibri"/>
        </w:rPr>
      </w:pPr>
      <w:r>
        <w:rPr>
          <w:noProof/>
        </w:rPr>
        <w:pict w14:anchorId="39881F6E">
          <v:rect id="_x0000_i1027" alt="" style="width:451.3pt;height:.05pt;mso-width-percent:0;mso-height-percent:0;mso-width-percent:0;mso-height-percent:0" o:hralign="center" o:hrstd="t" o:hr="t" fillcolor="#a0a0a0" stroked="f"/>
        </w:pict>
      </w:r>
    </w:p>
    <w:p w14:paraId="233BBB0D" w14:textId="6BDFB5D1" w:rsidR="003823DA" w:rsidRDefault="003823DA" w:rsidP="003823DA">
      <w:pPr>
        <w:pStyle w:val="Heading1"/>
        <w:numPr>
          <w:ilvl w:val="0"/>
          <w:numId w:val="5"/>
        </w:numPr>
        <w:jc w:val="left"/>
      </w:pPr>
      <w:bookmarkStart w:id="0" w:name="_tq7uwtdela1q" w:colFirst="0" w:colLast="0"/>
      <w:bookmarkEnd w:id="0"/>
      <w:r>
        <w:t xml:space="preserve">ARTICLE 11: EMPLOYMENT </w:t>
      </w:r>
      <w:r w:rsidR="00000000">
        <w:rPr>
          <w:noProof/>
        </w:rPr>
        <w:pict w14:anchorId="004F0964">
          <v:rect id="_x0000_i1028" alt="" style="width:433.25pt;height:.05pt;mso-width-percent:0;mso-height-percent:0;mso-width-percent:0;mso-height-percent:0" o:hrpct="960" o:hralign="center" o:hrstd="t" o:hr="t" fillcolor="#a0a0a0" stroked="f"/>
        </w:pict>
      </w:r>
    </w:p>
    <w:p w14:paraId="4583AA54" w14:textId="4D1EEF90" w:rsidR="003823DA" w:rsidRDefault="003823DA" w:rsidP="003823DA">
      <w:pPr>
        <w:jc w:val="both"/>
        <w:rPr>
          <w:rFonts w:ascii="Calibri" w:eastAsia="Calibri" w:hAnsi="Calibri" w:cs="Calibri"/>
        </w:rPr>
      </w:pPr>
      <w:r>
        <w:rPr>
          <w:rFonts w:ascii="Calibri" w:eastAsia="Calibri" w:hAnsi="Calibri" w:cs="Calibri"/>
        </w:rPr>
        <w:t xml:space="preserve">In 2020, </w:t>
      </w:r>
      <w:r>
        <w:rPr>
          <w:rFonts w:ascii="Calibri" w:eastAsia="Calibri" w:hAnsi="Calibri" w:cs="Calibri"/>
          <w:b/>
        </w:rPr>
        <w:t>Thailand's gender pay-gap</w:t>
      </w:r>
      <w:r>
        <w:rPr>
          <w:rFonts w:ascii="Calibri" w:eastAsia="Calibri" w:hAnsi="Calibri" w:cs="Calibri"/>
        </w:rPr>
        <w:t xml:space="preserve"> is</w:t>
      </w:r>
      <w:r>
        <w:rPr>
          <w:rFonts w:ascii="Calibri" w:eastAsia="Calibri" w:hAnsi="Calibri" w:cs="Calibri"/>
          <w:b/>
        </w:rPr>
        <w:t xml:space="preserve"> </w:t>
      </w:r>
      <w:r>
        <w:rPr>
          <w:rFonts w:ascii="Calibri" w:eastAsia="Calibri" w:hAnsi="Calibri" w:cs="Calibri"/>
        </w:rPr>
        <w:t>10.94 percent. According to further data from 2020, women work an average of 3.2 unpaid hours per day, compared to 0.9 for men.</w:t>
      </w:r>
      <w:r>
        <w:rPr>
          <w:rFonts w:ascii="Calibri" w:eastAsia="Calibri" w:hAnsi="Calibri" w:cs="Calibri"/>
          <w:vertAlign w:val="superscript"/>
        </w:rPr>
        <w:endnoteReference w:id="1"/>
      </w:r>
      <w:r>
        <w:rPr>
          <w:rFonts w:ascii="Calibri" w:eastAsia="Calibri" w:hAnsi="Calibri" w:cs="Calibri"/>
        </w:rPr>
        <w:t xml:space="preserve"> </w:t>
      </w:r>
      <w:r>
        <w:rPr>
          <w:rFonts w:ascii="Calibri" w:eastAsia="Calibri" w:hAnsi="Calibri" w:cs="Calibri"/>
          <w:b/>
        </w:rPr>
        <w:t>Thai</w:t>
      </w:r>
      <w:r>
        <w:rPr>
          <w:rFonts w:ascii="Calibri" w:eastAsia="Calibri" w:hAnsi="Calibri" w:cs="Calibri"/>
        </w:rPr>
        <w:t xml:space="preserve"> </w:t>
      </w:r>
      <w:r>
        <w:rPr>
          <w:rFonts w:ascii="Calibri" w:eastAsia="Calibri" w:hAnsi="Calibri" w:cs="Calibri"/>
          <w:b/>
        </w:rPr>
        <w:t>women</w:t>
      </w:r>
      <w:r>
        <w:rPr>
          <w:rFonts w:ascii="Calibri" w:eastAsia="Calibri" w:hAnsi="Calibri" w:cs="Calibri"/>
        </w:rPr>
        <w:t xml:space="preserve"> do not have enough access to financial services and economic resources, and are less financially and digitally literate than men</w:t>
      </w:r>
      <w:r w:rsidRPr="00C1286B">
        <w:rPr>
          <w:rFonts w:ascii="Calibri" w:eastAsia="Calibri" w:hAnsi="Calibri" w:cs="Calibri"/>
        </w:rPr>
        <w:t xml:space="preserve">. </w:t>
      </w:r>
      <w:r w:rsidR="004059A3" w:rsidRPr="00C1286B">
        <w:rPr>
          <w:rFonts w:ascii="Calibri" w:eastAsia="Calibri" w:hAnsi="Calibri" w:cs="Calibri"/>
        </w:rPr>
        <w:t>In general, women have less prospects for professional growth, lower salaries and less job security.</w:t>
      </w:r>
      <w:r w:rsidRPr="00C1286B">
        <w:rPr>
          <w:rFonts w:ascii="Calibri" w:eastAsia="Calibri" w:hAnsi="Calibri" w:cs="Calibri"/>
        </w:rPr>
        <w:t xml:space="preserve"> They do not have equal access to marketplaces as men do.</w:t>
      </w:r>
      <w:r w:rsidRPr="00C1286B">
        <w:rPr>
          <w:rFonts w:ascii="Calibri" w:eastAsia="Calibri" w:hAnsi="Calibri" w:cs="Calibri"/>
          <w:vertAlign w:val="superscript"/>
        </w:rPr>
        <w:endnoteReference w:id="2"/>
      </w:r>
      <w:r w:rsidRPr="00C1286B">
        <w:rPr>
          <w:rFonts w:ascii="Calibri" w:eastAsia="Calibri" w:hAnsi="Calibri" w:cs="Calibri"/>
        </w:rPr>
        <w:t xml:space="preserve"> Despite intentions to improve support for working mothers by amending Minister Regulation No. 14 under the 1998 Labor Protection Act, the plan has been stalled.</w:t>
      </w:r>
      <w:r w:rsidRPr="00C1286B">
        <w:rPr>
          <w:rFonts w:ascii="Calibri" w:eastAsia="Calibri" w:hAnsi="Calibri" w:cs="Calibri"/>
          <w:vertAlign w:val="superscript"/>
        </w:rPr>
        <w:endnoteReference w:id="3"/>
      </w:r>
      <w:r>
        <w:rPr>
          <w:rFonts w:ascii="Calibri" w:eastAsia="Calibri" w:hAnsi="Calibri" w:cs="Calibri"/>
        </w:rPr>
        <w:t xml:space="preserve"> </w:t>
      </w:r>
    </w:p>
    <w:p w14:paraId="672A32BA" w14:textId="77777777" w:rsidR="003823DA" w:rsidRDefault="003823DA" w:rsidP="003823DA">
      <w:pPr>
        <w:jc w:val="both"/>
        <w:rPr>
          <w:rFonts w:ascii="Calibri" w:eastAsia="Calibri" w:hAnsi="Calibri" w:cs="Calibri"/>
        </w:rPr>
      </w:pPr>
    </w:p>
    <w:p w14:paraId="58E8FE15" w14:textId="460FF913" w:rsidR="003823DA" w:rsidRPr="00C1286B" w:rsidRDefault="003823DA" w:rsidP="003823DA">
      <w:pPr>
        <w:jc w:val="both"/>
        <w:rPr>
          <w:rFonts w:ascii="Calibri" w:eastAsia="Calibri" w:hAnsi="Calibri" w:cs="Calibri"/>
        </w:rPr>
      </w:pPr>
      <w:r w:rsidRPr="00C1286B">
        <w:rPr>
          <w:rFonts w:ascii="Calibri" w:eastAsia="Calibri" w:hAnsi="Calibri" w:cs="Calibri"/>
        </w:rPr>
        <w:t>The government has set budgets to create job opportunities for women in Chiang Mai. However, it has not delivered proper training on how to approach markets or strengthen entrepreneurial skills.</w:t>
      </w:r>
      <w:r w:rsidRPr="00C1286B">
        <w:rPr>
          <w:rFonts w:ascii="Calibri" w:eastAsia="Calibri" w:hAnsi="Calibri" w:cs="Calibri"/>
          <w:vertAlign w:val="superscript"/>
        </w:rPr>
        <w:endnoteReference w:id="4"/>
      </w:r>
      <w:r w:rsidRPr="00C1286B">
        <w:rPr>
          <w:rFonts w:ascii="Calibri" w:eastAsia="Calibri" w:hAnsi="Calibri" w:cs="Calibri"/>
        </w:rPr>
        <w:t xml:space="preserve"> </w:t>
      </w:r>
    </w:p>
    <w:p w14:paraId="7D6856C6" w14:textId="77777777" w:rsidR="003823DA" w:rsidRPr="00C1286B" w:rsidRDefault="003823DA" w:rsidP="003823DA">
      <w:pPr>
        <w:jc w:val="both"/>
        <w:rPr>
          <w:rFonts w:ascii="Calibri" w:eastAsia="Calibri" w:hAnsi="Calibri" w:cs="Calibri"/>
        </w:rPr>
      </w:pPr>
    </w:p>
    <w:p w14:paraId="26D5E065" w14:textId="36ADCBB3" w:rsidR="003823DA" w:rsidRDefault="004059A3" w:rsidP="003823DA">
      <w:pPr>
        <w:jc w:val="both"/>
        <w:rPr>
          <w:rFonts w:ascii="Calibri" w:eastAsia="Calibri" w:hAnsi="Calibri" w:cs="Calibri"/>
        </w:rPr>
      </w:pPr>
      <w:r>
        <w:rPr>
          <w:rFonts w:ascii="Calibri" w:eastAsia="Calibri" w:hAnsi="Calibri" w:cs="Calibri"/>
        </w:rPr>
        <w:t>T</w:t>
      </w:r>
      <w:r w:rsidR="003823DA" w:rsidRPr="00C1286B">
        <w:rPr>
          <w:rFonts w:ascii="Calibri" w:eastAsia="Calibri" w:hAnsi="Calibri" w:cs="Calibri"/>
        </w:rPr>
        <w:t xml:space="preserve">he gendered division of labor between men and women particularly in relation to </w:t>
      </w:r>
      <w:r w:rsidR="003823DA" w:rsidRPr="00C1286B">
        <w:rPr>
          <w:rFonts w:ascii="Calibri" w:eastAsia="Calibri" w:hAnsi="Calibri" w:cs="Calibri"/>
          <w:b/>
        </w:rPr>
        <w:t>unpaid care and domestic work</w:t>
      </w:r>
      <w:r w:rsidR="003823DA" w:rsidRPr="00C1286B">
        <w:rPr>
          <w:rFonts w:ascii="Calibri" w:eastAsia="Calibri" w:hAnsi="Calibri" w:cs="Calibri"/>
        </w:rPr>
        <w:t xml:space="preserve"> (UCDW) runs deep. Considered a "women's responsibility", women spend on average 2 hours and 53 minutes per day on care and domestic work, while men spend 56 minutes.</w:t>
      </w:r>
      <w:r w:rsidR="003823DA" w:rsidRPr="00C1286B">
        <w:rPr>
          <w:rFonts w:ascii="Calibri" w:eastAsia="Calibri" w:hAnsi="Calibri" w:cs="Calibri"/>
          <w:vertAlign w:val="superscript"/>
        </w:rPr>
        <w:endnoteReference w:id="5"/>
      </w:r>
      <w:r w:rsidR="003823DA" w:rsidRPr="00C1286B">
        <w:rPr>
          <w:rFonts w:ascii="Calibri" w:eastAsia="Calibri" w:hAnsi="Calibri" w:cs="Calibri"/>
        </w:rPr>
        <w:t xml:space="preserve"> The situation is worse for most women from rural and low-income communities</w:t>
      </w:r>
      <w:r>
        <w:rPr>
          <w:rFonts w:ascii="Calibri" w:eastAsia="Calibri" w:hAnsi="Calibri" w:cs="Calibri"/>
        </w:rPr>
        <w:t xml:space="preserve">. </w:t>
      </w:r>
      <w:r w:rsidR="003823DA" w:rsidRPr="00C1286B">
        <w:rPr>
          <w:rFonts w:ascii="Calibri" w:eastAsia="Calibri" w:hAnsi="Calibri" w:cs="Calibri"/>
        </w:rPr>
        <w:t>Girls are often the ones supporting and substituting for the UCDW done by their mothers. The pandemic has exacerbated this burden that women bear, with husbands and children spending most of their time at home.</w:t>
      </w:r>
      <w:r w:rsidR="003823DA" w:rsidRPr="00C1286B">
        <w:rPr>
          <w:rFonts w:ascii="Calibri" w:eastAsia="Calibri" w:hAnsi="Calibri" w:cs="Calibri"/>
          <w:vertAlign w:val="superscript"/>
        </w:rPr>
        <w:endnoteReference w:id="6"/>
      </w:r>
      <w:r w:rsidR="003823DA" w:rsidRPr="00C1286B">
        <w:rPr>
          <w:rFonts w:ascii="Calibri" w:eastAsia="Calibri" w:hAnsi="Calibri" w:cs="Calibri"/>
        </w:rPr>
        <w:t xml:space="preserve"> Community quarantines and lockdowns, school closures, reduced availability of care service and domestic help during the COVID-19 pandemic increased the burden of UCDW on women</w:t>
      </w:r>
      <w:r>
        <w:rPr>
          <w:rFonts w:ascii="Calibri" w:eastAsia="Calibri" w:hAnsi="Calibri" w:cs="Calibri"/>
        </w:rPr>
        <w:t>, and</w:t>
      </w:r>
      <w:r w:rsidR="003823DA" w:rsidRPr="00C1286B">
        <w:rPr>
          <w:rFonts w:ascii="Calibri" w:eastAsia="Calibri" w:hAnsi="Calibri" w:cs="Calibri"/>
        </w:rPr>
        <w:t xml:space="preserve"> women in rural areas have been particularly affected. They had to increase their efforts to address the needs of their families and communities.</w:t>
      </w:r>
      <w:r w:rsidR="003823DA" w:rsidRPr="00C1286B">
        <w:rPr>
          <w:rFonts w:ascii="Calibri" w:eastAsia="Calibri" w:hAnsi="Calibri" w:cs="Calibri"/>
          <w:vertAlign w:val="superscript"/>
        </w:rPr>
        <w:endnoteReference w:id="7"/>
      </w:r>
      <w:r w:rsidR="003823DA" w:rsidRPr="00C1286B">
        <w:rPr>
          <w:rFonts w:ascii="Calibri" w:eastAsia="Calibri" w:hAnsi="Calibri" w:cs="Calibri"/>
        </w:rPr>
        <w:t xml:space="preserve"> In turn, increases in UCDW have caused women to struggle with decreased paid work productivity. Because of gender norms, they were more likely than their male counterparts to give up their paid work for UCDW. Despite constituting a significant contribution to the economy, steadily growing beyond 5.5 percent of Thailand’s GDP,</w:t>
      </w:r>
      <w:r w:rsidR="003823DA" w:rsidRPr="00C1286B">
        <w:rPr>
          <w:rFonts w:ascii="Calibri" w:eastAsia="Calibri" w:hAnsi="Calibri" w:cs="Calibri"/>
          <w:vertAlign w:val="superscript"/>
        </w:rPr>
        <w:endnoteReference w:id="8"/>
      </w:r>
      <w:r w:rsidR="003823DA" w:rsidRPr="00C1286B">
        <w:rPr>
          <w:rFonts w:ascii="Calibri" w:eastAsia="Calibri" w:hAnsi="Calibri" w:cs="Calibri"/>
        </w:rPr>
        <w:t xml:space="preserve"> women’s unpaid work has largely been undervalued and remains outside the scope of most Thai public welfare policies. </w:t>
      </w:r>
    </w:p>
    <w:p w14:paraId="760E3CE8" w14:textId="77777777" w:rsidR="003823DA" w:rsidRDefault="003823DA" w:rsidP="003823DA">
      <w:pPr>
        <w:jc w:val="both"/>
        <w:rPr>
          <w:rFonts w:ascii="Calibri" w:eastAsia="Calibri" w:hAnsi="Calibri" w:cs="Calibri"/>
        </w:rPr>
      </w:pPr>
    </w:p>
    <w:p w14:paraId="1B4395A8" w14:textId="446C5A7C" w:rsidR="003823DA" w:rsidRDefault="003823DA" w:rsidP="003823DA">
      <w:pPr>
        <w:jc w:val="both"/>
        <w:rPr>
          <w:rFonts w:ascii="Calibri" w:eastAsia="Calibri" w:hAnsi="Calibri" w:cs="Calibri"/>
          <w:highlight w:val="yellow"/>
        </w:rPr>
      </w:pPr>
      <w:r w:rsidRPr="00C1286B">
        <w:rPr>
          <w:rFonts w:ascii="Calibri" w:eastAsia="Calibri" w:hAnsi="Calibri" w:cs="Calibri"/>
        </w:rPr>
        <w:t>Women workers employed in the formal sector face severe hardship. Women struggle due to the gender pay gap, which affects 52% of them,</w:t>
      </w:r>
      <w:r w:rsidRPr="00C1286B">
        <w:rPr>
          <w:rFonts w:ascii="Calibri" w:eastAsia="Calibri" w:hAnsi="Calibri" w:cs="Calibri"/>
          <w:vertAlign w:val="superscript"/>
        </w:rPr>
        <w:endnoteReference w:id="9"/>
      </w:r>
      <w:r w:rsidRPr="00C1286B">
        <w:rPr>
          <w:rFonts w:ascii="Calibri" w:eastAsia="Calibri" w:hAnsi="Calibri" w:cs="Calibri"/>
        </w:rPr>
        <w:t xml:space="preserve"> and, addition</w:t>
      </w:r>
      <w:r w:rsidR="004059A3">
        <w:rPr>
          <w:rFonts w:ascii="Calibri" w:eastAsia="Calibri" w:hAnsi="Calibri" w:cs="Calibri"/>
        </w:rPr>
        <w:t>ally</w:t>
      </w:r>
      <w:r w:rsidRPr="00C1286B">
        <w:rPr>
          <w:rFonts w:ascii="Calibri" w:eastAsia="Calibri" w:hAnsi="Calibri" w:cs="Calibri"/>
        </w:rPr>
        <w:t>, are employed in low-paid work, such as garment sewing. They are paid on a per-unit basis, compared to men who receive a daily salary.</w:t>
      </w:r>
      <w:r w:rsidRPr="00C1286B">
        <w:rPr>
          <w:rFonts w:ascii="Calibri" w:eastAsia="Calibri" w:hAnsi="Calibri" w:cs="Calibri"/>
          <w:vertAlign w:val="superscript"/>
        </w:rPr>
        <w:endnoteReference w:id="10"/>
      </w:r>
      <w:r w:rsidRPr="00C1286B">
        <w:rPr>
          <w:rFonts w:ascii="Calibri" w:eastAsia="Calibri" w:hAnsi="Calibri" w:cs="Calibri"/>
        </w:rPr>
        <w:t xml:space="preserve"> Although workers employed in the informal sector account for more than 50% of the workforce,</w:t>
      </w:r>
      <w:r w:rsidRPr="00C1286B">
        <w:rPr>
          <w:rFonts w:ascii="Calibri" w:eastAsia="Calibri" w:hAnsi="Calibri" w:cs="Calibri"/>
          <w:vertAlign w:val="superscript"/>
        </w:rPr>
        <w:endnoteReference w:id="11"/>
      </w:r>
      <w:r w:rsidRPr="00C1286B">
        <w:rPr>
          <w:rFonts w:ascii="Calibri" w:eastAsia="Calibri" w:hAnsi="Calibri" w:cs="Calibri"/>
        </w:rPr>
        <w:t xml:space="preserve"> they lack protection under the law which does not regulate work in the informal sector. The Draft Act on Promotion and Development of the Quality of Life of Informal Workers has yet to be enacted by the government. Furthermore, women home-based workers have the lowest level of security and earnings amongst the Thai workforce,</w:t>
      </w:r>
      <w:r w:rsidRPr="00C1286B">
        <w:rPr>
          <w:rFonts w:ascii="Calibri" w:eastAsia="Calibri" w:hAnsi="Calibri" w:cs="Calibri"/>
          <w:vertAlign w:val="superscript"/>
        </w:rPr>
        <w:endnoteReference w:id="12"/>
      </w:r>
      <w:r w:rsidRPr="00C1286B">
        <w:rPr>
          <w:rFonts w:ascii="Calibri" w:eastAsia="Calibri" w:hAnsi="Calibri" w:cs="Calibri"/>
        </w:rPr>
        <w:t xml:space="preserve"> and frequently work in a hostile environment.</w:t>
      </w:r>
      <w:r w:rsidRPr="00C1286B">
        <w:rPr>
          <w:rFonts w:ascii="Calibri" w:eastAsia="Calibri" w:hAnsi="Calibri" w:cs="Calibri"/>
          <w:vertAlign w:val="superscript"/>
        </w:rPr>
        <w:endnoteReference w:id="13"/>
      </w:r>
      <w:r w:rsidRPr="00C1286B">
        <w:rPr>
          <w:rFonts w:ascii="Calibri" w:eastAsia="Calibri" w:hAnsi="Calibri" w:cs="Calibri"/>
        </w:rPr>
        <w:t xml:space="preserve"> Due to the nature of their labor, working as street vendors, owners of food stalls, motorcycle taxi drivers and food delivery drivers, informal workers have been significantly impacted by the COVID-19 pandemic.</w:t>
      </w:r>
      <w:r w:rsidRPr="00C1286B">
        <w:rPr>
          <w:rFonts w:ascii="Calibri" w:eastAsia="Calibri" w:hAnsi="Calibri" w:cs="Calibri"/>
          <w:vertAlign w:val="superscript"/>
        </w:rPr>
        <w:endnoteReference w:id="14"/>
      </w:r>
    </w:p>
    <w:p w14:paraId="0AD10DCC" w14:textId="77777777" w:rsidR="003823DA" w:rsidRDefault="003823DA" w:rsidP="003823DA">
      <w:pPr>
        <w:jc w:val="both"/>
        <w:rPr>
          <w:rFonts w:ascii="Calibri" w:eastAsia="Calibri" w:hAnsi="Calibri" w:cs="Calibri"/>
          <w:highlight w:val="yellow"/>
        </w:rPr>
      </w:pPr>
    </w:p>
    <w:p w14:paraId="110B14B1" w14:textId="77777777" w:rsidR="003823DA" w:rsidRDefault="003823DA" w:rsidP="003823DA">
      <w:pPr>
        <w:jc w:val="both"/>
        <w:rPr>
          <w:rFonts w:ascii="Calibri" w:eastAsia="Calibri" w:hAnsi="Calibri" w:cs="Calibri"/>
          <w:highlight w:val="yellow"/>
        </w:rPr>
      </w:pPr>
      <w:r>
        <w:rPr>
          <w:rFonts w:ascii="Calibri" w:eastAsia="Calibri" w:hAnsi="Calibri" w:cs="Calibri"/>
          <w:b/>
        </w:rPr>
        <w:t>Sexual harassment</w:t>
      </w:r>
      <w:r>
        <w:rPr>
          <w:rFonts w:ascii="Calibri" w:eastAsia="Calibri" w:hAnsi="Calibri" w:cs="Calibri"/>
        </w:rPr>
        <w:t xml:space="preserve"> in the workplace is also a bold issue;</w:t>
      </w:r>
      <w:r>
        <w:rPr>
          <w:rFonts w:ascii="Calibri" w:eastAsia="Calibri" w:hAnsi="Calibri" w:cs="Calibri"/>
          <w:vertAlign w:val="superscript"/>
        </w:rPr>
        <w:endnoteReference w:id="15"/>
      </w:r>
      <w:r>
        <w:rPr>
          <w:rFonts w:ascii="Calibri" w:eastAsia="Calibri" w:hAnsi="Calibri" w:cs="Calibri"/>
        </w:rPr>
        <w:t xml:space="preserve"> nonetheless, while the Thai Labor Protection Act prohibits discrimination, it gives no clear definition of sexual harassment. The Gender Equality Act has also </w:t>
      </w:r>
      <w:r w:rsidRPr="00C1286B">
        <w:rPr>
          <w:rFonts w:ascii="Calibri" w:eastAsia="Calibri" w:hAnsi="Calibri" w:cs="Calibri"/>
        </w:rPr>
        <w:t>not been effective in its enforcement or prevention of sexual harassment in the workplace,</w:t>
      </w:r>
      <w:r w:rsidRPr="00C1286B">
        <w:rPr>
          <w:rFonts w:ascii="Calibri" w:eastAsia="Calibri" w:hAnsi="Calibri" w:cs="Calibri"/>
          <w:vertAlign w:val="superscript"/>
        </w:rPr>
        <w:endnoteReference w:id="16"/>
      </w:r>
      <w:r w:rsidRPr="00C1286B">
        <w:rPr>
          <w:rFonts w:ascii="Calibri" w:eastAsia="Calibri" w:hAnsi="Calibri" w:cs="Calibri"/>
        </w:rPr>
        <w:t xml:space="preserve"> </w:t>
      </w:r>
      <w:r w:rsidRPr="00C1286B">
        <w:rPr>
          <w:rFonts w:ascii="Calibri" w:eastAsia="Calibri" w:hAnsi="Calibri" w:cs="Calibri"/>
        </w:rPr>
        <w:lastRenderedPageBreak/>
        <w:t>and the role of government departments related to gender-based violence is minimal,</w:t>
      </w:r>
      <w:r w:rsidRPr="00C1286B">
        <w:rPr>
          <w:rFonts w:ascii="Calibri" w:eastAsia="Calibri" w:hAnsi="Calibri" w:cs="Calibri"/>
          <w:vertAlign w:val="superscript"/>
        </w:rPr>
        <w:endnoteReference w:id="17"/>
      </w:r>
      <w:r w:rsidRPr="00C1286B">
        <w:rPr>
          <w:rFonts w:ascii="Calibri" w:eastAsia="Calibri" w:hAnsi="Calibri" w:cs="Calibri"/>
        </w:rPr>
        <w:t xml:space="preserve"> with the measures in place being insufficient.</w:t>
      </w:r>
      <w:r w:rsidRPr="00C1286B">
        <w:rPr>
          <w:rFonts w:ascii="Calibri" w:eastAsia="Calibri" w:hAnsi="Calibri" w:cs="Calibri"/>
          <w:vertAlign w:val="superscript"/>
        </w:rPr>
        <w:endnoteReference w:id="18"/>
      </w:r>
      <w:r w:rsidRPr="00C1286B">
        <w:rPr>
          <w:rFonts w:ascii="Calibri" w:eastAsia="Calibri" w:hAnsi="Calibri" w:cs="Calibri"/>
        </w:rPr>
        <w:t xml:space="preserve"> Cases of sexual harassment at work have been extensively documented in the past years,</w:t>
      </w:r>
      <w:r w:rsidRPr="00C1286B">
        <w:rPr>
          <w:rFonts w:ascii="Calibri" w:eastAsia="Calibri" w:hAnsi="Calibri" w:cs="Calibri"/>
          <w:vertAlign w:val="superscript"/>
        </w:rPr>
        <w:endnoteReference w:id="19"/>
      </w:r>
      <w:r w:rsidRPr="00C1286B">
        <w:rPr>
          <w:rFonts w:ascii="Calibri" w:eastAsia="Calibri" w:hAnsi="Calibri" w:cs="Calibri"/>
        </w:rPr>
        <w:t xml:space="preserve"> and activists reported that judges regularly dismiss charges involving inappropriate physical contact at work, unless it is rape, purportedly due to lack of evidence or because they do not take the cases seriously.</w:t>
      </w:r>
      <w:r w:rsidRPr="00C1286B">
        <w:rPr>
          <w:rFonts w:ascii="Calibri" w:eastAsia="Calibri" w:hAnsi="Calibri" w:cs="Calibri"/>
          <w:vertAlign w:val="superscript"/>
        </w:rPr>
        <w:endnoteReference w:id="20"/>
      </w:r>
      <w:r w:rsidRPr="00C1286B">
        <w:rPr>
          <w:rFonts w:ascii="Calibri" w:eastAsia="Calibri" w:hAnsi="Calibri" w:cs="Calibri"/>
        </w:rPr>
        <w:t xml:space="preserve"> In 2021, a transgender woman was sexually harassed at work by a politician, and laid off without any justification. The transgender WHRD who supported the woman with submitting a complaint to the NHRCT and denounced the episodes of harassment on social media became a victim too. She was sued for defamation by the politician,</w:t>
      </w:r>
      <w:r w:rsidRPr="00C1286B">
        <w:rPr>
          <w:rFonts w:ascii="Calibri" w:eastAsia="Calibri" w:hAnsi="Calibri" w:cs="Calibri"/>
          <w:vertAlign w:val="superscript"/>
        </w:rPr>
        <w:endnoteReference w:id="21"/>
      </w:r>
      <w:r w:rsidRPr="00C1286B">
        <w:rPr>
          <w:rFonts w:ascii="Calibri" w:eastAsia="Calibri" w:hAnsi="Calibri" w:cs="Calibri"/>
        </w:rPr>
        <w:t xml:space="preserve"> effectively being </w:t>
      </w:r>
      <w:proofErr w:type="spellStart"/>
      <w:r w:rsidRPr="00C1286B">
        <w:rPr>
          <w:rFonts w:ascii="Calibri" w:eastAsia="Calibri" w:hAnsi="Calibri" w:cs="Calibri"/>
        </w:rPr>
        <w:t>SLAPPed</w:t>
      </w:r>
      <w:proofErr w:type="spellEnd"/>
      <w:r w:rsidRPr="00C1286B">
        <w:rPr>
          <w:rFonts w:ascii="Calibri" w:eastAsia="Calibri" w:hAnsi="Calibri" w:cs="Calibri"/>
        </w:rPr>
        <w:t xml:space="preserve"> for purely exercising her right to freedom of expression online. Such cases hinder the fight for gender equality and fairness in the workplace. </w:t>
      </w:r>
    </w:p>
    <w:p w14:paraId="71258C03" w14:textId="77777777" w:rsidR="003823DA" w:rsidRDefault="003823DA" w:rsidP="003823DA">
      <w:pPr>
        <w:jc w:val="both"/>
        <w:rPr>
          <w:rFonts w:ascii="Calibri" w:eastAsia="Calibri" w:hAnsi="Calibri" w:cs="Calibri"/>
        </w:rPr>
      </w:pPr>
    </w:p>
    <w:p w14:paraId="48793465" w14:textId="77777777" w:rsidR="003823DA" w:rsidRDefault="003823DA" w:rsidP="003823DA">
      <w:pPr>
        <w:jc w:val="both"/>
        <w:rPr>
          <w:rFonts w:ascii="Calibri" w:eastAsia="Calibri" w:hAnsi="Calibri" w:cs="Calibri"/>
        </w:rPr>
      </w:pPr>
      <w:r>
        <w:rPr>
          <w:rFonts w:ascii="Calibri" w:eastAsia="Calibri" w:hAnsi="Calibri" w:cs="Calibri"/>
        </w:rPr>
        <w:t>Section 15 of the Labor Protection Act provides that employers shall treat equally men and women employees “unless the description or nature of work prevents such treatment.”</w:t>
      </w:r>
      <w:r>
        <w:rPr>
          <w:rFonts w:ascii="Calibri" w:eastAsia="Calibri" w:hAnsi="Calibri" w:cs="Calibri"/>
          <w:vertAlign w:val="superscript"/>
        </w:rPr>
        <w:endnoteReference w:id="22"/>
      </w:r>
      <w:r>
        <w:rPr>
          <w:rFonts w:ascii="Calibri" w:eastAsia="Calibri" w:hAnsi="Calibri" w:cs="Calibri"/>
        </w:rPr>
        <w:t xml:space="preserve"> It fails to mention gender beyond binary or other population groups, including the marginalized. To illustrate, the application of T., a </w:t>
      </w:r>
      <w:r>
        <w:rPr>
          <w:rFonts w:ascii="Calibri" w:eastAsia="Calibri" w:hAnsi="Calibri" w:cs="Calibri"/>
          <w:b/>
        </w:rPr>
        <w:t>transgender woman</w:t>
      </w:r>
      <w:r>
        <w:rPr>
          <w:rFonts w:ascii="Calibri" w:eastAsia="Calibri" w:hAnsi="Calibri" w:cs="Calibri"/>
        </w:rPr>
        <w:t>, was denied on the ground that the position was only opened for cisgender women.</w:t>
      </w:r>
      <w:r>
        <w:rPr>
          <w:rFonts w:ascii="Calibri" w:eastAsia="Calibri" w:hAnsi="Calibri" w:cs="Calibri"/>
          <w:vertAlign w:val="superscript"/>
        </w:rPr>
        <w:endnoteReference w:id="23"/>
      </w:r>
      <w:r>
        <w:rPr>
          <w:rFonts w:ascii="Calibri" w:eastAsia="Calibri" w:hAnsi="Calibri" w:cs="Calibri"/>
        </w:rPr>
        <w:t xml:space="preserve"> Unfortunately, her case is not isolated, but part of the long-standing discrimination of LGBTIQ+ women in Thai society.</w:t>
      </w:r>
    </w:p>
    <w:p w14:paraId="6CDBD058" w14:textId="77777777" w:rsidR="003823DA" w:rsidRDefault="003823DA" w:rsidP="003823DA">
      <w:pPr>
        <w:jc w:val="both"/>
        <w:rPr>
          <w:rFonts w:ascii="Calibri" w:eastAsia="Calibri" w:hAnsi="Calibri" w:cs="Calibri"/>
        </w:rPr>
      </w:pPr>
    </w:p>
    <w:p w14:paraId="34420684" w14:textId="3F3BA9F2" w:rsidR="004059A3" w:rsidRDefault="003823DA" w:rsidP="003823DA">
      <w:pPr>
        <w:jc w:val="both"/>
        <w:rPr>
          <w:rFonts w:ascii="Calibri" w:eastAsia="Calibri" w:hAnsi="Calibri" w:cs="Calibri"/>
        </w:rPr>
      </w:pPr>
      <w:r w:rsidRPr="00C1286B">
        <w:rPr>
          <w:rFonts w:ascii="Calibri" w:eastAsia="Calibri" w:hAnsi="Calibri" w:cs="Calibri"/>
          <w:b/>
        </w:rPr>
        <w:t>Migrant workers</w:t>
      </w:r>
      <w:r w:rsidRPr="00C1286B">
        <w:rPr>
          <w:rFonts w:ascii="Calibri" w:eastAsia="Calibri" w:hAnsi="Calibri" w:cs="Calibri"/>
        </w:rPr>
        <w:t xml:space="preserve"> have limited rights in Thailand, particularly undocumented migrants. There is an absence of sufficient labor rights protection in </w:t>
      </w:r>
      <w:r w:rsidR="004059A3">
        <w:rPr>
          <w:rFonts w:ascii="Calibri" w:eastAsia="Calibri" w:hAnsi="Calibri" w:cs="Calibri"/>
        </w:rPr>
        <w:t xml:space="preserve">law </w:t>
      </w:r>
      <w:r w:rsidRPr="00C1286B">
        <w:rPr>
          <w:rFonts w:ascii="Calibri" w:eastAsia="Calibri" w:hAnsi="Calibri" w:cs="Calibri"/>
        </w:rPr>
        <w:t xml:space="preserve">and policies regarding migrant workers. </w:t>
      </w:r>
      <w:r w:rsidR="004059A3">
        <w:rPr>
          <w:rFonts w:ascii="Calibri" w:eastAsia="Calibri" w:hAnsi="Calibri" w:cs="Calibri"/>
        </w:rPr>
        <w:t>T</w:t>
      </w:r>
      <w:r w:rsidRPr="00C1286B">
        <w:rPr>
          <w:rFonts w:ascii="Calibri" w:eastAsia="Calibri" w:hAnsi="Calibri" w:cs="Calibri"/>
        </w:rPr>
        <w:t xml:space="preserve">he Certification of Registration Records of Aliens Granted Residency in the Kingdom under Special Circumstances (Tor </w:t>
      </w:r>
      <w:proofErr w:type="spellStart"/>
      <w:r w:rsidRPr="00C1286B">
        <w:rPr>
          <w:rFonts w:ascii="Calibri" w:eastAsia="Calibri" w:hAnsi="Calibri" w:cs="Calibri"/>
        </w:rPr>
        <w:t>Ror</w:t>
      </w:r>
      <w:proofErr w:type="spellEnd"/>
      <w:r w:rsidRPr="00C1286B">
        <w:rPr>
          <w:rFonts w:ascii="Calibri" w:eastAsia="Calibri" w:hAnsi="Calibri" w:cs="Calibri"/>
        </w:rPr>
        <w:t xml:space="preserve"> 38/1) for migrant workers registered with the Ministry of Interior cannot be used for claiming social security rights from the Ministry of Labor. Under labor protection laws, they are not entitled to annual and traditional holidays</w:t>
      </w:r>
      <w:r w:rsidR="004059A3">
        <w:rPr>
          <w:rFonts w:ascii="Calibri" w:eastAsia="Calibri" w:hAnsi="Calibri" w:cs="Calibri"/>
        </w:rPr>
        <w:t xml:space="preserve"> and</w:t>
      </w:r>
      <w:r w:rsidRPr="00C1286B">
        <w:rPr>
          <w:rFonts w:ascii="Calibri" w:eastAsia="Calibri" w:hAnsi="Calibri" w:cs="Calibri"/>
        </w:rPr>
        <w:t xml:space="preserve"> paid maternity leave</w:t>
      </w:r>
      <w:r w:rsidR="004059A3">
        <w:rPr>
          <w:rFonts w:ascii="Calibri" w:eastAsia="Calibri" w:hAnsi="Calibri" w:cs="Calibri"/>
        </w:rPr>
        <w:t>, among others.</w:t>
      </w:r>
      <w:r w:rsidRPr="00C1286B">
        <w:rPr>
          <w:rFonts w:ascii="Calibri" w:eastAsia="Calibri" w:hAnsi="Calibri" w:cs="Calibri"/>
          <w:vertAlign w:val="superscript"/>
        </w:rPr>
        <w:endnoteReference w:id="24"/>
      </w:r>
      <w:r w:rsidRPr="00C1286B">
        <w:rPr>
          <w:rFonts w:ascii="Calibri" w:eastAsia="Calibri" w:hAnsi="Calibri" w:cs="Calibri"/>
        </w:rPr>
        <w:t xml:space="preserve"> The Alien Working Act specifies jobs that migrant workers are not allowed to do, only allowing </w:t>
      </w:r>
      <w:r w:rsidR="004059A3">
        <w:rPr>
          <w:rFonts w:ascii="Calibri" w:eastAsia="Calibri" w:hAnsi="Calibri" w:cs="Calibri"/>
        </w:rPr>
        <w:t>them</w:t>
      </w:r>
      <w:r w:rsidRPr="00C1286B">
        <w:rPr>
          <w:rFonts w:ascii="Calibri" w:eastAsia="Calibri" w:hAnsi="Calibri" w:cs="Calibri"/>
        </w:rPr>
        <w:t xml:space="preserve"> to work in unskilled jobs, most generally low paid.</w:t>
      </w:r>
      <w:r w:rsidRPr="00C1286B">
        <w:rPr>
          <w:rFonts w:ascii="Calibri" w:eastAsia="Calibri" w:hAnsi="Calibri" w:cs="Calibri"/>
          <w:vertAlign w:val="superscript"/>
        </w:rPr>
        <w:endnoteReference w:id="25"/>
      </w:r>
      <w:r w:rsidRPr="00C1286B">
        <w:rPr>
          <w:rFonts w:ascii="Calibri" w:eastAsia="Calibri" w:hAnsi="Calibri" w:cs="Calibri"/>
        </w:rPr>
        <w:t xml:space="preserve"> The Act further requires migrants</w:t>
      </w:r>
      <w:r w:rsidRPr="00C1286B">
        <w:rPr>
          <w:rFonts w:ascii="Calibri" w:eastAsia="Calibri" w:hAnsi="Calibri" w:cs="Calibri"/>
          <w:b/>
        </w:rPr>
        <w:t xml:space="preserve"> </w:t>
      </w:r>
      <w:r w:rsidRPr="00C1286B">
        <w:rPr>
          <w:rFonts w:ascii="Calibri" w:eastAsia="Calibri" w:hAnsi="Calibri" w:cs="Calibri"/>
        </w:rPr>
        <w:t>to have a broker in order to gain work or change</w:t>
      </w:r>
      <w:r>
        <w:rPr>
          <w:rFonts w:ascii="Calibri" w:eastAsia="Calibri" w:hAnsi="Calibri" w:cs="Calibri"/>
        </w:rPr>
        <w:t xml:space="preserve"> employment.</w:t>
      </w:r>
      <w:r>
        <w:rPr>
          <w:rFonts w:ascii="Calibri" w:eastAsia="Calibri" w:hAnsi="Calibri" w:cs="Calibri"/>
          <w:vertAlign w:val="superscript"/>
        </w:rPr>
        <w:endnoteReference w:id="26"/>
      </w:r>
      <w:r>
        <w:rPr>
          <w:rFonts w:ascii="Calibri" w:eastAsia="Calibri" w:hAnsi="Calibri" w:cs="Calibri"/>
        </w:rPr>
        <w:t xml:space="preserve"> Migrant workers in the agriculture field are only fully protected under the Labor Protection Act </w:t>
      </w:r>
      <w:r w:rsidR="004059A3">
        <w:rPr>
          <w:rFonts w:ascii="Calibri" w:eastAsia="Calibri" w:hAnsi="Calibri" w:cs="Calibri"/>
        </w:rPr>
        <w:t xml:space="preserve">in specific cases, </w:t>
      </w:r>
      <w:r>
        <w:rPr>
          <w:rFonts w:ascii="Calibri" w:eastAsia="Calibri" w:hAnsi="Calibri" w:cs="Calibri"/>
        </w:rPr>
        <w:t>leading most to be instead covered by scarce protections outlined in the Ministerial Regulation concerning Labor Protection in Agricultural Work.</w:t>
      </w:r>
      <w:r>
        <w:rPr>
          <w:rFonts w:ascii="Calibri" w:eastAsia="Calibri" w:hAnsi="Calibri" w:cs="Calibri"/>
          <w:vertAlign w:val="superscript"/>
        </w:rPr>
        <w:endnoteReference w:id="27"/>
      </w:r>
      <w:r>
        <w:rPr>
          <w:rFonts w:ascii="Calibri" w:eastAsia="Calibri" w:hAnsi="Calibri" w:cs="Calibri"/>
        </w:rPr>
        <w:t xml:space="preserve"> </w:t>
      </w:r>
    </w:p>
    <w:p w14:paraId="47D4AF03" w14:textId="37FA7FB7" w:rsidR="003823DA" w:rsidRPr="00C1286B" w:rsidRDefault="003823DA" w:rsidP="003823DA">
      <w:pPr>
        <w:jc w:val="both"/>
        <w:rPr>
          <w:rFonts w:ascii="Calibri" w:eastAsia="Calibri" w:hAnsi="Calibri" w:cs="Calibri"/>
        </w:rPr>
      </w:pPr>
      <w:r>
        <w:rPr>
          <w:rFonts w:ascii="Calibri" w:eastAsia="Calibri" w:hAnsi="Calibri" w:cs="Calibri"/>
        </w:rPr>
        <w:t xml:space="preserve">While 50 percent of men migrant employees in the agricultural sector were paid less than the minimum wage, this percentage climbs to 65.7 percent for </w:t>
      </w:r>
      <w:r>
        <w:rPr>
          <w:rFonts w:ascii="Calibri" w:eastAsia="Calibri" w:hAnsi="Calibri" w:cs="Calibri"/>
          <w:b/>
        </w:rPr>
        <w:t>women migrant workers,</w:t>
      </w:r>
      <w:r>
        <w:rPr>
          <w:rFonts w:ascii="Calibri" w:eastAsia="Calibri" w:hAnsi="Calibri" w:cs="Calibri"/>
        </w:rPr>
        <w:t xml:space="preserve"> putting them at a stark disadvantage.</w:t>
      </w:r>
      <w:r>
        <w:rPr>
          <w:rFonts w:ascii="Calibri" w:eastAsia="Calibri" w:hAnsi="Calibri" w:cs="Calibri"/>
          <w:vertAlign w:val="superscript"/>
        </w:rPr>
        <w:endnoteReference w:id="28"/>
      </w:r>
      <w:r>
        <w:rPr>
          <w:rFonts w:ascii="Calibri" w:eastAsia="Calibri" w:hAnsi="Calibri" w:cs="Calibri"/>
        </w:rPr>
        <w:t xml:space="preserve"> Many migrant workers and asylum seekers who are undocumented are therefore at risk of being deported if they draw attention to their condition to authorities.</w:t>
      </w:r>
      <w:r>
        <w:rPr>
          <w:rFonts w:ascii="Calibri" w:eastAsia="Calibri" w:hAnsi="Calibri" w:cs="Calibri"/>
          <w:vertAlign w:val="superscript"/>
        </w:rPr>
        <w:endnoteReference w:id="29"/>
      </w:r>
      <w:r>
        <w:rPr>
          <w:rFonts w:ascii="Calibri" w:eastAsia="Calibri" w:hAnsi="Calibri" w:cs="Calibri"/>
        </w:rPr>
        <w:t xml:space="preserve"> As a result, they often have to put up with challenging conditions of work, with little to no bargaining power.</w:t>
      </w:r>
      <w:r>
        <w:rPr>
          <w:rFonts w:ascii="Calibri" w:eastAsia="Calibri" w:hAnsi="Calibri" w:cs="Calibri"/>
          <w:vertAlign w:val="superscript"/>
        </w:rPr>
        <w:endnoteReference w:id="30"/>
      </w:r>
      <w:r>
        <w:rPr>
          <w:rFonts w:ascii="Calibri" w:eastAsia="Calibri" w:hAnsi="Calibri" w:cs="Calibri"/>
        </w:rPr>
        <w:t xml:space="preserve"> Women migrant workers find themselves </w:t>
      </w:r>
      <w:r w:rsidRPr="00C1286B">
        <w:rPr>
          <w:rFonts w:ascii="Calibri" w:eastAsia="Calibri" w:hAnsi="Calibri" w:cs="Calibri"/>
        </w:rPr>
        <w:t>at the intersection of inequalities and discrimination</w:t>
      </w:r>
      <w:r w:rsidR="004059A3">
        <w:rPr>
          <w:rFonts w:ascii="Calibri" w:eastAsia="Calibri" w:hAnsi="Calibri" w:cs="Calibri"/>
        </w:rPr>
        <w:t xml:space="preserve"> and </w:t>
      </w:r>
      <w:r w:rsidRPr="00C1286B">
        <w:rPr>
          <w:rFonts w:ascii="Calibri" w:eastAsia="Calibri" w:hAnsi="Calibri" w:cs="Calibri"/>
        </w:rPr>
        <w:t>are particularly vulnerable to abuse and exploitation.</w:t>
      </w:r>
      <w:r w:rsidRPr="00C1286B">
        <w:rPr>
          <w:rFonts w:ascii="Calibri" w:eastAsia="Calibri" w:hAnsi="Calibri" w:cs="Calibri"/>
          <w:vertAlign w:val="superscript"/>
        </w:rPr>
        <w:endnoteReference w:id="31"/>
      </w:r>
    </w:p>
    <w:p w14:paraId="454AE76C" w14:textId="77777777" w:rsidR="003823DA" w:rsidRDefault="003823DA" w:rsidP="003823DA">
      <w:pPr>
        <w:jc w:val="both"/>
        <w:rPr>
          <w:rFonts w:ascii="Calibri" w:eastAsia="Calibri" w:hAnsi="Calibri" w:cs="Calibri"/>
        </w:rPr>
      </w:pPr>
      <w:r>
        <w:rPr>
          <w:rFonts w:ascii="Calibri" w:eastAsia="Calibri" w:hAnsi="Calibri" w:cs="Calibri"/>
          <w:shd w:val="clear" w:color="auto" w:fill="E6B8AF"/>
        </w:rPr>
        <w:br/>
      </w:r>
      <w:r>
        <w:rPr>
          <w:rFonts w:ascii="Calibri" w:eastAsia="Calibri" w:hAnsi="Calibri" w:cs="Calibri"/>
          <w:b/>
        </w:rPr>
        <w:t>Women in the SBPs</w:t>
      </w:r>
      <w:r>
        <w:rPr>
          <w:rFonts w:ascii="Calibri" w:eastAsia="Calibri" w:hAnsi="Calibri" w:cs="Calibri"/>
        </w:rPr>
        <w:t xml:space="preserve"> only have adequate access to employment or enjoy economic privileges when they are related or married to community leaders. Opportunities in recruitment and training are passed through the bloodline or nepotism.</w:t>
      </w:r>
      <w:r>
        <w:rPr>
          <w:rFonts w:ascii="Calibri" w:eastAsia="Calibri" w:hAnsi="Calibri" w:cs="Calibri"/>
          <w:vertAlign w:val="superscript"/>
        </w:rPr>
        <w:endnoteReference w:id="32"/>
      </w:r>
      <w:r>
        <w:rPr>
          <w:rFonts w:ascii="Calibri" w:eastAsia="Calibri" w:hAnsi="Calibri" w:cs="Calibri"/>
        </w:rPr>
        <w:t xml:space="preserve"> </w:t>
      </w:r>
    </w:p>
    <w:p w14:paraId="659CF233" w14:textId="77777777" w:rsidR="003823DA" w:rsidRDefault="003823DA" w:rsidP="003823DA">
      <w:pPr>
        <w:jc w:val="both"/>
        <w:rPr>
          <w:rFonts w:ascii="Calibri" w:eastAsia="Calibri" w:hAnsi="Calibri" w:cs="Calibri"/>
        </w:rPr>
      </w:pPr>
    </w:p>
    <w:p w14:paraId="510471CE" w14:textId="77777777" w:rsidR="003823DA" w:rsidRDefault="003823DA" w:rsidP="003823DA">
      <w:pPr>
        <w:jc w:val="both"/>
        <w:rPr>
          <w:rFonts w:ascii="Calibri" w:eastAsia="Calibri" w:hAnsi="Calibri" w:cs="Calibri"/>
        </w:rPr>
      </w:pPr>
      <w:r>
        <w:rPr>
          <w:rFonts w:ascii="Calibri" w:eastAsia="Calibri" w:hAnsi="Calibri" w:cs="Calibri"/>
          <w:b/>
        </w:rPr>
        <w:t>Women living with HIV</w:t>
      </w:r>
      <w:r>
        <w:rPr>
          <w:rFonts w:ascii="Calibri" w:eastAsia="Calibri" w:hAnsi="Calibri" w:cs="Calibri"/>
        </w:rPr>
        <w:t xml:space="preserve"> are likewise highly affected, as myths and misconceptions about HIV/AIDS continue to fuel stigma and discrimination in the workplace, which may take the form of employment denial, obligation to undergo HIV screening during the application process and yearly HIV tests, or </w:t>
      </w:r>
      <w:r>
        <w:rPr>
          <w:rFonts w:ascii="Calibri" w:eastAsia="Calibri" w:hAnsi="Calibri" w:cs="Calibri"/>
        </w:rPr>
        <w:lastRenderedPageBreak/>
        <w:t>unjustified termination.</w:t>
      </w:r>
      <w:r>
        <w:rPr>
          <w:rFonts w:ascii="Calibri" w:eastAsia="Calibri" w:hAnsi="Calibri" w:cs="Calibri"/>
          <w:vertAlign w:val="superscript"/>
        </w:rPr>
        <w:endnoteReference w:id="33"/>
      </w:r>
      <w:r>
        <w:rPr>
          <w:rFonts w:ascii="Calibri" w:eastAsia="Calibri" w:hAnsi="Calibri" w:cs="Calibri"/>
        </w:rPr>
        <w:t xml:space="preserve"> </w:t>
      </w:r>
      <w:r>
        <w:rPr>
          <w:rFonts w:ascii="Calibri" w:eastAsia="Calibri" w:hAnsi="Calibri" w:cs="Calibri"/>
          <w:b/>
        </w:rPr>
        <w:t>LGBTIQ+ women</w:t>
      </w:r>
      <w:r>
        <w:rPr>
          <w:rFonts w:ascii="Calibri" w:eastAsia="Calibri" w:hAnsi="Calibri" w:cs="Calibri"/>
        </w:rPr>
        <w:t xml:space="preserve"> are also discriminated against because of their perceived HIV status. </w:t>
      </w:r>
    </w:p>
    <w:p w14:paraId="328EDF87" w14:textId="77777777" w:rsidR="003823DA" w:rsidRDefault="003823DA" w:rsidP="003823DA">
      <w:pPr>
        <w:jc w:val="both"/>
        <w:rPr>
          <w:rFonts w:ascii="Calibri" w:eastAsia="Calibri" w:hAnsi="Calibri" w:cs="Calibri"/>
        </w:rPr>
      </w:pPr>
    </w:p>
    <w:p w14:paraId="2E2202E7" w14:textId="333C258A" w:rsidR="003823DA" w:rsidRDefault="003823DA" w:rsidP="003823DA">
      <w:pPr>
        <w:jc w:val="both"/>
        <w:rPr>
          <w:rFonts w:ascii="Calibri" w:eastAsia="Calibri" w:hAnsi="Calibri" w:cs="Calibri"/>
        </w:rPr>
      </w:pPr>
      <w:r>
        <w:rPr>
          <w:rFonts w:ascii="Calibri" w:eastAsia="Calibri" w:hAnsi="Calibri" w:cs="Calibri"/>
        </w:rPr>
        <w:t xml:space="preserve">Labor rights for </w:t>
      </w:r>
      <w:r>
        <w:rPr>
          <w:rFonts w:ascii="Calibri" w:eastAsia="Calibri" w:hAnsi="Calibri" w:cs="Calibri"/>
          <w:b/>
        </w:rPr>
        <w:t>sex workers</w:t>
      </w:r>
      <w:r>
        <w:rPr>
          <w:rFonts w:ascii="Calibri" w:eastAsia="Calibri" w:hAnsi="Calibri" w:cs="Calibri"/>
        </w:rPr>
        <w:t xml:space="preserve"> is a pipe dream while criminalization exists. Owing to not being recognized as workers, they are not protected by the </w:t>
      </w:r>
      <w:r>
        <w:rPr>
          <w:rFonts w:ascii="Calibri" w:eastAsia="Calibri" w:hAnsi="Calibri" w:cs="Calibri"/>
          <w:color w:val="1D1C1D"/>
        </w:rPr>
        <w:t xml:space="preserve">labor law and are </w:t>
      </w:r>
      <w:r>
        <w:rPr>
          <w:rFonts w:ascii="Calibri" w:eastAsia="Calibri" w:hAnsi="Calibri" w:cs="Calibri"/>
        </w:rPr>
        <w:t>subjected to unfair employment practices and exploitative working conditions.</w:t>
      </w:r>
      <w:r>
        <w:rPr>
          <w:rFonts w:ascii="Calibri" w:eastAsia="Calibri" w:hAnsi="Calibri" w:cs="Calibri"/>
          <w:vertAlign w:val="superscript"/>
        </w:rPr>
        <w:endnoteReference w:id="34"/>
      </w:r>
      <w:r>
        <w:rPr>
          <w:rFonts w:ascii="Calibri" w:eastAsia="Calibri" w:hAnsi="Calibri" w:cs="Calibri"/>
        </w:rPr>
        <w:t xml:space="preserve"> If victim of a crime whilst working, a sex worker may be reluctant to report it. </w:t>
      </w:r>
      <w:r w:rsidR="004059A3">
        <w:rPr>
          <w:rFonts w:ascii="Calibri" w:eastAsia="Calibri" w:hAnsi="Calibri" w:cs="Calibri"/>
        </w:rPr>
        <w:t>S</w:t>
      </w:r>
      <w:r>
        <w:rPr>
          <w:rFonts w:ascii="Calibri" w:eastAsia="Calibri" w:hAnsi="Calibri" w:cs="Calibri"/>
        </w:rPr>
        <w:t>ex workers</w:t>
      </w:r>
      <w:r w:rsidR="004059A3">
        <w:rPr>
          <w:rFonts w:ascii="Calibri" w:eastAsia="Calibri" w:hAnsi="Calibri" w:cs="Calibri"/>
        </w:rPr>
        <w:t xml:space="preserve"> are frequently subjected to</w:t>
      </w:r>
      <w:r>
        <w:rPr>
          <w:rFonts w:ascii="Calibri" w:eastAsia="Calibri" w:hAnsi="Calibri" w:cs="Calibri"/>
        </w:rPr>
        <w:t xml:space="preserve"> police raids, random drug tests, arbitrary arrests, and police extortion to allow them to continue operating, threatening them with legal action if they do not comply and denying them access to fair trials.</w:t>
      </w:r>
      <w:r>
        <w:rPr>
          <w:rFonts w:ascii="Calibri" w:eastAsia="Calibri" w:hAnsi="Calibri" w:cs="Calibri"/>
          <w:vertAlign w:val="superscript"/>
        </w:rPr>
        <w:endnoteReference w:id="35"/>
      </w:r>
    </w:p>
    <w:p w14:paraId="69D62EFB" w14:textId="77777777" w:rsidR="003823DA" w:rsidRDefault="003823DA" w:rsidP="003823DA">
      <w:pPr>
        <w:jc w:val="both"/>
        <w:rPr>
          <w:rFonts w:ascii="Calibri" w:eastAsia="Calibri" w:hAnsi="Calibri" w:cs="Calibri"/>
          <w:highlight w:val="white"/>
        </w:rPr>
      </w:pPr>
    </w:p>
    <w:p w14:paraId="58D555EF" w14:textId="425EADB3" w:rsidR="003823DA" w:rsidRDefault="003823DA" w:rsidP="003823DA">
      <w:pPr>
        <w:jc w:val="both"/>
        <w:rPr>
          <w:rFonts w:ascii="Calibri" w:eastAsia="Calibri" w:hAnsi="Calibri" w:cs="Calibri"/>
          <w:highlight w:val="white"/>
        </w:rPr>
      </w:pPr>
      <w:r>
        <w:rPr>
          <w:rFonts w:ascii="Calibri" w:eastAsia="Calibri" w:hAnsi="Calibri" w:cs="Calibri"/>
          <w:highlight w:val="white"/>
        </w:rPr>
        <w:t xml:space="preserve">Due to their marginalized position in society and resulting invisibility, </w:t>
      </w:r>
      <w:r>
        <w:rPr>
          <w:rFonts w:ascii="Calibri" w:eastAsia="Calibri" w:hAnsi="Calibri" w:cs="Calibri"/>
          <w:b/>
          <w:highlight w:val="white"/>
        </w:rPr>
        <w:t>people with disabilities</w:t>
      </w:r>
      <w:r>
        <w:rPr>
          <w:rFonts w:ascii="Calibri" w:eastAsia="Calibri" w:hAnsi="Calibri" w:cs="Calibri"/>
          <w:highlight w:val="white"/>
        </w:rPr>
        <w:t xml:space="preserve"> do not fully enjoy their human rights, including the right to work. The number of persons with disabilities has increased over the past years; yet, their rights have not been mainstreamed across all sectors to ensure equal employment opportunities. Apart from stereotyped, unskilled, low-paying, and unstable positions, they hardly have any employment opportunities.</w:t>
      </w:r>
      <w:r>
        <w:rPr>
          <w:rFonts w:ascii="Calibri" w:eastAsia="Calibri" w:hAnsi="Calibri" w:cs="Calibri"/>
          <w:highlight w:val="white"/>
          <w:vertAlign w:val="superscript"/>
        </w:rPr>
        <w:endnoteReference w:id="36"/>
      </w:r>
      <w:r>
        <w:rPr>
          <w:rFonts w:ascii="Calibri" w:eastAsia="Calibri" w:hAnsi="Calibri" w:cs="Calibri"/>
          <w:highlight w:val="white"/>
        </w:rPr>
        <w:t xml:space="preserve"> Women with disabilities are often confronted with intersectional discrimination, which in turn creates barriers to employment and development opportunities. In the SPBs, Malay Muslim women with disabilities are particularly affected, suffering from high rates of unemployment.</w:t>
      </w:r>
      <w:r>
        <w:rPr>
          <w:rFonts w:ascii="Calibri" w:eastAsia="Calibri" w:hAnsi="Calibri" w:cs="Calibri"/>
          <w:highlight w:val="white"/>
          <w:vertAlign w:val="superscript"/>
        </w:rPr>
        <w:endnoteReference w:id="37"/>
      </w:r>
    </w:p>
    <w:p w14:paraId="0B4E8A3E" w14:textId="77777777" w:rsidR="003823DA" w:rsidRDefault="003823DA" w:rsidP="003823DA">
      <w:pPr>
        <w:jc w:val="both"/>
        <w:rPr>
          <w:rFonts w:ascii="Calibri" w:eastAsia="Calibri" w:hAnsi="Calibri" w:cs="Calibri"/>
          <w:highlight w:val="white"/>
        </w:rPr>
      </w:pPr>
    </w:p>
    <w:p w14:paraId="5F1A2CE3" w14:textId="362ED3C7" w:rsidR="003823DA" w:rsidRDefault="003823DA" w:rsidP="003823DA">
      <w:pPr>
        <w:jc w:val="both"/>
        <w:rPr>
          <w:rFonts w:ascii="Calibri" w:eastAsia="Calibri" w:hAnsi="Calibri" w:cs="Calibri"/>
        </w:rPr>
      </w:pPr>
      <w:r>
        <w:rPr>
          <w:rFonts w:ascii="Calibri" w:eastAsia="Calibri" w:hAnsi="Calibri" w:cs="Calibri"/>
          <w:b/>
        </w:rPr>
        <w:t>Maternity protection</w:t>
      </w:r>
      <w:r>
        <w:rPr>
          <w:rFonts w:ascii="Calibri" w:eastAsia="Calibri" w:hAnsi="Calibri" w:cs="Calibri"/>
        </w:rPr>
        <w:t xml:space="preserve"> is a premise of the achievement of the principle of equality of opportunities and treatment at work. </w:t>
      </w:r>
      <w:r w:rsidR="004059A3">
        <w:rPr>
          <w:rFonts w:ascii="Calibri" w:eastAsia="Calibri" w:hAnsi="Calibri" w:cs="Calibri"/>
        </w:rPr>
        <w:t>T</w:t>
      </w:r>
      <w:r>
        <w:rPr>
          <w:rFonts w:ascii="Calibri" w:eastAsia="Calibri" w:hAnsi="Calibri" w:cs="Calibri"/>
        </w:rPr>
        <w:t>he 1998 Labor Protection Act</w:t>
      </w:r>
      <w:r w:rsidR="004059A3">
        <w:rPr>
          <w:rFonts w:ascii="Calibri" w:eastAsia="Calibri" w:hAnsi="Calibri" w:cs="Calibri"/>
        </w:rPr>
        <w:t xml:space="preserve"> </w:t>
      </w:r>
      <w:r>
        <w:rPr>
          <w:rFonts w:ascii="Calibri" w:eastAsia="Calibri" w:hAnsi="Calibri" w:cs="Calibri"/>
        </w:rPr>
        <w:t>provides that women are entitled to 98 days of maternity leave</w:t>
      </w:r>
      <w:r>
        <w:rPr>
          <w:rFonts w:ascii="Calibri" w:eastAsia="Calibri" w:hAnsi="Calibri" w:cs="Calibri"/>
          <w:vertAlign w:val="superscript"/>
        </w:rPr>
        <w:endnoteReference w:id="38"/>
      </w:r>
      <w:r>
        <w:rPr>
          <w:rFonts w:ascii="Calibri" w:eastAsia="Calibri" w:hAnsi="Calibri" w:cs="Calibri"/>
        </w:rPr>
        <w:t xml:space="preserve"> and proscribes firing women on the grounds of their pregnancy.</w:t>
      </w:r>
      <w:r>
        <w:rPr>
          <w:rFonts w:ascii="Calibri" w:eastAsia="Calibri" w:hAnsi="Calibri" w:cs="Calibri"/>
          <w:vertAlign w:val="superscript"/>
        </w:rPr>
        <w:endnoteReference w:id="39"/>
      </w:r>
      <w:r>
        <w:rPr>
          <w:rFonts w:ascii="Calibri" w:eastAsia="Calibri" w:hAnsi="Calibri" w:cs="Calibri"/>
        </w:rPr>
        <w:t xml:space="preserve"> However, employers fire pregnant women on “frequent sick/annual leaves” and “decreased efficiency” justifications.</w:t>
      </w:r>
      <w:r>
        <w:rPr>
          <w:rFonts w:ascii="Calibri" w:eastAsia="Calibri" w:hAnsi="Calibri" w:cs="Calibri"/>
          <w:vertAlign w:val="superscript"/>
        </w:rPr>
        <w:endnoteReference w:id="40"/>
      </w:r>
      <w:r>
        <w:rPr>
          <w:rFonts w:ascii="Calibri" w:eastAsia="Calibri" w:hAnsi="Calibri" w:cs="Calibri"/>
        </w:rPr>
        <w:t xml:space="preserve"> Thailand does not have a mandatory parental leave in the private sector, which puts the onus of children’s care on women, further impacting their careers.</w:t>
      </w:r>
      <w:r>
        <w:rPr>
          <w:rFonts w:ascii="Calibri" w:eastAsia="Calibri" w:hAnsi="Calibri" w:cs="Calibri"/>
          <w:vertAlign w:val="superscript"/>
        </w:rPr>
        <w:endnoteReference w:id="41"/>
      </w:r>
      <w:r>
        <w:rPr>
          <w:rFonts w:ascii="Calibri" w:eastAsia="Calibri" w:hAnsi="Calibri" w:cs="Calibri"/>
        </w:rPr>
        <w:t xml:space="preserve"> </w:t>
      </w:r>
    </w:p>
    <w:p w14:paraId="0A38DB6E" w14:textId="77777777" w:rsidR="003823DA" w:rsidRDefault="003823DA" w:rsidP="003823DA">
      <w:pPr>
        <w:jc w:val="both"/>
        <w:rPr>
          <w:rFonts w:ascii="Calibri" w:eastAsia="Calibri" w:hAnsi="Calibri" w:cs="Calibri"/>
          <w:highlight w:val="yellow"/>
        </w:rPr>
      </w:pPr>
    </w:p>
    <w:p w14:paraId="4246D211" w14:textId="77777777" w:rsidR="003823DA" w:rsidRDefault="003823DA" w:rsidP="003823DA">
      <w:pPr>
        <w:jc w:val="both"/>
        <w:rPr>
          <w:rFonts w:ascii="Calibri" w:eastAsia="Calibri" w:hAnsi="Calibri" w:cs="Calibri"/>
        </w:rPr>
      </w:pPr>
      <w:r>
        <w:rPr>
          <w:rFonts w:ascii="Calibri" w:eastAsia="Calibri" w:hAnsi="Calibri" w:cs="Calibri"/>
          <w:b/>
        </w:rPr>
        <w:t>WHRDs and activists</w:t>
      </w:r>
      <w:r>
        <w:rPr>
          <w:rFonts w:ascii="Calibri" w:eastAsia="Calibri" w:hAnsi="Calibri" w:cs="Calibri"/>
        </w:rPr>
        <w:t xml:space="preserve"> face many reprisals because of their activities. A woman reported to have been fired after she and her friend were arrested because of political activism regarding the junta regime or women’s rights.</w:t>
      </w:r>
      <w:r>
        <w:rPr>
          <w:rFonts w:ascii="Calibri" w:eastAsia="Calibri" w:hAnsi="Calibri" w:cs="Calibri"/>
          <w:vertAlign w:val="superscript"/>
        </w:rPr>
        <w:endnoteReference w:id="42"/>
      </w:r>
      <w:r>
        <w:rPr>
          <w:rFonts w:ascii="Calibri" w:eastAsia="Calibri" w:hAnsi="Calibri" w:cs="Calibri"/>
        </w:rPr>
        <w:t xml:space="preserve">  </w:t>
      </w:r>
    </w:p>
    <w:p w14:paraId="31F5BE7A" w14:textId="77777777" w:rsidR="003823DA" w:rsidRDefault="003823DA" w:rsidP="003823DA">
      <w:pPr>
        <w:jc w:val="both"/>
        <w:rPr>
          <w:rFonts w:ascii="Calibri" w:eastAsia="Calibri" w:hAnsi="Calibri" w:cs="Calibri"/>
        </w:rPr>
      </w:pPr>
    </w:p>
    <w:p w14:paraId="46E62986" w14:textId="77777777" w:rsidR="003823DA" w:rsidRDefault="00000000" w:rsidP="003823DA">
      <w:pPr>
        <w:rPr>
          <w:rFonts w:ascii="Calibri" w:eastAsia="Calibri" w:hAnsi="Calibri" w:cs="Calibri"/>
        </w:rPr>
      </w:pPr>
      <w:r>
        <w:rPr>
          <w:noProof/>
        </w:rPr>
        <w:pict w14:anchorId="1C669B37">
          <v:rect id="_x0000_i1029" alt="" style="width:451.3pt;height:.05pt;mso-width-percent:0;mso-height-percent:0;mso-width-percent:0;mso-height-percent:0" o:hralign="center" o:hrstd="t" o:hr="t" fillcolor="#a0a0a0" stroked="f"/>
        </w:pict>
      </w:r>
    </w:p>
    <w:p w14:paraId="06D3CBD8" w14:textId="258179C9" w:rsidR="003823DA" w:rsidRDefault="003823DA" w:rsidP="003823DA">
      <w:pPr>
        <w:pStyle w:val="Heading1"/>
        <w:numPr>
          <w:ilvl w:val="0"/>
          <w:numId w:val="5"/>
        </w:numPr>
        <w:jc w:val="left"/>
      </w:pPr>
      <w:bookmarkStart w:id="1" w:name="_odg34g3db3uv" w:colFirst="0" w:colLast="0"/>
      <w:bookmarkEnd w:id="1"/>
      <w:r>
        <w:t xml:space="preserve">ARTICLE 12: HEALTHCARE AND FAMILY PLANNING  </w:t>
      </w:r>
      <w:r w:rsidR="00000000">
        <w:rPr>
          <w:noProof/>
        </w:rPr>
        <w:pict w14:anchorId="7329ED7C">
          <v:rect id="_x0000_i1030" alt="" style="width:433.25pt;height:.05pt;mso-width-percent:0;mso-height-percent:0;mso-width-percent:0;mso-height-percent:0" o:hrpct="960" o:hralign="center" o:hrstd="t" o:hr="t" fillcolor="#a0a0a0" stroked="f"/>
        </w:pict>
      </w:r>
    </w:p>
    <w:p w14:paraId="063FC449" w14:textId="59C80F87" w:rsidR="003823DA" w:rsidRPr="00C1286B" w:rsidRDefault="003823DA" w:rsidP="003823DA">
      <w:pPr>
        <w:jc w:val="both"/>
        <w:rPr>
          <w:rFonts w:ascii="Calibri" w:eastAsia="Calibri" w:hAnsi="Calibri" w:cs="Calibri"/>
        </w:rPr>
      </w:pPr>
      <w:r>
        <w:rPr>
          <w:rFonts w:ascii="Calibri" w:eastAsia="Calibri" w:hAnsi="Calibri" w:cs="Calibri"/>
        </w:rPr>
        <w:t xml:space="preserve">Access to </w:t>
      </w:r>
      <w:r>
        <w:rPr>
          <w:rFonts w:ascii="Calibri" w:eastAsia="Calibri" w:hAnsi="Calibri" w:cs="Calibri"/>
          <w:b/>
        </w:rPr>
        <w:t>safe and legal abortions</w:t>
      </w:r>
      <w:r>
        <w:rPr>
          <w:rFonts w:ascii="Calibri" w:eastAsia="Calibri" w:hAnsi="Calibri" w:cs="Calibri"/>
        </w:rPr>
        <w:t xml:space="preserve"> is </w:t>
      </w:r>
      <w:r>
        <w:rPr>
          <w:rFonts w:ascii="Calibri" w:eastAsia="Calibri" w:hAnsi="Calibri" w:cs="Calibri"/>
          <w:highlight w:val="white"/>
        </w:rPr>
        <w:t>a human right central to women’s empowerment.</w:t>
      </w:r>
      <w:r>
        <w:rPr>
          <w:rFonts w:ascii="Calibri" w:eastAsia="Calibri" w:hAnsi="Calibri" w:cs="Calibri"/>
          <w:highlight w:val="white"/>
          <w:vertAlign w:val="superscript"/>
        </w:rPr>
        <w:endnoteReference w:id="43"/>
      </w:r>
      <w:r>
        <w:rPr>
          <w:rFonts w:ascii="Calibri" w:eastAsia="Calibri" w:hAnsi="Calibri" w:cs="Calibri"/>
          <w:highlight w:val="white"/>
        </w:rPr>
        <w:t xml:space="preserve"> </w:t>
      </w:r>
      <w:r w:rsidR="004059A3">
        <w:rPr>
          <w:rFonts w:ascii="Calibri" w:eastAsia="Calibri" w:hAnsi="Calibri" w:cs="Calibri"/>
        </w:rPr>
        <w:t xml:space="preserve">On </w:t>
      </w:r>
      <w:r>
        <w:rPr>
          <w:rFonts w:ascii="Calibri" w:eastAsia="Calibri" w:hAnsi="Calibri" w:cs="Calibri"/>
        </w:rPr>
        <w:t>27 September 2022, Thailand legalized a</w:t>
      </w:r>
      <w:r w:rsidRPr="00C1286B">
        <w:rPr>
          <w:rFonts w:ascii="Calibri" w:eastAsia="Calibri" w:hAnsi="Calibri" w:cs="Calibri"/>
        </w:rPr>
        <w:t>bortion for women who are up to 20 weeks pregnant, granted they consult with their doctors.</w:t>
      </w:r>
      <w:r w:rsidRPr="00C1286B">
        <w:rPr>
          <w:rFonts w:ascii="Calibri" w:eastAsia="Calibri" w:hAnsi="Calibri" w:cs="Calibri"/>
          <w:vertAlign w:val="superscript"/>
        </w:rPr>
        <w:endnoteReference w:id="44"/>
      </w:r>
      <w:r w:rsidRPr="00C1286B">
        <w:rPr>
          <w:rFonts w:ascii="Calibri" w:eastAsia="Calibri" w:hAnsi="Calibri" w:cs="Calibri"/>
        </w:rPr>
        <w:t xml:space="preserve"> Preceding this, abortion was legal up until the 12th week of pregnancy.</w:t>
      </w:r>
      <w:r w:rsidRPr="00C1286B">
        <w:rPr>
          <w:rFonts w:ascii="Calibri" w:eastAsia="Calibri" w:hAnsi="Calibri" w:cs="Calibri"/>
          <w:vertAlign w:val="superscript"/>
        </w:rPr>
        <w:endnoteReference w:id="45"/>
      </w:r>
      <w:r w:rsidRPr="00C1286B">
        <w:rPr>
          <w:rFonts w:ascii="Calibri" w:eastAsia="Calibri" w:hAnsi="Calibri" w:cs="Calibri"/>
        </w:rPr>
        <w:t xml:space="preserve"> There are different</w:t>
      </w:r>
      <w:r w:rsidRPr="00C1286B">
        <w:rPr>
          <w:rFonts w:ascii="Calibri" w:eastAsia="Calibri" w:hAnsi="Calibri" w:cs="Calibri"/>
          <w:b/>
        </w:rPr>
        <w:t xml:space="preserve"> </w:t>
      </w:r>
      <w:r w:rsidRPr="00C1286B">
        <w:rPr>
          <w:rFonts w:ascii="Calibri" w:eastAsia="Calibri" w:hAnsi="Calibri" w:cs="Calibri"/>
        </w:rPr>
        <w:t xml:space="preserve">channels to access legal abortions in Thailand, the main one being the 1663 hotline, which offers consultation and referral services on pregnancy alternatives every day from 9 am to 9 pm. There are other care providers such as, Government-run One Stop Crisis Centers and civil society organizations like </w:t>
      </w:r>
      <w:proofErr w:type="spellStart"/>
      <w:r w:rsidRPr="00C1286B">
        <w:rPr>
          <w:rFonts w:ascii="Calibri" w:eastAsia="Calibri" w:hAnsi="Calibri" w:cs="Calibri"/>
        </w:rPr>
        <w:t>Tamtang</w:t>
      </w:r>
      <w:proofErr w:type="spellEnd"/>
      <w:r w:rsidRPr="00C1286B">
        <w:rPr>
          <w:rFonts w:ascii="Calibri" w:eastAsia="Calibri" w:hAnsi="Calibri" w:cs="Calibri"/>
        </w:rPr>
        <w:t>, RSA, and Choices Network Thailand, which provide support for safe abortions.</w:t>
      </w:r>
      <w:r w:rsidRPr="00C1286B">
        <w:rPr>
          <w:rFonts w:ascii="Calibri" w:eastAsia="Calibri" w:hAnsi="Calibri" w:cs="Calibri"/>
          <w:vertAlign w:val="superscript"/>
        </w:rPr>
        <w:endnoteReference w:id="46"/>
      </w:r>
      <w:r w:rsidRPr="00C1286B">
        <w:rPr>
          <w:rFonts w:ascii="Calibri" w:eastAsia="Calibri" w:hAnsi="Calibri" w:cs="Calibri"/>
        </w:rPr>
        <w:t xml:space="preserve"> </w:t>
      </w:r>
    </w:p>
    <w:p w14:paraId="5759DB71" w14:textId="77777777" w:rsidR="003823DA" w:rsidRPr="00C1286B" w:rsidRDefault="003823DA" w:rsidP="003823DA">
      <w:pPr>
        <w:jc w:val="both"/>
        <w:rPr>
          <w:rFonts w:ascii="Calibri" w:eastAsia="Calibri" w:hAnsi="Calibri" w:cs="Calibri"/>
          <w:shd w:val="clear" w:color="auto" w:fill="D9EAD3"/>
        </w:rPr>
      </w:pPr>
    </w:p>
    <w:p w14:paraId="2D445D5C" w14:textId="6B08A0AE" w:rsidR="003823DA" w:rsidRDefault="003823DA" w:rsidP="003823DA">
      <w:pPr>
        <w:jc w:val="both"/>
        <w:rPr>
          <w:rFonts w:ascii="Calibri" w:eastAsia="Calibri" w:hAnsi="Calibri" w:cs="Calibri"/>
        </w:rPr>
      </w:pPr>
      <w:r w:rsidRPr="00C1286B">
        <w:rPr>
          <w:rFonts w:ascii="Calibri" w:eastAsia="Calibri" w:hAnsi="Calibri" w:cs="Calibri"/>
        </w:rPr>
        <w:t>However, lack of dissemination of information to the general public impedes access to safe abortions.</w:t>
      </w:r>
      <w:r w:rsidRPr="00C1286B">
        <w:rPr>
          <w:rFonts w:ascii="Calibri" w:eastAsia="Calibri" w:hAnsi="Calibri" w:cs="Calibri"/>
          <w:vertAlign w:val="superscript"/>
        </w:rPr>
        <w:endnoteReference w:id="47"/>
      </w:r>
      <w:r w:rsidRPr="00C1286B">
        <w:rPr>
          <w:rFonts w:ascii="Calibri" w:eastAsia="Calibri" w:hAnsi="Calibri" w:cs="Calibri"/>
        </w:rPr>
        <w:t xml:space="preserve"> Moreover, abortion remains a ‘taboo’ subject due to strong social and religious stigma, coupled with the</w:t>
      </w:r>
      <w:r w:rsidRPr="00C1286B">
        <w:rPr>
          <w:rFonts w:ascii="Calibri" w:eastAsia="Calibri" w:hAnsi="Calibri" w:cs="Calibri"/>
          <w:b/>
        </w:rPr>
        <w:t xml:space="preserve"> </w:t>
      </w:r>
      <w:r w:rsidRPr="00C1286B">
        <w:rPr>
          <w:rFonts w:ascii="Calibri" w:eastAsia="Calibri" w:hAnsi="Calibri" w:cs="Calibri"/>
        </w:rPr>
        <w:t>lack of availability, accessibility and affordability of abortion facilities.</w:t>
      </w:r>
      <w:r w:rsidRPr="00C1286B">
        <w:rPr>
          <w:rFonts w:ascii="Calibri" w:eastAsia="Calibri" w:hAnsi="Calibri" w:cs="Calibri"/>
          <w:vertAlign w:val="superscript"/>
        </w:rPr>
        <w:endnoteReference w:id="48"/>
      </w:r>
      <w:r w:rsidRPr="00C1286B">
        <w:rPr>
          <w:rFonts w:ascii="Calibri" w:eastAsia="Calibri" w:hAnsi="Calibri" w:cs="Calibri"/>
        </w:rPr>
        <w:t xml:space="preserve"> </w:t>
      </w:r>
      <w:r w:rsidRPr="00C1286B">
        <w:rPr>
          <w:rFonts w:ascii="Calibri" w:eastAsia="Calibri" w:hAnsi="Calibri" w:cs="Calibri"/>
          <w:b/>
        </w:rPr>
        <w:t xml:space="preserve">Women </w:t>
      </w:r>
      <w:r w:rsidRPr="00C1286B">
        <w:rPr>
          <w:rFonts w:ascii="Calibri" w:eastAsia="Calibri" w:hAnsi="Calibri" w:cs="Calibri"/>
          <w:b/>
        </w:rPr>
        <w:lastRenderedPageBreak/>
        <w:t>belonging to marginalized groups</w:t>
      </w:r>
      <w:r w:rsidRPr="00C1286B">
        <w:rPr>
          <w:rFonts w:ascii="Calibri" w:eastAsia="Calibri" w:hAnsi="Calibri" w:cs="Calibri"/>
        </w:rPr>
        <w:t xml:space="preserve"> still continue to lack access to health, safe and effective family planning methods, made worse by the pandemic.</w:t>
      </w:r>
      <w:r w:rsidRPr="00C1286B">
        <w:rPr>
          <w:rFonts w:ascii="Calibri" w:eastAsia="Calibri" w:hAnsi="Calibri" w:cs="Calibri"/>
          <w:vertAlign w:val="superscript"/>
        </w:rPr>
        <w:endnoteReference w:id="49"/>
      </w:r>
      <w:r w:rsidRPr="00C1286B">
        <w:rPr>
          <w:rFonts w:ascii="Calibri" w:eastAsia="Calibri" w:hAnsi="Calibri" w:cs="Calibri"/>
        </w:rPr>
        <w:t xml:space="preserve"> Some RSA volunteer doctors have used up a remote online system to deliver abortion pills and provide advices for self-management and medication, with satisfactory results.</w:t>
      </w:r>
      <w:r w:rsidRPr="00C1286B">
        <w:rPr>
          <w:rFonts w:ascii="Calibri" w:eastAsia="Calibri" w:hAnsi="Calibri" w:cs="Calibri"/>
          <w:vertAlign w:val="superscript"/>
        </w:rPr>
        <w:endnoteReference w:id="50"/>
      </w:r>
      <w:r w:rsidRPr="00C1286B">
        <w:rPr>
          <w:rFonts w:ascii="Calibri" w:eastAsia="Calibri" w:hAnsi="Calibri" w:cs="Calibri"/>
        </w:rPr>
        <w:t xml:space="preserve"> </w:t>
      </w:r>
    </w:p>
    <w:p w14:paraId="32BE6E0F" w14:textId="77777777" w:rsidR="003823DA" w:rsidRDefault="003823DA" w:rsidP="003823DA">
      <w:pPr>
        <w:jc w:val="both"/>
        <w:rPr>
          <w:rFonts w:ascii="Calibri" w:eastAsia="Calibri" w:hAnsi="Calibri" w:cs="Calibri"/>
        </w:rPr>
      </w:pPr>
    </w:p>
    <w:p w14:paraId="4E9114E8" w14:textId="0C820135" w:rsidR="003823DA" w:rsidRDefault="003823DA" w:rsidP="003823DA">
      <w:pPr>
        <w:jc w:val="both"/>
        <w:rPr>
          <w:rFonts w:ascii="Calibri" w:eastAsia="Calibri" w:hAnsi="Calibri" w:cs="Calibri"/>
        </w:rPr>
      </w:pPr>
      <w:r>
        <w:rPr>
          <w:rFonts w:ascii="Calibri" w:eastAsia="Calibri" w:hAnsi="Calibri" w:cs="Calibri"/>
        </w:rPr>
        <w:t>Indigenous peoples face geographic and socio-economic challenges in accessing healthcare services,</w:t>
      </w:r>
      <w:r>
        <w:rPr>
          <w:rFonts w:ascii="Calibri" w:eastAsia="Calibri" w:hAnsi="Calibri" w:cs="Calibri"/>
          <w:vertAlign w:val="superscript"/>
        </w:rPr>
        <w:endnoteReference w:id="51"/>
      </w:r>
      <w:r>
        <w:rPr>
          <w:rFonts w:ascii="Calibri" w:eastAsia="Calibri" w:hAnsi="Calibri" w:cs="Calibri"/>
        </w:rPr>
        <w:t xml:space="preserve"> linked, in part, to the lack of legal status.</w:t>
      </w:r>
      <w:r>
        <w:rPr>
          <w:rFonts w:ascii="Calibri" w:eastAsia="Calibri" w:hAnsi="Calibri" w:cs="Calibri"/>
          <w:color w:val="1D1C1D"/>
          <w:vertAlign w:val="superscript"/>
        </w:rPr>
        <w:endnoteReference w:id="52"/>
      </w:r>
      <w:r>
        <w:rPr>
          <w:rFonts w:ascii="Calibri" w:eastAsia="Calibri" w:hAnsi="Calibri" w:cs="Calibri"/>
        </w:rPr>
        <w:t xml:space="preserve"> </w:t>
      </w:r>
      <w:r w:rsidR="00476C71">
        <w:rPr>
          <w:rFonts w:ascii="Calibri" w:eastAsia="Calibri" w:hAnsi="Calibri" w:cs="Calibri"/>
          <w:b/>
        </w:rPr>
        <w:t>For I</w:t>
      </w:r>
      <w:r>
        <w:rPr>
          <w:rFonts w:ascii="Calibri" w:eastAsia="Calibri" w:hAnsi="Calibri" w:cs="Calibri"/>
          <w:b/>
        </w:rPr>
        <w:t>ndigenous women</w:t>
      </w:r>
      <w:r w:rsidR="00476C71">
        <w:rPr>
          <w:rFonts w:ascii="Calibri" w:eastAsia="Calibri" w:hAnsi="Calibri" w:cs="Calibri"/>
        </w:rPr>
        <w:t xml:space="preserve">, </w:t>
      </w:r>
      <w:r>
        <w:rPr>
          <w:rFonts w:ascii="Calibri" w:eastAsia="Calibri" w:hAnsi="Calibri" w:cs="Calibri"/>
        </w:rPr>
        <w:t>access to healthcare is particularly challenging owing to their specific needs for sexual and reproductive healthcare services,</w:t>
      </w:r>
      <w:r>
        <w:rPr>
          <w:rFonts w:ascii="Calibri" w:eastAsia="Calibri" w:hAnsi="Calibri" w:cs="Calibri"/>
          <w:vertAlign w:val="superscript"/>
        </w:rPr>
        <w:endnoteReference w:id="53"/>
      </w:r>
      <w:r>
        <w:rPr>
          <w:rFonts w:ascii="Calibri" w:eastAsia="Calibri" w:hAnsi="Calibri" w:cs="Calibri"/>
        </w:rPr>
        <w:t xml:space="preserve"> overlooked in the national health policies. Hospitals do not offer specialized services for indigenous women. Indigenous midwives are not permitted to enter the delivery rooms. Due to travel restrictions and viewing it as non-essential, indigenous women were deprived of access to sexual and reproductive healthcare services during the pandemic.</w:t>
      </w:r>
      <w:r>
        <w:rPr>
          <w:rFonts w:ascii="Calibri" w:eastAsia="Calibri" w:hAnsi="Calibri" w:cs="Calibri"/>
          <w:vertAlign w:val="superscript"/>
        </w:rPr>
        <w:endnoteReference w:id="54"/>
      </w:r>
      <w:r>
        <w:rPr>
          <w:rFonts w:ascii="Calibri" w:eastAsia="Calibri" w:hAnsi="Calibri" w:cs="Calibri"/>
        </w:rPr>
        <w:t xml:space="preserve"> The difficulty is worse for </w:t>
      </w:r>
      <w:r>
        <w:rPr>
          <w:rFonts w:ascii="Calibri" w:eastAsia="Calibri" w:hAnsi="Calibri" w:cs="Calibri"/>
          <w:b/>
        </w:rPr>
        <w:t>Indigenous women with HIV</w:t>
      </w:r>
      <w:r>
        <w:rPr>
          <w:rFonts w:ascii="Calibri" w:eastAsia="Calibri" w:hAnsi="Calibri" w:cs="Calibri"/>
        </w:rPr>
        <w:t xml:space="preserve"> because they frequently lack options and a support structure, should they decide to carry a pregnancy to term or terminate it. They are either not provided with information or the information provided is not tailored to their social and cultural context. </w:t>
      </w:r>
    </w:p>
    <w:p w14:paraId="2EDBF1DB" w14:textId="77777777" w:rsidR="003823DA" w:rsidRDefault="003823DA" w:rsidP="003823DA">
      <w:pPr>
        <w:jc w:val="both"/>
        <w:rPr>
          <w:rFonts w:ascii="Calibri" w:eastAsia="Calibri" w:hAnsi="Calibri" w:cs="Calibri"/>
        </w:rPr>
      </w:pPr>
    </w:p>
    <w:p w14:paraId="46DA35C6" w14:textId="0E740D3D" w:rsidR="003823DA" w:rsidRDefault="003823DA" w:rsidP="003823DA">
      <w:pPr>
        <w:jc w:val="both"/>
        <w:rPr>
          <w:rFonts w:ascii="Calibri" w:eastAsia="Calibri" w:hAnsi="Calibri" w:cs="Calibri"/>
        </w:rPr>
      </w:pPr>
      <w:r>
        <w:rPr>
          <w:rFonts w:ascii="Calibri" w:eastAsia="Calibri" w:hAnsi="Calibri" w:cs="Calibri"/>
          <w:b/>
        </w:rPr>
        <w:t xml:space="preserve">Ethnic women in remote areas </w:t>
      </w:r>
      <w:r>
        <w:rPr>
          <w:rFonts w:ascii="Calibri" w:eastAsia="Calibri" w:hAnsi="Calibri" w:cs="Calibri"/>
        </w:rPr>
        <w:t>are struggling to access quality healthcare due to the distance between their residence and hospitals with adequate equipment. Ethnic women who refuse to be transferred also end up dying. Healthcare providers are generally not trained in the cultures or customs of ethnic and tribal women, which result in impediments in providing cervix cancer screenings and other invasive procedures.</w:t>
      </w:r>
      <w:r>
        <w:rPr>
          <w:rFonts w:ascii="Calibri" w:eastAsia="Calibri" w:hAnsi="Calibri" w:cs="Calibri"/>
          <w:vertAlign w:val="superscript"/>
        </w:rPr>
        <w:endnoteReference w:id="55"/>
      </w:r>
    </w:p>
    <w:p w14:paraId="3C4DD741" w14:textId="77777777" w:rsidR="003823DA" w:rsidRDefault="003823DA" w:rsidP="003823DA">
      <w:pPr>
        <w:jc w:val="both"/>
        <w:rPr>
          <w:rFonts w:ascii="Calibri" w:eastAsia="Calibri" w:hAnsi="Calibri" w:cs="Calibri"/>
        </w:rPr>
      </w:pPr>
    </w:p>
    <w:p w14:paraId="1147A8CA" w14:textId="77777777" w:rsidR="003823DA" w:rsidRDefault="003823DA" w:rsidP="003823DA">
      <w:pPr>
        <w:jc w:val="both"/>
        <w:rPr>
          <w:rFonts w:ascii="Calibri" w:eastAsia="Calibri" w:hAnsi="Calibri" w:cs="Calibri"/>
        </w:rPr>
      </w:pPr>
      <w:r>
        <w:rPr>
          <w:rFonts w:ascii="Calibri" w:eastAsia="Calibri" w:hAnsi="Calibri" w:cs="Calibri"/>
          <w:b/>
        </w:rPr>
        <w:t>Women living with HIV</w:t>
      </w:r>
      <w:r>
        <w:rPr>
          <w:rFonts w:ascii="Calibri" w:eastAsia="Calibri" w:hAnsi="Calibri" w:cs="Calibri"/>
        </w:rPr>
        <w:t xml:space="preserve"> struggle to access healthcare services because they lack information and fear discrimination. ​​Pregnant women are routinely counseled and tested for HIV as part of Thailand's national effort to prevent mother-to-child HIV transmission. They are often uninformed of their right to reject the testing and, in instances, HIV+ women are forced to sign a sterilization agreement form in exchange for medical care,</w:t>
      </w:r>
      <w:r>
        <w:rPr>
          <w:rFonts w:ascii="Calibri" w:eastAsia="Calibri" w:hAnsi="Calibri" w:cs="Calibri"/>
          <w:vertAlign w:val="superscript"/>
        </w:rPr>
        <w:endnoteReference w:id="56"/>
      </w:r>
      <w:r>
        <w:rPr>
          <w:rFonts w:ascii="Calibri" w:eastAsia="Calibri" w:hAnsi="Calibri" w:cs="Calibri"/>
        </w:rPr>
        <w:t xml:space="preserve"> a practice considered an act of torture.</w:t>
      </w:r>
      <w:r>
        <w:rPr>
          <w:rFonts w:ascii="Calibri" w:eastAsia="Calibri" w:hAnsi="Calibri" w:cs="Calibri"/>
          <w:vertAlign w:val="superscript"/>
        </w:rPr>
        <w:endnoteReference w:id="57"/>
      </w:r>
      <w:r>
        <w:rPr>
          <w:rFonts w:ascii="Calibri" w:eastAsia="Calibri" w:hAnsi="Calibri" w:cs="Calibri"/>
        </w:rPr>
        <w:t xml:space="preserve"> Women often contract HIV from their husbands, although precise statistics on this do not exist. In addition, young girls with the condition rarely report themselves due to fear of being shamed for engaging in nonmarital sex.</w:t>
      </w:r>
      <w:r>
        <w:rPr>
          <w:rFonts w:ascii="Calibri" w:eastAsia="Calibri" w:hAnsi="Calibri" w:cs="Calibri"/>
          <w:vertAlign w:val="superscript"/>
        </w:rPr>
        <w:endnoteReference w:id="58"/>
      </w:r>
      <w:r>
        <w:rPr>
          <w:rFonts w:ascii="Calibri" w:eastAsia="Calibri" w:hAnsi="Calibri" w:cs="Calibri"/>
        </w:rPr>
        <w:t xml:space="preserve"> Sex workers, with a risk exposure to HIV, are not able to access healthcare and social services due to stigma, discrimination and fear of criminalization.</w:t>
      </w:r>
    </w:p>
    <w:p w14:paraId="05230E80" w14:textId="77777777" w:rsidR="003823DA" w:rsidRDefault="003823DA" w:rsidP="003823DA">
      <w:pPr>
        <w:jc w:val="both"/>
        <w:rPr>
          <w:rFonts w:ascii="Calibri" w:eastAsia="Calibri" w:hAnsi="Calibri" w:cs="Calibri"/>
        </w:rPr>
      </w:pPr>
    </w:p>
    <w:p w14:paraId="2CEFF20F" w14:textId="77777777" w:rsidR="003823DA" w:rsidRDefault="003823DA" w:rsidP="003823DA">
      <w:pPr>
        <w:jc w:val="both"/>
        <w:rPr>
          <w:rFonts w:ascii="Calibri" w:eastAsia="Calibri" w:hAnsi="Calibri" w:cs="Calibri"/>
        </w:rPr>
      </w:pPr>
      <w:r>
        <w:rPr>
          <w:rFonts w:ascii="Calibri" w:eastAsia="Calibri" w:hAnsi="Calibri" w:cs="Calibri"/>
        </w:rPr>
        <w:t xml:space="preserve">In the SPBs, </w:t>
      </w:r>
      <w:r>
        <w:rPr>
          <w:rFonts w:ascii="Calibri" w:eastAsia="Calibri" w:hAnsi="Calibri" w:cs="Calibri"/>
          <w:b/>
        </w:rPr>
        <w:t>unwanted pregnancy and teenage pregnancy</w:t>
      </w:r>
      <w:r>
        <w:rPr>
          <w:rFonts w:ascii="Calibri" w:eastAsia="Calibri" w:hAnsi="Calibri" w:cs="Calibri"/>
        </w:rPr>
        <w:t xml:space="preserve"> are major issues, for reasons ranging from lack of information or services to religious code and lack of support from their partners or communities. In addition, despite the spread of HIV/AIDS in the region, women frequently decline to undergo a screening for sexually transmitted infections out of concern that it violates their religious beliefs since doctors are primarily men. Further endangering their health is the fact that </w:t>
      </w:r>
      <w:r>
        <w:rPr>
          <w:rFonts w:ascii="Calibri" w:eastAsia="Calibri" w:hAnsi="Calibri" w:cs="Calibri"/>
          <w:b/>
        </w:rPr>
        <w:t>Malay Muslim</w:t>
      </w:r>
      <w:r>
        <w:rPr>
          <w:rFonts w:ascii="Calibri" w:eastAsia="Calibri" w:hAnsi="Calibri" w:cs="Calibri"/>
        </w:rPr>
        <w:t xml:space="preserve"> girls continue to undergo genital circumcision.</w:t>
      </w:r>
      <w:r>
        <w:rPr>
          <w:rFonts w:ascii="Calibri" w:eastAsia="Calibri" w:hAnsi="Calibri" w:cs="Calibri"/>
          <w:vertAlign w:val="superscript"/>
        </w:rPr>
        <w:endnoteReference w:id="59"/>
      </w:r>
      <w:r>
        <w:rPr>
          <w:rFonts w:ascii="Calibri" w:eastAsia="Calibri" w:hAnsi="Calibri" w:cs="Calibri"/>
        </w:rPr>
        <w:t xml:space="preserve"> </w:t>
      </w:r>
    </w:p>
    <w:p w14:paraId="0C25EDB6" w14:textId="77777777" w:rsidR="003823DA" w:rsidRDefault="003823DA" w:rsidP="003823DA">
      <w:pPr>
        <w:jc w:val="both"/>
        <w:rPr>
          <w:rFonts w:ascii="Calibri" w:eastAsia="Calibri" w:hAnsi="Calibri" w:cs="Calibri"/>
        </w:rPr>
      </w:pPr>
    </w:p>
    <w:p w14:paraId="261D24CD" w14:textId="680CE503" w:rsidR="003823DA" w:rsidRDefault="003823DA" w:rsidP="003823DA">
      <w:pPr>
        <w:jc w:val="both"/>
        <w:rPr>
          <w:rFonts w:ascii="Calibri" w:eastAsia="Calibri" w:hAnsi="Calibri" w:cs="Calibri"/>
        </w:rPr>
      </w:pPr>
      <w:r>
        <w:rPr>
          <w:rFonts w:ascii="Calibri" w:eastAsia="Calibri" w:hAnsi="Calibri" w:cs="Calibri"/>
        </w:rPr>
        <w:t xml:space="preserve">For </w:t>
      </w:r>
      <w:r>
        <w:rPr>
          <w:rFonts w:ascii="Calibri" w:eastAsia="Calibri" w:hAnsi="Calibri" w:cs="Calibri"/>
          <w:b/>
        </w:rPr>
        <w:t>migrant, refugee and asylum-seeking women</w:t>
      </w:r>
      <w:r>
        <w:rPr>
          <w:rFonts w:ascii="Calibri" w:eastAsia="Calibri" w:hAnsi="Calibri" w:cs="Calibri"/>
        </w:rPr>
        <w:t>, access to healthcare is minimal or non-existent, due to legal, social and financial barriers.</w:t>
      </w:r>
      <w:r>
        <w:rPr>
          <w:rFonts w:ascii="Calibri" w:eastAsia="Calibri" w:hAnsi="Calibri" w:cs="Calibri"/>
          <w:vertAlign w:val="superscript"/>
        </w:rPr>
        <w:endnoteReference w:id="60"/>
      </w:r>
      <w:r>
        <w:rPr>
          <w:rFonts w:ascii="Calibri" w:eastAsia="Calibri" w:hAnsi="Calibri" w:cs="Calibri"/>
        </w:rPr>
        <w:t xml:space="preserve"> Migrants only pay for a Health Insurance Card that allows them to register for or extend their work permit. Because of discrimination by hospital staff, they usually do not access healthcare services and choose to go to pharmacies instead. In hospitals, migrants are assigned to sit apart from Thai patients, and only after all the Thai patients have been served do migrants are attended. Moreover, migrant women have very poor access to reproductive </w:t>
      </w:r>
      <w:r>
        <w:rPr>
          <w:rFonts w:ascii="Calibri" w:eastAsia="Calibri" w:hAnsi="Calibri" w:cs="Calibri"/>
        </w:rPr>
        <w:lastRenderedPageBreak/>
        <w:t xml:space="preserve">health; oftentimes, abortion and birth control are viewed as a sin and birth control alone can even be considered murder. </w:t>
      </w:r>
      <w:r>
        <w:rPr>
          <w:rFonts w:ascii="Calibri" w:eastAsia="Calibri" w:hAnsi="Calibri" w:cs="Calibri"/>
          <w:vertAlign w:val="superscript"/>
        </w:rPr>
        <w:endnoteReference w:id="61"/>
      </w:r>
      <w:r>
        <w:rPr>
          <w:rFonts w:ascii="Calibri" w:eastAsia="Calibri" w:hAnsi="Calibri" w:cs="Calibri"/>
        </w:rPr>
        <w:t xml:space="preserve"> During the pandemic, migrant women in irregular status were less likely to get access to COVID-19 treatment due to fear of deportation along with the stigma and xenophobia among health professionals that may report them.</w:t>
      </w:r>
      <w:r>
        <w:rPr>
          <w:rFonts w:ascii="Calibri" w:eastAsia="Calibri" w:hAnsi="Calibri" w:cs="Calibri"/>
          <w:vertAlign w:val="superscript"/>
        </w:rPr>
        <w:endnoteReference w:id="62"/>
      </w:r>
      <w:r>
        <w:rPr>
          <w:rFonts w:ascii="Calibri" w:eastAsia="Calibri" w:hAnsi="Calibri" w:cs="Calibri"/>
        </w:rPr>
        <w:t xml:space="preserve"> </w:t>
      </w:r>
    </w:p>
    <w:p w14:paraId="51BAA5B7" w14:textId="77777777" w:rsidR="00FC3074" w:rsidRDefault="00FC3074" w:rsidP="003823DA">
      <w:pPr>
        <w:jc w:val="both"/>
        <w:rPr>
          <w:rFonts w:ascii="Calibri" w:eastAsia="Calibri" w:hAnsi="Calibri" w:cs="Calibri"/>
        </w:rPr>
      </w:pPr>
    </w:p>
    <w:p w14:paraId="4719A377" w14:textId="77777777" w:rsidR="003823DA" w:rsidRDefault="003823DA" w:rsidP="003823DA">
      <w:pPr>
        <w:jc w:val="both"/>
        <w:rPr>
          <w:rFonts w:ascii="Calibri" w:eastAsia="Calibri" w:hAnsi="Calibri" w:cs="Calibri"/>
        </w:rPr>
      </w:pPr>
      <w:r>
        <w:rPr>
          <w:rFonts w:ascii="Calibri" w:eastAsia="Calibri" w:hAnsi="Calibri" w:cs="Calibri"/>
          <w:b/>
        </w:rPr>
        <w:t>Informal women workers</w:t>
      </w:r>
      <w:r>
        <w:rPr>
          <w:rFonts w:ascii="Calibri" w:eastAsia="Calibri" w:hAnsi="Calibri" w:cs="Calibri"/>
        </w:rPr>
        <w:t xml:space="preserve"> likewise experience difficulties accessing healthcare. Lacking social security, they are unable to receive maternity benefits. After giving birth, they have no choice but return to work, and, on many occasions, they take the children at work with them, being the primary caretakers. Informal women workers struggle to support their families because of their low pay and are unable to provide for their children; many of them work in the street selling flowers or performing similar jobs.</w:t>
      </w:r>
      <w:r>
        <w:rPr>
          <w:rFonts w:ascii="Calibri" w:eastAsia="Calibri" w:hAnsi="Calibri" w:cs="Calibri"/>
          <w:vertAlign w:val="superscript"/>
        </w:rPr>
        <w:endnoteReference w:id="63"/>
      </w:r>
    </w:p>
    <w:p w14:paraId="3DA0E1A6" w14:textId="77777777" w:rsidR="003823DA" w:rsidRDefault="003823DA" w:rsidP="003823DA">
      <w:pPr>
        <w:jc w:val="both"/>
        <w:rPr>
          <w:rFonts w:ascii="Calibri" w:eastAsia="Calibri" w:hAnsi="Calibri" w:cs="Calibri"/>
        </w:rPr>
      </w:pPr>
      <w:r>
        <w:rPr>
          <w:rFonts w:ascii="Calibri" w:eastAsia="Calibri" w:hAnsi="Calibri" w:cs="Calibri"/>
        </w:rPr>
        <w:br/>
      </w:r>
      <w:r>
        <w:rPr>
          <w:rFonts w:ascii="Calibri" w:eastAsia="Calibri" w:hAnsi="Calibri" w:cs="Calibri"/>
          <w:highlight w:val="white"/>
        </w:rPr>
        <w:t xml:space="preserve">In </w:t>
      </w:r>
      <w:r>
        <w:rPr>
          <w:rFonts w:ascii="Calibri" w:eastAsia="Calibri" w:hAnsi="Calibri" w:cs="Calibri"/>
          <w:b/>
          <w:highlight w:val="white"/>
        </w:rPr>
        <w:t>rural areas where mining projects are undergoing</w:t>
      </w:r>
      <w:r>
        <w:rPr>
          <w:rFonts w:ascii="Calibri" w:eastAsia="Calibri" w:hAnsi="Calibri" w:cs="Calibri"/>
          <w:highlight w:val="white"/>
        </w:rPr>
        <w:t>, WHRDs reported being denied access to healthcare by local workers, who are worried that if they offer help or associate with anti-mine groups, they will be shunned or relocated. Local healthcare officials receive financial support from pro-mine groups or governments.</w:t>
      </w:r>
      <w:r>
        <w:rPr>
          <w:rFonts w:ascii="Calibri" w:eastAsia="Calibri" w:hAnsi="Calibri" w:cs="Calibri"/>
          <w:highlight w:val="white"/>
          <w:vertAlign w:val="superscript"/>
        </w:rPr>
        <w:endnoteReference w:id="64"/>
      </w:r>
    </w:p>
    <w:p w14:paraId="5FFD79D7" w14:textId="77777777" w:rsidR="003823DA" w:rsidRDefault="003823DA" w:rsidP="003823DA">
      <w:pPr>
        <w:jc w:val="both"/>
        <w:rPr>
          <w:rFonts w:ascii="Calibri" w:eastAsia="Calibri" w:hAnsi="Calibri" w:cs="Calibri"/>
        </w:rPr>
      </w:pPr>
    </w:p>
    <w:p w14:paraId="56F0C030" w14:textId="77777777" w:rsidR="003823DA" w:rsidRDefault="00000000" w:rsidP="003823DA">
      <w:pPr>
        <w:jc w:val="both"/>
        <w:rPr>
          <w:rFonts w:ascii="Calibri" w:eastAsia="Calibri" w:hAnsi="Calibri" w:cs="Calibri"/>
          <w:highlight w:val="white"/>
        </w:rPr>
      </w:pPr>
      <w:r>
        <w:rPr>
          <w:noProof/>
        </w:rPr>
        <w:pict w14:anchorId="68208AF0">
          <v:rect id="_x0000_i1031" alt="" style="width:451.3pt;height:.05pt;mso-width-percent:0;mso-height-percent:0;mso-width-percent:0;mso-height-percent:0" o:hralign="center" o:hrstd="t" o:hr="t" fillcolor="#a0a0a0" stroked="f"/>
        </w:pict>
      </w:r>
    </w:p>
    <w:p w14:paraId="6D09D6E3" w14:textId="06D9C6B0" w:rsidR="003823DA" w:rsidRDefault="003823DA" w:rsidP="003823DA">
      <w:pPr>
        <w:pStyle w:val="Heading1"/>
        <w:numPr>
          <w:ilvl w:val="0"/>
          <w:numId w:val="5"/>
        </w:numPr>
        <w:jc w:val="left"/>
      </w:pPr>
      <w:bookmarkStart w:id="2" w:name="_f2ni8bzifxwy" w:colFirst="0" w:colLast="0"/>
      <w:bookmarkEnd w:id="2"/>
      <w:r>
        <w:t>ARTICLE 13: ECONOMIC AND SOCIAL BENEFITS</w:t>
      </w:r>
      <w:r w:rsidR="00000000">
        <w:rPr>
          <w:noProof/>
        </w:rPr>
        <w:pict w14:anchorId="6BA7FCEB">
          <v:rect id="_x0000_i1032" alt="" style="width:433.25pt;height:.05pt;mso-width-percent:0;mso-height-percent:0;mso-width-percent:0;mso-height-percent:0" o:hrpct="960" o:hralign="center" o:hrstd="t" o:hr="t" fillcolor="#a0a0a0" stroked="f"/>
        </w:pict>
      </w:r>
    </w:p>
    <w:p w14:paraId="2D85C06C" w14:textId="68F217AE" w:rsidR="003823DA" w:rsidRDefault="003823DA" w:rsidP="003823DA">
      <w:pPr>
        <w:jc w:val="both"/>
        <w:rPr>
          <w:rFonts w:ascii="Calibri" w:eastAsia="Calibri" w:hAnsi="Calibri" w:cs="Calibri"/>
          <w:highlight w:val="white"/>
        </w:rPr>
      </w:pPr>
      <w:r>
        <w:rPr>
          <w:rFonts w:ascii="Calibri" w:eastAsia="Calibri" w:hAnsi="Calibri" w:cs="Calibri"/>
          <w:highlight w:val="white"/>
        </w:rPr>
        <w:t xml:space="preserve">Social security benefits are not provided equally to all women in Thailand. </w:t>
      </w:r>
      <w:r>
        <w:rPr>
          <w:rFonts w:ascii="Calibri" w:eastAsia="Calibri" w:hAnsi="Calibri" w:cs="Calibri"/>
          <w:b/>
          <w:highlight w:val="white"/>
        </w:rPr>
        <w:t>Indigenous women</w:t>
      </w:r>
      <w:r>
        <w:rPr>
          <w:rFonts w:ascii="Calibri" w:eastAsia="Calibri" w:hAnsi="Calibri" w:cs="Calibri"/>
          <w:highlight w:val="white"/>
        </w:rPr>
        <w:t xml:space="preserve"> are reportedly disadvantaged to register for nationality, leaving a disproportionate number of the same stateless,</w:t>
      </w:r>
      <w:r>
        <w:rPr>
          <w:rFonts w:ascii="Calibri" w:eastAsia="Calibri" w:hAnsi="Calibri" w:cs="Calibri"/>
          <w:highlight w:val="white"/>
          <w:vertAlign w:val="superscript"/>
        </w:rPr>
        <w:endnoteReference w:id="65"/>
      </w:r>
      <w:r>
        <w:rPr>
          <w:rFonts w:ascii="Calibri" w:eastAsia="Calibri" w:hAnsi="Calibri" w:cs="Calibri"/>
          <w:highlight w:val="white"/>
        </w:rPr>
        <w:t xml:space="preserve"> and unable to receive social security benefits</w:t>
      </w:r>
      <w:r w:rsidR="00476C71">
        <w:rPr>
          <w:rFonts w:ascii="Calibri" w:eastAsia="Calibri" w:hAnsi="Calibri" w:cs="Calibri"/>
          <w:highlight w:val="white"/>
        </w:rPr>
        <w:t xml:space="preserve">. </w:t>
      </w:r>
      <w:r w:rsidR="00476C71">
        <w:rPr>
          <w:rFonts w:ascii="Calibri" w:eastAsia="Calibri" w:hAnsi="Calibri" w:cs="Calibri"/>
          <w:b/>
          <w:highlight w:val="white"/>
        </w:rPr>
        <w:t>R</w:t>
      </w:r>
      <w:r>
        <w:rPr>
          <w:rFonts w:ascii="Calibri" w:eastAsia="Calibri" w:hAnsi="Calibri" w:cs="Calibri"/>
          <w:b/>
          <w:highlight w:val="white"/>
        </w:rPr>
        <w:t>efugee,</w:t>
      </w:r>
      <w:r>
        <w:rPr>
          <w:rFonts w:ascii="Calibri" w:eastAsia="Calibri" w:hAnsi="Calibri" w:cs="Calibri"/>
          <w:highlight w:val="white"/>
        </w:rPr>
        <w:t xml:space="preserve"> </w:t>
      </w:r>
      <w:r>
        <w:rPr>
          <w:rFonts w:ascii="Calibri" w:eastAsia="Calibri" w:hAnsi="Calibri" w:cs="Calibri"/>
          <w:b/>
          <w:highlight w:val="white"/>
        </w:rPr>
        <w:t>asylum-seeking</w:t>
      </w:r>
      <w:r>
        <w:rPr>
          <w:rFonts w:ascii="Calibri" w:eastAsia="Calibri" w:hAnsi="Calibri" w:cs="Calibri"/>
          <w:highlight w:val="white"/>
        </w:rPr>
        <w:t xml:space="preserve"> and undocumented </w:t>
      </w:r>
      <w:r>
        <w:rPr>
          <w:rFonts w:ascii="Calibri" w:eastAsia="Calibri" w:hAnsi="Calibri" w:cs="Calibri"/>
          <w:b/>
          <w:highlight w:val="white"/>
        </w:rPr>
        <w:t>migrant women</w:t>
      </w:r>
      <w:r>
        <w:rPr>
          <w:rFonts w:ascii="Calibri" w:eastAsia="Calibri" w:hAnsi="Calibri" w:cs="Calibri"/>
          <w:highlight w:val="white"/>
        </w:rPr>
        <w:t xml:space="preserve">, due to their lack of legal status, enjoy no social security protection. </w:t>
      </w:r>
      <w:r>
        <w:rPr>
          <w:rFonts w:ascii="Calibri" w:eastAsia="Calibri" w:hAnsi="Calibri" w:cs="Calibri"/>
        </w:rPr>
        <w:t>During the COVID-19 pandemic, migrant workers did not receive any help from the Social Security Fund because of lacking Thai ID numbers.</w:t>
      </w:r>
      <w:r>
        <w:rPr>
          <w:rFonts w:ascii="Calibri" w:eastAsia="Calibri" w:hAnsi="Calibri" w:cs="Calibri"/>
          <w:vertAlign w:val="superscript"/>
        </w:rPr>
        <w:endnoteReference w:id="66"/>
      </w:r>
      <w:r>
        <w:rPr>
          <w:rFonts w:ascii="Calibri" w:eastAsia="Calibri" w:hAnsi="Calibri" w:cs="Calibri"/>
        </w:rPr>
        <w:t xml:space="preserve"> </w:t>
      </w:r>
      <w:r>
        <w:rPr>
          <w:rFonts w:ascii="Calibri" w:eastAsia="Calibri" w:hAnsi="Calibri" w:cs="Calibri"/>
          <w:b/>
          <w:highlight w:val="white"/>
        </w:rPr>
        <w:t>Sex workers</w:t>
      </w:r>
      <w:r>
        <w:rPr>
          <w:rFonts w:ascii="Calibri" w:eastAsia="Calibri" w:hAnsi="Calibri" w:cs="Calibri"/>
          <w:highlight w:val="white"/>
        </w:rPr>
        <w:t xml:space="preserve"> are also included in the vulnerable group that does not wholly benefit from social services.  In addition, the COVID-19 pandemic and its related restrictions greatly affected their ability to work,</w:t>
      </w:r>
      <w:r>
        <w:rPr>
          <w:rFonts w:ascii="Calibri" w:eastAsia="Calibri" w:hAnsi="Calibri" w:cs="Calibri"/>
          <w:highlight w:val="white"/>
          <w:vertAlign w:val="superscript"/>
        </w:rPr>
        <w:endnoteReference w:id="67"/>
      </w:r>
      <w:r>
        <w:rPr>
          <w:rFonts w:ascii="Calibri" w:eastAsia="Calibri" w:hAnsi="Calibri" w:cs="Calibri"/>
          <w:highlight w:val="white"/>
        </w:rPr>
        <w:t xml:space="preserve"> and, without access to economic and social benefits, they were left without incomes and struggled to find shelter.</w:t>
      </w:r>
      <w:r>
        <w:rPr>
          <w:rFonts w:ascii="Calibri" w:eastAsia="Calibri" w:hAnsi="Calibri" w:cs="Calibri"/>
          <w:highlight w:val="white"/>
          <w:vertAlign w:val="superscript"/>
        </w:rPr>
        <w:endnoteReference w:id="68"/>
      </w:r>
    </w:p>
    <w:p w14:paraId="7F33AFBE" w14:textId="77777777" w:rsidR="003823DA" w:rsidRDefault="003823DA" w:rsidP="003823DA">
      <w:pPr>
        <w:jc w:val="both"/>
        <w:rPr>
          <w:rFonts w:ascii="Calibri" w:eastAsia="Calibri" w:hAnsi="Calibri" w:cs="Calibri"/>
          <w:highlight w:val="white"/>
        </w:rPr>
      </w:pPr>
    </w:p>
    <w:p w14:paraId="7CEA1B48" w14:textId="0B1F1900" w:rsidR="003823DA" w:rsidRDefault="003823DA" w:rsidP="003823DA">
      <w:pPr>
        <w:jc w:val="both"/>
        <w:rPr>
          <w:rFonts w:ascii="Calibri" w:eastAsia="Calibri" w:hAnsi="Calibri" w:cs="Calibri"/>
          <w:highlight w:val="white"/>
        </w:rPr>
      </w:pPr>
      <w:r>
        <w:rPr>
          <w:rFonts w:ascii="Calibri" w:eastAsia="Calibri" w:hAnsi="Calibri" w:cs="Calibri"/>
          <w:highlight w:val="white"/>
        </w:rPr>
        <w:t xml:space="preserve">Although there are several pension schemes allowing </w:t>
      </w:r>
      <w:r>
        <w:rPr>
          <w:rFonts w:ascii="Calibri" w:eastAsia="Calibri" w:hAnsi="Calibri" w:cs="Calibri"/>
          <w:b/>
          <w:highlight w:val="white"/>
        </w:rPr>
        <w:t>people with disabilities</w:t>
      </w:r>
      <w:r>
        <w:rPr>
          <w:rFonts w:ascii="Calibri" w:eastAsia="Calibri" w:hAnsi="Calibri" w:cs="Calibri"/>
          <w:highlight w:val="white"/>
        </w:rPr>
        <w:t xml:space="preserve"> to obtain monetary compensation,</w:t>
      </w:r>
      <w:r>
        <w:rPr>
          <w:rFonts w:ascii="Calibri" w:eastAsia="Calibri" w:hAnsi="Calibri" w:cs="Calibri"/>
          <w:highlight w:val="white"/>
          <w:vertAlign w:val="superscript"/>
        </w:rPr>
        <w:endnoteReference w:id="69"/>
      </w:r>
      <w:r>
        <w:rPr>
          <w:rFonts w:ascii="Calibri" w:eastAsia="Calibri" w:hAnsi="Calibri" w:cs="Calibri"/>
          <w:highlight w:val="white"/>
        </w:rPr>
        <w:t xml:space="preserve"> allowances remain extremely low.</w:t>
      </w:r>
      <w:r>
        <w:rPr>
          <w:rFonts w:ascii="Calibri" w:eastAsia="Calibri" w:hAnsi="Calibri" w:cs="Calibri"/>
          <w:highlight w:val="white"/>
          <w:vertAlign w:val="superscript"/>
        </w:rPr>
        <w:endnoteReference w:id="70"/>
      </w:r>
      <w:r>
        <w:rPr>
          <w:rFonts w:ascii="Calibri" w:eastAsia="Calibri" w:hAnsi="Calibri" w:cs="Calibri"/>
          <w:highlight w:val="white"/>
        </w:rPr>
        <w:t xml:space="preserve"> When it comes to obtaining social services, there are policy, physical, and mental hurdles for people with disabilities. Intersectionality further multiplies barriers when seeking access.</w:t>
      </w:r>
      <w:r>
        <w:rPr>
          <w:rFonts w:ascii="Calibri" w:eastAsia="Calibri" w:hAnsi="Calibri" w:cs="Calibri"/>
          <w:highlight w:val="white"/>
          <w:vertAlign w:val="superscript"/>
        </w:rPr>
        <w:endnoteReference w:id="71"/>
      </w:r>
      <w:r>
        <w:rPr>
          <w:rFonts w:ascii="Calibri" w:eastAsia="Calibri" w:hAnsi="Calibri" w:cs="Calibri"/>
          <w:highlight w:val="white"/>
        </w:rPr>
        <w:t xml:space="preserve"> The COVID-19 pandemic has elevated hazard</w:t>
      </w:r>
      <w:r w:rsidR="00476C71">
        <w:rPr>
          <w:rFonts w:ascii="Calibri" w:eastAsia="Calibri" w:hAnsi="Calibri" w:cs="Calibri"/>
          <w:highlight w:val="white"/>
        </w:rPr>
        <w:t xml:space="preserve">s </w:t>
      </w:r>
      <w:r>
        <w:rPr>
          <w:rFonts w:ascii="Calibri" w:eastAsia="Calibri" w:hAnsi="Calibri" w:cs="Calibri"/>
          <w:highlight w:val="white"/>
        </w:rPr>
        <w:t>and impacted disproportionately their socio-economic life. Because of the lack of human rights approach, COVID-19 revealed the authorities’ incapacity to address their needs, and they were not included in any of the Government responses to the pandemic.</w:t>
      </w:r>
      <w:r>
        <w:rPr>
          <w:rFonts w:ascii="Calibri" w:eastAsia="Calibri" w:hAnsi="Calibri" w:cs="Calibri"/>
          <w:highlight w:val="white"/>
          <w:vertAlign w:val="superscript"/>
        </w:rPr>
        <w:endnoteReference w:id="72"/>
      </w:r>
    </w:p>
    <w:p w14:paraId="3C25A4C0" w14:textId="77777777" w:rsidR="003823DA" w:rsidRDefault="003823DA" w:rsidP="003823DA">
      <w:pPr>
        <w:jc w:val="both"/>
        <w:rPr>
          <w:rFonts w:ascii="Calibri" w:eastAsia="Calibri" w:hAnsi="Calibri" w:cs="Calibri"/>
          <w:color w:val="181818"/>
          <w:highlight w:val="white"/>
        </w:rPr>
      </w:pPr>
    </w:p>
    <w:p w14:paraId="0B2E1C84" w14:textId="77777777" w:rsidR="003823DA" w:rsidRDefault="003823DA" w:rsidP="003823DA">
      <w:pPr>
        <w:jc w:val="both"/>
        <w:rPr>
          <w:rFonts w:ascii="Calibri" w:eastAsia="Calibri" w:hAnsi="Calibri" w:cs="Calibri"/>
          <w:highlight w:val="white"/>
        </w:rPr>
      </w:pPr>
      <w:r>
        <w:rPr>
          <w:rFonts w:ascii="Calibri" w:eastAsia="Calibri" w:hAnsi="Calibri" w:cs="Calibri"/>
          <w:highlight w:val="white"/>
        </w:rPr>
        <w:t>There are several pension schemes for elderly people.</w:t>
      </w:r>
      <w:r>
        <w:rPr>
          <w:rFonts w:ascii="Calibri" w:eastAsia="Calibri" w:hAnsi="Calibri" w:cs="Calibri"/>
          <w:highlight w:val="white"/>
          <w:vertAlign w:val="superscript"/>
        </w:rPr>
        <w:endnoteReference w:id="73"/>
      </w:r>
      <w:r>
        <w:rPr>
          <w:rFonts w:ascii="Calibri" w:eastAsia="Calibri" w:hAnsi="Calibri" w:cs="Calibri"/>
          <w:highlight w:val="white"/>
        </w:rPr>
        <w:t xml:space="preserve"> Whereas Section 11(11) of the 2003 Elderly Person Act states that the elderly have the right to a comprehensive and equitable monthly old age pension,</w:t>
      </w:r>
      <w:r>
        <w:rPr>
          <w:rFonts w:ascii="Calibri" w:eastAsia="Calibri" w:hAnsi="Calibri" w:cs="Calibri"/>
          <w:highlight w:val="white"/>
          <w:vertAlign w:val="superscript"/>
        </w:rPr>
        <w:endnoteReference w:id="74"/>
      </w:r>
      <w:r>
        <w:rPr>
          <w:rFonts w:ascii="Calibri" w:eastAsia="Calibri" w:hAnsi="Calibri" w:cs="Calibri"/>
          <w:highlight w:val="white"/>
        </w:rPr>
        <w:t xml:space="preserve"> Thailand's welfare system is inadequate. The old-age allowance is one of the lowest in the world and is insufficient to adequately safeguard older people from economic poverty.</w:t>
      </w:r>
      <w:r>
        <w:rPr>
          <w:rFonts w:ascii="Calibri" w:eastAsia="Calibri" w:hAnsi="Calibri" w:cs="Calibri"/>
          <w:highlight w:val="white"/>
          <w:vertAlign w:val="superscript"/>
        </w:rPr>
        <w:endnoteReference w:id="75"/>
      </w:r>
      <w:r>
        <w:rPr>
          <w:rFonts w:ascii="Calibri" w:eastAsia="Calibri" w:hAnsi="Calibri" w:cs="Calibri"/>
          <w:highlight w:val="white"/>
        </w:rPr>
        <w:t xml:space="preserve"> </w:t>
      </w:r>
      <w:r>
        <w:rPr>
          <w:rFonts w:ascii="Calibri" w:eastAsia="Calibri" w:hAnsi="Calibri" w:cs="Calibri"/>
          <w:b/>
          <w:highlight w:val="white"/>
        </w:rPr>
        <w:t>Elderly women</w:t>
      </w:r>
      <w:r>
        <w:rPr>
          <w:rFonts w:ascii="Calibri" w:eastAsia="Calibri" w:hAnsi="Calibri" w:cs="Calibri"/>
          <w:highlight w:val="white"/>
        </w:rPr>
        <w:t xml:space="preserve"> seem more affected than elderly men since there are higher levels of unemployment for women than for elderly men.</w:t>
      </w:r>
      <w:r>
        <w:rPr>
          <w:rFonts w:ascii="Calibri" w:eastAsia="Calibri" w:hAnsi="Calibri" w:cs="Calibri"/>
          <w:highlight w:val="white"/>
          <w:vertAlign w:val="superscript"/>
        </w:rPr>
        <w:endnoteReference w:id="76"/>
      </w:r>
      <w:r>
        <w:rPr>
          <w:rFonts w:ascii="Calibri" w:eastAsia="Calibri" w:hAnsi="Calibri" w:cs="Calibri"/>
          <w:highlight w:val="white"/>
        </w:rPr>
        <w:t xml:space="preserve"> Moreover, approximately 31% of senior Thais, particularly women, lack a formal education, making it difficult for them to find means to sustain themselves financially.</w:t>
      </w:r>
      <w:r>
        <w:rPr>
          <w:rFonts w:ascii="Calibri" w:eastAsia="Calibri" w:hAnsi="Calibri" w:cs="Calibri"/>
          <w:highlight w:val="white"/>
          <w:vertAlign w:val="superscript"/>
        </w:rPr>
        <w:endnoteReference w:id="77"/>
      </w:r>
    </w:p>
    <w:p w14:paraId="0308A15D" w14:textId="77777777" w:rsidR="003823DA" w:rsidRDefault="003823DA" w:rsidP="003823DA">
      <w:pPr>
        <w:jc w:val="both"/>
        <w:rPr>
          <w:rFonts w:ascii="Calibri" w:eastAsia="Calibri" w:hAnsi="Calibri" w:cs="Calibri"/>
          <w:highlight w:val="white"/>
        </w:rPr>
      </w:pPr>
    </w:p>
    <w:p w14:paraId="7D23231B" w14:textId="77777777" w:rsidR="003823DA" w:rsidRDefault="003823DA" w:rsidP="003823DA">
      <w:pPr>
        <w:jc w:val="both"/>
        <w:rPr>
          <w:rFonts w:ascii="Calibri" w:eastAsia="Calibri" w:hAnsi="Calibri" w:cs="Calibri"/>
        </w:rPr>
      </w:pPr>
      <w:r>
        <w:rPr>
          <w:rFonts w:ascii="Calibri" w:eastAsia="Calibri" w:hAnsi="Calibri" w:cs="Calibri"/>
          <w:b/>
        </w:rPr>
        <w:lastRenderedPageBreak/>
        <w:t>Migrant workers</w:t>
      </w:r>
      <w:r>
        <w:rPr>
          <w:rFonts w:ascii="Calibri" w:eastAsia="Calibri" w:hAnsi="Calibri" w:cs="Calibri"/>
        </w:rPr>
        <w:t xml:space="preserve"> are not entitled to all rights provided under the Social Security Fund.</w:t>
      </w:r>
      <w:r>
        <w:rPr>
          <w:rFonts w:ascii="Calibri" w:eastAsia="Calibri" w:hAnsi="Calibri" w:cs="Calibri"/>
          <w:vertAlign w:val="superscript"/>
        </w:rPr>
        <w:endnoteReference w:id="78"/>
      </w:r>
      <w:r>
        <w:rPr>
          <w:rFonts w:ascii="Calibri" w:eastAsia="Calibri" w:hAnsi="Calibri" w:cs="Calibri"/>
        </w:rPr>
        <w:t xml:space="preserve"> The categorization of types of labor under the Social Security Act (1990) has resulted in the unequal protection of migrant workers and led to discrimination against them. For example, they cannot claim social security benefits for child allowance in the same way as Thai workers. A policy granting rights to the dependents of migrant workers is likewise absent.</w:t>
      </w:r>
      <w:r>
        <w:rPr>
          <w:rFonts w:ascii="Calibri" w:eastAsia="Calibri" w:hAnsi="Calibri" w:cs="Calibri"/>
          <w:vertAlign w:val="superscript"/>
        </w:rPr>
        <w:endnoteReference w:id="79"/>
      </w:r>
    </w:p>
    <w:p w14:paraId="4806B719" w14:textId="77777777" w:rsidR="003823DA" w:rsidRDefault="003823DA" w:rsidP="003823DA">
      <w:pPr>
        <w:jc w:val="both"/>
        <w:rPr>
          <w:rFonts w:ascii="Calibri" w:eastAsia="Calibri" w:hAnsi="Calibri" w:cs="Calibri"/>
        </w:rPr>
      </w:pPr>
    </w:p>
    <w:p w14:paraId="44AB2767" w14:textId="77777777" w:rsidR="003823DA" w:rsidRDefault="003823DA" w:rsidP="003823DA">
      <w:pPr>
        <w:jc w:val="both"/>
        <w:rPr>
          <w:rFonts w:ascii="Calibri" w:eastAsia="Calibri" w:hAnsi="Calibri" w:cs="Calibri"/>
        </w:rPr>
      </w:pPr>
      <w:r w:rsidRPr="00C1286B">
        <w:rPr>
          <w:rFonts w:ascii="Calibri" w:eastAsia="Calibri" w:hAnsi="Calibri" w:cs="Calibri"/>
          <w:b/>
        </w:rPr>
        <w:t>Women informal workers</w:t>
      </w:r>
      <w:r w:rsidRPr="00C1286B">
        <w:rPr>
          <w:rFonts w:ascii="Calibri" w:eastAsia="Calibri" w:hAnsi="Calibri" w:cs="Calibri"/>
        </w:rPr>
        <w:t xml:space="preserve"> are vulnerable and face inequalities in accessing welfare.</w:t>
      </w:r>
      <w:r w:rsidRPr="00C1286B">
        <w:rPr>
          <w:rFonts w:ascii="Calibri" w:eastAsia="Calibri" w:hAnsi="Calibri" w:cs="Calibri"/>
          <w:vertAlign w:val="superscript"/>
        </w:rPr>
        <w:endnoteReference w:id="80"/>
      </w:r>
      <w:r w:rsidRPr="00C1286B">
        <w:rPr>
          <w:rFonts w:ascii="Calibri" w:eastAsia="Calibri" w:hAnsi="Calibri" w:cs="Calibri"/>
        </w:rPr>
        <w:t xml:space="preserve"> There is no women's-specific program in place to support them and, due to socio-economic marginalization, they are ineligible for maternity benefits. Furthermore, the government has not designated a budget for child support in 2023.</w:t>
      </w:r>
      <w:r w:rsidRPr="00C1286B">
        <w:rPr>
          <w:rFonts w:ascii="Calibri" w:eastAsia="Calibri" w:hAnsi="Calibri" w:cs="Calibri"/>
          <w:vertAlign w:val="superscript"/>
        </w:rPr>
        <w:endnoteReference w:id="81"/>
      </w:r>
    </w:p>
    <w:p w14:paraId="0673F8BF" w14:textId="77777777" w:rsidR="003823DA" w:rsidRDefault="003823DA" w:rsidP="003823DA">
      <w:pPr>
        <w:jc w:val="both"/>
        <w:rPr>
          <w:rFonts w:ascii="Calibri" w:eastAsia="Calibri" w:hAnsi="Calibri" w:cs="Calibri"/>
        </w:rPr>
      </w:pPr>
    </w:p>
    <w:p w14:paraId="2A1A7401" w14:textId="77777777" w:rsidR="003823DA" w:rsidRDefault="00000000" w:rsidP="003823DA">
      <w:pPr>
        <w:jc w:val="both"/>
        <w:rPr>
          <w:rFonts w:ascii="Calibri" w:eastAsia="Calibri" w:hAnsi="Calibri" w:cs="Calibri"/>
          <w:highlight w:val="white"/>
        </w:rPr>
      </w:pPr>
      <w:r>
        <w:rPr>
          <w:noProof/>
        </w:rPr>
        <w:pict w14:anchorId="631F3EB1">
          <v:rect id="_x0000_i1033" alt="" style="width:451.3pt;height:.05pt;mso-width-percent:0;mso-height-percent:0;mso-width-percent:0;mso-height-percent:0" o:hralign="center" o:hrstd="t" o:hr="t" fillcolor="#a0a0a0" stroked="f"/>
        </w:pict>
      </w:r>
    </w:p>
    <w:p w14:paraId="53E1222E" w14:textId="3E846314" w:rsidR="003823DA" w:rsidRDefault="003823DA" w:rsidP="003823DA">
      <w:pPr>
        <w:pStyle w:val="Heading1"/>
        <w:numPr>
          <w:ilvl w:val="0"/>
          <w:numId w:val="5"/>
        </w:numPr>
        <w:jc w:val="left"/>
      </w:pPr>
      <w:bookmarkStart w:id="3" w:name="_msg60c8zwkpj" w:colFirst="0" w:colLast="0"/>
      <w:bookmarkEnd w:id="3"/>
      <w:r>
        <w:t>ARTICLE 14: RURAL WOMEN</w:t>
      </w:r>
      <w:r w:rsidR="00000000">
        <w:rPr>
          <w:noProof/>
        </w:rPr>
        <w:pict w14:anchorId="77D9CA7B">
          <v:rect id="_x0000_i1034" alt="" style="width:433.25pt;height:.05pt;mso-width-percent:0;mso-height-percent:0;mso-width-percent:0;mso-height-percent:0" o:hrpct="960" o:hralign="center" o:hrstd="t" o:hr="t" fillcolor="#a0a0a0" stroked="f"/>
        </w:pict>
      </w:r>
    </w:p>
    <w:p w14:paraId="7EE9140D" w14:textId="430EC3AE" w:rsidR="003823DA" w:rsidRDefault="003823DA" w:rsidP="003823DA">
      <w:pPr>
        <w:jc w:val="both"/>
        <w:rPr>
          <w:rFonts w:ascii="Calibri" w:eastAsia="Calibri" w:hAnsi="Calibri" w:cs="Calibri"/>
        </w:rPr>
      </w:pPr>
      <w:r>
        <w:rPr>
          <w:rFonts w:ascii="Calibri" w:eastAsia="Calibri" w:hAnsi="Calibri" w:cs="Calibri"/>
        </w:rPr>
        <w:t xml:space="preserve">Although the Thai government voted in favor of the adoption of the United Nations Declaration on the Rights of Indigenous Peoples (UNDRIP), it only acknowledges the existence of ‘ethnic groups/minorities’ and ‘hill </w:t>
      </w:r>
      <w:proofErr w:type="gramStart"/>
      <w:r>
        <w:rPr>
          <w:rFonts w:ascii="Calibri" w:eastAsia="Calibri" w:hAnsi="Calibri" w:cs="Calibri"/>
        </w:rPr>
        <w:t>tribes’</w:t>
      </w:r>
      <w:proofErr w:type="gramEnd"/>
      <w:r>
        <w:rPr>
          <w:rFonts w:ascii="Calibri" w:eastAsia="Calibri" w:hAnsi="Calibri" w:cs="Calibri"/>
        </w:rPr>
        <w:t>. The estimated Indigenous population in Thailand is around five million people,</w:t>
      </w:r>
      <w:r>
        <w:rPr>
          <w:rFonts w:ascii="Calibri" w:eastAsia="Calibri" w:hAnsi="Calibri" w:cs="Calibri"/>
          <w:vertAlign w:val="superscript"/>
        </w:rPr>
        <w:endnoteReference w:id="82"/>
      </w:r>
      <w:r>
        <w:rPr>
          <w:rFonts w:ascii="Calibri" w:eastAsia="Calibri" w:hAnsi="Calibri" w:cs="Calibri"/>
        </w:rPr>
        <w:t xml:space="preserve"> and the law only recognizes nine ‘hill tribes,’ which amount to 1.2 million people.</w:t>
      </w:r>
      <w:r>
        <w:rPr>
          <w:rFonts w:ascii="Calibri" w:eastAsia="Calibri" w:hAnsi="Calibri" w:cs="Calibri"/>
          <w:vertAlign w:val="superscript"/>
        </w:rPr>
        <w:endnoteReference w:id="83"/>
      </w:r>
      <w:r>
        <w:rPr>
          <w:rFonts w:ascii="Calibri" w:eastAsia="Calibri" w:hAnsi="Calibri" w:cs="Calibri"/>
        </w:rPr>
        <w:t xml:space="preserve"> Persons belonging to other Indigenous groups are automatically considered illegal migrants, even though they have lived in Thailand for decades. The government also does not respect the ways of life of tribal women and there are no comprehensive measures to support them.</w:t>
      </w:r>
      <w:r>
        <w:rPr>
          <w:rFonts w:ascii="Calibri" w:eastAsia="Calibri" w:hAnsi="Calibri" w:cs="Calibri"/>
          <w:vertAlign w:val="superscript"/>
        </w:rPr>
        <w:endnoteReference w:id="84"/>
      </w:r>
      <w:r>
        <w:rPr>
          <w:rFonts w:ascii="Calibri" w:eastAsia="Calibri" w:hAnsi="Calibri" w:cs="Calibri"/>
        </w:rPr>
        <w:t xml:space="preserve"> </w:t>
      </w:r>
    </w:p>
    <w:p w14:paraId="4EB332A7" w14:textId="77777777" w:rsidR="003823DA" w:rsidRDefault="003823DA" w:rsidP="003823DA">
      <w:pPr>
        <w:jc w:val="both"/>
        <w:rPr>
          <w:rFonts w:ascii="Calibri" w:eastAsia="Calibri" w:hAnsi="Calibri" w:cs="Calibri"/>
        </w:rPr>
      </w:pPr>
    </w:p>
    <w:p w14:paraId="4BAB1B4A" w14:textId="661938AF" w:rsidR="003823DA" w:rsidRPr="00C1286B" w:rsidRDefault="003823DA" w:rsidP="003823DA">
      <w:pPr>
        <w:jc w:val="both"/>
        <w:rPr>
          <w:rFonts w:ascii="Calibri" w:eastAsia="Calibri" w:hAnsi="Calibri" w:cs="Calibri"/>
        </w:rPr>
      </w:pPr>
      <w:r w:rsidRPr="00C1286B">
        <w:rPr>
          <w:rFonts w:ascii="Calibri" w:eastAsia="Calibri" w:hAnsi="Calibri" w:cs="Calibri"/>
        </w:rPr>
        <w:t>Hill tribe communities who fight for their land and community rights are oftentimes harassed and threatened.</w:t>
      </w:r>
      <w:r w:rsidRPr="00C1286B">
        <w:rPr>
          <w:rFonts w:ascii="Calibri" w:eastAsia="Calibri" w:hAnsi="Calibri" w:cs="Calibri"/>
          <w:vertAlign w:val="superscript"/>
        </w:rPr>
        <w:endnoteReference w:id="85"/>
      </w:r>
      <w:r w:rsidRPr="00C1286B">
        <w:rPr>
          <w:rFonts w:ascii="Calibri" w:eastAsia="Calibri" w:hAnsi="Calibri" w:cs="Calibri"/>
        </w:rPr>
        <w:t xml:space="preserve"> </w:t>
      </w:r>
      <w:r w:rsidRPr="00C1286B">
        <w:rPr>
          <w:rFonts w:ascii="Calibri" w:eastAsia="Calibri" w:hAnsi="Calibri" w:cs="Calibri"/>
          <w:b/>
        </w:rPr>
        <w:t>Land rights defenders</w:t>
      </w:r>
      <w:r w:rsidRPr="00C1286B">
        <w:rPr>
          <w:rFonts w:ascii="Calibri" w:eastAsia="Calibri" w:hAnsi="Calibri" w:cs="Calibri"/>
        </w:rPr>
        <w:t xml:space="preserve"> and </w:t>
      </w:r>
      <w:r w:rsidRPr="00C1286B">
        <w:rPr>
          <w:rFonts w:ascii="Calibri" w:eastAsia="Calibri" w:hAnsi="Calibri" w:cs="Calibri"/>
          <w:b/>
        </w:rPr>
        <w:t>women environmental HRDs</w:t>
      </w:r>
      <w:r w:rsidRPr="00C1286B">
        <w:rPr>
          <w:rFonts w:ascii="Calibri" w:eastAsia="Calibri" w:hAnsi="Calibri" w:cs="Calibri"/>
        </w:rPr>
        <w:t xml:space="preserve"> are most exposed to abuse and reprisals. For instance, N.M. prominent WHRDs, community leader and a member of the Sai Thong </w:t>
      </w:r>
      <w:proofErr w:type="spellStart"/>
      <w:r w:rsidRPr="00C1286B">
        <w:rPr>
          <w:rFonts w:ascii="Calibri" w:eastAsia="Calibri" w:hAnsi="Calibri" w:cs="Calibri"/>
        </w:rPr>
        <w:t>Rak</w:t>
      </w:r>
      <w:proofErr w:type="spellEnd"/>
      <w:r w:rsidRPr="00C1286B">
        <w:rPr>
          <w:rFonts w:ascii="Calibri" w:eastAsia="Calibri" w:hAnsi="Calibri" w:cs="Calibri"/>
        </w:rPr>
        <w:t xml:space="preserve"> </w:t>
      </w:r>
      <w:proofErr w:type="spellStart"/>
      <w:r w:rsidRPr="00C1286B">
        <w:rPr>
          <w:rFonts w:ascii="Calibri" w:eastAsia="Calibri" w:hAnsi="Calibri" w:cs="Calibri"/>
        </w:rPr>
        <w:t>Pah</w:t>
      </w:r>
      <w:proofErr w:type="spellEnd"/>
      <w:r w:rsidRPr="00C1286B">
        <w:rPr>
          <w:rFonts w:ascii="Calibri" w:eastAsia="Calibri" w:hAnsi="Calibri" w:cs="Calibri"/>
        </w:rPr>
        <w:t xml:space="preserve"> Network, who has been found guilty by the Supreme Court in relation to her legitimate human rights actions and along with 13 other villagers (eight of them women) of the Sab Wai Village, face imminent danger of forced evictions and a situation of extreme poverty. N.M. leads the community in their resistance against the Government’s push for eviction from their lands</w:t>
      </w:r>
      <w:r w:rsidR="00476C71">
        <w:rPr>
          <w:rFonts w:ascii="Calibri" w:eastAsia="Calibri" w:hAnsi="Calibri" w:cs="Calibri"/>
        </w:rPr>
        <w:t xml:space="preserve">. </w:t>
      </w:r>
      <w:r w:rsidRPr="00C1286B">
        <w:rPr>
          <w:rFonts w:ascii="Calibri" w:eastAsia="Calibri" w:hAnsi="Calibri" w:cs="Calibri"/>
        </w:rPr>
        <w:t>The criminalization of the 14 Sab Wai villagers in the Sai Thong National Park is a representative case of Thailand’s false climate solution which fails to recognize Indigenous peoples and forest-dependent communities as ‘Protectors of the Forest’, and instead casts them as criminals, destroyers of the forest.</w:t>
      </w:r>
      <w:r w:rsidRPr="00C1286B">
        <w:rPr>
          <w:rFonts w:ascii="Calibri" w:eastAsia="Calibri" w:hAnsi="Calibri" w:cs="Calibri"/>
          <w:vertAlign w:val="superscript"/>
        </w:rPr>
        <w:endnoteReference w:id="86"/>
      </w:r>
      <w:r w:rsidRPr="00C1286B">
        <w:rPr>
          <w:rFonts w:ascii="Calibri" w:eastAsia="Calibri" w:hAnsi="Calibri" w:cs="Calibri"/>
        </w:rPr>
        <w:t xml:space="preserve"> </w:t>
      </w:r>
      <w:r w:rsidR="00476C71">
        <w:rPr>
          <w:rFonts w:ascii="Calibri" w:eastAsia="Calibri" w:hAnsi="Calibri" w:cs="Calibri"/>
        </w:rPr>
        <w:t>A</w:t>
      </w:r>
      <w:r w:rsidRPr="00C1286B">
        <w:rPr>
          <w:rFonts w:ascii="Calibri" w:eastAsia="Calibri" w:hAnsi="Calibri" w:cs="Calibri"/>
        </w:rPr>
        <w:t xml:space="preserve">ll 14 villagers belong to the Khon </w:t>
      </w:r>
      <w:proofErr w:type="spellStart"/>
      <w:r w:rsidRPr="00C1286B">
        <w:rPr>
          <w:rFonts w:ascii="Calibri" w:eastAsia="Calibri" w:hAnsi="Calibri" w:cs="Calibri"/>
        </w:rPr>
        <w:t>Isaan</w:t>
      </w:r>
      <w:proofErr w:type="spellEnd"/>
      <w:r w:rsidRPr="00C1286B">
        <w:rPr>
          <w:rFonts w:ascii="Calibri" w:eastAsia="Calibri" w:hAnsi="Calibri" w:cs="Calibri"/>
        </w:rPr>
        <w:t xml:space="preserve"> ethnic group.</w:t>
      </w:r>
    </w:p>
    <w:p w14:paraId="7E42D1ED" w14:textId="77777777" w:rsidR="003823DA" w:rsidRDefault="003823DA" w:rsidP="003823DA">
      <w:pPr>
        <w:jc w:val="both"/>
        <w:rPr>
          <w:rFonts w:ascii="Calibri" w:eastAsia="Calibri" w:hAnsi="Calibri" w:cs="Calibri"/>
          <w:highlight w:val="yellow"/>
        </w:rPr>
      </w:pPr>
    </w:p>
    <w:p w14:paraId="647C6E73" w14:textId="77777777" w:rsidR="003823DA" w:rsidRPr="00C1286B" w:rsidRDefault="003823DA" w:rsidP="003823DA">
      <w:pPr>
        <w:jc w:val="both"/>
        <w:rPr>
          <w:rFonts w:ascii="Calibri" w:eastAsia="Calibri" w:hAnsi="Calibri" w:cs="Calibri"/>
        </w:rPr>
      </w:pPr>
      <w:r w:rsidRPr="00C1286B">
        <w:rPr>
          <w:rFonts w:ascii="Calibri" w:eastAsia="Calibri" w:hAnsi="Calibri" w:cs="Calibri"/>
        </w:rPr>
        <w:t>In another case, peaceful protests by the Chana community ended with the arrest of 37 people, the majority of them being women and children. They demonstrated in front of the Government House calling on the prime minister to keep the promise to revoke all cabinet resolutions involving the industrial mega-project in Songkhla, Southern Thailand, and conduct a community-led Strategic Environmental Assessment.</w:t>
      </w:r>
      <w:r w:rsidRPr="00C1286B">
        <w:rPr>
          <w:rFonts w:ascii="Calibri" w:eastAsia="Calibri" w:hAnsi="Calibri" w:cs="Calibri"/>
          <w:vertAlign w:val="superscript"/>
        </w:rPr>
        <w:endnoteReference w:id="87"/>
      </w:r>
      <w:r w:rsidRPr="00C1286B">
        <w:rPr>
          <w:rFonts w:ascii="Calibri" w:eastAsia="Calibri" w:hAnsi="Calibri" w:cs="Calibri"/>
        </w:rPr>
        <w:t xml:space="preserve"> After a week of protests and a violent crackdown on Chana community members, the Cabinet decided to defer the Chana Industrial project in Songkhla until the project's Strategic Environmental Assessment is resolved and assign a committee to evaluate the assessment and other related plans.</w:t>
      </w:r>
      <w:r w:rsidRPr="00C1286B">
        <w:rPr>
          <w:rFonts w:ascii="Calibri" w:eastAsia="Calibri" w:hAnsi="Calibri" w:cs="Calibri"/>
          <w:vertAlign w:val="superscript"/>
        </w:rPr>
        <w:endnoteReference w:id="88"/>
      </w:r>
    </w:p>
    <w:p w14:paraId="14A62DA3" w14:textId="77777777" w:rsidR="003823DA" w:rsidRDefault="003823DA" w:rsidP="003823DA">
      <w:pPr>
        <w:jc w:val="both"/>
        <w:rPr>
          <w:rFonts w:ascii="Calibri" w:eastAsia="Calibri" w:hAnsi="Calibri" w:cs="Calibri"/>
        </w:rPr>
      </w:pPr>
      <w:r>
        <w:rPr>
          <w:rFonts w:ascii="Calibri" w:eastAsia="Calibri" w:hAnsi="Calibri" w:cs="Calibri"/>
        </w:rPr>
        <w:br/>
        <w:t xml:space="preserve">Many Thai women still experience poverty, prejudice, and exploitation in rural regions. They are mostly employed in precarious and vulnerable employment in the informal sector, such as agricultural </w:t>
      </w:r>
      <w:r>
        <w:rPr>
          <w:rFonts w:ascii="Calibri" w:eastAsia="Calibri" w:hAnsi="Calibri" w:cs="Calibri"/>
        </w:rPr>
        <w:lastRenderedPageBreak/>
        <w:t>work.</w:t>
      </w:r>
      <w:r>
        <w:rPr>
          <w:rFonts w:ascii="Calibri" w:eastAsia="Calibri" w:hAnsi="Calibri" w:cs="Calibri"/>
          <w:vertAlign w:val="superscript"/>
        </w:rPr>
        <w:endnoteReference w:id="89"/>
      </w:r>
      <w:r>
        <w:rPr>
          <w:rFonts w:ascii="Calibri" w:eastAsia="Calibri" w:hAnsi="Calibri" w:cs="Calibri"/>
        </w:rPr>
        <w:t xml:space="preserve"> </w:t>
      </w:r>
      <w:r>
        <w:rPr>
          <w:rFonts w:ascii="Calibri" w:eastAsia="Calibri" w:hAnsi="Calibri" w:cs="Calibri"/>
          <w:b/>
        </w:rPr>
        <w:t>Indigenous women</w:t>
      </w:r>
      <w:r>
        <w:rPr>
          <w:rFonts w:ascii="Calibri" w:eastAsia="Calibri" w:hAnsi="Calibri" w:cs="Calibri"/>
        </w:rPr>
        <w:t xml:space="preserve"> in Northern rural Thailand suffer persistent inequities in health and access to healthcare services, primarily because of distance and transportation barriers.</w:t>
      </w:r>
      <w:r>
        <w:rPr>
          <w:rFonts w:ascii="Calibri" w:eastAsia="Calibri" w:hAnsi="Calibri" w:cs="Calibri"/>
          <w:vertAlign w:val="superscript"/>
        </w:rPr>
        <w:endnoteReference w:id="90"/>
      </w:r>
      <w:r>
        <w:rPr>
          <w:rFonts w:ascii="Calibri" w:eastAsia="Calibri" w:hAnsi="Calibri" w:cs="Calibri"/>
        </w:rPr>
        <w:t xml:space="preserve"> Fear of income loss also acts as a deterrent, since most people from indigenous rural communities are self-employed and cannot permit themselves to take time away from work.</w:t>
      </w:r>
      <w:r>
        <w:rPr>
          <w:rFonts w:ascii="Calibri" w:eastAsia="Calibri" w:hAnsi="Calibri" w:cs="Calibri"/>
          <w:vertAlign w:val="superscript"/>
        </w:rPr>
        <w:endnoteReference w:id="91"/>
      </w:r>
      <w:r>
        <w:rPr>
          <w:rFonts w:ascii="Calibri" w:eastAsia="Calibri" w:hAnsi="Calibri" w:cs="Calibri"/>
        </w:rPr>
        <w:t xml:space="preserve"> Inequities in healthcare lead to greater negative health consequences for Indigenous women. Many women affected by preventable diseases, such as cervical cancer and HIV/AIDS, are Indigenous living in rural areas.</w:t>
      </w:r>
      <w:r>
        <w:rPr>
          <w:rFonts w:ascii="Calibri" w:eastAsia="Calibri" w:hAnsi="Calibri" w:cs="Calibri"/>
          <w:vertAlign w:val="superscript"/>
        </w:rPr>
        <w:endnoteReference w:id="92"/>
      </w:r>
      <w:r>
        <w:rPr>
          <w:rFonts w:ascii="Calibri" w:eastAsia="Calibri" w:hAnsi="Calibri" w:cs="Calibri"/>
        </w:rPr>
        <w:t xml:space="preserve"> Women and girls seeking to undergo safe abortion also have to deal with the barrier of distance. For women living in rural areas, this can be an insurmountable challenge, as they may require traveling long distances, up to 400 kilometers. As of 2021, out of over 1,000 hospitals and clinics, there were only about 100 in the entire country that are considered pro-choice and offer safe abortion services. Those facilities are far from evenly dispersed, with most located in major cities.</w:t>
      </w:r>
      <w:r>
        <w:rPr>
          <w:rFonts w:ascii="Calibri" w:eastAsia="Calibri" w:hAnsi="Calibri" w:cs="Calibri"/>
          <w:vertAlign w:val="superscript"/>
        </w:rPr>
        <w:endnoteReference w:id="93"/>
      </w:r>
    </w:p>
    <w:p w14:paraId="4631835B" w14:textId="77777777" w:rsidR="003823DA" w:rsidRDefault="003823DA" w:rsidP="003823DA">
      <w:pPr>
        <w:jc w:val="both"/>
        <w:rPr>
          <w:rFonts w:ascii="Calibri" w:eastAsia="Calibri" w:hAnsi="Calibri" w:cs="Calibri"/>
        </w:rPr>
      </w:pPr>
    </w:p>
    <w:p w14:paraId="74891C49" w14:textId="77777777" w:rsidR="003823DA" w:rsidRDefault="00000000" w:rsidP="003823DA">
      <w:pPr>
        <w:pStyle w:val="Heading1"/>
        <w:ind w:left="0" w:firstLine="0"/>
      </w:pPr>
      <w:bookmarkStart w:id="4" w:name="_di1pdcxvj6uk" w:colFirst="0" w:colLast="0"/>
      <w:bookmarkEnd w:id="4"/>
      <w:r>
        <w:rPr>
          <w:noProof/>
        </w:rPr>
        <w:pict w14:anchorId="2D2CDBD5">
          <v:rect id="_x0000_i1035" alt="" style="width:451.3pt;height:.05pt;mso-width-percent:0;mso-height-percent:0;mso-width-percent:0;mso-height-percent:0" o:hralign="center" o:hrstd="t" o:hr="t" fillcolor="#a0a0a0" stroked="f"/>
        </w:pict>
      </w:r>
    </w:p>
    <w:p w14:paraId="4B0F21BE" w14:textId="13931D11" w:rsidR="003823DA" w:rsidRDefault="003823DA" w:rsidP="003823DA">
      <w:pPr>
        <w:pStyle w:val="Heading1"/>
        <w:numPr>
          <w:ilvl w:val="0"/>
          <w:numId w:val="5"/>
        </w:numPr>
        <w:jc w:val="left"/>
      </w:pPr>
      <w:bookmarkStart w:id="5" w:name="_p2e2f7fb76qu" w:colFirst="0" w:colLast="0"/>
      <w:bookmarkEnd w:id="5"/>
      <w:r>
        <w:t>ARTICLE 15: EQUALITY BEFORE THE LAW</w:t>
      </w:r>
      <w:r w:rsidR="00000000">
        <w:rPr>
          <w:noProof/>
        </w:rPr>
        <w:pict w14:anchorId="0DCED219">
          <v:rect id="_x0000_i1036" alt="" style="width:433.25pt;height:.05pt;mso-width-percent:0;mso-height-percent:0;mso-width-percent:0;mso-height-percent:0" o:hrpct="960" o:hralign="center" o:hrstd="t" o:hr="t" fillcolor="#a0a0a0" stroked="f"/>
        </w:pict>
      </w:r>
    </w:p>
    <w:p w14:paraId="1E8E4E5E" w14:textId="77777777" w:rsidR="003823DA" w:rsidRDefault="003823DA" w:rsidP="003823DA">
      <w:pPr>
        <w:jc w:val="both"/>
        <w:rPr>
          <w:rFonts w:ascii="Calibri" w:eastAsia="Calibri" w:hAnsi="Calibri" w:cs="Calibri"/>
        </w:rPr>
      </w:pPr>
      <w:r>
        <w:rPr>
          <w:rFonts w:ascii="Calibri" w:eastAsia="Calibri" w:hAnsi="Calibri" w:cs="Calibri"/>
        </w:rPr>
        <w:t>While the 2017 Constitution enshrines the principle of equality before the law,</w:t>
      </w:r>
      <w:r>
        <w:rPr>
          <w:rFonts w:ascii="Calibri" w:eastAsia="Calibri" w:hAnsi="Calibri" w:cs="Calibri"/>
          <w:vertAlign w:val="superscript"/>
        </w:rPr>
        <w:endnoteReference w:id="94"/>
      </w:r>
      <w:r>
        <w:rPr>
          <w:rFonts w:ascii="Calibri" w:eastAsia="Calibri" w:hAnsi="Calibri" w:cs="Calibri"/>
        </w:rPr>
        <w:t xml:space="preserve"> many laws and policies still run counter to the spirit of the principle.</w:t>
      </w:r>
    </w:p>
    <w:p w14:paraId="5461258B" w14:textId="77777777" w:rsidR="003823DA" w:rsidRDefault="003823DA" w:rsidP="003823DA">
      <w:pPr>
        <w:jc w:val="both"/>
        <w:rPr>
          <w:rFonts w:ascii="Calibri" w:eastAsia="Calibri" w:hAnsi="Calibri" w:cs="Calibri"/>
        </w:rPr>
      </w:pPr>
    </w:p>
    <w:p w14:paraId="2DEA2495" w14:textId="77777777" w:rsidR="003823DA" w:rsidRDefault="003823DA" w:rsidP="003823DA">
      <w:pPr>
        <w:jc w:val="both"/>
        <w:rPr>
          <w:rFonts w:ascii="Calibri" w:eastAsia="Calibri" w:hAnsi="Calibri" w:cs="Calibri"/>
        </w:rPr>
      </w:pPr>
      <w:r>
        <w:rPr>
          <w:rFonts w:ascii="Calibri" w:eastAsia="Calibri" w:hAnsi="Calibri" w:cs="Calibri"/>
        </w:rPr>
        <w:t>Since the Thai legislation is constructed in a way that conflates the concepts of sex work and human trafficking or illegal migration,</w:t>
      </w:r>
      <w:r>
        <w:rPr>
          <w:rFonts w:ascii="Calibri" w:eastAsia="Calibri" w:hAnsi="Calibri" w:cs="Calibri"/>
          <w:vertAlign w:val="superscript"/>
        </w:rPr>
        <w:endnoteReference w:id="95"/>
      </w:r>
      <w:r>
        <w:rPr>
          <w:rFonts w:ascii="Calibri" w:eastAsia="Calibri" w:hAnsi="Calibri" w:cs="Calibri"/>
        </w:rPr>
        <w:t xml:space="preserve"> </w:t>
      </w:r>
      <w:r>
        <w:rPr>
          <w:rFonts w:ascii="Calibri" w:eastAsia="Calibri" w:hAnsi="Calibri" w:cs="Calibri"/>
          <w:b/>
        </w:rPr>
        <w:t>sex workers</w:t>
      </w:r>
      <w:r>
        <w:rPr>
          <w:rFonts w:ascii="Calibri" w:eastAsia="Calibri" w:hAnsi="Calibri" w:cs="Calibri"/>
        </w:rPr>
        <w:t xml:space="preserve"> are disenfranchised of their rights. Local authorities conduct raids at their workplace, which are not complemented with an appeal or review mechanism and, indeed, are often carried out under false pretenses. Women who have been deprived of their means of subsistence therefore cannot take their cases up with relevant authorities. Where they are instead arrested on prostitution, immigration, and trafficking charges, the apprehended women are not provided with legal representation or even a translator to inform them of their rights.</w:t>
      </w:r>
      <w:r>
        <w:rPr>
          <w:rFonts w:ascii="Calibri" w:eastAsia="Calibri" w:hAnsi="Calibri" w:cs="Calibri"/>
          <w:vertAlign w:val="superscript"/>
        </w:rPr>
        <w:endnoteReference w:id="96"/>
      </w:r>
    </w:p>
    <w:p w14:paraId="0A8A2EDD" w14:textId="77777777" w:rsidR="003823DA" w:rsidRDefault="003823DA" w:rsidP="003823DA">
      <w:pPr>
        <w:rPr>
          <w:rFonts w:ascii="Calibri" w:eastAsia="Calibri" w:hAnsi="Calibri" w:cs="Calibri"/>
        </w:rPr>
      </w:pPr>
    </w:p>
    <w:p w14:paraId="723499BE" w14:textId="77777777" w:rsidR="003823DA" w:rsidRDefault="003823DA" w:rsidP="003823DA">
      <w:pPr>
        <w:jc w:val="both"/>
        <w:rPr>
          <w:rFonts w:ascii="Calibri" w:eastAsia="Calibri" w:hAnsi="Calibri" w:cs="Calibri"/>
        </w:rPr>
      </w:pPr>
      <w:r>
        <w:rPr>
          <w:rFonts w:ascii="Calibri" w:eastAsia="Calibri" w:hAnsi="Calibri" w:cs="Calibri"/>
          <w:b/>
        </w:rPr>
        <w:t>Indigenous women</w:t>
      </w:r>
      <w:r>
        <w:rPr>
          <w:rFonts w:ascii="Calibri" w:eastAsia="Calibri" w:hAnsi="Calibri" w:cs="Calibri"/>
        </w:rPr>
        <w:t xml:space="preserve"> likewise have limited access to justice, despite being most prone to various forms of violence rooted in economic, cultural and religious motives. The difficulties faced by indigenous women is fueled by Thailand’s refusal to recognize the term indigenous and apply it to the domestic law.</w:t>
      </w:r>
      <w:r>
        <w:rPr>
          <w:rFonts w:ascii="Calibri" w:eastAsia="Calibri" w:hAnsi="Calibri" w:cs="Calibri"/>
          <w:vertAlign w:val="superscript"/>
        </w:rPr>
        <w:endnoteReference w:id="97"/>
      </w:r>
      <w:r>
        <w:rPr>
          <w:rFonts w:ascii="Calibri" w:eastAsia="Calibri" w:hAnsi="Calibri" w:cs="Calibri"/>
        </w:rPr>
        <w:t xml:space="preserve"> The refusal to recognize indigenous groups as having distinct characteristics effectively denies them of the heightened protection they are guaranteed under international law, including the UNDRIP. For instance, Indigenous women are often not consulted prior to the enactment of laws affecting them.</w:t>
      </w:r>
      <w:r>
        <w:rPr>
          <w:rFonts w:ascii="Calibri" w:eastAsia="Calibri" w:hAnsi="Calibri" w:cs="Calibri"/>
          <w:vertAlign w:val="superscript"/>
        </w:rPr>
        <w:endnoteReference w:id="98"/>
      </w:r>
      <w:r>
        <w:rPr>
          <w:rFonts w:ascii="Calibri" w:eastAsia="Calibri" w:hAnsi="Calibri" w:cs="Calibri"/>
        </w:rPr>
        <w:t xml:space="preserve"> They are also prevented from accessing grievance mechanisms and the judiciary due to language barriers and gaps in their knowledge of the national legal system. There has been some tangible progress in this area and legislative instruments concerning the advancement of indigenous and ethnic groups’ livelihoods are currently in discussion at various government levels.</w:t>
      </w:r>
      <w:r>
        <w:rPr>
          <w:rFonts w:ascii="Calibri" w:eastAsia="Calibri" w:hAnsi="Calibri" w:cs="Calibri"/>
          <w:vertAlign w:val="superscript"/>
        </w:rPr>
        <w:endnoteReference w:id="99"/>
      </w:r>
    </w:p>
    <w:p w14:paraId="66FAF679" w14:textId="77777777" w:rsidR="003823DA" w:rsidRDefault="003823DA" w:rsidP="003823DA">
      <w:pPr>
        <w:jc w:val="both"/>
        <w:rPr>
          <w:rFonts w:ascii="Calibri" w:eastAsia="Calibri" w:hAnsi="Calibri" w:cs="Calibri"/>
        </w:rPr>
      </w:pPr>
    </w:p>
    <w:p w14:paraId="44CE61E3" w14:textId="77777777" w:rsidR="003823DA" w:rsidRDefault="003823DA" w:rsidP="003823DA">
      <w:pPr>
        <w:jc w:val="both"/>
        <w:rPr>
          <w:rFonts w:ascii="Calibri" w:eastAsia="Calibri" w:hAnsi="Calibri" w:cs="Calibri"/>
        </w:rPr>
      </w:pPr>
      <w:r>
        <w:rPr>
          <w:rFonts w:ascii="Calibri" w:eastAsia="Calibri" w:hAnsi="Calibri" w:cs="Calibri"/>
          <w:b/>
        </w:rPr>
        <w:t>Malay Muslim women</w:t>
      </w:r>
      <w:r>
        <w:rPr>
          <w:rFonts w:ascii="Calibri" w:eastAsia="Calibri" w:hAnsi="Calibri" w:cs="Calibri"/>
        </w:rPr>
        <w:t xml:space="preserve"> face a distinct set of challenges in accessing justice due to the cultural overtones of their justice system. The Islamic Law holds primacy over State law in the SBPs.</w:t>
      </w:r>
      <w:r>
        <w:rPr>
          <w:rFonts w:ascii="Calibri" w:eastAsia="Calibri" w:hAnsi="Calibri" w:cs="Calibri"/>
          <w:vertAlign w:val="superscript"/>
        </w:rPr>
        <w:endnoteReference w:id="100"/>
      </w:r>
      <w:r>
        <w:rPr>
          <w:rFonts w:ascii="Calibri" w:eastAsia="Calibri" w:hAnsi="Calibri" w:cs="Calibri"/>
        </w:rPr>
        <w:t xml:space="preserve"> Many Malay Muslim women are also not well-versed on the law, possessing minimal understanding of their rights and obligations in the regular course of a dispute or a situation that they face.</w:t>
      </w:r>
      <w:r>
        <w:rPr>
          <w:rFonts w:ascii="Calibri" w:eastAsia="Calibri" w:hAnsi="Calibri" w:cs="Calibri"/>
          <w:vertAlign w:val="superscript"/>
        </w:rPr>
        <w:endnoteReference w:id="101"/>
      </w:r>
      <w:r>
        <w:rPr>
          <w:rFonts w:ascii="Calibri" w:eastAsia="Calibri" w:hAnsi="Calibri" w:cs="Calibri"/>
        </w:rPr>
        <w:t xml:space="preserve"> Outside of civil law, women who fall victim to marital rape or domestic violence are often not aware of their legal options as provided under the Thai Criminal Code and the FDPA, and these statutes are seldom used in the resolution of their cases.</w:t>
      </w:r>
      <w:r>
        <w:rPr>
          <w:rFonts w:ascii="Calibri" w:eastAsia="Calibri" w:hAnsi="Calibri" w:cs="Calibri"/>
          <w:vertAlign w:val="superscript"/>
        </w:rPr>
        <w:endnoteReference w:id="102"/>
      </w:r>
      <w:r>
        <w:rPr>
          <w:rFonts w:ascii="Calibri" w:eastAsia="Calibri" w:hAnsi="Calibri" w:cs="Calibri"/>
        </w:rPr>
        <w:t xml:space="preserve"> There is also a stigma around implicating law enforcement authorities in cases of this nature, as they are perceived to be private matters to be dealt with by </w:t>
      </w:r>
      <w:r>
        <w:rPr>
          <w:rFonts w:ascii="Calibri" w:eastAsia="Calibri" w:hAnsi="Calibri" w:cs="Calibri"/>
        </w:rPr>
        <w:lastRenderedPageBreak/>
        <w:t>“internal” or “family” members.</w:t>
      </w:r>
      <w:r>
        <w:rPr>
          <w:rFonts w:ascii="Calibri" w:eastAsia="Calibri" w:hAnsi="Calibri" w:cs="Calibri"/>
          <w:vertAlign w:val="superscript"/>
        </w:rPr>
        <w:endnoteReference w:id="103"/>
      </w:r>
      <w:r>
        <w:rPr>
          <w:rFonts w:ascii="Calibri" w:eastAsia="Calibri" w:hAnsi="Calibri" w:cs="Calibri"/>
        </w:rPr>
        <w:t xml:space="preserve"> They are often unable to navigate the justice system due to being financially dependent on their husbands and language barriers, as many of them do not speak or understand Thai.</w:t>
      </w:r>
      <w:r>
        <w:rPr>
          <w:rFonts w:ascii="Calibri" w:eastAsia="Calibri" w:hAnsi="Calibri" w:cs="Calibri"/>
          <w:vertAlign w:val="superscript"/>
        </w:rPr>
        <w:endnoteReference w:id="104"/>
      </w:r>
      <w:r>
        <w:rPr>
          <w:rFonts w:ascii="Calibri" w:eastAsia="Calibri" w:hAnsi="Calibri" w:cs="Calibri"/>
        </w:rPr>
        <w:t xml:space="preserve"> The government has yet to address these issues, the urgency of which has only increased in light of demands made by Malay Muslim women,</w:t>
      </w:r>
      <w:r>
        <w:rPr>
          <w:rFonts w:ascii="Calibri" w:eastAsia="Calibri" w:hAnsi="Calibri" w:cs="Calibri"/>
          <w:vertAlign w:val="superscript"/>
        </w:rPr>
        <w:endnoteReference w:id="105"/>
      </w:r>
      <w:r>
        <w:rPr>
          <w:rFonts w:ascii="Calibri" w:eastAsia="Calibri" w:hAnsi="Calibri" w:cs="Calibri"/>
        </w:rPr>
        <w:t xml:space="preserve"> and local judges and academics,</w:t>
      </w:r>
      <w:r>
        <w:rPr>
          <w:rFonts w:ascii="Calibri" w:eastAsia="Calibri" w:hAnsi="Calibri" w:cs="Calibri"/>
          <w:vertAlign w:val="superscript"/>
        </w:rPr>
        <w:endnoteReference w:id="106"/>
      </w:r>
      <w:r>
        <w:rPr>
          <w:rFonts w:ascii="Calibri" w:eastAsia="Calibri" w:hAnsi="Calibri" w:cs="Calibri"/>
        </w:rPr>
        <w:t xml:space="preserve"> for a reform. Women along the southern border are regularly blacklisted by the government on suspicions of involvement in national security-related cases, thereby preventing them from relying on government services and main grievance channels.</w:t>
      </w:r>
      <w:r>
        <w:rPr>
          <w:rFonts w:ascii="Calibri" w:eastAsia="Calibri" w:hAnsi="Calibri" w:cs="Calibri"/>
          <w:vertAlign w:val="superscript"/>
        </w:rPr>
        <w:endnoteReference w:id="107"/>
      </w:r>
    </w:p>
    <w:p w14:paraId="3C8E2AD1" w14:textId="77777777" w:rsidR="003823DA" w:rsidRDefault="003823DA" w:rsidP="003823DA">
      <w:pPr>
        <w:jc w:val="both"/>
        <w:rPr>
          <w:rFonts w:ascii="Calibri" w:eastAsia="Calibri" w:hAnsi="Calibri" w:cs="Calibri"/>
        </w:rPr>
      </w:pPr>
    </w:p>
    <w:p w14:paraId="350D563D" w14:textId="77777777" w:rsidR="003823DA" w:rsidRDefault="003823DA" w:rsidP="003823DA">
      <w:pPr>
        <w:jc w:val="both"/>
        <w:rPr>
          <w:rFonts w:ascii="Calibri" w:eastAsia="Calibri" w:hAnsi="Calibri" w:cs="Calibri"/>
        </w:rPr>
      </w:pPr>
      <w:r>
        <w:rPr>
          <w:rFonts w:ascii="Calibri" w:eastAsia="Calibri" w:hAnsi="Calibri" w:cs="Calibri"/>
          <w:b/>
        </w:rPr>
        <w:t>Migrant women workers</w:t>
      </w:r>
      <w:r>
        <w:rPr>
          <w:rFonts w:ascii="Calibri" w:eastAsia="Calibri" w:hAnsi="Calibri" w:cs="Calibri"/>
        </w:rPr>
        <w:t xml:space="preserve"> face limitations accessing justice, seeking remedy or standing up for their rights. In Thailand, migrant workers are required to have a broker in order to work or change jobs. If migrants stand up to their employers or unionize to call for higher wages, they will likely be fired and may not be hired again, because brokers are likely to not refer them to new employers, knowing that they have the tendency to fight for their rights.</w:t>
      </w:r>
      <w:r>
        <w:rPr>
          <w:rFonts w:ascii="Calibri" w:eastAsia="Calibri" w:hAnsi="Calibri" w:cs="Calibri"/>
          <w:vertAlign w:val="superscript"/>
        </w:rPr>
        <w:endnoteReference w:id="108"/>
      </w:r>
      <w:r>
        <w:rPr>
          <w:rFonts w:ascii="Calibri" w:eastAsia="Calibri" w:hAnsi="Calibri" w:cs="Calibri"/>
        </w:rPr>
        <w:t xml:space="preserve"> </w:t>
      </w:r>
    </w:p>
    <w:p w14:paraId="5BB2327B" w14:textId="77777777" w:rsidR="003823DA" w:rsidRDefault="003823DA" w:rsidP="003823DA">
      <w:pPr>
        <w:jc w:val="both"/>
        <w:rPr>
          <w:rFonts w:ascii="Calibri" w:eastAsia="Calibri" w:hAnsi="Calibri" w:cs="Calibri"/>
        </w:rPr>
      </w:pPr>
    </w:p>
    <w:p w14:paraId="5E478E18" w14:textId="77777777" w:rsidR="003823DA" w:rsidRDefault="003823DA" w:rsidP="003823DA">
      <w:pPr>
        <w:jc w:val="both"/>
        <w:rPr>
          <w:rFonts w:ascii="Calibri" w:eastAsia="Calibri" w:hAnsi="Calibri" w:cs="Calibri"/>
        </w:rPr>
      </w:pPr>
      <w:r>
        <w:rPr>
          <w:rFonts w:ascii="Calibri" w:eastAsia="Calibri" w:hAnsi="Calibri" w:cs="Calibri"/>
          <w:b/>
        </w:rPr>
        <w:t>Women with HIV</w:t>
      </w:r>
      <w:r>
        <w:rPr>
          <w:rFonts w:ascii="Calibri" w:eastAsia="Calibri" w:hAnsi="Calibri" w:cs="Calibri"/>
        </w:rPr>
        <w:t xml:space="preserve"> are largely unable to enjoy equality due to heavy stigmatization of their condition. Thailand does not have legislation in place specifically to protect people living with HIV from discrimination.</w:t>
      </w:r>
    </w:p>
    <w:p w14:paraId="30AC9DDA" w14:textId="1F31D86F" w:rsidR="003823DA" w:rsidRDefault="003823DA" w:rsidP="002347B2">
      <w:pPr>
        <w:jc w:val="both"/>
      </w:pPr>
      <w:r>
        <w:rPr>
          <w:rFonts w:ascii="Calibri" w:eastAsia="Calibri" w:hAnsi="Calibri" w:cs="Calibri"/>
        </w:rPr>
        <w:t xml:space="preserve"> </w:t>
      </w:r>
      <w:bookmarkStart w:id="6" w:name="_f9kvyut89akn" w:colFirst="0" w:colLast="0"/>
      <w:bookmarkEnd w:id="6"/>
      <w:r w:rsidR="00000000">
        <w:rPr>
          <w:noProof/>
        </w:rPr>
        <w:pict w14:anchorId="6F8A374C">
          <v:rect id="_x0000_i1037" alt="" style="width:446.8pt;height:.05pt;mso-width-percent:0;mso-height-percent:0;mso-width-percent:0;mso-height-percent:0" o:hrpct="990" o:hralign="center" o:hrstd="t" o:hr="t" fillcolor="#a0a0a0" stroked="f"/>
        </w:pict>
      </w:r>
    </w:p>
    <w:p w14:paraId="693072E8" w14:textId="64873981" w:rsidR="003823DA" w:rsidRDefault="003823DA" w:rsidP="003823DA">
      <w:pPr>
        <w:pStyle w:val="Heading1"/>
        <w:numPr>
          <w:ilvl w:val="0"/>
          <w:numId w:val="5"/>
        </w:numPr>
        <w:jc w:val="left"/>
      </w:pPr>
      <w:bookmarkStart w:id="7" w:name="_2vzk44qjlejk" w:colFirst="0" w:colLast="0"/>
      <w:bookmarkEnd w:id="7"/>
      <w:r>
        <w:t xml:space="preserve">ARTICLE 16: MARRIAGE AND FAMILY LIFE </w:t>
      </w:r>
      <w:r w:rsidR="00000000">
        <w:rPr>
          <w:noProof/>
        </w:rPr>
        <w:pict w14:anchorId="32B5E474">
          <v:rect id="_x0000_i1038" alt="" style="width:433.25pt;height:.05pt;mso-width-percent:0;mso-height-percent:0;mso-width-percent:0;mso-height-percent:0" o:hrpct="960" o:hralign="center" o:hrstd="t" o:hr="t" fillcolor="#a0a0a0" stroked="f"/>
        </w:pict>
      </w:r>
    </w:p>
    <w:p w14:paraId="02B52FC3" w14:textId="70A06BEF" w:rsidR="003823DA" w:rsidRPr="00C1286B" w:rsidRDefault="003823DA" w:rsidP="003823DA">
      <w:pPr>
        <w:jc w:val="both"/>
        <w:rPr>
          <w:rFonts w:ascii="Calibri" w:eastAsia="Calibri" w:hAnsi="Calibri" w:cs="Calibri"/>
        </w:rPr>
      </w:pPr>
      <w:r w:rsidRPr="00C1286B">
        <w:rPr>
          <w:rFonts w:ascii="Calibri" w:eastAsia="Calibri" w:hAnsi="Calibri" w:cs="Calibri"/>
          <w:b/>
        </w:rPr>
        <w:t>Women subjected to male violence in intimate relationships</w:t>
      </w:r>
      <w:r w:rsidRPr="00C1286B">
        <w:rPr>
          <w:rFonts w:ascii="Calibri" w:eastAsia="Calibri" w:hAnsi="Calibri" w:cs="Calibri"/>
        </w:rPr>
        <w:t xml:space="preserve"> is a prevalent issue in Thailand. A </w:t>
      </w:r>
      <w:r w:rsidR="00476C71">
        <w:rPr>
          <w:rFonts w:ascii="Calibri" w:eastAsia="Calibri" w:hAnsi="Calibri" w:cs="Calibri"/>
        </w:rPr>
        <w:t xml:space="preserve">2021 </w:t>
      </w:r>
      <w:r w:rsidRPr="00C1286B">
        <w:rPr>
          <w:rFonts w:ascii="Calibri" w:eastAsia="Calibri" w:hAnsi="Calibri" w:cs="Calibri"/>
        </w:rPr>
        <w:t>survey reported that 75% of women over 20 years old have experienced several instances of domestic abuse.</w:t>
      </w:r>
      <w:r w:rsidRPr="00C1286B">
        <w:rPr>
          <w:rFonts w:ascii="Calibri" w:eastAsia="Calibri" w:hAnsi="Calibri" w:cs="Calibri"/>
          <w:vertAlign w:val="superscript"/>
        </w:rPr>
        <w:endnoteReference w:id="109"/>
      </w:r>
      <w:r w:rsidRPr="00C1286B">
        <w:rPr>
          <w:rFonts w:ascii="Calibri" w:eastAsia="Calibri" w:hAnsi="Calibri" w:cs="Calibri"/>
        </w:rPr>
        <w:t xml:space="preserve"> Domestic violence cases increased by 66% during the COVID-19 outbreak. The cases increased by 48% in the South and by 26% in Bangkok.</w:t>
      </w:r>
      <w:r w:rsidRPr="00C1286B">
        <w:rPr>
          <w:rFonts w:ascii="Calibri" w:eastAsia="Calibri" w:hAnsi="Calibri" w:cs="Calibri"/>
          <w:vertAlign w:val="superscript"/>
        </w:rPr>
        <w:endnoteReference w:id="110"/>
      </w:r>
      <w:r w:rsidRPr="00C1286B">
        <w:rPr>
          <w:rFonts w:ascii="Calibri" w:eastAsia="Calibri" w:hAnsi="Calibri" w:cs="Calibri"/>
        </w:rPr>
        <w:t xml:space="preserve"> The COVID-19 outbreak has also resulted in poor access to services for survivors of domestic violence and gender-based violence, causing difficulties in visiting hospitals for physical and psychological treatment, as well as collection of evidence with respect to the abuse. Government and private shelters have limited the number of survivors that can be taken in or shut down their services entirely. </w:t>
      </w:r>
    </w:p>
    <w:p w14:paraId="7BF5FA84" w14:textId="77777777" w:rsidR="003823DA" w:rsidRPr="00C1286B" w:rsidRDefault="003823DA" w:rsidP="003823DA">
      <w:pPr>
        <w:jc w:val="both"/>
        <w:rPr>
          <w:rFonts w:ascii="Calibri" w:eastAsia="Calibri" w:hAnsi="Calibri" w:cs="Calibri"/>
        </w:rPr>
      </w:pPr>
    </w:p>
    <w:p w14:paraId="5485722A" w14:textId="5559B246" w:rsidR="00FC3074" w:rsidRDefault="003823DA" w:rsidP="003823DA">
      <w:pPr>
        <w:jc w:val="both"/>
        <w:rPr>
          <w:rFonts w:ascii="Calibri" w:eastAsia="Calibri" w:hAnsi="Calibri" w:cs="Calibri"/>
        </w:rPr>
      </w:pPr>
      <w:r w:rsidRPr="00C1286B">
        <w:rPr>
          <w:rFonts w:ascii="Calibri" w:eastAsia="Calibri" w:hAnsi="Calibri" w:cs="Calibri"/>
        </w:rPr>
        <w:t>The recorded incidences of violence against women are only the tip of the iceberg. Many incidents of violence against women continue to go unreported for a variety of reasons;</w:t>
      </w:r>
      <w:r w:rsidRPr="00C1286B">
        <w:rPr>
          <w:rFonts w:ascii="Calibri" w:eastAsia="Calibri" w:hAnsi="Calibri" w:cs="Calibri"/>
          <w:vertAlign w:val="superscript"/>
        </w:rPr>
        <w:endnoteReference w:id="111"/>
      </w:r>
      <w:r w:rsidRPr="00C1286B">
        <w:rPr>
          <w:rFonts w:ascii="Calibri" w:eastAsia="Calibri" w:hAnsi="Calibri" w:cs="Calibri"/>
        </w:rPr>
        <w:t xml:space="preserve"> it is estimated that roughly 87% of rape cases are not reported to the police.</w:t>
      </w:r>
      <w:r w:rsidRPr="00C1286B">
        <w:rPr>
          <w:rFonts w:ascii="Calibri" w:eastAsia="Calibri" w:hAnsi="Calibri" w:cs="Calibri"/>
          <w:vertAlign w:val="superscript"/>
        </w:rPr>
        <w:endnoteReference w:id="112"/>
      </w:r>
      <w:r w:rsidRPr="00C1286B">
        <w:rPr>
          <w:rFonts w:ascii="Calibri" w:eastAsia="Calibri" w:hAnsi="Calibri" w:cs="Calibri"/>
        </w:rPr>
        <w:t xml:space="preserve"> The first possible reason is the worry that the abusers, who are frequently those closest to the survivors, may take revenge. The second possibility are pervasive gender norms which place women in submissive roles following a patriarchal division of tasks placing emphasis on the subservient role of women as family caregivers, who, for the sake of their family’s survival and reputation, should endure violence from the breadwinners. Such practices give way to victim-blaming discourses and stigmatization.</w:t>
      </w:r>
      <w:r w:rsidRPr="00C1286B">
        <w:rPr>
          <w:rFonts w:ascii="Calibri" w:eastAsia="Calibri" w:hAnsi="Calibri" w:cs="Calibri"/>
          <w:vertAlign w:val="superscript"/>
        </w:rPr>
        <w:endnoteReference w:id="113"/>
      </w:r>
      <w:r w:rsidRPr="00C1286B">
        <w:rPr>
          <w:rFonts w:ascii="Calibri" w:eastAsia="Calibri" w:hAnsi="Calibri" w:cs="Calibri"/>
        </w:rPr>
        <w:t xml:space="preserve"> </w:t>
      </w:r>
    </w:p>
    <w:p w14:paraId="37F50972" w14:textId="77777777" w:rsidR="00FC3074" w:rsidRDefault="00FC3074" w:rsidP="003823DA">
      <w:pPr>
        <w:jc w:val="both"/>
        <w:rPr>
          <w:rFonts w:ascii="Calibri" w:eastAsia="Calibri" w:hAnsi="Calibri" w:cs="Calibri"/>
        </w:rPr>
      </w:pPr>
    </w:p>
    <w:p w14:paraId="2698A061" w14:textId="1E798BCD" w:rsidR="003823DA" w:rsidRDefault="003823DA" w:rsidP="003823DA">
      <w:pPr>
        <w:jc w:val="both"/>
        <w:rPr>
          <w:rFonts w:ascii="Calibri" w:eastAsia="Calibri" w:hAnsi="Calibri" w:cs="Calibri"/>
        </w:rPr>
      </w:pPr>
      <w:r w:rsidRPr="00C1286B">
        <w:rPr>
          <w:rFonts w:ascii="Calibri" w:eastAsia="Calibri" w:hAnsi="Calibri" w:cs="Calibri"/>
        </w:rPr>
        <w:t>On a legal protection level, although the female survivor of GBV is technically entitled to require a female inquiry officer, there is a limited number of female officers, which survivors of GBV feel unsafe.</w:t>
      </w:r>
      <w:r w:rsidRPr="00C1286B">
        <w:rPr>
          <w:rFonts w:ascii="Calibri" w:eastAsia="Calibri" w:hAnsi="Calibri" w:cs="Calibri"/>
          <w:vertAlign w:val="superscript"/>
        </w:rPr>
        <w:endnoteReference w:id="114"/>
      </w:r>
      <w:r w:rsidRPr="00C1286B">
        <w:rPr>
          <w:rFonts w:ascii="Calibri" w:eastAsia="Calibri" w:hAnsi="Calibri" w:cs="Calibri"/>
        </w:rPr>
        <w:t xml:space="preserve"> The government fails to provide adequate and accessible funding and facilities for the health and social welfare of women affected by domestic violence. Furthermore, the existing judicial system is unfriendly to survivors.</w:t>
      </w:r>
      <w:r w:rsidRPr="00C1286B">
        <w:rPr>
          <w:rFonts w:ascii="Calibri" w:eastAsia="Calibri" w:hAnsi="Calibri" w:cs="Calibri"/>
          <w:vertAlign w:val="superscript"/>
        </w:rPr>
        <w:endnoteReference w:id="115"/>
      </w:r>
      <w:r w:rsidRPr="00C1286B">
        <w:rPr>
          <w:rFonts w:ascii="Calibri" w:eastAsia="Calibri" w:hAnsi="Calibri" w:cs="Calibri"/>
        </w:rPr>
        <w:t xml:space="preserve"> Unfair trials are common place with poor or inexistent legal representation,</w:t>
      </w:r>
      <w:r w:rsidRPr="00C1286B">
        <w:rPr>
          <w:rFonts w:ascii="Calibri" w:eastAsia="Calibri" w:hAnsi="Calibri" w:cs="Calibri"/>
          <w:vertAlign w:val="superscript"/>
        </w:rPr>
        <w:endnoteReference w:id="116"/>
      </w:r>
      <w:r w:rsidRPr="00C1286B">
        <w:rPr>
          <w:rFonts w:ascii="Calibri" w:eastAsia="Calibri" w:hAnsi="Calibri" w:cs="Calibri"/>
        </w:rPr>
        <w:t xml:space="preserve"> coupled with the accusatory approach utilized by courts, which requires them to </w:t>
      </w:r>
      <w:r w:rsidRPr="00C1286B">
        <w:rPr>
          <w:rFonts w:ascii="Calibri" w:eastAsia="Calibri" w:hAnsi="Calibri" w:cs="Calibri"/>
        </w:rPr>
        <w:lastRenderedPageBreak/>
        <w:t>prove that the harm was caused by the abusers, the latter of whom are innocent before proven guilty.</w:t>
      </w:r>
      <w:r w:rsidRPr="00C1286B">
        <w:rPr>
          <w:rFonts w:ascii="Calibri" w:eastAsia="Calibri" w:hAnsi="Calibri" w:cs="Calibri"/>
          <w:vertAlign w:val="superscript"/>
        </w:rPr>
        <w:endnoteReference w:id="117"/>
      </w:r>
      <w:r w:rsidRPr="00C1286B">
        <w:rPr>
          <w:rFonts w:ascii="Calibri" w:eastAsia="Calibri" w:hAnsi="Calibri" w:cs="Calibri"/>
        </w:rPr>
        <w:t xml:space="preserve"> </w:t>
      </w:r>
    </w:p>
    <w:p w14:paraId="484D6E8C" w14:textId="77777777" w:rsidR="003823DA" w:rsidRDefault="003823DA" w:rsidP="003823DA">
      <w:pPr>
        <w:jc w:val="both"/>
        <w:rPr>
          <w:rFonts w:ascii="Calibri" w:eastAsia="Calibri" w:hAnsi="Calibri" w:cs="Calibri"/>
        </w:rPr>
      </w:pPr>
    </w:p>
    <w:p w14:paraId="5D96CB5F" w14:textId="77777777" w:rsidR="003823DA" w:rsidRDefault="003823DA" w:rsidP="003823DA">
      <w:pPr>
        <w:jc w:val="both"/>
        <w:rPr>
          <w:rFonts w:ascii="Calibri" w:eastAsia="Calibri" w:hAnsi="Calibri" w:cs="Calibri"/>
        </w:rPr>
      </w:pPr>
      <w:r>
        <w:rPr>
          <w:rFonts w:ascii="Calibri" w:eastAsia="Calibri" w:hAnsi="Calibri" w:cs="Calibri"/>
        </w:rPr>
        <w:t xml:space="preserve">Some categories of women suffer intersecting forms of discrimination, which lead to them being more vulnerable to domestic abuse. Such is the case with </w:t>
      </w:r>
      <w:r>
        <w:rPr>
          <w:rFonts w:ascii="Calibri" w:eastAsia="Calibri" w:hAnsi="Calibri" w:cs="Calibri"/>
          <w:b/>
          <w:highlight w:val="white"/>
        </w:rPr>
        <w:t>Mala</w:t>
      </w:r>
      <w:r>
        <w:rPr>
          <w:rFonts w:ascii="Calibri" w:eastAsia="Calibri" w:hAnsi="Calibri" w:cs="Calibri"/>
          <w:b/>
        </w:rPr>
        <w:t>y Muslim women,</w:t>
      </w:r>
      <w:r>
        <w:rPr>
          <w:rFonts w:ascii="Calibri" w:eastAsia="Calibri" w:hAnsi="Calibri" w:cs="Calibri"/>
        </w:rPr>
        <w:t xml:space="preserve"> who are denied decision-making power in their marriage.</w:t>
      </w:r>
      <w:r>
        <w:rPr>
          <w:rFonts w:ascii="Calibri" w:eastAsia="Calibri" w:hAnsi="Calibri" w:cs="Calibri"/>
          <w:vertAlign w:val="superscript"/>
        </w:rPr>
        <w:endnoteReference w:id="118"/>
      </w:r>
      <w:r>
        <w:rPr>
          <w:rFonts w:ascii="Calibri" w:eastAsia="Calibri" w:hAnsi="Calibri" w:cs="Calibri"/>
        </w:rPr>
        <w:t xml:space="preserve"> While the Thai Civil and Commercial Code provides for a minimum marriage age of 17 years, this does not apply to marriages among Malay Muslims which are governed by the Islamic Family and Inheritance Law or customary practices.</w:t>
      </w:r>
      <w:r>
        <w:rPr>
          <w:rFonts w:ascii="Calibri" w:eastAsia="Calibri" w:hAnsi="Calibri" w:cs="Calibri"/>
          <w:vertAlign w:val="superscript"/>
        </w:rPr>
        <w:endnoteReference w:id="119"/>
      </w:r>
      <w:r>
        <w:rPr>
          <w:rFonts w:ascii="Calibri" w:eastAsia="Calibri" w:hAnsi="Calibri" w:cs="Calibri"/>
        </w:rPr>
        <w:t xml:space="preserve"> Consequently, Malay Muslim girls can be forced to marry as soon as they reach puberty. Furthermore, under the Thai Civil and Commercial Code, polygamy is prohibited, while such marriages are allowed under the Islamic Family and Inheritance Law.</w:t>
      </w:r>
      <w:r>
        <w:rPr>
          <w:rFonts w:ascii="Calibri" w:eastAsia="Calibri" w:hAnsi="Calibri" w:cs="Calibri"/>
          <w:vertAlign w:val="superscript"/>
        </w:rPr>
        <w:endnoteReference w:id="120"/>
      </w:r>
      <w:r>
        <w:rPr>
          <w:rFonts w:ascii="Calibri" w:eastAsia="Calibri" w:hAnsi="Calibri" w:cs="Calibri"/>
        </w:rPr>
        <w:t xml:space="preserve"> Malay Muslim women are also often subject to domestic violence; problematically, if they wish to divorce, they face challenges to file divorce applications.</w:t>
      </w:r>
      <w:r>
        <w:rPr>
          <w:rFonts w:ascii="Calibri" w:eastAsia="Calibri" w:hAnsi="Calibri" w:cs="Calibri"/>
          <w:vertAlign w:val="superscript"/>
        </w:rPr>
        <w:endnoteReference w:id="121"/>
      </w:r>
      <w:r>
        <w:rPr>
          <w:rFonts w:ascii="Calibri" w:eastAsia="Calibri" w:hAnsi="Calibri" w:cs="Calibri"/>
        </w:rPr>
        <w:t xml:space="preserve"> A husband may file for a divorce without his wife’s consent, and the request cannot be appealed.</w:t>
      </w:r>
      <w:r>
        <w:rPr>
          <w:rFonts w:ascii="Calibri" w:eastAsia="Calibri" w:hAnsi="Calibri" w:cs="Calibri"/>
          <w:vertAlign w:val="superscript"/>
        </w:rPr>
        <w:endnoteReference w:id="122"/>
      </w:r>
      <w:r>
        <w:rPr>
          <w:rFonts w:ascii="Calibri" w:eastAsia="Calibri" w:hAnsi="Calibri" w:cs="Calibri"/>
        </w:rPr>
        <w:t xml:space="preserve"> Husbands who wish to divorce their wives could also go “shopping” for a community leader that is willing to have their divorce certified.</w:t>
      </w:r>
      <w:r>
        <w:rPr>
          <w:rFonts w:ascii="Calibri" w:eastAsia="Calibri" w:hAnsi="Calibri" w:cs="Calibri"/>
          <w:vertAlign w:val="superscript"/>
        </w:rPr>
        <w:endnoteReference w:id="123"/>
      </w:r>
      <w:r>
        <w:rPr>
          <w:rFonts w:ascii="Calibri" w:eastAsia="Calibri" w:hAnsi="Calibri" w:cs="Calibri"/>
        </w:rPr>
        <w:t xml:space="preserve"> According to Islamic Law, between the time a married couple separates and has their divorce finalized, the husband is obligated to pay compensatory allowance to his wife. In reality, however, the Islamic committee may rule that such an allowance need not be paid in the absence of an agreement specifying so upon marriage.</w:t>
      </w:r>
      <w:r>
        <w:rPr>
          <w:rFonts w:ascii="Calibri" w:eastAsia="Calibri" w:hAnsi="Calibri" w:cs="Calibri"/>
          <w:vertAlign w:val="superscript"/>
        </w:rPr>
        <w:endnoteReference w:id="124"/>
      </w:r>
      <w:r>
        <w:rPr>
          <w:rFonts w:ascii="Calibri" w:eastAsia="Calibri" w:hAnsi="Calibri" w:cs="Calibri"/>
        </w:rPr>
        <w:t xml:space="preserve"> Malay Muslim women also face resistance from community religious leaders and Islamic committee members who often do not believe that domestic violence had occurred. Instead, they believe that only men should hold decision making power over marriage cases and dispute resolution.</w:t>
      </w:r>
      <w:r>
        <w:rPr>
          <w:rFonts w:ascii="Calibri" w:eastAsia="Calibri" w:hAnsi="Calibri" w:cs="Calibri"/>
          <w:vertAlign w:val="superscript"/>
        </w:rPr>
        <w:endnoteReference w:id="125"/>
      </w:r>
    </w:p>
    <w:p w14:paraId="7D04E588" w14:textId="77777777" w:rsidR="003823DA" w:rsidRDefault="003823DA" w:rsidP="003823DA">
      <w:pPr>
        <w:jc w:val="both"/>
        <w:rPr>
          <w:rFonts w:ascii="Calibri" w:eastAsia="Calibri" w:hAnsi="Calibri" w:cs="Calibri"/>
        </w:rPr>
      </w:pPr>
    </w:p>
    <w:p w14:paraId="3FE6936F" w14:textId="77777777" w:rsidR="003823DA" w:rsidRDefault="003823DA" w:rsidP="003823DA">
      <w:pPr>
        <w:jc w:val="both"/>
        <w:rPr>
          <w:rFonts w:ascii="Calibri" w:eastAsia="Calibri" w:hAnsi="Calibri" w:cs="Calibri"/>
        </w:rPr>
      </w:pPr>
      <w:r>
        <w:rPr>
          <w:rFonts w:ascii="Calibri" w:eastAsia="Calibri" w:hAnsi="Calibri" w:cs="Calibri"/>
        </w:rPr>
        <w:t xml:space="preserve">Thailand tops the global shame list of children rights offenders, ranking 19th among 193 UN States as having the highest number of girls married or in a union before the age of 18 years, with </w:t>
      </w:r>
      <w:hyperlink r:id="rId10">
        <w:r>
          <w:rPr>
            <w:rFonts w:ascii="Calibri" w:eastAsia="Calibri" w:hAnsi="Calibri" w:cs="Calibri"/>
          </w:rPr>
          <w:t>4%</w:t>
        </w:r>
      </w:hyperlink>
      <w:r>
        <w:rPr>
          <w:rFonts w:ascii="Calibri" w:eastAsia="Calibri" w:hAnsi="Calibri" w:cs="Calibri"/>
        </w:rPr>
        <w:t xml:space="preserve"> of girls married before the age of 15 and </w:t>
      </w:r>
      <w:hyperlink r:id="rId11">
        <w:r>
          <w:rPr>
            <w:rFonts w:ascii="Calibri" w:eastAsia="Calibri" w:hAnsi="Calibri" w:cs="Calibri"/>
          </w:rPr>
          <w:t>23%</w:t>
        </w:r>
      </w:hyperlink>
      <w:r>
        <w:rPr>
          <w:rFonts w:ascii="Calibri" w:eastAsia="Calibri" w:hAnsi="Calibri" w:cs="Calibri"/>
        </w:rPr>
        <w:t xml:space="preserve"> of girls married before their 18th birthday.</w:t>
      </w:r>
      <w:r>
        <w:rPr>
          <w:rFonts w:ascii="Calibri" w:eastAsia="Calibri" w:hAnsi="Calibri" w:cs="Calibri"/>
          <w:vertAlign w:val="superscript"/>
        </w:rPr>
        <w:endnoteReference w:id="126"/>
      </w:r>
      <w:r>
        <w:rPr>
          <w:rFonts w:ascii="Calibri" w:eastAsia="Calibri" w:hAnsi="Calibri" w:cs="Calibri"/>
        </w:rPr>
        <w:t xml:space="preserve"> The majority of child marriages occur in Thailand's North and Northeast, as well as in rural regions.</w:t>
      </w:r>
      <w:r>
        <w:rPr>
          <w:rFonts w:ascii="Calibri" w:eastAsia="Calibri" w:hAnsi="Calibri" w:cs="Calibri"/>
          <w:vertAlign w:val="superscript"/>
        </w:rPr>
        <w:endnoteReference w:id="127"/>
      </w:r>
      <w:r>
        <w:rPr>
          <w:rFonts w:ascii="Calibri" w:eastAsia="Calibri" w:hAnsi="Calibri" w:cs="Calibri"/>
        </w:rPr>
        <w:t xml:space="preserve"> The issue of child marriages is prevalent in migrant communities because of poor living conditions, with desperate parents trying to push children out of their homes to stay afloat financially.</w:t>
      </w:r>
      <w:r>
        <w:rPr>
          <w:rFonts w:ascii="Calibri" w:eastAsia="Calibri" w:hAnsi="Calibri" w:cs="Calibri"/>
          <w:vertAlign w:val="superscript"/>
        </w:rPr>
        <w:endnoteReference w:id="128"/>
      </w:r>
      <w:r>
        <w:rPr>
          <w:rFonts w:ascii="Calibri" w:eastAsia="Calibri" w:hAnsi="Calibri" w:cs="Calibri"/>
        </w:rPr>
        <w:t xml:space="preserve"> During the 2019 International Conference on Population and Development (ICPD25), the government of Thailand committed to reducing child marriage below age 18 by empowering female students to continue their education.</w:t>
      </w:r>
      <w:r>
        <w:rPr>
          <w:rFonts w:ascii="Calibri" w:eastAsia="Calibri" w:hAnsi="Calibri" w:cs="Calibri"/>
          <w:vertAlign w:val="superscript"/>
        </w:rPr>
        <w:endnoteReference w:id="129"/>
      </w:r>
      <w:r>
        <w:rPr>
          <w:rFonts w:ascii="Calibri" w:eastAsia="Calibri" w:hAnsi="Calibri" w:cs="Calibri"/>
        </w:rPr>
        <w:t xml:space="preserve"> Yet, under the current Thai Family Law, Section 1448, a marriage can take place when the man and woman have completed their seventeenth year of age. In addition, a glaring loophole in this law that leaves children and especially girls vulnerable, is a provision that states that the Court, “in case of having appropriate reason, [may] allow [children] to marry before attaining such age.”</w:t>
      </w:r>
      <w:r>
        <w:rPr>
          <w:rFonts w:ascii="Calibri" w:eastAsia="Calibri" w:hAnsi="Calibri" w:cs="Calibri"/>
          <w:vertAlign w:val="superscript"/>
        </w:rPr>
        <w:endnoteReference w:id="130"/>
      </w:r>
      <w:r>
        <w:rPr>
          <w:rFonts w:ascii="Calibri" w:eastAsia="Calibri" w:hAnsi="Calibri" w:cs="Calibri"/>
        </w:rPr>
        <w:t xml:space="preserve"> </w:t>
      </w:r>
    </w:p>
    <w:p w14:paraId="0BB2DB13" w14:textId="77777777" w:rsidR="003823DA" w:rsidRDefault="003823DA" w:rsidP="003823DA">
      <w:pPr>
        <w:jc w:val="both"/>
        <w:rPr>
          <w:rFonts w:ascii="Calibri" w:eastAsia="Calibri" w:hAnsi="Calibri" w:cs="Calibri"/>
        </w:rPr>
      </w:pPr>
    </w:p>
    <w:p w14:paraId="678B21E5" w14:textId="77777777" w:rsidR="003823DA" w:rsidRDefault="003823DA" w:rsidP="003823DA">
      <w:pPr>
        <w:jc w:val="both"/>
        <w:rPr>
          <w:rFonts w:ascii="Calibri" w:eastAsia="Calibri" w:hAnsi="Calibri" w:cs="Calibri"/>
          <w:shd w:val="clear" w:color="auto" w:fill="C9DAF8"/>
        </w:rPr>
      </w:pPr>
      <w:r>
        <w:rPr>
          <w:rFonts w:ascii="Calibri" w:eastAsia="Calibri" w:hAnsi="Calibri" w:cs="Calibri"/>
        </w:rPr>
        <w:t xml:space="preserve">There is a long way to go for LGBTIQ+ equality with respect to marriage. Same-sex marriage is not legalized and </w:t>
      </w:r>
      <w:r>
        <w:rPr>
          <w:rFonts w:ascii="Calibri" w:eastAsia="Calibri" w:hAnsi="Calibri" w:cs="Calibri"/>
          <w:b/>
          <w:color w:val="181818"/>
        </w:rPr>
        <w:t>LGBTIQ+ women</w:t>
      </w:r>
      <w:r>
        <w:rPr>
          <w:rFonts w:ascii="Calibri" w:eastAsia="Calibri" w:hAnsi="Calibri" w:cs="Calibri"/>
          <w:color w:val="181818"/>
        </w:rPr>
        <w:t xml:space="preserve"> are not guaranteed equal rights as a result.</w:t>
      </w:r>
      <w:r>
        <w:rPr>
          <w:rFonts w:ascii="Calibri" w:eastAsia="Calibri" w:hAnsi="Calibri" w:cs="Calibri"/>
          <w:color w:val="181818"/>
          <w:vertAlign w:val="superscript"/>
        </w:rPr>
        <w:endnoteReference w:id="131"/>
      </w:r>
      <w:r>
        <w:rPr>
          <w:rFonts w:ascii="Calibri" w:eastAsia="Calibri" w:hAnsi="Calibri" w:cs="Calibri"/>
          <w:color w:val="181818"/>
        </w:rPr>
        <w:t xml:space="preserve"> </w:t>
      </w:r>
      <w:r>
        <w:rPr>
          <w:rFonts w:ascii="Calibri" w:eastAsia="Calibri" w:hAnsi="Calibri" w:cs="Calibri"/>
        </w:rPr>
        <w:t>On 17 November 2021, the Thai Court ruled that Section 1148 of the Civil and Commercial Code, which defines marriage as a union between a man and a woman, does not violate the Constitution.</w:t>
      </w:r>
      <w:r>
        <w:rPr>
          <w:rFonts w:ascii="Calibri" w:eastAsia="Calibri" w:hAnsi="Calibri" w:cs="Calibri"/>
          <w:color w:val="181818"/>
        </w:rPr>
        <w:t xml:space="preserve"> The verdict contains highly offensive, homophobic and obsolete language.</w:t>
      </w:r>
      <w:r>
        <w:rPr>
          <w:rFonts w:ascii="Calibri" w:eastAsia="Calibri" w:hAnsi="Calibri" w:cs="Calibri"/>
          <w:color w:val="181818"/>
          <w:vertAlign w:val="superscript"/>
        </w:rPr>
        <w:endnoteReference w:id="132"/>
      </w:r>
      <w:r>
        <w:rPr>
          <w:rFonts w:ascii="Calibri" w:eastAsia="Calibri" w:hAnsi="Calibri" w:cs="Calibri"/>
          <w:color w:val="181818"/>
        </w:rPr>
        <w:t xml:space="preserve"> The Court discouraged lawmakers from legalizing same-sex marriage by comparing same-sex couples to animals and claimed members of the LGBTIQ+ community should not be included under the same law as heterosexual couples, but rather in a separate legislation.</w:t>
      </w:r>
      <w:r>
        <w:rPr>
          <w:rFonts w:ascii="Calibri" w:eastAsia="Calibri" w:hAnsi="Calibri" w:cs="Calibri"/>
          <w:color w:val="181818"/>
          <w:vertAlign w:val="superscript"/>
        </w:rPr>
        <w:endnoteReference w:id="133"/>
      </w:r>
      <w:r>
        <w:rPr>
          <w:rFonts w:ascii="Calibri" w:eastAsia="Calibri" w:hAnsi="Calibri" w:cs="Calibri"/>
          <w:color w:val="181818"/>
        </w:rPr>
        <w:t xml:space="preserve">  </w:t>
      </w:r>
    </w:p>
    <w:p w14:paraId="5FA03EA8" w14:textId="5648D4EB" w:rsidR="003823DA" w:rsidRDefault="003823DA" w:rsidP="003823DA">
      <w:pPr>
        <w:jc w:val="both"/>
        <w:rPr>
          <w:rFonts w:ascii="Calibri" w:eastAsia="Calibri" w:hAnsi="Calibri" w:cs="Calibri"/>
          <w:shd w:val="clear" w:color="auto" w:fill="C9DAF8"/>
        </w:rPr>
      </w:pPr>
    </w:p>
    <w:p w14:paraId="53BA18EE" w14:textId="77777777" w:rsidR="00B3717A" w:rsidRDefault="00000000" w:rsidP="00B3717A">
      <w:pPr>
        <w:pStyle w:val="Heading1"/>
        <w:ind w:left="0" w:firstLine="0"/>
        <w:jc w:val="left"/>
        <w:rPr>
          <w:sz w:val="28"/>
          <w:szCs w:val="28"/>
        </w:rPr>
      </w:pPr>
      <w:r>
        <w:rPr>
          <w:noProof/>
        </w:rPr>
        <w:lastRenderedPageBreak/>
        <w:pict w14:anchorId="4C67FFE6">
          <v:rect id="_x0000_i1039" alt="" style="width:451.3pt;height:.05pt;mso-width-percent:0;mso-height-percent:0;mso-width-percent:0;mso-height-percent:0" o:hralign="center" o:hrstd="t" o:hr="t" fillcolor="#a0a0a0" stroked="f"/>
        </w:pict>
      </w:r>
      <w:r w:rsidR="00B3717A">
        <w:rPr>
          <w:sz w:val="28"/>
          <w:szCs w:val="28"/>
        </w:rPr>
        <w:t>RECOMMENDATIONS</w:t>
      </w:r>
      <w:r>
        <w:rPr>
          <w:noProof/>
        </w:rPr>
        <w:pict w14:anchorId="428A57C0">
          <v:rect id="_x0000_i1040" alt="" style="width:451.3pt;height:.05pt;mso-width-percent:0;mso-height-percent:0;mso-width-percent:0;mso-height-percent:0" o:hralign="center" o:hrstd="t" o:hr="t" fillcolor="#a0a0a0" stroked="f"/>
        </w:pict>
      </w:r>
    </w:p>
    <w:p w14:paraId="00113BAA" w14:textId="77777777" w:rsidR="00B3717A" w:rsidRDefault="00B3717A" w:rsidP="003823DA">
      <w:pPr>
        <w:jc w:val="both"/>
        <w:rPr>
          <w:rFonts w:ascii="Calibri" w:eastAsia="Calibri" w:hAnsi="Calibri" w:cs="Calibri"/>
          <w:b/>
          <w:sz w:val="24"/>
          <w:szCs w:val="24"/>
        </w:rPr>
      </w:pPr>
    </w:p>
    <w:p w14:paraId="57074A21" w14:textId="79BA6DBF" w:rsidR="003823DA" w:rsidRDefault="003823DA" w:rsidP="003823DA">
      <w:pPr>
        <w:jc w:val="both"/>
        <w:rPr>
          <w:rFonts w:ascii="Calibri" w:eastAsia="Calibri" w:hAnsi="Calibri" w:cs="Calibri"/>
          <w:b/>
          <w:sz w:val="24"/>
          <w:szCs w:val="24"/>
        </w:rPr>
      </w:pPr>
      <w:r>
        <w:rPr>
          <w:rFonts w:ascii="Calibri" w:eastAsia="Calibri" w:hAnsi="Calibri" w:cs="Calibri"/>
          <w:b/>
          <w:sz w:val="24"/>
          <w:szCs w:val="24"/>
        </w:rPr>
        <w:t>Article 11: Employment</w:t>
      </w:r>
    </w:p>
    <w:p w14:paraId="4DB3B41F"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Ensure that women working in the informal sector enjoy the protection they are entitled to under international human rights law, including by expanding coverage for labor and social security policy;</w:t>
      </w:r>
    </w:p>
    <w:p w14:paraId="0211E4D4"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In line with the 2017 Concluding Observations of the Committee on the Elimination of Discrimination against Women, create more opportunities in formal employment for women, particularly by promoting the equitable sharing of domestic responsibilities between women and men, and enhancing early childcare and maternity leave policies;</w:t>
      </w:r>
    </w:p>
    <w:p w14:paraId="03844B26"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In line with 2017 CEDAW Committee’s Concluding Observations to Thailand, effectively protect the rights of informal workers, including by ensuring adequate coverage of labor and social security protections. To this end, the Draft Act on Promotion and Development of the Quality of Life of Informal Workers should be enacted;</w:t>
      </w:r>
    </w:p>
    <w:p w14:paraId="054391C8"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Set up a fund specifically to support ethnic women employment projects, instead of allocating money from women’s funds; Involve ethnic women in the management of the fund and vest them with decision-making powers concerning the fund;</w:t>
      </w:r>
    </w:p>
    <w:p w14:paraId="0C3C46C5"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Enact a regulation establishing an appropriate minimum wage standard, adequate for satisfying reasonable human needs, for piece workers, and ensure a fair rate is paid for each task or piece of work they do;</w:t>
      </w:r>
    </w:p>
    <w:p w14:paraId="7F73A2B9" w14:textId="77777777" w:rsidR="003823DA" w:rsidRPr="00C1286B" w:rsidRDefault="003823DA" w:rsidP="003823DA">
      <w:pPr>
        <w:numPr>
          <w:ilvl w:val="0"/>
          <w:numId w:val="8"/>
        </w:numPr>
        <w:jc w:val="both"/>
        <w:rPr>
          <w:rFonts w:ascii="Calibri" w:eastAsia="Calibri" w:hAnsi="Calibri" w:cs="Calibri"/>
        </w:rPr>
      </w:pPr>
      <w:r w:rsidRPr="00C1286B">
        <w:rPr>
          <w:rFonts w:ascii="Calibri" w:eastAsia="Calibri" w:hAnsi="Calibri" w:cs="Calibri"/>
        </w:rPr>
        <w:t>Create a database with informal workers;</w:t>
      </w:r>
    </w:p>
    <w:p w14:paraId="12367E20" w14:textId="77777777" w:rsidR="003823DA" w:rsidRPr="00C1286B" w:rsidRDefault="003823DA" w:rsidP="003823DA">
      <w:pPr>
        <w:numPr>
          <w:ilvl w:val="0"/>
          <w:numId w:val="8"/>
        </w:numPr>
        <w:jc w:val="both"/>
        <w:rPr>
          <w:rFonts w:ascii="Calibri" w:eastAsia="Calibri" w:hAnsi="Calibri" w:cs="Calibri"/>
        </w:rPr>
      </w:pPr>
      <w:r w:rsidRPr="00C1286B">
        <w:rPr>
          <w:rFonts w:ascii="Calibri" w:eastAsia="Calibri" w:hAnsi="Calibri" w:cs="Calibri"/>
        </w:rPr>
        <w:t>Speed the process of amending Ministerial Regulation No. 14 under 1998 Labor Protection Act;</w:t>
      </w:r>
    </w:p>
    <w:p w14:paraId="4F913D9B"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Eliminate all forms of gender-based discrimination in the workplace, including in the context of hiring and promotion, as well as age of retirement;</w:t>
      </w:r>
    </w:p>
    <w:p w14:paraId="11F5550E"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Improve access to redress for women victims of labor exploitation, especially those working in high-risk environments, by creating a comprehensive reporting and investigation protocol;</w:t>
      </w:r>
    </w:p>
    <w:p w14:paraId="0BCCA33A"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Establish a system that is efficient in digitizing data about migrant workers, and ensure that the data from each ministry are uniform;</w:t>
      </w:r>
    </w:p>
    <w:p w14:paraId="449E90D5"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Take all the necessary steps to ensure migrant workers have the freedom to change their jobs without having to rely on brokers; Allow for year-round registration for work permits rather than seasonal registration, which enables broker abuse;</w:t>
      </w:r>
    </w:p>
    <w:p w14:paraId="12270E07"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Encourage the creation of disability-friendly workplace facilities by business actors, and increase awareness of the specific needs of workers with disabilities in terms of work hour policy, work spaces, and tools used in the conduct of their responsibilities;</w:t>
      </w:r>
    </w:p>
    <w:p w14:paraId="7F51E36D" w14:textId="77777777" w:rsidR="003823DA" w:rsidRDefault="003823DA" w:rsidP="003823DA">
      <w:pPr>
        <w:numPr>
          <w:ilvl w:val="0"/>
          <w:numId w:val="8"/>
        </w:numPr>
        <w:jc w:val="both"/>
        <w:rPr>
          <w:rFonts w:ascii="Calibri" w:eastAsia="Calibri" w:hAnsi="Calibri" w:cs="Calibri"/>
        </w:rPr>
      </w:pPr>
      <w:r>
        <w:rPr>
          <w:rFonts w:ascii="Calibri" w:eastAsia="Calibri" w:hAnsi="Calibri" w:cs="Calibri"/>
        </w:rPr>
        <w:t>Include Malay Muslim women with disabilities in community development and training and employment initiatives in the SBPs; Ensure the right to work by generating employment opportunities for persons with disabilities in the SBPs and addressing discriminatory employment practices. Together with organizations of persons with disabilities, develop and implement employment schemes that are economically and culturally appropriate to the SBPs;</w:t>
      </w:r>
    </w:p>
    <w:p w14:paraId="038ED858" w14:textId="77777777" w:rsidR="003823DA" w:rsidRDefault="003823DA" w:rsidP="003823DA">
      <w:pPr>
        <w:spacing w:line="240" w:lineRule="auto"/>
        <w:ind w:left="720"/>
        <w:jc w:val="both"/>
        <w:rPr>
          <w:rFonts w:ascii="Calibri" w:eastAsia="Calibri" w:hAnsi="Calibri" w:cs="Calibri"/>
          <w:color w:val="A21F1D"/>
        </w:rPr>
      </w:pPr>
    </w:p>
    <w:p w14:paraId="1A0E524E" w14:textId="77777777" w:rsidR="003823DA" w:rsidRDefault="003823DA" w:rsidP="003823DA">
      <w:pPr>
        <w:ind w:left="90"/>
        <w:rPr>
          <w:rFonts w:ascii="Calibri" w:eastAsia="Calibri" w:hAnsi="Calibri" w:cs="Calibri"/>
          <w:b/>
          <w:sz w:val="24"/>
          <w:szCs w:val="24"/>
        </w:rPr>
      </w:pPr>
      <w:r>
        <w:rPr>
          <w:rFonts w:ascii="Calibri" w:eastAsia="Calibri" w:hAnsi="Calibri" w:cs="Calibri"/>
          <w:b/>
          <w:sz w:val="24"/>
          <w:szCs w:val="24"/>
        </w:rPr>
        <w:lastRenderedPageBreak/>
        <w:t xml:space="preserve">Article 12: Healthcare and Family Planning  </w:t>
      </w:r>
    </w:p>
    <w:p w14:paraId="327845DD" w14:textId="77777777" w:rsidR="003823DA" w:rsidRPr="00C1286B" w:rsidRDefault="003823DA" w:rsidP="003823DA">
      <w:pPr>
        <w:numPr>
          <w:ilvl w:val="0"/>
          <w:numId w:val="12"/>
        </w:numPr>
        <w:jc w:val="both"/>
        <w:rPr>
          <w:rFonts w:ascii="Calibri" w:eastAsia="Calibri" w:hAnsi="Calibri" w:cs="Calibri"/>
        </w:rPr>
      </w:pPr>
      <w:r w:rsidRPr="00C1286B">
        <w:rPr>
          <w:rFonts w:ascii="Calibri" w:eastAsia="Calibri" w:hAnsi="Calibri" w:cs="Calibri"/>
        </w:rPr>
        <w:t xml:space="preserve">Improve the dissemination of information about legal abortion; </w:t>
      </w:r>
    </w:p>
    <w:p w14:paraId="4B1D0CB8" w14:textId="77777777" w:rsidR="003823DA" w:rsidRPr="00C1286B" w:rsidRDefault="003823DA" w:rsidP="003823DA">
      <w:pPr>
        <w:numPr>
          <w:ilvl w:val="0"/>
          <w:numId w:val="12"/>
        </w:numPr>
        <w:jc w:val="both"/>
        <w:rPr>
          <w:rFonts w:ascii="Calibri" w:eastAsia="Calibri" w:hAnsi="Calibri" w:cs="Calibri"/>
        </w:rPr>
      </w:pPr>
      <w:r w:rsidRPr="00C1286B">
        <w:rPr>
          <w:rFonts w:ascii="Calibri" w:eastAsia="Calibri" w:hAnsi="Calibri" w:cs="Calibri"/>
        </w:rPr>
        <w:t>Improve access to safe and legal abortion and standardized post-abortion care;</w:t>
      </w:r>
    </w:p>
    <w:p w14:paraId="347DDC17" w14:textId="77777777" w:rsidR="003823DA" w:rsidRDefault="003823DA" w:rsidP="003823DA">
      <w:pPr>
        <w:numPr>
          <w:ilvl w:val="0"/>
          <w:numId w:val="12"/>
        </w:numPr>
        <w:jc w:val="both"/>
        <w:rPr>
          <w:rFonts w:ascii="Calibri" w:eastAsia="Calibri" w:hAnsi="Calibri" w:cs="Calibri"/>
        </w:rPr>
      </w:pPr>
      <w:r w:rsidRPr="00C1286B">
        <w:rPr>
          <w:rFonts w:ascii="Calibri" w:eastAsia="Calibri" w:hAnsi="Calibri" w:cs="Calibri"/>
        </w:rPr>
        <w:t>Address the remaining obstacles in access to the universal healthcare scheme, in particular</w:t>
      </w:r>
      <w:r>
        <w:rPr>
          <w:rFonts w:ascii="Calibri" w:eastAsia="Calibri" w:hAnsi="Calibri" w:cs="Calibri"/>
        </w:rPr>
        <w:t xml:space="preserve"> for disadvantaged and marginalized individuals and groups facing intersectional discrimination, and ensure good quality healthcare; Ensure the presence of translators in healthcare centers to facilitate communication between ethnic groups and healthcare staff;</w:t>
      </w:r>
    </w:p>
    <w:p w14:paraId="5B7131C0" w14:textId="77777777" w:rsidR="003823DA" w:rsidRDefault="003823DA" w:rsidP="003823DA">
      <w:pPr>
        <w:numPr>
          <w:ilvl w:val="0"/>
          <w:numId w:val="12"/>
        </w:numPr>
        <w:jc w:val="both"/>
        <w:rPr>
          <w:rFonts w:ascii="Calibri" w:eastAsia="Calibri" w:hAnsi="Calibri" w:cs="Calibri"/>
        </w:rPr>
      </w:pPr>
      <w:r>
        <w:rPr>
          <w:rFonts w:ascii="Calibri" w:eastAsia="Calibri" w:hAnsi="Calibri" w:cs="Calibri"/>
        </w:rPr>
        <w:t>Support alternative medicines and alternative care in health centers, tailored to ethnic groups’ needs;</w:t>
      </w:r>
    </w:p>
    <w:p w14:paraId="208E72F6" w14:textId="77777777" w:rsidR="003823DA" w:rsidRDefault="003823DA" w:rsidP="003823DA">
      <w:pPr>
        <w:numPr>
          <w:ilvl w:val="0"/>
          <w:numId w:val="12"/>
        </w:numPr>
        <w:jc w:val="both"/>
        <w:rPr>
          <w:rFonts w:ascii="Calibri" w:eastAsia="Calibri" w:hAnsi="Calibri" w:cs="Calibri"/>
        </w:rPr>
      </w:pPr>
      <w:r>
        <w:rPr>
          <w:rFonts w:ascii="Calibri" w:eastAsia="Calibri" w:hAnsi="Calibri" w:cs="Calibri"/>
        </w:rPr>
        <w:t>Take active steps to reduce maternal mortality rates among women at all levels of society, especially those belonging to ethnic minority groups within the SBPs. Ensure the availability of the appropriate sexual and reproductive healthcare services and testing tools;</w:t>
      </w:r>
    </w:p>
    <w:p w14:paraId="13DD038A" w14:textId="77777777" w:rsidR="003823DA" w:rsidRDefault="003823DA" w:rsidP="003823DA">
      <w:pPr>
        <w:numPr>
          <w:ilvl w:val="0"/>
          <w:numId w:val="12"/>
        </w:numPr>
        <w:jc w:val="both"/>
        <w:rPr>
          <w:rFonts w:ascii="Calibri" w:eastAsia="Calibri" w:hAnsi="Calibri" w:cs="Calibri"/>
        </w:rPr>
      </w:pPr>
      <w:r>
        <w:rPr>
          <w:rFonts w:ascii="Calibri" w:eastAsia="Calibri" w:hAnsi="Calibri" w:cs="Calibri"/>
        </w:rPr>
        <w:t>Enhance protection from forced sterilization, unsafe abortion, and female genital mutilation. Improve access to effective contraceptive methods scale up family planning initiatives among vulnerable communities;</w:t>
      </w:r>
    </w:p>
    <w:p w14:paraId="20DD7324" w14:textId="77777777" w:rsidR="003823DA" w:rsidRDefault="003823DA" w:rsidP="003823DA">
      <w:pPr>
        <w:numPr>
          <w:ilvl w:val="0"/>
          <w:numId w:val="12"/>
        </w:numPr>
        <w:spacing w:line="240" w:lineRule="auto"/>
        <w:jc w:val="both"/>
        <w:rPr>
          <w:rFonts w:ascii="Calibri" w:eastAsia="Calibri" w:hAnsi="Calibri" w:cs="Calibri"/>
        </w:rPr>
      </w:pPr>
      <w:r>
        <w:rPr>
          <w:rFonts w:ascii="Calibri" w:eastAsia="Calibri" w:hAnsi="Calibri" w:cs="Calibri"/>
        </w:rPr>
        <w:t xml:space="preserve">Provide migrant workers and marginalized communities with education on sexual and reproductive health; </w:t>
      </w:r>
    </w:p>
    <w:p w14:paraId="6A96F3C8" w14:textId="77777777" w:rsidR="003823DA" w:rsidRDefault="003823DA" w:rsidP="003823DA">
      <w:pPr>
        <w:numPr>
          <w:ilvl w:val="0"/>
          <w:numId w:val="12"/>
        </w:numPr>
        <w:spacing w:line="240" w:lineRule="auto"/>
        <w:jc w:val="both"/>
        <w:rPr>
          <w:rFonts w:ascii="Calibri" w:eastAsia="Calibri" w:hAnsi="Calibri" w:cs="Calibri"/>
        </w:rPr>
      </w:pPr>
      <w:r>
        <w:rPr>
          <w:rFonts w:ascii="Calibri" w:eastAsia="Calibri" w:hAnsi="Calibri" w:cs="Calibri"/>
        </w:rPr>
        <w:t>Provide training to hospital staff and raise awareness about migrant workers to combat discrimination and prejudice.</w:t>
      </w:r>
    </w:p>
    <w:p w14:paraId="3C133957" w14:textId="77777777" w:rsidR="003823DA" w:rsidRDefault="003823DA" w:rsidP="003823DA">
      <w:pPr>
        <w:ind w:left="720"/>
        <w:jc w:val="both"/>
        <w:rPr>
          <w:rFonts w:ascii="Calibri" w:eastAsia="Calibri" w:hAnsi="Calibri" w:cs="Calibri"/>
        </w:rPr>
      </w:pPr>
    </w:p>
    <w:p w14:paraId="488B97D8" w14:textId="77777777" w:rsidR="003823DA" w:rsidRDefault="003823DA" w:rsidP="003823DA">
      <w:pPr>
        <w:ind w:left="90"/>
        <w:rPr>
          <w:rFonts w:ascii="Calibri" w:eastAsia="Calibri" w:hAnsi="Calibri" w:cs="Calibri"/>
          <w:b/>
          <w:sz w:val="24"/>
          <w:szCs w:val="24"/>
        </w:rPr>
      </w:pPr>
      <w:r>
        <w:rPr>
          <w:rFonts w:ascii="Calibri" w:eastAsia="Calibri" w:hAnsi="Calibri" w:cs="Calibri"/>
          <w:b/>
          <w:sz w:val="24"/>
          <w:szCs w:val="24"/>
        </w:rPr>
        <w:t>Article 13: Economic and Social Benefits</w:t>
      </w:r>
    </w:p>
    <w:p w14:paraId="2E4D201F" w14:textId="77777777" w:rsidR="003823DA" w:rsidRDefault="003823DA" w:rsidP="003823DA">
      <w:pPr>
        <w:numPr>
          <w:ilvl w:val="0"/>
          <w:numId w:val="13"/>
        </w:numPr>
        <w:jc w:val="both"/>
        <w:rPr>
          <w:rFonts w:ascii="Calibri" w:eastAsia="Calibri" w:hAnsi="Calibri" w:cs="Calibri"/>
        </w:rPr>
      </w:pPr>
      <w:r>
        <w:rPr>
          <w:rFonts w:ascii="Calibri" w:eastAsia="Calibri" w:hAnsi="Calibri" w:cs="Calibri"/>
        </w:rPr>
        <w:t>Put in place a comprehensive social security system for all to provide income security and support at every stage of life for everyone, with particular attention to the most disadvantaged and marginalized groups; The social protection schemes must be responsive to the needs of children and promote behavior that advances equality between men and women;</w:t>
      </w:r>
    </w:p>
    <w:p w14:paraId="5FD61941" w14:textId="77777777" w:rsidR="003823DA" w:rsidRDefault="003823DA" w:rsidP="003823DA">
      <w:pPr>
        <w:numPr>
          <w:ilvl w:val="0"/>
          <w:numId w:val="13"/>
        </w:numPr>
        <w:jc w:val="both"/>
        <w:rPr>
          <w:rFonts w:ascii="Calibri" w:eastAsia="Calibri" w:hAnsi="Calibri" w:cs="Calibri"/>
        </w:rPr>
      </w:pPr>
      <w:r>
        <w:rPr>
          <w:rFonts w:ascii="Calibri" w:eastAsia="Calibri" w:hAnsi="Calibri" w:cs="Calibri"/>
        </w:rPr>
        <w:t xml:space="preserve">Extend social protection to workers in informal employment; </w:t>
      </w:r>
    </w:p>
    <w:p w14:paraId="3393C435" w14:textId="77777777" w:rsidR="003823DA" w:rsidRDefault="003823DA" w:rsidP="003823DA">
      <w:pPr>
        <w:numPr>
          <w:ilvl w:val="0"/>
          <w:numId w:val="13"/>
        </w:numPr>
        <w:jc w:val="both"/>
        <w:rPr>
          <w:rFonts w:ascii="Calibri" w:eastAsia="Calibri" w:hAnsi="Calibri" w:cs="Calibri"/>
        </w:rPr>
      </w:pPr>
      <w:r>
        <w:rPr>
          <w:rFonts w:ascii="Calibri" w:eastAsia="Calibri" w:hAnsi="Calibri" w:cs="Calibri"/>
        </w:rPr>
        <w:t>Provide social security measures through public systems and institutions, when possible. Ensure that if privatized, social security and social protection are not sacrificed for economic efficiency and gain, in line with A/73/396 (2018) Report of the UN Special Rapporteur on extreme poverty;</w:t>
      </w:r>
    </w:p>
    <w:p w14:paraId="46DAE6D1" w14:textId="77777777" w:rsidR="003823DA" w:rsidRDefault="003823DA" w:rsidP="003823DA">
      <w:pPr>
        <w:numPr>
          <w:ilvl w:val="0"/>
          <w:numId w:val="13"/>
        </w:numPr>
        <w:jc w:val="both"/>
        <w:rPr>
          <w:rFonts w:ascii="Calibri" w:eastAsia="Calibri" w:hAnsi="Calibri" w:cs="Calibri"/>
        </w:rPr>
      </w:pPr>
      <w:r>
        <w:rPr>
          <w:rFonts w:ascii="Calibri" w:eastAsia="Calibri" w:hAnsi="Calibri" w:cs="Calibri"/>
        </w:rPr>
        <w:t>Take practical measures to improve the regulation of the entertainment industry by ensuring the full application of labor laws and social benefits within the industry;</w:t>
      </w:r>
    </w:p>
    <w:p w14:paraId="56D5B74B" w14:textId="77777777" w:rsidR="003823DA" w:rsidRDefault="003823DA" w:rsidP="003823DA">
      <w:pPr>
        <w:numPr>
          <w:ilvl w:val="0"/>
          <w:numId w:val="13"/>
        </w:numPr>
        <w:jc w:val="both"/>
        <w:rPr>
          <w:rFonts w:ascii="Calibri" w:eastAsia="Calibri" w:hAnsi="Calibri" w:cs="Calibri"/>
        </w:rPr>
      </w:pPr>
      <w:r>
        <w:rPr>
          <w:rFonts w:ascii="Calibri" w:eastAsia="Calibri" w:hAnsi="Calibri" w:cs="Calibri"/>
        </w:rPr>
        <w:t xml:space="preserve">Distribute the country’s wealth equally among regions and allocate additional financial support to </w:t>
      </w:r>
      <w:proofErr w:type="spellStart"/>
      <w:r>
        <w:rPr>
          <w:rFonts w:ascii="Calibri" w:eastAsia="Calibri" w:hAnsi="Calibri" w:cs="Calibri"/>
        </w:rPr>
        <w:t>Isaan</w:t>
      </w:r>
      <w:proofErr w:type="spellEnd"/>
      <w:r>
        <w:rPr>
          <w:rFonts w:ascii="Calibri" w:eastAsia="Calibri" w:hAnsi="Calibri" w:cs="Calibri"/>
        </w:rPr>
        <w:t xml:space="preserve"> people to improve their living conditions and ensure the enjoyment of their economic, social and cultural rights, and access to equal opportunities in all spheres of life;</w:t>
      </w:r>
    </w:p>
    <w:p w14:paraId="5FE58A24" w14:textId="77777777" w:rsidR="003823DA" w:rsidRDefault="003823DA" w:rsidP="003823DA"/>
    <w:p w14:paraId="03F17560" w14:textId="77777777" w:rsidR="003823DA" w:rsidRDefault="003823DA" w:rsidP="003823DA">
      <w:pPr>
        <w:ind w:left="90"/>
        <w:jc w:val="both"/>
        <w:rPr>
          <w:rFonts w:ascii="Calibri" w:eastAsia="Calibri" w:hAnsi="Calibri" w:cs="Calibri"/>
          <w:b/>
          <w:sz w:val="24"/>
          <w:szCs w:val="24"/>
        </w:rPr>
      </w:pPr>
      <w:r>
        <w:rPr>
          <w:rFonts w:ascii="Calibri" w:eastAsia="Calibri" w:hAnsi="Calibri" w:cs="Calibri"/>
          <w:b/>
          <w:sz w:val="24"/>
          <w:szCs w:val="24"/>
        </w:rPr>
        <w:t>Article 14: Rural Women</w:t>
      </w:r>
    </w:p>
    <w:p w14:paraId="6130A5BC" w14:textId="77777777" w:rsidR="003823DA" w:rsidRDefault="003823DA" w:rsidP="003823DA">
      <w:pPr>
        <w:numPr>
          <w:ilvl w:val="0"/>
          <w:numId w:val="10"/>
        </w:numPr>
        <w:jc w:val="both"/>
        <w:rPr>
          <w:rFonts w:ascii="Calibri" w:eastAsia="Calibri" w:hAnsi="Calibri" w:cs="Calibri"/>
        </w:rPr>
      </w:pPr>
      <w:r>
        <w:rPr>
          <w:rFonts w:ascii="Calibri" w:eastAsia="Calibri" w:hAnsi="Calibri" w:cs="Calibri"/>
        </w:rPr>
        <w:t>Improve the living situation of rural women, particularly those belonging to indigenous and ethnic groups, who reside in peripheral regions which tend to be poorer, more isolated, and less connected to social services; Prioritize the development of these rural communities, engaging local women in the design and implementation of rural development plans;</w:t>
      </w:r>
    </w:p>
    <w:p w14:paraId="2253108A" w14:textId="77777777" w:rsidR="003823DA" w:rsidRDefault="003823DA" w:rsidP="003823DA">
      <w:pPr>
        <w:numPr>
          <w:ilvl w:val="0"/>
          <w:numId w:val="10"/>
        </w:numPr>
        <w:jc w:val="both"/>
        <w:rPr>
          <w:rFonts w:ascii="Calibri" w:eastAsia="Calibri" w:hAnsi="Calibri" w:cs="Calibri"/>
        </w:rPr>
      </w:pPr>
      <w:r>
        <w:rPr>
          <w:rFonts w:ascii="Calibri" w:eastAsia="Calibri" w:hAnsi="Calibri" w:cs="Calibri"/>
        </w:rPr>
        <w:t xml:space="preserve">Eliminate all barriers inhibiting rural women’s participation in policy formation and ensure the integration and mainstreaming of a gender perspective into all agricultural and rural </w:t>
      </w:r>
      <w:r>
        <w:rPr>
          <w:rFonts w:ascii="Calibri" w:eastAsia="Calibri" w:hAnsi="Calibri" w:cs="Calibri"/>
        </w:rPr>
        <w:lastRenderedPageBreak/>
        <w:t>development policies, strategies, plans and programmes, enabling rural women to act and be visible as stakeholders, decision makers and beneficiaries.</w:t>
      </w:r>
    </w:p>
    <w:p w14:paraId="67AE3F8B" w14:textId="77777777" w:rsidR="003823DA" w:rsidRDefault="003823DA" w:rsidP="003823DA">
      <w:pPr>
        <w:rPr>
          <w:highlight w:val="yellow"/>
        </w:rPr>
      </w:pPr>
    </w:p>
    <w:p w14:paraId="22C8A74B" w14:textId="77777777" w:rsidR="003823DA" w:rsidRDefault="003823DA" w:rsidP="003823DA">
      <w:pPr>
        <w:ind w:left="90"/>
        <w:rPr>
          <w:rFonts w:ascii="Calibri" w:eastAsia="Calibri" w:hAnsi="Calibri" w:cs="Calibri"/>
          <w:b/>
          <w:sz w:val="24"/>
          <w:szCs w:val="24"/>
        </w:rPr>
      </w:pPr>
      <w:r>
        <w:rPr>
          <w:rFonts w:ascii="Calibri" w:eastAsia="Calibri" w:hAnsi="Calibri" w:cs="Calibri"/>
          <w:b/>
          <w:sz w:val="24"/>
          <w:szCs w:val="24"/>
        </w:rPr>
        <w:t>Article 15: Equality before the Law</w:t>
      </w:r>
    </w:p>
    <w:p w14:paraId="06C69C06" w14:textId="77777777" w:rsidR="003823DA" w:rsidRDefault="003823DA" w:rsidP="003823DA">
      <w:pPr>
        <w:numPr>
          <w:ilvl w:val="0"/>
          <w:numId w:val="1"/>
        </w:numPr>
        <w:jc w:val="both"/>
      </w:pPr>
      <w:r>
        <w:rPr>
          <w:rFonts w:ascii="Calibri" w:eastAsia="Calibri" w:hAnsi="Calibri" w:cs="Calibri"/>
        </w:rPr>
        <w:t>Improve protection for survivors of GBV by defining clearly its criminal nature and disseminating information among law enforcement authorities that it should not be treated as a problem to be resolved internally or by family members of survivors, in addition to creating a legal environment which encourages survivors to report or submit a complaint against their abusers;</w:t>
      </w:r>
    </w:p>
    <w:p w14:paraId="0C5C595D" w14:textId="77777777" w:rsidR="003823DA" w:rsidRDefault="003823DA" w:rsidP="003823DA">
      <w:pPr>
        <w:numPr>
          <w:ilvl w:val="0"/>
          <w:numId w:val="1"/>
        </w:numPr>
        <w:jc w:val="both"/>
      </w:pPr>
      <w:r>
        <w:rPr>
          <w:rFonts w:ascii="Calibri" w:eastAsia="Calibri" w:hAnsi="Calibri" w:cs="Calibri"/>
        </w:rPr>
        <w:t>Clarify that all pluralistic legal systems which coexist alongside secular law must align with the Thai constitutional guarantees, and be interpreted and applied in a manner that is consistent with the principles of gender equality and non-discrimination;</w:t>
      </w:r>
    </w:p>
    <w:p w14:paraId="4DDD0DB1" w14:textId="77777777" w:rsidR="003823DA" w:rsidRDefault="003823DA" w:rsidP="003823DA">
      <w:pPr>
        <w:numPr>
          <w:ilvl w:val="0"/>
          <w:numId w:val="1"/>
        </w:numPr>
        <w:jc w:val="both"/>
      </w:pPr>
      <w:r>
        <w:rPr>
          <w:rFonts w:ascii="Calibri" w:eastAsia="Calibri" w:hAnsi="Calibri" w:cs="Calibri"/>
        </w:rPr>
        <w:t>Develop programs, policies, and guidelines to address knowledge gaps among women in rural areas and marginalized communities about the national legal system and the judiciary, as well as their rights and responsibilities as Thai citizens;</w:t>
      </w:r>
    </w:p>
    <w:p w14:paraId="34630F07" w14:textId="77777777" w:rsidR="003823DA" w:rsidRDefault="003823DA" w:rsidP="003823DA">
      <w:pPr>
        <w:numPr>
          <w:ilvl w:val="0"/>
          <w:numId w:val="1"/>
        </w:numPr>
        <w:jc w:val="both"/>
      </w:pPr>
      <w:r>
        <w:rPr>
          <w:rFonts w:ascii="Calibri" w:eastAsia="Calibri" w:hAnsi="Calibri" w:cs="Calibri"/>
        </w:rPr>
        <w:t>Recognize, as a matter of law, the indigeneity of groups who identify themselves as indigenous. Create avenues for their meaningful participation in the drafting or enactment of laws concerning their interests. Align national regulations, laws, and policies with the UNDRIP, to which Thailand is a signatory;</w:t>
      </w:r>
    </w:p>
    <w:p w14:paraId="57443D35" w14:textId="77777777" w:rsidR="003823DA" w:rsidRDefault="003823DA" w:rsidP="003823DA">
      <w:pPr>
        <w:numPr>
          <w:ilvl w:val="0"/>
          <w:numId w:val="1"/>
        </w:numPr>
        <w:jc w:val="both"/>
      </w:pPr>
      <w:r>
        <w:rPr>
          <w:rFonts w:ascii="Calibri" w:eastAsia="Calibri" w:hAnsi="Calibri" w:cs="Calibri"/>
        </w:rPr>
        <w:t>Recognize sex workers as rights-holders who are entitled to same levels of human rights protection under Thai labor laws. Reform the Thai “raid and rescue” operations to be implemented only under extraordinary circumstances, with the appropriate warrants, and with due respect to the well-being of those rescued and their families.</w:t>
      </w:r>
    </w:p>
    <w:p w14:paraId="6FED06E6" w14:textId="77777777" w:rsidR="003823DA" w:rsidRDefault="003823DA" w:rsidP="003823DA">
      <w:pPr>
        <w:ind w:left="90"/>
        <w:rPr>
          <w:rFonts w:ascii="Calibri" w:eastAsia="Calibri" w:hAnsi="Calibri" w:cs="Calibri"/>
          <w:b/>
          <w:sz w:val="24"/>
          <w:szCs w:val="24"/>
        </w:rPr>
      </w:pPr>
    </w:p>
    <w:p w14:paraId="732E8DED" w14:textId="77777777" w:rsidR="003823DA" w:rsidRDefault="003823DA" w:rsidP="003823DA">
      <w:pPr>
        <w:ind w:left="90"/>
        <w:rPr>
          <w:rFonts w:ascii="Calibri" w:eastAsia="Calibri" w:hAnsi="Calibri" w:cs="Calibri"/>
          <w:b/>
          <w:i/>
        </w:rPr>
      </w:pPr>
      <w:r>
        <w:rPr>
          <w:rFonts w:ascii="Calibri" w:eastAsia="Calibri" w:hAnsi="Calibri" w:cs="Calibri"/>
          <w:b/>
          <w:sz w:val="24"/>
          <w:szCs w:val="24"/>
        </w:rPr>
        <w:t xml:space="preserve">Article 16: Marriage and Family Life </w:t>
      </w:r>
    </w:p>
    <w:p w14:paraId="5C07BE59" w14:textId="77777777" w:rsidR="003823DA" w:rsidRDefault="003823DA" w:rsidP="003823DA">
      <w:pPr>
        <w:numPr>
          <w:ilvl w:val="0"/>
          <w:numId w:val="9"/>
        </w:numPr>
        <w:jc w:val="both"/>
        <w:rPr>
          <w:rFonts w:ascii="Calibri" w:eastAsia="Calibri" w:hAnsi="Calibri" w:cs="Calibri"/>
        </w:rPr>
      </w:pPr>
      <w:r>
        <w:rPr>
          <w:rFonts w:ascii="Calibri" w:eastAsia="Calibri" w:hAnsi="Calibri" w:cs="Calibri"/>
        </w:rPr>
        <w:t>Increase the minimum age of consent as provided in Section 277(5) of the Criminal Code so that both boys and girls could only marry once they have reached 18 years of age, and take all necessary measures to eliminate child and/or forced marriage; raise the minimum age for marriage to 18 years and eliminate legal loopholes that allow children to be married or enter into a union by revising Section 1448 of the Thai Family Law;</w:t>
      </w:r>
    </w:p>
    <w:p w14:paraId="301E42E9" w14:textId="77777777" w:rsidR="003823DA" w:rsidRDefault="003823DA" w:rsidP="003823DA">
      <w:pPr>
        <w:numPr>
          <w:ilvl w:val="0"/>
          <w:numId w:val="9"/>
        </w:numPr>
        <w:jc w:val="both"/>
        <w:rPr>
          <w:rFonts w:ascii="Calibri" w:eastAsia="Calibri" w:hAnsi="Calibri" w:cs="Calibri"/>
        </w:rPr>
      </w:pPr>
      <w:r>
        <w:rPr>
          <w:rFonts w:ascii="Calibri" w:eastAsia="Calibri" w:hAnsi="Calibri" w:cs="Calibri"/>
        </w:rPr>
        <w:t>Formulate a strategic plan to abolish the practice of polygamy, especially among ethnic minority groups of the SBPs, and to collaborate with civil society in creating programs to empower women in polygamic marriages to report any cases of domestic violence they experience;</w:t>
      </w:r>
    </w:p>
    <w:p w14:paraId="13F9B1AD" w14:textId="77777777" w:rsidR="003823DA" w:rsidRDefault="003823DA" w:rsidP="003823DA">
      <w:pPr>
        <w:numPr>
          <w:ilvl w:val="0"/>
          <w:numId w:val="9"/>
        </w:numPr>
        <w:jc w:val="both"/>
        <w:rPr>
          <w:rFonts w:ascii="Calibri" w:eastAsia="Calibri" w:hAnsi="Calibri" w:cs="Calibri"/>
        </w:rPr>
      </w:pPr>
      <w:r>
        <w:rPr>
          <w:rFonts w:ascii="Calibri" w:eastAsia="Calibri" w:hAnsi="Calibri" w:cs="Calibri"/>
        </w:rPr>
        <w:t>Strengthen dialogue with community and religious leaders about the harms of polygamy, and faith-based discrimination and violence against women, with a view to strategizing steps to reduce their occurrence and address identified cases;</w:t>
      </w:r>
    </w:p>
    <w:p w14:paraId="6D21E2D5" w14:textId="77777777" w:rsidR="003823DA" w:rsidRDefault="003823DA" w:rsidP="003823DA">
      <w:pPr>
        <w:numPr>
          <w:ilvl w:val="0"/>
          <w:numId w:val="9"/>
        </w:numPr>
        <w:jc w:val="both"/>
        <w:rPr>
          <w:rFonts w:ascii="Calibri" w:eastAsia="Calibri" w:hAnsi="Calibri" w:cs="Calibri"/>
        </w:rPr>
      </w:pPr>
      <w:r>
        <w:rPr>
          <w:rFonts w:ascii="Calibri" w:eastAsia="Calibri" w:hAnsi="Calibri" w:cs="Calibri"/>
        </w:rPr>
        <w:t xml:space="preserve">Amend the Civil and Commercial Code, </w:t>
      </w:r>
      <w:proofErr w:type="gramStart"/>
      <w:r>
        <w:rPr>
          <w:rFonts w:ascii="Calibri" w:eastAsia="Calibri" w:hAnsi="Calibri" w:cs="Calibri"/>
        </w:rPr>
        <w:t>Book</w:t>
      </w:r>
      <w:proofErr w:type="gramEnd"/>
      <w:r>
        <w:rPr>
          <w:rFonts w:ascii="Calibri" w:eastAsia="Calibri" w:hAnsi="Calibri" w:cs="Calibri"/>
        </w:rPr>
        <w:t xml:space="preserve"> 4, Section 1448 to recognize same-sex marriage.</w:t>
      </w:r>
    </w:p>
    <w:p w14:paraId="4807ECEE" w14:textId="77777777" w:rsidR="003823DA" w:rsidRDefault="003823DA" w:rsidP="003823DA">
      <w:pPr>
        <w:ind w:left="720"/>
        <w:jc w:val="both"/>
        <w:rPr>
          <w:rFonts w:ascii="Calibri" w:eastAsia="Calibri" w:hAnsi="Calibri" w:cs="Calibri"/>
        </w:rPr>
      </w:pPr>
    </w:p>
    <w:p w14:paraId="1D3EC6F5" w14:textId="55C9CC0B" w:rsidR="003823DA" w:rsidRDefault="003823DA"/>
    <w:p w14:paraId="39A59864" w14:textId="20D3F85E" w:rsidR="002347B2" w:rsidRDefault="002347B2"/>
    <w:p w14:paraId="7EEBDEEC" w14:textId="39D40D74" w:rsidR="002347B2" w:rsidRDefault="002347B2"/>
    <w:p w14:paraId="1714EF96" w14:textId="19381C2B" w:rsidR="002347B2" w:rsidRDefault="002347B2"/>
    <w:p w14:paraId="189D6CD3" w14:textId="6A648DE7" w:rsidR="002347B2" w:rsidRDefault="002347B2"/>
    <w:p w14:paraId="2EA4BA0D" w14:textId="0082441E" w:rsidR="002347B2" w:rsidRDefault="002347B2"/>
    <w:p w14:paraId="207BD9A3" w14:textId="4A591888" w:rsidR="002347B2" w:rsidRDefault="002347B2"/>
    <w:p w14:paraId="3A7D7885" w14:textId="20BEADBB" w:rsidR="002347B2" w:rsidRPr="00FC3074" w:rsidRDefault="00FC3074">
      <w:pPr>
        <w:rPr>
          <w:rFonts w:asciiTheme="minorHAnsi" w:hAnsiTheme="minorHAnsi" w:cstheme="minorHAnsi"/>
          <w:b/>
          <w:bCs/>
          <w:color w:val="FF6D00"/>
          <w:sz w:val="28"/>
          <w:szCs w:val="28"/>
        </w:rPr>
      </w:pPr>
      <w:r w:rsidRPr="00FC3074">
        <w:rPr>
          <w:rFonts w:asciiTheme="minorHAnsi" w:hAnsiTheme="minorHAnsi" w:cstheme="minorHAnsi"/>
          <w:b/>
          <w:bCs/>
          <w:color w:val="FF6D00"/>
          <w:sz w:val="28"/>
          <w:szCs w:val="28"/>
        </w:rPr>
        <w:t xml:space="preserve">Annex 1: </w:t>
      </w:r>
      <w:r w:rsidR="002347B2" w:rsidRPr="00FC3074">
        <w:rPr>
          <w:rFonts w:asciiTheme="minorHAnsi" w:hAnsiTheme="minorHAnsi" w:cstheme="minorHAnsi"/>
          <w:b/>
          <w:bCs/>
          <w:color w:val="FF6D00"/>
          <w:sz w:val="28"/>
          <w:szCs w:val="28"/>
        </w:rPr>
        <w:t>Endnotes</w:t>
      </w:r>
    </w:p>
    <w:sectPr w:rsidR="002347B2" w:rsidRPr="00FC3074" w:rsidSect="00DC5C54">
      <w:headerReference w:type="default" r:id="rId12"/>
      <w:footerReference w:type="even" r:id="rId13"/>
      <w:footerReference w:type="default" r:id="rId14"/>
      <w:endnotePr>
        <w:numFmt w:val="decimal"/>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4FD80" w14:textId="77777777" w:rsidR="00CF7285" w:rsidRDefault="00CF7285" w:rsidP="003823DA">
      <w:pPr>
        <w:spacing w:line="240" w:lineRule="auto"/>
      </w:pPr>
      <w:r>
        <w:separator/>
      </w:r>
    </w:p>
  </w:endnote>
  <w:endnote w:type="continuationSeparator" w:id="0">
    <w:p w14:paraId="60ACBF7C" w14:textId="77777777" w:rsidR="00CF7285" w:rsidRDefault="00CF7285" w:rsidP="003823DA">
      <w:pPr>
        <w:spacing w:line="240" w:lineRule="auto"/>
      </w:pPr>
      <w:r>
        <w:continuationSeparator/>
      </w:r>
    </w:p>
  </w:endnote>
  <w:endnote w:id="1">
    <w:p w14:paraId="32EF866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56030">
        <w:rPr>
          <w:rFonts w:asciiTheme="majorHAnsi" w:hAnsiTheme="majorHAnsi" w:cstheme="majorHAnsi"/>
          <w:vertAlign w:val="superscript"/>
        </w:rPr>
        <w:endnoteRef/>
      </w:r>
      <w:r w:rsidRPr="00256030">
        <w:rPr>
          <w:rFonts w:asciiTheme="majorHAnsi" w:hAnsiTheme="majorHAnsi" w:cstheme="majorHAnsi"/>
          <w:sz w:val="20"/>
          <w:szCs w:val="20"/>
        </w:rPr>
        <w:t xml:space="preserve"> </w:t>
      </w:r>
      <w:r>
        <w:rPr>
          <w:rFonts w:asciiTheme="majorHAnsi" w:hAnsiTheme="majorHAnsi" w:cstheme="majorHAnsi"/>
          <w:sz w:val="20"/>
          <w:szCs w:val="20"/>
        </w:rPr>
        <w:tab/>
      </w:r>
      <w:r w:rsidRPr="002347B2">
        <w:rPr>
          <w:rFonts w:asciiTheme="minorHAnsi" w:eastAsia="Calibri" w:hAnsiTheme="minorHAnsi" w:cstheme="minorHAnsi"/>
          <w:sz w:val="20"/>
          <w:szCs w:val="20"/>
        </w:rPr>
        <w:t xml:space="preserve">The Borgen Project, </w:t>
      </w:r>
      <w:r w:rsidRPr="002347B2">
        <w:rPr>
          <w:rFonts w:asciiTheme="minorHAnsi" w:eastAsia="Calibri" w:hAnsiTheme="minorHAnsi" w:cstheme="minorHAnsi"/>
          <w:i/>
          <w:sz w:val="20"/>
          <w:szCs w:val="20"/>
        </w:rPr>
        <w:t>The Feminization of Poverty in Thailand</w:t>
      </w:r>
      <w:r w:rsidRPr="002347B2">
        <w:rPr>
          <w:rFonts w:asciiTheme="minorHAnsi" w:eastAsia="Calibri" w:hAnsiTheme="minorHAnsi" w:cstheme="minorHAnsi"/>
          <w:sz w:val="20"/>
          <w:szCs w:val="20"/>
        </w:rPr>
        <w:t xml:space="preserve">, (14 April 2021), available at: </w:t>
      </w:r>
      <w:hyperlink r:id="rId1" w:anchor=":~:text=The%20was%20Gap%20in%20">
        <w:r w:rsidRPr="002347B2">
          <w:rPr>
            <w:rFonts w:asciiTheme="minorHAnsi" w:eastAsia="Calibri" w:hAnsiTheme="minorHAnsi" w:cstheme="minorHAnsi"/>
            <w:color w:val="1155CC"/>
            <w:sz w:val="20"/>
            <w:szCs w:val="20"/>
            <w:u w:val="single"/>
          </w:rPr>
          <w:t>https://borgenproject.org/feminization-of-poverty-in-thailand/#:~:text=The%20was%20Gap%20in%20</w:t>
        </w:r>
      </w:hyperlink>
      <w:r w:rsidRPr="002347B2">
        <w:rPr>
          <w:rFonts w:asciiTheme="minorHAnsi" w:eastAsia="Calibri" w:hAnsiTheme="minorHAnsi" w:cstheme="minorHAnsi"/>
          <w:sz w:val="20"/>
          <w:szCs w:val="20"/>
        </w:rPr>
        <w:t xml:space="preserve">; UN Women, </w:t>
      </w:r>
      <w:r w:rsidRPr="002347B2">
        <w:rPr>
          <w:rFonts w:asciiTheme="minorHAnsi" w:eastAsia="Calibri" w:hAnsiTheme="minorHAnsi" w:cstheme="minorHAnsi"/>
          <w:i/>
          <w:sz w:val="20"/>
          <w:szCs w:val="20"/>
        </w:rPr>
        <w:t>The State of Women’s Economic Empowerment in the Indian Ocean Rim: Thailand</w:t>
      </w:r>
      <w:r w:rsidRPr="002347B2">
        <w:rPr>
          <w:rFonts w:asciiTheme="minorHAnsi" w:eastAsia="Calibri" w:hAnsiTheme="minorHAnsi" w:cstheme="minorHAnsi"/>
          <w:sz w:val="20"/>
          <w:szCs w:val="20"/>
        </w:rPr>
        <w:t xml:space="preserve">, (2020), available at: </w:t>
      </w:r>
      <w:hyperlink r:id="rId2">
        <w:r w:rsidRPr="002347B2">
          <w:rPr>
            <w:rFonts w:asciiTheme="minorHAnsi" w:eastAsia="Calibri" w:hAnsiTheme="minorHAnsi" w:cstheme="minorHAnsi"/>
            <w:color w:val="1155CC"/>
            <w:sz w:val="20"/>
            <w:szCs w:val="20"/>
            <w:u w:val="single"/>
          </w:rPr>
          <w:t>https://interactive.unwomen.org/multimedia/infographic/economicempowermentindianocean/en/thailand.html</w:t>
        </w:r>
      </w:hyperlink>
      <w:r w:rsidRPr="002347B2">
        <w:rPr>
          <w:rFonts w:asciiTheme="minorHAnsi" w:eastAsia="Calibri" w:hAnsiTheme="minorHAnsi" w:cstheme="minorHAnsi"/>
          <w:color w:val="0E2E3C"/>
          <w:sz w:val="20"/>
          <w:szCs w:val="20"/>
        </w:rPr>
        <w:t xml:space="preserve"> </w:t>
      </w:r>
    </w:p>
  </w:endnote>
  <w:endnote w:id="2">
    <w:p w14:paraId="2A0327B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The Borgen Project, </w:t>
      </w:r>
      <w:r w:rsidRPr="002347B2">
        <w:rPr>
          <w:rFonts w:asciiTheme="minorHAnsi" w:eastAsia="Calibri" w:hAnsiTheme="minorHAnsi" w:cstheme="minorHAnsi"/>
          <w:i/>
          <w:sz w:val="20"/>
          <w:szCs w:val="20"/>
        </w:rPr>
        <w:t>The Feminization of Poverty in Thailand,</w:t>
      </w:r>
      <w:r w:rsidRPr="002347B2">
        <w:rPr>
          <w:rFonts w:asciiTheme="minorHAnsi" w:eastAsia="Calibri" w:hAnsiTheme="minorHAnsi" w:cstheme="minorHAnsi"/>
          <w:sz w:val="20"/>
          <w:szCs w:val="20"/>
        </w:rPr>
        <w:t xml:space="preserve"> (14 April 2021), available at: </w:t>
      </w:r>
      <w:hyperlink r:id="rId3" w:anchor=":~:text=The%20was%20Gap%20in%20">
        <w:r w:rsidRPr="002347B2">
          <w:rPr>
            <w:rFonts w:asciiTheme="minorHAnsi" w:eastAsia="Calibri" w:hAnsiTheme="minorHAnsi" w:cstheme="minorHAnsi"/>
            <w:color w:val="1155CC"/>
            <w:sz w:val="20"/>
            <w:szCs w:val="20"/>
            <w:u w:val="single"/>
          </w:rPr>
          <w:t>https://borgenproject.org/feminization-of-poverty-in-thailand/#:~:text=The%20was%20Gap%20in%20</w:t>
        </w:r>
      </w:hyperlink>
      <w:r w:rsidRPr="002347B2">
        <w:rPr>
          <w:rFonts w:asciiTheme="minorHAnsi" w:eastAsia="Calibri" w:hAnsiTheme="minorHAnsi" w:cstheme="minorHAnsi"/>
          <w:sz w:val="20"/>
          <w:szCs w:val="20"/>
        </w:rPr>
        <w:t xml:space="preserve">; UN Women, </w:t>
      </w:r>
      <w:r w:rsidRPr="002347B2">
        <w:rPr>
          <w:rFonts w:asciiTheme="minorHAnsi" w:eastAsia="Calibri" w:hAnsiTheme="minorHAnsi" w:cstheme="minorHAnsi"/>
          <w:i/>
          <w:sz w:val="20"/>
          <w:szCs w:val="20"/>
        </w:rPr>
        <w:t>The State of Women’s Economic Empowerment in the Indian Ocean Rim: Thailand</w:t>
      </w:r>
      <w:r w:rsidRPr="002347B2">
        <w:rPr>
          <w:rFonts w:asciiTheme="minorHAnsi" w:eastAsia="Calibri" w:hAnsiTheme="minorHAnsi" w:cstheme="minorHAnsi"/>
          <w:sz w:val="20"/>
          <w:szCs w:val="20"/>
        </w:rPr>
        <w:t xml:space="preserve">, (2020), available at: </w:t>
      </w:r>
      <w:hyperlink r:id="rId4">
        <w:r w:rsidRPr="002347B2">
          <w:rPr>
            <w:rFonts w:asciiTheme="minorHAnsi" w:eastAsia="Calibri" w:hAnsiTheme="minorHAnsi" w:cstheme="minorHAnsi"/>
            <w:color w:val="1155CC"/>
            <w:sz w:val="20"/>
            <w:szCs w:val="20"/>
            <w:u w:val="single"/>
          </w:rPr>
          <w:t>https://interactive.unwomen.org/multimedia/infographic/economicempowermentindianocean/en/thailand.html</w:t>
        </w:r>
      </w:hyperlink>
      <w:r w:rsidRPr="002347B2">
        <w:rPr>
          <w:rFonts w:asciiTheme="minorHAnsi" w:eastAsia="Calibri" w:hAnsiTheme="minorHAnsi" w:cstheme="minorHAnsi"/>
          <w:color w:val="0E2E3C"/>
          <w:sz w:val="20"/>
          <w:szCs w:val="20"/>
        </w:rPr>
        <w:t xml:space="preserve"> </w:t>
      </w:r>
    </w:p>
  </w:endnote>
  <w:endnote w:id="3">
    <w:p w14:paraId="561716E1"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4">
    <w:p w14:paraId="4ED5A48F"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5">
    <w:p w14:paraId="7516CE39"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ILO, </w:t>
      </w:r>
      <w:r w:rsidRPr="002347B2">
        <w:rPr>
          <w:rFonts w:asciiTheme="minorHAnsi" w:eastAsia="Calibri" w:hAnsiTheme="minorHAnsi" w:cstheme="minorHAnsi"/>
          <w:i/>
          <w:sz w:val="20"/>
          <w:szCs w:val="20"/>
        </w:rPr>
        <w:t>The Unpaid Care Work and the Labour Market. An analysis of time use data based on the latest World Compilation of Time-use Surveys</w:t>
      </w:r>
      <w:r w:rsidRPr="002347B2">
        <w:rPr>
          <w:rFonts w:asciiTheme="minorHAnsi" w:eastAsia="Calibri" w:hAnsiTheme="minorHAnsi" w:cstheme="minorHAnsi"/>
          <w:sz w:val="20"/>
          <w:szCs w:val="20"/>
        </w:rPr>
        <w:t>, (19 December 2019), available at:</w:t>
      </w:r>
    </w:p>
    <w:p w14:paraId="06F25D77" w14:textId="77777777" w:rsidR="003823DA" w:rsidRPr="002347B2" w:rsidRDefault="00000000" w:rsidP="003823DA">
      <w:pPr>
        <w:spacing w:line="240" w:lineRule="auto"/>
        <w:ind w:left="360"/>
        <w:rPr>
          <w:rFonts w:asciiTheme="minorHAnsi" w:hAnsiTheme="minorHAnsi" w:cstheme="minorHAnsi"/>
          <w:sz w:val="20"/>
          <w:szCs w:val="20"/>
        </w:rPr>
      </w:pPr>
      <w:hyperlink r:id="rId5" w:history="1">
        <w:r w:rsidR="003823DA" w:rsidRPr="002347B2">
          <w:rPr>
            <w:rStyle w:val="Hyperlink"/>
            <w:rFonts w:asciiTheme="minorHAnsi" w:eastAsia="Calibri" w:hAnsiTheme="minorHAnsi" w:cstheme="minorHAnsi"/>
            <w:sz w:val="20"/>
            <w:szCs w:val="20"/>
          </w:rPr>
          <w:t>https://www.ilo.org/gender/Informationresources/Publications/WCMS_732791/lang--en/index.htm</w:t>
        </w:r>
      </w:hyperlink>
      <w:r w:rsidR="003823DA" w:rsidRPr="002347B2">
        <w:rPr>
          <w:rFonts w:asciiTheme="minorHAnsi" w:hAnsiTheme="minorHAnsi" w:cstheme="minorHAnsi"/>
          <w:sz w:val="20"/>
          <w:szCs w:val="20"/>
        </w:rPr>
        <w:t xml:space="preserve"> </w:t>
      </w:r>
    </w:p>
  </w:endnote>
  <w:endnote w:id="6">
    <w:p w14:paraId="1AF8625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UN Women, </w:t>
      </w:r>
      <w:r w:rsidRPr="002347B2">
        <w:rPr>
          <w:rFonts w:asciiTheme="minorHAnsi" w:eastAsia="Calibri" w:hAnsiTheme="minorHAnsi" w:cstheme="minorHAnsi"/>
          <w:i/>
          <w:sz w:val="20"/>
          <w:szCs w:val="20"/>
        </w:rPr>
        <w:t>Against the Odds: Stories from women in Thailand during COVID-19, (</w:t>
      </w:r>
      <w:r w:rsidRPr="002347B2">
        <w:rPr>
          <w:rFonts w:asciiTheme="minorHAnsi" w:eastAsia="Calibri" w:hAnsiTheme="minorHAnsi" w:cstheme="minorHAnsi"/>
          <w:sz w:val="20"/>
          <w:szCs w:val="20"/>
          <w:highlight w:val="white"/>
        </w:rPr>
        <w:t>26 June 2020</w:t>
      </w:r>
      <w:r w:rsidRPr="002347B2">
        <w:rPr>
          <w:rFonts w:asciiTheme="minorHAnsi" w:eastAsia="Calibri" w:hAnsiTheme="minorHAnsi" w:cstheme="minorHAnsi"/>
          <w:sz w:val="20"/>
          <w:szCs w:val="20"/>
        </w:rPr>
        <w:t>), available at:</w:t>
      </w:r>
    </w:p>
    <w:p w14:paraId="45E181B7"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6" w:history="1">
        <w:r w:rsidR="003823DA" w:rsidRPr="002347B2">
          <w:rPr>
            <w:rStyle w:val="Hyperlink"/>
            <w:rFonts w:asciiTheme="minorHAnsi" w:eastAsia="Calibri" w:hAnsiTheme="minorHAnsi" w:cstheme="minorHAnsi"/>
            <w:sz w:val="20"/>
            <w:szCs w:val="20"/>
          </w:rPr>
          <w:t>https://asiapacific.unwomen.org/en/news-and-events/stories/2020/06/against-the-odds-stories-from-women-in-thailand-during-covid19</w:t>
        </w:r>
      </w:hyperlink>
      <w:r w:rsidR="003823DA" w:rsidRPr="002347B2">
        <w:rPr>
          <w:rFonts w:asciiTheme="minorHAnsi" w:eastAsia="Calibri" w:hAnsiTheme="minorHAnsi" w:cstheme="minorHAnsi"/>
          <w:sz w:val="20"/>
          <w:szCs w:val="20"/>
        </w:rPr>
        <w:t xml:space="preserve"> </w:t>
      </w:r>
    </w:p>
  </w:endnote>
  <w:endnote w:id="7">
    <w:p w14:paraId="773A28B6"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UNESCAP, </w:t>
      </w:r>
      <w:r w:rsidRPr="002347B2">
        <w:rPr>
          <w:rFonts w:asciiTheme="minorHAnsi" w:eastAsia="Calibri" w:hAnsiTheme="minorHAnsi" w:cstheme="minorHAnsi"/>
          <w:i/>
          <w:sz w:val="20"/>
          <w:szCs w:val="20"/>
        </w:rPr>
        <w:t>Addressing unpaid care work in ASEAN</w:t>
      </w:r>
      <w:r w:rsidRPr="002347B2">
        <w:rPr>
          <w:rFonts w:asciiTheme="minorHAnsi" w:eastAsia="Calibri" w:hAnsiTheme="minorHAnsi" w:cstheme="minorHAnsi"/>
          <w:sz w:val="20"/>
          <w:szCs w:val="20"/>
        </w:rPr>
        <w:t>, (12 October 2021), available at:</w:t>
      </w:r>
    </w:p>
    <w:p w14:paraId="0D38C927"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r>
      <w:hyperlink r:id="rId7" w:history="1">
        <w:r w:rsidRPr="002347B2">
          <w:rPr>
            <w:rStyle w:val="Hyperlink"/>
            <w:rFonts w:asciiTheme="minorHAnsi" w:eastAsia="Calibri" w:hAnsiTheme="minorHAnsi" w:cstheme="minorHAnsi"/>
            <w:sz w:val="20"/>
            <w:szCs w:val="20"/>
          </w:rPr>
          <w:t>https://www.unescap.org/kp/2021/addressing-unpaid-care-work-asean</w:t>
        </w:r>
      </w:hyperlink>
      <w:r w:rsidRPr="002347B2">
        <w:rPr>
          <w:rFonts w:asciiTheme="minorHAnsi" w:eastAsia="Calibri" w:hAnsiTheme="minorHAnsi" w:cstheme="minorHAnsi"/>
          <w:sz w:val="20"/>
          <w:szCs w:val="20"/>
        </w:rPr>
        <w:t xml:space="preserve"> </w:t>
      </w:r>
    </w:p>
  </w:endnote>
  <w:endnote w:id="8">
    <w:p w14:paraId="56899A8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APEC, </w:t>
      </w:r>
      <w:r w:rsidRPr="002347B2">
        <w:rPr>
          <w:rFonts w:asciiTheme="minorHAnsi" w:eastAsia="Calibri" w:hAnsiTheme="minorHAnsi" w:cstheme="minorHAnsi"/>
          <w:i/>
          <w:sz w:val="20"/>
          <w:szCs w:val="20"/>
        </w:rPr>
        <w:t>Unpaid Care and Domestic Work: Counting the Costs</w:t>
      </w:r>
      <w:r w:rsidRPr="002347B2">
        <w:rPr>
          <w:rFonts w:asciiTheme="minorHAnsi" w:eastAsia="Calibri" w:hAnsiTheme="minorHAnsi" w:cstheme="minorHAnsi"/>
          <w:sz w:val="20"/>
          <w:szCs w:val="20"/>
        </w:rPr>
        <w:t xml:space="preserve">, (March 2022), available at: </w:t>
      </w:r>
    </w:p>
    <w:p w14:paraId="77FA4A8A"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8" w:history="1">
        <w:r w:rsidR="003823DA" w:rsidRPr="002347B2">
          <w:rPr>
            <w:rStyle w:val="Hyperlink"/>
            <w:rFonts w:asciiTheme="minorHAnsi" w:eastAsia="Calibri" w:hAnsiTheme="minorHAnsi" w:cstheme="minorHAnsi"/>
            <w:sz w:val="20"/>
            <w:szCs w:val="20"/>
          </w:rPr>
          <w:t>https://www.apec.org/publications/2022/03/unpaid-care-and-domestic-work-counting-the-costs</w:t>
        </w:r>
      </w:hyperlink>
      <w:r w:rsidR="003823DA" w:rsidRPr="002347B2">
        <w:rPr>
          <w:rFonts w:asciiTheme="minorHAnsi" w:eastAsia="Calibri" w:hAnsiTheme="minorHAnsi" w:cstheme="minorHAnsi"/>
          <w:sz w:val="20"/>
          <w:szCs w:val="20"/>
        </w:rPr>
        <w:t xml:space="preserve"> </w:t>
      </w:r>
    </w:p>
  </w:endnote>
  <w:endnote w:id="9">
    <w:p w14:paraId="580A88F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Promotion of Decent Working Conditions for Formal and Informal Workers</w:t>
      </w:r>
      <w:r w:rsidRPr="002347B2">
        <w:rPr>
          <w:rFonts w:asciiTheme="minorHAnsi" w:eastAsia="Calibri" w:hAnsiTheme="minorHAnsi" w:cstheme="minorHAnsi"/>
          <w:sz w:val="20"/>
          <w:szCs w:val="20"/>
        </w:rPr>
        <w:t xml:space="preserve">, (March 2019), available at:  </w:t>
      </w:r>
    </w:p>
    <w:p w14:paraId="273651AA" w14:textId="77777777" w:rsidR="003823DA" w:rsidRPr="002347B2" w:rsidRDefault="00000000" w:rsidP="003823DA">
      <w:pPr>
        <w:spacing w:line="240" w:lineRule="auto"/>
        <w:ind w:left="360"/>
        <w:rPr>
          <w:rFonts w:asciiTheme="minorHAnsi" w:hAnsiTheme="minorHAnsi" w:cstheme="minorHAnsi"/>
          <w:sz w:val="20"/>
          <w:szCs w:val="20"/>
        </w:rPr>
      </w:pPr>
      <w:hyperlink r:id="rId9" w:history="1">
        <w:r w:rsidR="003823DA" w:rsidRPr="002347B2">
          <w:rPr>
            <w:rStyle w:val="Hyperlink"/>
            <w:rFonts w:asciiTheme="minorHAnsi" w:eastAsia="Calibri" w:hAnsiTheme="minorHAnsi" w:cstheme="minorHAnsi"/>
            <w:sz w:val="20"/>
            <w:szCs w:val="20"/>
          </w:rPr>
          <w:t>https://www.manushyafoundation.org/nba-bhr-decent-working-conditions</w:t>
        </w:r>
      </w:hyperlink>
      <w:r w:rsidR="003823DA" w:rsidRPr="002347B2">
        <w:rPr>
          <w:rFonts w:asciiTheme="minorHAnsi" w:eastAsia="Calibri" w:hAnsiTheme="minorHAnsi" w:cstheme="minorHAnsi"/>
          <w:sz w:val="20"/>
          <w:szCs w:val="20"/>
        </w:rPr>
        <w:t xml:space="preserve"> </w:t>
      </w:r>
    </w:p>
  </w:endnote>
  <w:endnote w:id="10">
    <w:p w14:paraId="69E7B4FB"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1">
    <w:p w14:paraId="7916F34C"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Thai PBS World, </w:t>
      </w:r>
      <w:r w:rsidRPr="002347B2">
        <w:rPr>
          <w:rFonts w:asciiTheme="minorHAnsi" w:eastAsia="Calibri" w:hAnsiTheme="minorHAnsi" w:cstheme="minorHAnsi"/>
          <w:i/>
          <w:sz w:val="20"/>
          <w:szCs w:val="20"/>
        </w:rPr>
        <w:t>Labour Day brings little cheer for Thailand’s 20 million informal workers</w:t>
      </w:r>
      <w:r w:rsidRPr="002347B2">
        <w:rPr>
          <w:rFonts w:asciiTheme="minorHAnsi" w:eastAsia="Calibri" w:hAnsiTheme="minorHAnsi" w:cstheme="minorHAnsi"/>
          <w:sz w:val="20"/>
          <w:szCs w:val="20"/>
        </w:rPr>
        <w:t xml:space="preserve">, (1 May 2022), available at:  </w:t>
      </w:r>
      <w:hyperlink r:id="rId10">
        <w:r w:rsidRPr="002347B2">
          <w:rPr>
            <w:rFonts w:asciiTheme="minorHAnsi" w:eastAsia="Calibri" w:hAnsiTheme="minorHAnsi" w:cstheme="minorHAnsi"/>
            <w:color w:val="1155CC"/>
            <w:sz w:val="20"/>
            <w:szCs w:val="20"/>
            <w:u w:val="single"/>
          </w:rPr>
          <w:t>https://www.thaipbsworld.com/labour-day-brings-little-cheer-for-thailands-20-million-informal-workers/</w:t>
        </w:r>
      </w:hyperlink>
      <w:r w:rsidRPr="002347B2">
        <w:rPr>
          <w:rFonts w:asciiTheme="minorHAnsi" w:eastAsia="Calibri" w:hAnsiTheme="minorHAnsi" w:cstheme="minorHAnsi"/>
          <w:sz w:val="20"/>
          <w:szCs w:val="20"/>
        </w:rPr>
        <w:t xml:space="preserve"> </w:t>
      </w:r>
    </w:p>
  </w:endnote>
  <w:endnote w:id="12">
    <w:p w14:paraId="00809CF4"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WIEGO, </w:t>
      </w:r>
      <w:r w:rsidRPr="002347B2">
        <w:rPr>
          <w:rFonts w:asciiTheme="minorHAnsi" w:eastAsia="Calibri" w:hAnsiTheme="minorHAnsi" w:cstheme="minorHAnsi"/>
          <w:i/>
          <w:sz w:val="20"/>
          <w:szCs w:val="20"/>
        </w:rPr>
        <w:t>City Report - Informal Economy Monitoring Study: Home-based Workers in Bangkok, Thailand</w:t>
      </w:r>
      <w:r w:rsidRPr="002347B2">
        <w:rPr>
          <w:rFonts w:asciiTheme="minorHAnsi" w:eastAsia="Calibri" w:hAnsiTheme="minorHAnsi" w:cstheme="minorHAnsi"/>
          <w:sz w:val="20"/>
          <w:szCs w:val="20"/>
        </w:rPr>
        <w:t xml:space="preserve">, (July 2013), available at: </w:t>
      </w:r>
      <w:hyperlink r:id="rId11">
        <w:r w:rsidRPr="002347B2">
          <w:rPr>
            <w:rFonts w:asciiTheme="minorHAnsi" w:eastAsia="Calibri" w:hAnsiTheme="minorHAnsi" w:cstheme="minorHAnsi"/>
            <w:color w:val="1155CC"/>
            <w:sz w:val="20"/>
            <w:szCs w:val="20"/>
            <w:u w:val="single"/>
          </w:rPr>
          <w:t>https://www.wiego.org/publications/city-report-informal-economy-monitoring-study-home-based-workers-bangkok-thailand</w:t>
        </w:r>
      </w:hyperlink>
      <w:r w:rsidRPr="002347B2">
        <w:rPr>
          <w:rFonts w:asciiTheme="minorHAnsi" w:eastAsia="Calibri" w:hAnsiTheme="minorHAnsi" w:cstheme="minorHAnsi"/>
          <w:sz w:val="20"/>
          <w:szCs w:val="20"/>
        </w:rPr>
        <w:t xml:space="preserve"> </w:t>
      </w:r>
    </w:p>
  </w:endnote>
  <w:endnote w:id="13">
    <w:p w14:paraId="6111F74F"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Promotion of Decent Working Conditions for Formal and Informal Workers</w:t>
      </w:r>
      <w:r w:rsidRPr="002347B2">
        <w:rPr>
          <w:rFonts w:asciiTheme="minorHAnsi" w:eastAsia="Calibri" w:hAnsiTheme="minorHAnsi" w:cstheme="minorHAnsi"/>
          <w:sz w:val="20"/>
          <w:szCs w:val="20"/>
        </w:rPr>
        <w:t xml:space="preserve">, (March 2019), available at: </w:t>
      </w:r>
      <w:hyperlink r:id="rId12">
        <w:r w:rsidRPr="002347B2">
          <w:rPr>
            <w:rFonts w:asciiTheme="minorHAnsi" w:eastAsia="Calibri" w:hAnsiTheme="minorHAnsi" w:cstheme="minorHAnsi"/>
            <w:color w:val="1155CC"/>
            <w:sz w:val="20"/>
            <w:szCs w:val="20"/>
            <w:u w:val="single"/>
          </w:rPr>
          <w:t>https://www.manushyafoundation.org/nba-bhr-decent-working-conditions</w:t>
        </w:r>
      </w:hyperlink>
      <w:r w:rsidRPr="002347B2">
        <w:rPr>
          <w:rFonts w:asciiTheme="minorHAnsi" w:eastAsia="Calibri" w:hAnsiTheme="minorHAnsi" w:cstheme="minorHAnsi"/>
          <w:sz w:val="20"/>
          <w:szCs w:val="20"/>
        </w:rPr>
        <w:t xml:space="preserve"> </w:t>
      </w:r>
    </w:p>
  </w:endnote>
  <w:endnote w:id="14">
    <w:p w14:paraId="09497429"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Labour Rights in Thailand: Thailand's Third Universal Periodic Review Cycle</w:t>
      </w:r>
      <w:r w:rsidRPr="002347B2">
        <w:rPr>
          <w:rFonts w:asciiTheme="minorHAnsi" w:eastAsia="Calibri" w:hAnsiTheme="minorHAnsi" w:cstheme="minorHAnsi"/>
          <w:sz w:val="20"/>
          <w:szCs w:val="20"/>
        </w:rPr>
        <w:t xml:space="preserve">, (9 September 2021), available at: </w:t>
      </w:r>
      <w:hyperlink r:id="rId13">
        <w:r w:rsidRPr="002347B2">
          <w:rPr>
            <w:rFonts w:asciiTheme="minorHAnsi" w:eastAsia="Calibri" w:hAnsiTheme="minorHAnsi" w:cstheme="minorHAnsi"/>
            <w:color w:val="1155CC"/>
            <w:sz w:val="20"/>
            <w:szCs w:val="20"/>
            <w:u w:val="single"/>
          </w:rPr>
          <w:t>https://www.manushyafoundation.org/thailand-third-upr-cycle-factsheet-labour-rights</w:t>
        </w:r>
      </w:hyperlink>
      <w:r w:rsidRPr="002347B2">
        <w:rPr>
          <w:rFonts w:asciiTheme="minorHAnsi" w:eastAsia="Calibri" w:hAnsiTheme="minorHAnsi" w:cstheme="minorHAnsi"/>
          <w:sz w:val="20"/>
          <w:szCs w:val="20"/>
        </w:rPr>
        <w:t xml:space="preserve"> </w:t>
      </w:r>
    </w:p>
  </w:endnote>
  <w:endnote w:id="15">
    <w:p w14:paraId="61F9FB65"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Gender-Based Discrimination And Sexual Harassment In The Workplace</w:t>
      </w:r>
      <w:r w:rsidRPr="002347B2">
        <w:rPr>
          <w:rFonts w:asciiTheme="minorHAnsi" w:eastAsia="Calibri" w:hAnsiTheme="minorHAnsi" w:cstheme="minorHAnsi"/>
          <w:sz w:val="20"/>
          <w:szCs w:val="20"/>
        </w:rPr>
        <w:t xml:space="preserve">, (March 2019), available at: </w:t>
      </w:r>
      <w:hyperlink r:id="rId14">
        <w:r w:rsidRPr="002347B2">
          <w:rPr>
            <w:rFonts w:asciiTheme="minorHAnsi" w:eastAsia="Calibri" w:hAnsiTheme="minorHAnsi" w:cstheme="minorHAnsi"/>
            <w:color w:val="1155CC"/>
            <w:sz w:val="20"/>
            <w:szCs w:val="20"/>
            <w:u w:val="single"/>
          </w:rPr>
          <w:t>https://www.manushyafoundation.org/nba-bhr-gender-discrimination</w:t>
        </w:r>
      </w:hyperlink>
      <w:r w:rsidRPr="002347B2">
        <w:rPr>
          <w:rFonts w:asciiTheme="minorHAnsi" w:eastAsia="Calibri" w:hAnsiTheme="minorHAnsi" w:cstheme="minorHAnsi"/>
          <w:sz w:val="20"/>
          <w:szCs w:val="20"/>
        </w:rPr>
        <w:t xml:space="preserve">; 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Gender-Based Discrimination and Sexual Harassment in the Workplace</w:t>
      </w:r>
      <w:r w:rsidRPr="002347B2">
        <w:rPr>
          <w:rFonts w:asciiTheme="minorHAnsi" w:eastAsia="Calibri" w:hAnsiTheme="minorHAnsi" w:cstheme="minorHAnsi"/>
          <w:sz w:val="20"/>
          <w:szCs w:val="20"/>
        </w:rPr>
        <w:t xml:space="preserve">, (March 2019), available at: </w:t>
      </w:r>
      <w:hyperlink r:id="rId15">
        <w:r w:rsidRPr="002347B2">
          <w:rPr>
            <w:rFonts w:asciiTheme="minorHAnsi" w:eastAsia="Calibri" w:hAnsiTheme="minorHAnsi" w:cstheme="minorHAnsi"/>
            <w:color w:val="1155CC"/>
            <w:sz w:val="20"/>
            <w:szCs w:val="20"/>
            <w:u w:val="single"/>
          </w:rPr>
          <w:t>https://www.manushyafoundation.org/nba-bhr-working-paper-gender-lens</w:t>
        </w:r>
      </w:hyperlink>
      <w:r w:rsidRPr="002347B2">
        <w:rPr>
          <w:rFonts w:asciiTheme="minorHAnsi" w:eastAsia="Calibri" w:hAnsiTheme="minorHAnsi" w:cstheme="minorHAnsi"/>
          <w:sz w:val="20"/>
          <w:szCs w:val="20"/>
        </w:rPr>
        <w:t xml:space="preserve"> </w:t>
      </w:r>
    </w:p>
  </w:endnote>
  <w:endnote w:id="16">
    <w:p w14:paraId="4E2E3BDD"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7">
    <w:p w14:paraId="5EBB75E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Sexual harassment cases in the workplace need to he handled by both the Ministry of Labor and Department of Women and Family at Ministry of Social Development. However, in practice, the Ministry of Social Development only has the authority to send letters to employers demanding that they conduct an investigation and address the problem. Because of this, the burden falls onto the victims to file civil or criminal suits for justice or compensation. The information was obtained from interviews conducted by Manushya Foundation to inform this report, (2022)</w:t>
      </w:r>
    </w:p>
  </w:endnote>
  <w:endnote w:id="18">
    <w:p w14:paraId="58A64ED2" w14:textId="77777777" w:rsidR="003823DA" w:rsidRPr="002347B2" w:rsidRDefault="003823DA" w:rsidP="003823DA">
      <w:pPr>
        <w:spacing w:line="240" w:lineRule="auto"/>
        <w:ind w:left="360" w:hanging="360"/>
        <w:rPr>
          <w:rFonts w:asciiTheme="minorHAnsi" w:eastAsia="Calibri" w:hAnsiTheme="minorHAnsi" w:cstheme="minorHAnsi"/>
          <w:sz w:val="20"/>
          <w:szCs w:val="20"/>
          <w:highlight w:val="white"/>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highlight w:val="white"/>
        </w:rPr>
        <w:t xml:space="preserve"> </w:t>
      </w:r>
      <w:r w:rsidRPr="002347B2">
        <w:rPr>
          <w:rFonts w:asciiTheme="minorHAnsi" w:eastAsia="Calibri" w:hAnsiTheme="minorHAnsi" w:cstheme="minorHAnsi"/>
          <w:sz w:val="20"/>
          <w:szCs w:val="20"/>
          <w:highlight w:val="white"/>
        </w:rPr>
        <w:tab/>
        <w:t>Information obtained from interviews conducted by Manushya Foundation to inform this report, (August-September 2022)</w:t>
      </w:r>
    </w:p>
  </w:endnote>
  <w:endnote w:id="19">
    <w:p w14:paraId="7F2AA175"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Gender-Based Discrimination And Sexual Harassment In The Workplace</w:t>
      </w:r>
      <w:r w:rsidRPr="002347B2">
        <w:rPr>
          <w:rFonts w:asciiTheme="minorHAnsi" w:eastAsia="Calibri" w:hAnsiTheme="minorHAnsi" w:cstheme="minorHAnsi"/>
          <w:sz w:val="20"/>
          <w:szCs w:val="20"/>
        </w:rPr>
        <w:t xml:space="preserve">, (March 2019), available at: </w:t>
      </w:r>
      <w:hyperlink r:id="rId16">
        <w:r w:rsidRPr="002347B2">
          <w:rPr>
            <w:rFonts w:asciiTheme="minorHAnsi" w:eastAsia="Calibri" w:hAnsiTheme="minorHAnsi" w:cstheme="minorHAnsi"/>
            <w:color w:val="1155CC"/>
            <w:sz w:val="20"/>
            <w:szCs w:val="20"/>
            <w:u w:val="single"/>
          </w:rPr>
          <w:t>https://www.manushyafoundation.org/nba-bhr-gender-discrimination</w:t>
        </w:r>
      </w:hyperlink>
      <w:r w:rsidRPr="002347B2">
        <w:rPr>
          <w:rFonts w:asciiTheme="minorHAnsi" w:eastAsia="Calibri" w:hAnsiTheme="minorHAnsi" w:cstheme="minorHAnsi"/>
          <w:sz w:val="20"/>
          <w:szCs w:val="20"/>
        </w:rPr>
        <w:t xml:space="preserve"> </w:t>
      </w:r>
    </w:p>
  </w:endnote>
  <w:endnote w:id="20">
    <w:p w14:paraId="2180F72C"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Gender-Based Discrimination And Sexual Harassment In The Workplace</w:t>
      </w:r>
      <w:r w:rsidRPr="002347B2">
        <w:rPr>
          <w:rFonts w:asciiTheme="minorHAnsi" w:eastAsia="Calibri" w:hAnsiTheme="minorHAnsi" w:cstheme="minorHAnsi"/>
          <w:sz w:val="20"/>
          <w:szCs w:val="20"/>
        </w:rPr>
        <w:t xml:space="preserve">, (March 2019), available at: </w:t>
      </w:r>
      <w:hyperlink r:id="rId17">
        <w:r w:rsidRPr="002347B2">
          <w:rPr>
            <w:rFonts w:asciiTheme="minorHAnsi" w:eastAsia="Calibri" w:hAnsiTheme="minorHAnsi" w:cstheme="minorHAnsi"/>
            <w:color w:val="1155CC"/>
            <w:sz w:val="20"/>
            <w:szCs w:val="20"/>
            <w:u w:val="single"/>
          </w:rPr>
          <w:t>https://www.manushyafoundation.org/nba-bhr-gender-discrimination</w:t>
        </w:r>
      </w:hyperlink>
      <w:r w:rsidRPr="002347B2">
        <w:rPr>
          <w:rFonts w:asciiTheme="minorHAnsi" w:eastAsia="Calibri" w:hAnsiTheme="minorHAnsi" w:cstheme="minorHAnsi"/>
          <w:sz w:val="20"/>
          <w:szCs w:val="20"/>
        </w:rPr>
        <w:t xml:space="preserve">  </w:t>
      </w:r>
    </w:p>
  </w:endnote>
  <w:endnote w:id="21">
    <w:p w14:paraId="6B971B96"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Nada Chaiyajit was sued for defamation for Facebook posts denouncing sexual harassment!</w:t>
      </w:r>
      <w:r w:rsidRPr="002347B2">
        <w:rPr>
          <w:rFonts w:asciiTheme="minorHAnsi" w:eastAsia="Calibri" w:hAnsiTheme="minorHAnsi" w:cstheme="minorHAnsi"/>
          <w:sz w:val="20"/>
          <w:szCs w:val="20"/>
        </w:rPr>
        <w:t xml:space="preserve">, (13 September 2022), available at: </w:t>
      </w:r>
      <w:hyperlink r:id="rId18">
        <w:r w:rsidRPr="002347B2">
          <w:rPr>
            <w:rFonts w:asciiTheme="minorHAnsi" w:eastAsia="Calibri" w:hAnsiTheme="minorHAnsi" w:cstheme="minorHAnsi"/>
            <w:color w:val="1155CC"/>
            <w:sz w:val="20"/>
            <w:szCs w:val="20"/>
            <w:u w:val="single"/>
          </w:rPr>
          <w:t>https://www.manushyafoundation.org/post/nada-chaiyajit-was-sued-for-defamation-for-facebook-posts-denouncing-sexual-harassment</w:t>
        </w:r>
      </w:hyperlink>
      <w:r w:rsidRPr="002347B2">
        <w:rPr>
          <w:rFonts w:asciiTheme="minorHAnsi" w:eastAsia="Calibri" w:hAnsiTheme="minorHAnsi" w:cstheme="minorHAnsi"/>
          <w:sz w:val="20"/>
          <w:szCs w:val="20"/>
        </w:rPr>
        <w:t xml:space="preserve"> </w:t>
      </w:r>
    </w:p>
  </w:endnote>
  <w:endnote w:id="22">
    <w:p w14:paraId="1F0A4A1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The Labor Protection Act B.E. 2541 (1998), available at: </w:t>
      </w:r>
      <w:hyperlink r:id="rId19">
        <w:r w:rsidRPr="002347B2">
          <w:rPr>
            <w:rFonts w:asciiTheme="minorHAnsi" w:eastAsia="Calibri" w:hAnsiTheme="minorHAnsi" w:cstheme="minorHAnsi"/>
            <w:color w:val="1155CC"/>
            <w:sz w:val="20"/>
            <w:szCs w:val="20"/>
            <w:u w:val="single"/>
          </w:rPr>
          <w:t>https://www.ilo.org/dyn/natlex/docs/ELECTRONIC/49727/125954/F-1924487677/THA49727%20Eng.pdf</w:t>
        </w:r>
      </w:hyperlink>
      <w:r w:rsidRPr="002347B2">
        <w:rPr>
          <w:rFonts w:asciiTheme="minorHAnsi" w:eastAsia="Calibri" w:hAnsiTheme="minorHAnsi" w:cstheme="minorHAnsi"/>
          <w:sz w:val="20"/>
          <w:szCs w:val="20"/>
        </w:rPr>
        <w:t xml:space="preserve"> </w:t>
      </w:r>
    </w:p>
  </w:endnote>
  <w:endnote w:id="23">
    <w:p w14:paraId="68C862B0"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Tackling gender discrimination at the work place: the case of June vs Cute Press (SSUP Group)</w:t>
      </w:r>
      <w:r w:rsidRPr="002347B2">
        <w:rPr>
          <w:rFonts w:asciiTheme="minorHAnsi" w:eastAsia="Calibri" w:hAnsiTheme="minorHAnsi" w:cstheme="minorHAnsi"/>
          <w:sz w:val="20"/>
          <w:szCs w:val="20"/>
        </w:rPr>
        <w:t xml:space="preserve">, (1 September 2020), available at: </w:t>
      </w:r>
      <w:hyperlink r:id="rId20">
        <w:r w:rsidRPr="002347B2">
          <w:rPr>
            <w:rFonts w:asciiTheme="minorHAnsi" w:eastAsia="Calibri" w:hAnsiTheme="minorHAnsi" w:cstheme="minorHAnsi"/>
            <w:color w:val="1155CC"/>
            <w:sz w:val="20"/>
            <w:szCs w:val="20"/>
            <w:u w:val="single"/>
          </w:rPr>
          <w:t>https://www.manushyafoundation.org/post/tackling-gender-discrimination-at-the-workplace-the-case-of-junevs-cute-press-ssup-group</w:t>
        </w:r>
      </w:hyperlink>
      <w:r w:rsidRPr="002347B2">
        <w:rPr>
          <w:rFonts w:asciiTheme="minorHAnsi" w:eastAsia="Calibri" w:hAnsiTheme="minorHAnsi" w:cstheme="minorHAnsi"/>
          <w:sz w:val="20"/>
          <w:szCs w:val="20"/>
        </w:rPr>
        <w:t xml:space="preserve"> </w:t>
      </w:r>
    </w:p>
  </w:endnote>
  <w:endnote w:id="24">
    <w:p w14:paraId="6A7EE51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The Protection Of Migrant Workers</w:t>
      </w:r>
      <w:r w:rsidRPr="002347B2">
        <w:rPr>
          <w:rFonts w:asciiTheme="minorHAnsi" w:eastAsia="Calibri" w:hAnsiTheme="minorHAnsi" w:cstheme="minorHAnsi"/>
          <w:sz w:val="20"/>
          <w:szCs w:val="20"/>
        </w:rPr>
        <w:t xml:space="preserve">, (March 2019), available at: </w:t>
      </w:r>
    </w:p>
    <w:p w14:paraId="21274D18"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21" w:history="1">
        <w:r w:rsidR="003823DA" w:rsidRPr="002347B2">
          <w:rPr>
            <w:rStyle w:val="Hyperlink"/>
            <w:rFonts w:asciiTheme="minorHAnsi" w:eastAsia="Calibri" w:hAnsiTheme="minorHAnsi" w:cstheme="minorHAnsi"/>
            <w:sz w:val="20"/>
            <w:szCs w:val="20"/>
          </w:rPr>
          <w:t>https://www.manushyafoundation.org/nba-bhr-protection-migrant-workers</w:t>
        </w:r>
      </w:hyperlink>
      <w:r w:rsidR="003823DA" w:rsidRPr="002347B2">
        <w:rPr>
          <w:rFonts w:asciiTheme="minorHAnsi" w:eastAsia="Calibri" w:hAnsiTheme="minorHAnsi" w:cstheme="minorHAnsi"/>
          <w:sz w:val="20"/>
          <w:szCs w:val="20"/>
        </w:rPr>
        <w:t xml:space="preserve">  </w:t>
      </w:r>
    </w:p>
  </w:endnote>
  <w:endnote w:id="25">
    <w:p w14:paraId="7BC54BDC"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If migrant workers demand higher wages, the brokers will be informed about it and might not refer them to other jobs, leaving migrant workers with little bargaining power to stand up to their employers or unionize.</w:t>
      </w:r>
    </w:p>
    <w:p w14:paraId="5AFC3553" w14:textId="77777777" w:rsidR="003823DA" w:rsidRPr="002347B2" w:rsidRDefault="003823DA" w:rsidP="003823DA">
      <w:pPr>
        <w:spacing w:line="240" w:lineRule="auto"/>
        <w:ind w:left="360"/>
        <w:rPr>
          <w:rFonts w:asciiTheme="minorHAnsi" w:eastAsia="Calibri" w:hAnsiTheme="minorHAnsi" w:cstheme="minorHAnsi"/>
          <w:sz w:val="20"/>
          <w:szCs w:val="20"/>
        </w:rPr>
      </w:pPr>
      <w:r w:rsidRPr="002347B2">
        <w:rPr>
          <w:rFonts w:asciiTheme="minorHAnsi" w:eastAsia="Calibri" w:hAnsiTheme="minorHAnsi" w:cstheme="minorHAnsi"/>
          <w:sz w:val="20"/>
          <w:szCs w:val="20"/>
        </w:rPr>
        <w:t>Information obtained from interviews conducted by Manushya Foundation to inform this report, (August-September 2022)</w:t>
      </w:r>
    </w:p>
  </w:endnote>
  <w:endnote w:id="26">
    <w:p w14:paraId="18969B7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27">
    <w:p w14:paraId="64D7677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ILO, </w:t>
      </w:r>
      <w:r w:rsidRPr="002347B2">
        <w:rPr>
          <w:rFonts w:asciiTheme="minorHAnsi" w:eastAsia="Calibri" w:hAnsiTheme="minorHAnsi" w:cstheme="minorHAnsi"/>
          <w:i/>
          <w:sz w:val="20"/>
          <w:szCs w:val="20"/>
        </w:rPr>
        <w:t xml:space="preserve">Labour Act exclusion leads to low pay and challenging conditions for migrant workers in Thai agricultural sector, </w:t>
      </w:r>
      <w:r w:rsidRPr="002347B2">
        <w:rPr>
          <w:rFonts w:asciiTheme="minorHAnsi" w:eastAsia="Calibri" w:hAnsiTheme="minorHAnsi" w:cstheme="minorHAnsi"/>
          <w:sz w:val="20"/>
          <w:szCs w:val="20"/>
        </w:rPr>
        <w:t>(</w:t>
      </w:r>
      <w:r w:rsidRPr="002347B2">
        <w:rPr>
          <w:rFonts w:asciiTheme="minorHAnsi" w:eastAsia="Calibri" w:hAnsiTheme="minorHAnsi" w:cstheme="minorHAnsi"/>
          <w:sz w:val="20"/>
          <w:szCs w:val="20"/>
          <w:highlight w:val="white"/>
        </w:rPr>
        <w:t>20 May 2022), available at:</w:t>
      </w:r>
      <w:r w:rsidRPr="002347B2">
        <w:rPr>
          <w:rFonts w:asciiTheme="minorHAnsi" w:eastAsia="Calibri" w:hAnsiTheme="minorHAnsi" w:cstheme="minorHAnsi"/>
          <w:sz w:val="20"/>
          <w:szCs w:val="20"/>
        </w:rPr>
        <w:t xml:space="preserve"> </w:t>
      </w:r>
      <w:hyperlink r:id="rId22">
        <w:r w:rsidRPr="002347B2">
          <w:rPr>
            <w:rFonts w:asciiTheme="minorHAnsi" w:eastAsia="Calibri" w:hAnsiTheme="minorHAnsi" w:cstheme="minorHAnsi"/>
            <w:color w:val="1155CC"/>
            <w:sz w:val="20"/>
            <w:szCs w:val="20"/>
            <w:highlight w:val="white"/>
            <w:u w:val="single"/>
          </w:rPr>
          <w:t>https://www.ilo.org/asia/media-centre/news/WCMS_844750/lang--en/index.htm</w:t>
        </w:r>
      </w:hyperlink>
      <w:r w:rsidRPr="002347B2">
        <w:rPr>
          <w:rFonts w:asciiTheme="minorHAnsi" w:eastAsia="Calibri" w:hAnsiTheme="minorHAnsi" w:cstheme="minorHAnsi"/>
          <w:sz w:val="20"/>
          <w:szCs w:val="20"/>
          <w:highlight w:val="white"/>
        </w:rPr>
        <w:t xml:space="preserve"> </w:t>
      </w:r>
    </w:p>
  </w:endnote>
  <w:endnote w:id="28">
    <w:p w14:paraId="36AA3440"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ILO, </w:t>
      </w:r>
      <w:r w:rsidRPr="002347B2">
        <w:rPr>
          <w:rFonts w:asciiTheme="minorHAnsi" w:eastAsia="Calibri" w:hAnsiTheme="minorHAnsi" w:cstheme="minorHAnsi"/>
          <w:i/>
          <w:sz w:val="20"/>
          <w:szCs w:val="20"/>
        </w:rPr>
        <w:t xml:space="preserve">Labour Act exclusion leads to low pay and challenging conditions for migrant workers in Thai agricultural sector, </w:t>
      </w:r>
      <w:r w:rsidRPr="002347B2">
        <w:rPr>
          <w:rFonts w:asciiTheme="minorHAnsi" w:eastAsia="Calibri" w:hAnsiTheme="minorHAnsi" w:cstheme="minorHAnsi"/>
          <w:sz w:val="20"/>
          <w:szCs w:val="20"/>
        </w:rPr>
        <w:t>(</w:t>
      </w:r>
      <w:r w:rsidRPr="002347B2">
        <w:rPr>
          <w:rFonts w:asciiTheme="minorHAnsi" w:eastAsia="Calibri" w:hAnsiTheme="minorHAnsi" w:cstheme="minorHAnsi"/>
          <w:sz w:val="20"/>
          <w:szCs w:val="20"/>
          <w:highlight w:val="white"/>
        </w:rPr>
        <w:t xml:space="preserve">20 May 2022), available at: </w:t>
      </w:r>
      <w:hyperlink r:id="rId23">
        <w:r w:rsidRPr="002347B2">
          <w:rPr>
            <w:rFonts w:asciiTheme="minorHAnsi" w:eastAsia="Calibri" w:hAnsiTheme="minorHAnsi" w:cstheme="minorHAnsi"/>
            <w:color w:val="1155CC"/>
            <w:sz w:val="20"/>
            <w:szCs w:val="20"/>
            <w:highlight w:val="white"/>
            <w:u w:val="single"/>
          </w:rPr>
          <w:t>https://www.ilo.org/asia/media-centre/news/WCMS_844750/lang--en/index.htm</w:t>
        </w:r>
      </w:hyperlink>
      <w:r w:rsidRPr="002347B2">
        <w:rPr>
          <w:rFonts w:asciiTheme="minorHAnsi" w:eastAsia="Calibri" w:hAnsiTheme="minorHAnsi" w:cstheme="minorHAnsi"/>
          <w:sz w:val="20"/>
          <w:szCs w:val="20"/>
          <w:highlight w:val="white"/>
        </w:rPr>
        <w:t xml:space="preserve"> </w:t>
      </w:r>
    </w:p>
  </w:endnote>
  <w:endnote w:id="29">
    <w:p w14:paraId="5D52A99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highlight w:val="white"/>
        </w:rPr>
        <w:t xml:space="preserve"> </w:t>
      </w:r>
      <w:r w:rsidRPr="002347B2">
        <w:rPr>
          <w:rFonts w:asciiTheme="minorHAnsi" w:eastAsia="Calibri" w:hAnsiTheme="minorHAnsi" w:cstheme="minorHAnsi"/>
          <w:sz w:val="20"/>
          <w:szCs w:val="20"/>
          <w:highlight w:val="white"/>
        </w:rPr>
        <w:tab/>
        <w:t xml:space="preserve">OHCHR, </w:t>
      </w:r>
      <w:r w:rsidRPr="002347B2">
        <w:rPr>
          <w:rFonts w:asciiTheme="minorHAnsi" w:eastAsia="Calibri" w:hAnsiTheme="minorHAnsi" w:cstheme="minorHAnsi"/>
          <w:i/>
          <w:sz w:val="20"/>
          <w:szCs w:val="20"/>
          <w:highlight w:val="white"/>
        </w:rPr>
        <w:t>In Dialogue with Thailand, Experts of the Committee on the Elimination of Racial Discrimination Ask about the Situation of Indigenous Peoples, Migrants, Asylum Seekers and Stateless Persons,</w:t>
      </w:r>
      <w:r w:rsidRPr="002347B2">
        <w:rPr>
          <w:rFonts w:asciiTheme="minorHAnsi" w:eastAsia="Calibri" w:hAnsiTheme="minorHAnsi" w:cstheme="minorHAnsi"/>
          <w:sz w:val="20"/>
          <w:szCs w:val="20"/>
          <w:highlight w:val="white"/>
        </w:rPr>
        <w:t xml:space="preserve"> (23 November 2021), available at: </w:t>
      </w:r>
      <w:hyperlink r:id="rId24">
        <w:r w:rsidRPr="002347B2">
          <w:rPr>
            <w:rFonts w:asciiTheme="minorHAnsi" w:eastAsia="Calibri" w:hAnsiTheme="minorHAnsi" w:cstheme="minorHAnsi"/>
            <w:color w:val="1155CC"/>
            <w:sz w:val="20"/>
            <w:szCs w:val="20"/>
            <w:highlight w:val="white"/>
            <w:u w:val="single"/>
          </w:rPr>
          <w:t>https://www.ohchr.org/en/press-releases/2021/12/dialogue-thailand-experts-committee-elimination-racial-discrimination-ask</w:t>
        </w:r>
      </w:hyperlink>
      <w:r w:rsidRPr="002347B2">
        <w:rPr>
          <w:rFonts w:asciiTheme="minorHAnsi" w:eastAsia="Calibri" w:hAnsiTheme="minorHAnsi" w:cstheme="minorHAnsi"/>
          <w:sz w:val="20"/>
          <w:szCs w:val="20"/>
          <w:highlight w:val="white"/>
        </w:rPr>
        <w:t xml:space="preserve"> </w:t>
      </w:r>
    </w:p>
  </w:endnote>
  <w:endnote w:id="30">
    <w:p w14:paraId="47401D0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31">
    <w:p w14:paraId="2874BB4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The Protection Of Migrant Workers</w:t>
      </w:r>
      <w:r w:rsidRPr="002347B2">
        <w:rPr>
          <w:rFonts w:asciiTheme="minorHAnsi" w:eastAsia="Calibri" w:hAnsiTheme="minorHAnsi" w:cstheme="minorHAnsi"/>
          <w:sz w:val="20"/>
          <w:szCs w:val="20"/>
        </w:rPr>
        <w:t xml:space="preserve">, (March 2019), available at: </w:t>
      </w:r>
    </w:p>
    <w:p w14:paraId="2141EFE9" w14:textId="77777777" w:rsidR="003823DA" w:rsidRPr="002347B2" w:rsidRDefault="00000000" w:rsidP="003823DA">
      <w:pPr>
        <w:spacing w:line="240" w:lineRule="auto"/>
        <w:ind w:left="360"/>
        <w:rPr>
          <w:rFonts w:asciiTheme="minorHAnsi" w:hAnsiTheme="minorHAnsi" w:cstheme="minorHAnsi"/>
          <w:sz w:val="20"/>
          <w:szCs w:val="20"/>
        </w:rPr>
      </w:pPr>
      <w:hyperlink r:id="rId25" w:history="1">
        <w:r w:rsidR="003823DA" w:rsidRPr="002347B2">
          <w:rPr>
            <w:rStyle w:val="Hyperlink"/>
            <w:rFonts w:asciiTheme="minorHAnsi" w:eastAsia="Calibri" w:hAnsiTheme="minorHAnsi" w:cstheme="minorHAnsi"/>
            <w:sz w:val="20"/>
            <w:szCs w:val="20"/>
          </w:rPr>
          <w:t>https://www.manushyafoundation.org/nba-bhr-protection-migrant-workers</w:t>
        </w:r>
      </w:hyperlink>
      <w:r w:rsidR="003823DA" w:rsidRPr="002347B2">
        <w:rPr>
          <w:rFonts w:asciiTheme="minorHAnsi" w:eastAsia="Calibri" w:hAnsiTheme="minorHAnsi" w:cstheme="minorHAnsi"/>
          <w:sz w:val="20"/>
          <w:szCs w:val="20"/>
        </w:rPr>
        <w:t xml:space="preserve">  </w:t>
      </w:r>
    </w:p>
  </w:endnote>
  <w:endnote w:id="32">
    <w:p w14:paraId="799D71F1"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33">
    <w:p w14:paraId="28292283"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 xml:space="preserve">The Rights of People Living with HIV and Drug Users: Thailand's Third Universal Periodic Review Cycle, </w:t>
      </w:r>
      <w:r w:rsidRPr="002347B2">
        <w:rPr>
          <w:rFonts w:asciiTheme="minorHAnsi" w:eastAsia="Calibri" w:hAnsiTheme="minorHAnsi" w:cstheme="minorHAnsi"/>
          <w:sz w:val="20"/>
          <w:szCs w:val="20"/>
        </w:rPr>
        <w:t xml:space="preserve">(29 September 2021), available at:  </w:t>
      </w:r>
      <w:hyperlink r:id="rId26">
        <w:r w:rsidRPr="002347B2">
          <w:rPr>
            <w:rFonts w:asciiTheme="minorHAnsi" w:eastAsia="Calibri" w:hAnsiTheme="minorHAnsi" w:cstheme="minorHAnsi"/>
            <w:color w:val="1155CC"/>
            <w:sz w:val="20"/>
            <w:szCs w:val="20"/>
            <w:u w:val="single"/>
          </w:rPr>
          <w:t>https://www.manushyafoundation.org/thailand-third-upr-cycle-factsheet-the-rights-of-people-living-with-hiv-and-drug-users</w:t>
        </w:r>
      </w:hyperlink>
      <w:r w:rsidRPr="002347B2">
        <w:rPr>
          <w:rFonts w:asciiTheme="minorHAnsi" w:eastAsia="Calibri" w:hAnsiTheme="minorHAnsi" w:cstheme="minorHAnsi"/>
          <w:sz w:val="20"/>
          <w:szCs w:val="20"/>
        </w:rPr>
        <w:t xml:space="preserve"> </w:t>
      </w:r>
    </w:p>
  </w:endnote>
  <w:endnote w:id="34">
    <w:p w14:paraId="4D1DCE16"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 Rights of Sex Workers: Thailand's Third Universal Periodic Review Cycle</w:t>
      </w:r>
      <w:r w:rsidRPr="002347B2">
        <w:rPr>
          <w:rFonts w:asciiTheme="minorHAnsi" w:eastAsia="Calibri" w:hAnsiTheme="minorHAnsi" w:cstheme="minorHAnsi"/>
          <w:sz w:val="20"/>
          <w:szCs w:val="20"/>
        </w:rPr>
        <w:t xml:space="preserve">, (29 September 2021), available at: </w:t>
      </w:r>
      <w:hyperlink r:id="rId27">
        <w:r w:rsidRPr="002347B2">
          <w:rPr>
            <w:rFonts w:asciiTheme="minorHAnsi" w:eastAsia="Calibri" w:hAnsiTheme="minorHAnsi" w:cstheme="minorHAnsi"/>
            <w:color w:val="1155CC"/>
            <w:sz w:val="20"/>
            <w:szCs w:val="20"/>
            <w:u w:val="single"/>
          </w:rPr>
          <w:t>https://www.manushyafoundation.org/thailand-third-upr-cycle-factsheet-the-rights-of-sex-workers</w:t>
        </w:r>
      </w:hyperlink>
      <w:r w:rsidRPr="002347B2">
        <w:rPr>
          <w:rFonts w:asciiTheme="minorHAnsi" w:eastAsia="Calibri" w:hAnsiTheme="minorHAnsi" w:cstheme="minorHAnsi"/>
          <w:sz w:val="20"/>
          <w:szCs w:val="20"/>
        </w:rPr>
        <w:t xml:space="preserve"> </w:t>
      </w:r>
    </w:p>
  </w:endnote>
  <w:endnote w:id="35">
    <w:p w14:paraId="0B77FB4F" w14:textId="77777777" w:rsidR="003823DA" w:rsidRPr="002347B2" w:rsidRDefault="003823DA" w:rsidP="003823DA">
      <w:pPr>
        <w:spacing w:line="240" w:lineRule="auto"/>
        <w:ind w:left="360" w:hanging="360"/>
        <w:rPr>
          <w:rFonts w:asciiTheme="minorHAnsi" w:eastAsia="Times" w:hAnsiTheme="minorHAnsi" w:cstheme="minorHAnsi"/>
          <w:sz w:val="24"/>
          <w:szCs w:val="24"/>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 Rights of Sex Workers: Thailand's Third Universal Periodic Review Cycle</w:t>
      </w:r>
      <w:r w:rsidRPr="002347B2">
        <w:rPr>
          <w:rFonts w:asciiTheme="minorHAnsi" w:eastAsia="Calibri" w:hAnsiTheme="minorHAnsi" w:cstheme="minorHAnsi"/>
          <w:sz w:val="20"/>
          <w:szCs w:val="20"/>
        </w:rPr>
        <w:t xml:space="preserve">, (29 September 2021), available at: </w:t>
      </w:r>
      <w:hyperlink r:id="rId28">
        <w:r w:rsidRPr="002347B2">
          <w:rPr>
            <w:rFonts w:asciiTheme="minorHAnsi" w:eastAsia="Calibri" w:hAnsiTheme="minorHAnsi" w:cstheme="minorHAnsi"/>
            <w:color w:val="1155CC"/>
            <w:sz w:val="20"/>
            <w:szCs w:val="20"/>
            <w:u w:val="single"/>
          </w:rPr>
          <w:t>https://www.manushyafoundation.org/thailand-third-upr-cycle-factsheet-the-rights-of-sex-workers</w:t>
        </w:r>
      </w:hyperlink>
      <w:r w:rsidRPr="002347B2">
        <w:rPr>
          <w:rFonts w:asciiTheme="minorHAnsi" w:eastAsia="Calibri" w:hAnsiTheme="minorHAnsi" w:cstheme="minorHAnsi"/>
          <w:sz w:val="20"/>
          <w:szCs w:val="20"/>
        </w:rPr>
        <w:t xml:space="preserve"> </w:t>
      </w:r>
    </w:p>
  </w:endnote>
  <w:endnote w:id="36">
    <w:p w14:paraId="14F0CCF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Rights of Persons with Disabilities in Thailand: Thailand's Third Universal Periodic Review Cycle,</w:t>
      </w:r>
      <w:r w:rsidRPr="002347B2">
        <w:rPr>
          <w:rFonts w:asciiTheme="minorHAnsi" w:eastAsia="Calibri" w:hAnsiTheme="minorHAnsi" w:cstheme="minorHAnsi"/>
          <w:sz w:val="20"/>
          <w:szCs w:val="20"/>
        </w:rPr>
        <w:t xml:space="preserve"> (9 September 2021), available at:  ​​</w:t>
      </w:r>
      <w:hyperlink r:id="rId29">
        <w:r w:rsidRPr="002347B2">
          <w:rPr>
            <w:rFonts w:asciiTheme="minorHAnsi" w:eastAsia="Calibri" w:hAnsiTheme="minorHAnsi" w:cstheme="minorHAnsi"/>
            <w:color w:val="1155CC"/>
            <w:sz w:val="20"/>
            <w:szCs w:val="20"/>
            <w:u w:val="single"/>
          </w:rPr>
          <w:t>https://www.manushyafoundation.org/upr-factsheet-rights-of-persons-with-disabilities-in-thailand</w:t>
        </w:r>
      </w:hyperlink>
      <w:r w:rsidRPr="002347B2">
        <w:rPr>
          <w:rFonts w:asciiTheme="minorHAnsi" w:eastAsia="Calibri" w:hAnsiTheme="minorHAnsi" w:cstheme="minorHAnsi"/>
          <w:sz w:val="20"/>
          <w:szCs w:val="20"/>
        </w:rPr>
        <w:t xml:space="preserve"> </w:t>
      </w:r>
    </w:p>
  </w:endnote>
  <w:endnote w:id="37">
    <w:p w14:paraId="74F3A2E0"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Minority Rights Group International, </w:t>
      </w:r>
      <w:r w:rsidRPr="002347B2">
        <w:rPr>
          <w:rFonts w:asciiTheme="minorHAnsi" w:eastAsia="Calibri" w:hAnsiTheme="minorHAnsi" w:cstheme="minorHAnsi"/>
          <w:i/>
          <w:sz w:val="20"/>
          <w:szCs w:val="20"/>
        </w:rPr>
        <w:t>Minority and Disability Rights in Thailand’s Deep South</w:t>
      </w:r>
      <w:r w:rsidRPr="002347B2">
        <w:rPr>
          <w:rFonts w:asciiTheme="minorHAnsi" w:eastAsia="Calibri" w:hAnsiTheme="minorHAnsi" w:cstheme="minorHAnsi"/>
          <w:sz w:val="20"/>
          <w:szCs w:val="20"/>
        </w:rPr>
        <w:t xml:space="preserve">, (13 July 2022), available at: </w:t>
      </w:r>
      <w:hyperlink r:id="rId30">
        <w:r w:rsidRPr="002347B2">
          <w:rPr>
            <w:rFonts w:asciiTheme="minorHAnsi" w:eastAsia="Calibri" w:hAnsiTheme="minorHAnsi" w:cstheme="minorHAnsi"/>
            <w:color w:val="1155CC"/>
            <w:sz w:val="20"/>
            <w:szCs w:val="20"/>
            <w:u w:val="single"/>
          </w:rPr>
          <w:t>https://minorityrights.org/publications/disability-thailand/</w:t>
        </w:r>
      </w:hyperlink>
      <w:r w:rsidRPr="002347B2">
        <w:rPr>
          <w:rFonts w:asciiTheme="minorHAnsi" w:eastAsia="Calibri" w:hAnsiTheme="minorHAnsi" w:cstheme="minorHAnsi"/>
          <w:sz w:val="20"/>
          <w:szCs w:val="20"/>
        </w:rPr>
        <w:t xml:space="preserve">  </w:t>
      </w:r>
    </w:p>
  </w:endnote>
  <w:endnote w:id="38">
    <w:p w14:paraId="41BC5D57"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Wage payments cover only 90 days, whilst the current law does not cover the extra eight days of maternity leave</w:t>
      </w:r>
    </w:p>
  </w:endnote>
  <w:endnote w:id="39">
    <w:p w14:paraId="7255B71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The Labor Protection Act B.E. 2541 (1998), available at: </w:t>
      </w:r>
      <w:hyperlink r:id="rId31">
        <w:r w:rsidRPr="002347B2">
          <w:rPr>
            <w:rFonts w:asciiTheme="minorHAnsi" w:eastAsia="Calibri" w:hAnsiTheme="minorHAnsi" w:cstheme="minorHAnsi"/>
            <w:color w:val="1155CC"/>
            <w:sz w:val="20"/>
            <w:szCs w:val="20"/>
            <w:u w:val="single"/>
          </w:rPr>
          <w:t>https://www.ilo.org/dyn/natlex/docs/ELECTRONIC/49727/125954/F-1924487677/THA49727%20Eng.pdf</w:t>
        </w:r>
      </w:hyperlink>
    </w:p>
  </w:endnote>
  <w:endnote w:id="40">
    <w:p w14:paraId="5D5D90B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41">
    <w:p w14:paraId="6985D8D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Bangkok Post,</w:t>
      </w:r>
      <w:r w:rsidRPr="002347B2">
        <w:rPr>
          <w:rFonts w:asciiTheme="minorHAnsi" w:eastAsia="Calibri" w:hAnsiTheme="minorHAnsi" w:cstheme="minorHAnsi"/>
          <w:i/>
          <w:sz w:val="20"/>
          <w:szCs w:val="20"/>
        </w:rPr>
        <w:t xml:space="preserve"> Amendment to ensure women paid for all 98 days of maternity leave</w:t>
      </w:r>
      <w:r w:rsidRPr="002347B2">
        <w:rPr>
          <w:rFonts w:asciiTheme="minorHAnsi" w:eastAsia="Calibri" w:hAnsiTheme="minorHAnsi" w:cstheme="minorHAnsi"/>
          <w:sz w:val="20"/>
          <w:szCs w:val="20"/>
        </w:rPr>
        <w:t xml:space="preserve">, (10 March 2022), available at: </w:t>
      </w:r>
      <w:hyperlink r:id="rId32">
        <w:r w:rsidRPr="002347B2">
          <w:rPr>
            <w:rFonts w:asciiTheme="minorHAnsi" w:eastAsia="Calibri" w:hAnsiTheme="minorHAnsi" w:cstheme="minorHAnsi"/>
            <w:color w:val="1155CC"/>
            <w:sz w:val="20"/>
            <w:szCs w:val="20"/>
            <w:u w:val="single"/>
          </w:rPr>
          <w:t>https://www.bangkokpost.com/thailand/general/2277139/amendment-to-ensure-women-paid-for-all-98-days-of-maternity-leave</w:t>
        </w:r>
      </w:hyperlink>
      <w:r w:rsidRPr="002347B2">
        <w:rPr>
          <w:rFonts w:asciiTheme="minorHAnsi" w:eastAsia="Calibri" w:hAnsiTheme="minorHAnsi" w:cstheme="minorHAnsi"/>
          <w:sz w:val="20"/>
          <w:szCs w:val="20"/>
        </w:rPr>
        <w:t xml:space="preserve">; HRM Asia, </w:t>
      </w:r>
      <w:r w:rsidRPr="002347B2">
        <w:rPr>
          <w:rFonts w:asciiTheme="minorHAnsi" w:eastAsia="Calibri" w:hAnsiTheme="minorHAnsi" w:cstheme="minorHAnsi"/>
          <w:i/>
          <w:sz w:val="20"/>
          <w:szCs w:val="20"/>
        </w:rPr>
        <w:t>Thailand amends law for longer paid maternity leave</w:t>
      </w:r>
      <w:r w:rsidRPr="002347B2">
        <w:rPr>
          <w:rFonts w:asciiTheme="minorHAnsi" w:eastAsia="Calibri" w:hAnsiTheme="minorHAnsi" w:cstheme="minorHAnsi"/>
          <w:sz w:val="20"/>
          <w:szCs w:val="20"/>
        </w:rPr>
        <w:t>, (14 March 2022), available at: ​</w:t>
      </w:r>
      <w:hyperlink r:id="rId33" w:anchor=":~:text=Currently%2C%20Thailand%20does%20not%20have,their%20babies%2C%20according%20to%20Thaiger">
        <w:r w:rsidRPr="002347B2">
          <w:rPr>
            <w:rFonts w:asciiTheme="minorHAnsi" w:eastAsia="Calibri" w:hAnsiTheme="minorHAnsi" w:cstheme="minorHAnsi"/>
            <w:color w:val="1155CC"/>
            <w:sz w:val="20"/>
            <w:szCs w:val="20"/>
            <w:u w:val="single"/>
          </w:rPr>
          <w:t>https://hrmasia.com/thailand-amends-law-for-longer-paid-maternity-leave/#:~:text=Currently%2C%20Thailand%20does%20not%20have,their%20babies%2C%20according%20to%20Thaiger</w:t>
        </w:r>
      </w:hyperlink>
      <w:r w:rsidRPr="002347B2">
        <w:rPr>
          <w:rFonts w:asciiTheme="minorHAnsi" w:eastAsia="Calibri" w:hAnsiTheme="minorHAnsi" w:cstheme="minorHAnsi"/>
          <w:sz w:val="20"/>
          <w:szCs w:val="20"/>
        </w:rPr>
        <w:t xml:space="preserve">  </w:t>
      </w:r>
    </w:p>
  </w:endnote>
  <w:endnote w:id="42">
    <w:p w14:paraId="4EDD269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Information obtained from interviews conducted by Manushya Foundation to inform this report, (August-September 2022) </w:t>
      </w:r>
    </w:p>
  </w:endnote>
  <w:endnote w:id="43">
    <w:p w14:paraId="151F6C2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OHCHR, </w:t>
      </w:r>
      <w:r w:rsidRPr="002347B2">
        <w:rPr>
          <w:rFonts w:asciiTheme="minorHAnsi" w:eastAsia="Calibri" w:hAnsiTheme="minorHAnsi" w:cstheme="minorHAnsi"/>
          <w:i/>
          <w:sz w:val="20"/>
          <w:szCs w:val="20"/>
        </w:rPr>
        <w:t>Abortion is essential healthcare and women’s health must be prioritized over politics</w:t>
      </w:r>
      <w:r w:rsidRPr="002347B2">
        <w:rPr>
          <w:rFonts w:asciiTheme="minorHAnsi" w:eastAsia="Calibri" w:hAnsiTheme="minorHAnsi" w:cstheme="minorHAnsi"/>
          <w:sz w:val="20"/>
          <w:szCs w:val="20"/>
        </w:rPr>
        <w:t xml:space="preserve">, (28 September 2021), available at: </w:t>
      </w:r>
      <w:hyperlink r:id="rId34">
        <w:r w:rsidRPr="002347B2">
          <w:rPr>
            <w:rFonts w:asciiTheme="minorHAnsi" w:eastAsia="Calibri" w:hAnsiTheme="minorHAnsi" w:cstheme="minorHAnsi"/>
            <w:color w:val="1155CC"/>
            <w:sz w:val="20"/>
            <w:szCs w:val="20"/>
            <w:u w:val="single"/>
          </w:rPr>
          <w:t>https://www.ohchr.org/en/statements/2021/09/abortion-essential-healthcare-and-womens-health-must-be-prioritized-over</w:t>
        </w:r>
      </w:hyperlink>
      <w:r w:rsidRPr="002347B2">
        <w:rPr>
          <w:rFonts w:asciiTheme="minorHAnsi" w:eastAsia="Calibri" w:hAnsiTheme="minorHAnsi" w:cstheme="minorHAnsi"/>
          <w:sz w:val="20"/>
          <w:szCs w:val="20"/>
        </w:rPr>
        <w:t xml:space="preserve"> </w:t>
      </w:r>
    </w:p>
  </w:endnote>
  <w:endnote w:id="44">
    <w:p w14:paraId="71856F41"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Ministry of Public Health, </w:t>
      </w:r>
      <w:r w:rsidRPr="002347B2">
        <w:rPr>
          <w:rFonts w:asciiTheme="minorHAnsi" w:eastAsia="Calibri" w:hAnsiTheme="minorHAnsi" w:cstheme="minorHAnsi"/>
          <w:i/>
          <w:sz w:val="20"/>
          <w:szCs w:val="20"/>
        </w:rPr>
        <w:t>Announcement on the Consultation and Counseling on Terminations of Pregnancy</w:t>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color w:val="111111"/>
          <w:sz w:val="20"/>
          <w:szCs w:val="20"/>
          <w:highlight w:val="white"/>
        </w:rPr>
        <w:t xml:space="preserve">(26 September 2022), available at: </w:t>
      </w:r>
      <w:hyperlink r:id="rId35">
        <w:r w:rsidRPr="002347B2">
          <w:rPr>
            <w:rFonts w:asciiTheme="minorHAnsi" w:eastAsia="Calibri" w:hAnsiTheme="minorHAnsi" w:cstheme="minorHAnsi"/>
            <w:color w:val="1155CC"/>
            <w:sz w:val="20"/>
            <w:szCs w:val="20"/>
            <w:highlight w:val="white"/>
            <w:u w:val="single"/>
          </w:rPr>
          <w:t>http://www.ratchakitcha.soc.go.th/DATA/PDF/2565/E/228/T_0001.PDF</w:t>
        </w:r>
      </w:hyperlink>
      <w:r w:rsidRPr="002347B2">
        <w:rPr>
          <w:rFonts w:asciiTheme="minorHAnsi" w:eastAsia="Calibri" w:hAnsiTheme="minorHAnsi" w:cstheme="minorHAnsi"/>
          <w:color w:val="111111"/>
          <w:sz w:val="20"/>
          <w:szCs w:val="20"/>
          <w:highlight w:val="white"/>
        </w:rPr>
        <w:t xml:space="preserve">; Bangkok Post, </w:t>
      </w:r>
      <w:r w:rsidRPr="002347B2">
        <w:rPr>
          <w:rFonts w:asciiTheme="minorHAnsi" w:eastAsia="Calibri" w:hAnsiTheme="minorHAnsi" w:cstheme="minorHAnsi"/>
          <w:i/>
          <w:color w:val="111111"/>
          <w:sz w:val="20"/>
          <w:szCs w:val="20"/>
          <w:highlight w:val="white"/>
        </w:rPr>
        <w:t>Thailand to legalise abortion up to 20 weeks,</w:t>
      </w:r>
      <w:r w:rsidRPr="002347B2">
        <w:rPr>
          <w:rFonts w:asciiTheme="minorHAnsi" w:eastAsia="Calibri" w:hAnsiTheme="minorHAnsi" w:cstheme="minorHAnsi"/>
          <w:color w:val="111111"/>
          <w:sz w:val="20"/>
          <w:szCs w:val="20"/>
          <w:highlight w:val="white"/>
        </w:rPr>
        <w:t xml:space="preserve"> (28 September 2022), available at: </w:t>
      </w:r>
      <w:hyperlink r:id="rId36">
        <w:r w:rsidRPr="002347B2">
          <w:rPr>
            <w:rFonts w:asciiTheme="minorHAnsi" w:eastAsia="Calibri" w:hAnsiTheme="minorHAnsi" w:cstheme="minorHAnsi"/>
            <w:color w:val="1155CC"/>
            <w:sz w:val="20"/>
            <w:szCs w:val="20"/>
            <w:highlight w:val="white"/>
            <w:u w:val="single"/>
          </w:rPr>
          <w:t>https://www.bangkokpost.com/life/social-and-lifestyle/2402151/thailand-to-legalise-abortion-up-to-20-weeks</w:t>
        </w:r>
      </w:hyperlink>
      <w:r w:rsidRPr="002347B2">
        <w:rPr>
          <w:rFonts w:asciiTheme="minorHAnsi" w:eastAsia="Calibri" w:hAnsiTheme="minorHAnsi" w:cstheme="minorHAnsi"/>
          <w:color w:val="111111"/>
          <w:sz w:val="20"/>
          <w:szCs w:val="20"/>
          <w:highlight w:val="white"/>
        </w:rPr>
        <w:t xml:space="preserve">  </w:t>
      </w:r>
    </w:p>
  </w:endnote>
  <w:endnote w:id="45">
    <w:p w14:paraId="270A1550" w14:textId="77777777" w:rsidR="003823DA" w:rsidRPr="002347B2" w:rsidRDefault="003823DA" w:rsidP="003823DA">
      <w:pPr>
        <w:spacing w:line="240" w:lineRule="auto"/>
        <w:ind w:left="360" w:hanging="360"/>
        <w:rPr>
          <w:rFonts w:asciiTheme="minorHAnsi" w:eastAsia="Calibri" w:hAnsiTheme="minorHAnsi" w:cstheme="minorHAnsi"/>
          <w:sz w:val="20"/>
          <w:szCs w:val="20"/>
          <w:highlight w:val="yellow"/>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Library of Congress, </w:t>
      </w:r>
      <w:r w:rsidRPr="002347B2">
        <w:rPr>
          <w:rFonts w:asciiTheme="minorHAnsi" w:eastAsia="Calibri" w:hAnsiTheme="minorHAnsi" w:cstheme="minorHAnsi"/>
          <w:i/>
          <w:sz w:val="20"/>
          <w:szCs w:val="20"/>
        </w:rPr>
        <w:t>Thailand: Abortion in First Trimester Legalized</w:t>
      </w:r>
      <w:r w:rsidRPr="002347B2">
        <w:rPr>
          <w:rFonts w:asciiTheme="minorHAnsi" w:eastAsia="Calibri" w:hAnsiTheme="minorHAnsi" w:cstheme="minorHAnsi"/>
          <w:sz w:val="20"/>
          <w:szCs w:val="20"/>
        </w:rPr>
        <w:t xml:space="preserve">, (1 March 2021), available at: </w:t>
      </w:r>
      <w:hyperlink r:id="rId37">
        <w:r w:rsidRPr="002347B2">
          <w:rPr>
            <w:rFonts w:asciiTheme="minorHAnsi" w:eastAsia="Calibri" w:hAnsiTheme="minorHAnsi" w:cstheme="minorHAnsi"/>
            <w:color w:val="1155CC"/>
            <w:sz w:val="20"/>
            <w:szCs w:val="20"/>
            <w:u w:val="single"/>
          </w:rPr>
          <w:t>https://www.loc.gov/item/global-legal-monitor/2021-03-01/thailand-abortion-in-first-trimester-legalized/</w:t>
        </w:r>
      </w:hyperlink>
      <w:r w:rsidRPr="002347B2">
        <w:rPr>
          <w:rFonts w:asciiTheme="minorHAnsi" w:eastAsia="Calibri" w:hAnsiTheme="minorHAnsi" w:cstheme="minorHAnsi"/>
          <w:color w:val="242424"/>
          <w:sz w:val="20"/>
          <w:szCs w:val="20"/>
        </w:rPr>
        <w:t xml:space="preserve"> </w:t>
      </w:r>
    </w:p>
  </w:endnote>
  <w:endnote w:id="46">
    <w:p w14:paraId="48E06BE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Channel News Asia,</w:t>
      </w:r>
      <w:r w:rsidRPr="002347B2">
        <w:rPr>
          <w:rFonts w:asciiTheme="minorHAnsi" w:eastAsia="Calibri" w:hAnsiTheme="minorHAnsi" w:cstheme="minorHAnsi"/>
          <w:i/>
          <w:sz w:val="20"/>
          <w:szCs w:val="20"/>
        </w:rPr>
        <w:t xml:space="preserve"> My heart was shattered’: Social stigma hinders safe abortion in Thailand despite legalisation, </w:t>
      </w:r>
      <w:r w:rsidRPr="002347B2">
        <w:rPr>
          <w:rFonts w:asciiTheme="minorHAnsi" w:eastAsia="Calibri" w:hAnsiTheme="minorHAnsi" w:cstheme="minorHAnsi"/>
          <w:sz w:val="20"/>
          <w:szCs w:val="20"/>
        </w:rPr>
        <w:t xml:space="preserve">(27 November 2021), available at: </w:t>
      </w:r>
      <w:hyperlink r:id="rId38">
        <w:r w:rsidRPr="002347B2">
          <w:rPr>
            <w:rFonts w:asciiTheme="minorHAnsi" w:eastAsia="Calibri" w:hAnsiTheme="minorHAnsi" w:cstheme="minorHAnsi"/>
            <w:color w:val="1155CC"/>
            <w:sz w:val="20"/>
            <w:szCs w:val="20"/>
            <w:u w:val="single"/>
          </w:rPr>
          <w:t>https://www.channelnewsasia.com/asia/thailand-safe-abortion-legalisation-social-stigma-2338306</w:t>
        </w:r>
      </w:hyperlink>
      <w:r w:rsidRPr="002347B2">
        <w:rPr>
          <w:rFonts w:asciiTheme="minorHAnsi" w:eastAsia="Calibri" w:hAnsiTheme="minorHAnsi" w:cstheme="minorHAnsi"/>
          <w:sz w:val="20"/>
          <w:szCs w:val="20"/>
        </w:rPr>
        <w:t xml:space="preserve"> </w:t>
      </w:r>
    </w:p>
  </w:endnote>
  <w:endnote w:id="47">
    <w:p w14:paraId="6498BF4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Channel News Asia,</w:t>
      </w:r>
      <w:r w:rsidRPr="002347B2">
        <w:rPr>
          <w:rFonts w:asciiTheme="minorHAnsi" w:eastAsia="Calibri" w:hAnsiTheme="minorHAnsi" w:cstheme="minorHAnsi"/>
          <w:i/>
          <w:sz w:val="20"/>
          <w:szCs w:val="20"/>
        </w:rPr>
        <w:t xml:space="preserve"> My heart was shattered’: Social stigma hinders safe abortion in Thailand despite legalisation, </w:t>
      </w:r>
      <w:r w:rsidRPr="002347B2">
        <w:rPr>
          <w:rFonts w:asciiTheme="minorHAnsi" w:eastAsia="Calibri" w:hAnsiTheme="minorHAnsi" w:cstheme="minorHAnsi"/>
          <w:sz w:val="20"/>
          <w:szCs w:val="20"/>
        </w:rPr>
        <w:t xml:space="preserve">(27 November 2021), available at: </w:t>
      </w:r>
      <w:hyperlink r:id="rId39">
        <w:r w:rsidRPr="002347B2">
          <w:rPr>
            <w:rFonts w:asciiTheme="minorHAnsi" w:eastAsia="Calibri" w:hAnsiTheme="minorHAnsi" w:cstheme="minorHAnsi"/>
            <w:color w:val="1155CC"/>
            <w:sz w:val="20"/>
            <w:szCs w:val="20"/>
            <w:u w:val="single"/>
          </w:rPr>
          <w:t>https://www.channelnewsasia.com/asia/thailand-safe-abortion-legalisation-social-stigma-2338306</w:t>
        </w:r>
      </w:hyperlink>
      <w:r w:rsidRPr="002347B2">
        <w:rPr>
          <w:rFonts w:asciiTheme="minorHAnsi" w:eastAsia="Calibri" w:hAnsiTheme="minorHAnsi" w:cstheme="minorHAnsi"/>
          <w:sz w:val="20"/>
          <w:szCs w:val="20"/>
        </w:rPr>
        <w:t xml:space="preserve"> </w:t>
      </w:r>
    </w:p>
  </w:endnote>
  <w:endnote w:id="48">
    <w:p w14:paraId="52EF0DBD" w14:textId="77777777" w:rsidR="003823DA" w:rsidRPr="002347B2" w:rsidRDefault="003823DA" w:rsidP="003823DA">
      <w:pPr>
        <w:spacing w:line="240" w:lineRule="auto"/>
        <w:ind w:left="360" w:hanging="360"/>
        <w:rPr>
          <w:rFonts w:asciiTheme="minorHAnsi" w:hAnsiTheme="minorHAnsi" w:cstheme="minorHAnsi"/>
          <w:sz w:val="20"/>
          <w:szCs w:val="20"/>
          <w:highlight w:val="white"/>
        </w:rPr>
      </w:pPr>
      <w:r w:rsidRPr="002347B2">
        <w:rPr>
          <w:rFonts w:asciiTheme="minorHAnsi" w:hAnsiTheme="minorHAnsi" w:cstheme="minorHAnsi"/>
          <w:vertAlign w:val="superscript"/>
        </w:rPr>
        <w:endnoteRef/>
      </w:r>
      <w:r w:rsidRPr="002347B2">
        <w:rPr>
          <w:rFonts w:asciiTheme="minorHAnsi" w:hAnsiTheme="minorHAnsi" w:cstheme="minorHAnsi"/>
          <w:sz w:val="20"/>
          <w:szCs w:val="20"/>
          <w:highlight w:val="white"/>
        </w:rPr>
        <w:t xml:space="preserve"> </w:t>
      </w:r>
      <w:r w:rsidRPr="002347B2">
        <w:rPr>
          <w:rFonts w:asciiTheme="minorHAnsi" w:hAnsiTheme="minorHAnsi" w:cstheme="minorHAnsi"/>
          <w:sz w:val="20"/>
          <w:szCs w:val="20"/>
          <w:highlight w:val="white"/>
        </w:rPr>
        <w:tab/>
      </w:r>
      <w:r w:rsidRPr="002347B2">
        <w:rPr>
          <w:rFonts w:asciiTheme="minorHAnsi" w:eastAsia="Calibri" w:hAnsiTheme="minorHAnsi" w:cstheme="minorHAnsi"/>
          <w:sz w:val="20"/>
          <w:szCs w:val="20"/>
          <w:highlight w:val="white"/>
        </w:rPr>
        <w:t xml:space="preserve">Manushya Foundation, </w:t>
      </w:r>
      <w:r w:rsidRPr="002347B2">
        <w:rPr>
          <w:rFonts w:asciiTheme="minorHAnsi" w:eastAsia="Calibri" w:hAnsiTheme="minorHAnsi" w:cstheme="minorHAnsi"/>
          <w:i/>
          <w:sz w:val="20"/>
          <w:szCs w:val="20"/>
          <w:highlight w:val="white"/>
        </w:rPr>
        <w:t>Safe Abortion: Thailand's Third Universal Periodic Review Cycle</w:t>
      </w:r>
      <w:r w:rsidRPr="002347B2">
        <w:rPr>
          <w:rFonts w:asciiTheme="minorHAnsi" w:eastAsia="Calibri" w:hAnsiTheme="minorHAnsi" w:cstheme="minorHAnsi"/>
          <w:sz w:val="20"/>
          <w:szCs w:val="20"/>
          <w:highlight w:val="white"/>
        </w:rPr>
        <w:t xml:space="preserve">, (29 September 2021), available at: </w:t>
      </w:r>
      <w:hyperlink r:id="rId40">
        <w:r w:rsidRPr="002347B2">
          <w:rPr>
            <w:rFonts w:asciiTheme="minorHAnsi" w:eastAsia="Calibri" w:hAnsiTheme="minorHAnsi" w:cstheme="minorHAnsi"/>
            <w:color w:val="1155CC"/>
            <w:sz w:val="20"/>
            <w:szCs w:val="20"/>
            <w:highlight w:val="white"/>
            <w:u w:val="single"/>
          </w:rPr>
          <w:t>https://www.manushyafoundation.org/thailand-third-upr-cycle-factsheet-safe-abortion</w:t>
        </w:r>
      </w:hyperlink>
      <w:r w:rsidRPr="002347B2">
        <w:rPr>
          <w:rFonts w:asciiTheme="minorHAnsi" w:eastAsia="Calibri" w:hAnsiTheme="minorHAnsi" w:cstheme="minorHAnsi"/>
          <w:sz w:val="20"/>
          <w:szCs w:val="20"/>
          <w:highlight w:val="white"/>
        </w:rPr>
        <w:t xml:space="preserve"> </w:t>
      </w:r>
    </w:p>
  </w:endnote>
  <w:endnote w:id="49">
    <w:p w14:paraId="37EEEAAC"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ICJ, </w:t>
      </w:r>
      <w:r w:rsidRPr="002347B2">
        <w:rPr>
          <w:rFonts w:asciiTheme="minorHAnsi" w:eastAsia="Calibri" w:hAnsiTheme="minorHAnsi" w:cstheme="minorHAnsi"/>
          <w:i/>
          <w:sz w:val="20"/>
          <w:szCs w:val="20"/>
        </w:rPr>
        <w:t xml:space="preserve">Thailand has failed to adequately address the disproportionate impact of COVID-19 on the economic, social and cultural rights of marginalized persons, </w:t>
      </w:r>
      <w:r w:rsidRPr="002347B2">
        <w:rPr>
          <w:rFonts w:asciiTheme="minorHAnsi" w:eastAsia="Calibri" w:hAnsiTheme="minorHAnsi" w:cstheme="minorHAnsi"/>
          <w:sz w:val="20"/>
          <w:szCs w:val="20"/>
        </w:rPr>
        <w:t xml:space="preserve">(25 August 2021), available at: </w:t>
      </w:r>
      <w:hyperlink r:id="rId41">
        <w:r w:rsidRPr="002347B2">
          <w:rPr>
            <w:rFonts w:asciiTheme="minorHAnsi" w:eastAsia="Calibri" w:hAnsiTheme="minorHAnsi" w:cstheme="minorHAnsi"/>
            <w:color w:val="1155CC"/>
            <w:sz w:val="20"/>
            <w:szCs w:val="20"/>
            <w:u w:val="single"/>
          </w:rPr>
          <w:t>https://www.icj.org/thailand-has-failed-to-adequately-address-the-disproportionate-impact-of-covid-19-on-the-economic-social-and-cultural-rights-of-marginalized-persons/</w:t>
        </w:r>
      </w:hyperlink>
      <w:r w:rsidRPr="002347B2">
        <w:rPr>
          <w:rFonts w:asciiTheme="minorHAnsi" w:eastAsia="Calibri" w:hAnsiTheme="minorHAnsi" w:cstheme="minorHAnsi"/>
          <w:color w:val="1B2937"/>
          <w:sz w:val="20"/>
          <w:szCs w:val="20"/>
        </w:rPr>
        <w:t xml:space="preserve"> </w:t>
      </w:r>
    </w:p>
  </w:endnote>
  <w:endnote w:id="50">
    <w:p w14:paraId="63AD883F" w14:textId="77777777" w:rsidR="003823DA" w:rsidRPr="002347B2" w:rsidRDefault="003823DA" w:rsidP="003823DA">
      <w:pPr>
        <w:spacing w:line="240" w:lineRule="auto"/>
        <w:ind w:left="360" w:hanging="360"/>
        <w:rPr>
          <w:rFonts w:asciiTheme="minorHAnsi" w:hAnsiTheme="minorHAnsi" w:cstheme="minorHAnsi"/>
          <w:sz w:val="20"/>
          <w:szCs w:val="20"/>
          <w:highlight w:val="white"/>
        </w:rPr>
      </w:pPr>
      <w:r w:rsidRPr="002347B2">
        <w:rPr>
          <w:rFonts w:asciiTheme="minorHAnsi" w:hAnsiTheme="minorHAnsi" w:cstheme="minorHAnsi"/>
          <w:vertAlign w:val="superscript"/>
        </w:rPr>
        <w:endnoteRef/>
      </w:r>
      <w:r w:rsidRPr="002347B2">
        <w:rPr>
          <w:rFonts w:asciiTheme="minorHAnsi" w:hAnsiTheme="minorHAnsi" w:cstheme="minorHAnsi"/>
          <w:sz w:val="20"/>
          <w:szCs w:val="20"/>
          <w:highlight w:val="white"/>
        </w:rPr>
        <w:t xml:space="preserve"> </w:t>
      </w:r>
      <w:r w:rsidRPr="002347B2">
        <w:rPr>
          <w:rFonts w:asciiTheme="minorHAnsi" w:hAnsiTheme="minorHAnsi" w:cstheme="minorHAnsi"/>
          <w:sz w:val="20"/>
          <w:szCs w:val="20"/>
          <w:highlight w:val="white"/>
        </w:rPr>
        <w:tab/>
      </w:r>
      <w:r w:rsidRPr="002347B2">
        <w:rPr>
          <w:rFonts w:asciiTheme="minorHAnsi" w:eastAsia="Calibri" w:hAnsiTheme="minorHAnsi" w:cstheme="minorHAnsi"/>
          <w:sz w:val="20"/>
          <w:szCs w:val="20"/>
          <w:highlight w:val="white"/>
        </w:rPr>
        <w:t xml:space="preserve">Manushya Foundation, </w:t>
      </w:r>
      <w:r w:rsidRPr="002347B2">
        <w:rPr>
          <w:rFonts w:asciiTheme="minorHAnsi" w:eastAsia="Calibri" w:hAnsiTheme="minorHAnsi" w:cstheme="minorHAnsi"/>
          <w:i/>
          <w:sz w:val="20"/>
          <w:szCs w:val="20"/>
          <w:highlight w:val="white"/>
        </w:rPr>
        <w:t>Safe Abortion: Thailand's Third Universal Periodic Review Cycle</w:t>
      </w:r>
      <w:r w:rsidRPr="002347B2">
        <w:rPr>
          <w:rFonts w:asciiTheme="minorHAnsi" w:eastAsia="Calibri" w:hAnsiTheme="minorHAnsi" w:cstheme="minorHAnsi"/>
          <w:sz w:val="20"/>
          <w:szCs w:val="20"/>
          <w:highlight w:val="white"/>
        </w:rPr>
        <w:t xml:space="preserve">, (29 September 2021), available at: </w:t>
      </w:r>
      <w:hyperlink r:id="rId42">
        <w:r w:rsidRPr="002347B2">
          <w:rPr>
            <w:rFonts w:asciiTheme="minorHAnsi" w:eastAsia="Calibri" w:hAnsiTheme="minorHAnsi" w:cstheme="minorHAnsi"/>
            <w:color w:val="1155CC"/>
            <w:sz w:val="20"/>
            <w:szCs w:val="20"/>
            <w:highlight w:val="white"/>
            <w:u w:val="single"/>
          </w:rPr>
          <w:t>https://www.manushyafoundation.org/thailand-third-upr-cycle-factsheet-safe-abortion</w:t>
        </w:r>
      </w:hyperlink>
    </w:p>
  </w:endnote>
  <w:endnote w:id="51">
    <w:p w14:paraId="1350C8D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Community-Led &amp; Participatory Research Report, Raising our voices to save our future</w:t>
      </w:r>
      <w:r w:rsidRPr="002347B2">
        <w:rPr>
          <w:rFonts w:asciiTheme="minorHAnsi" w:eastAsia="Calibri" w:hAnsiTheme="minorHAnsi" w:cstheme="minorHAnsi"/>
          <w:sz w:val="20"/>
          <w:szCs w:val="20"/>
        </w:rPr>
        <w:t xml:space="preserve">, (September 2019), available at: </w:t>
      </w:r>
      <w:hyperlink r:id="rId43">
        <w:r w:rsidRPr="002347B2">
          <w:rPr>
            <w:rFonts w:asciiTheme="minorHAnsi" w:eastAsia="Calibri" w:hAnsiTheme="minorHAnsi" w:cstheme="minorHAnsi"/>
            <w:color w:val="1155CC"/>
            <w:sz w:val="20"/>
            <w:szCs w:val="20"/>
            <w:u w:val="single"/>
          </w:rPr>
          <w:t>https://www.manushyafoundation.org/iwnt-report</w:t>
        </w:r>
      </w:hyperlink>
      <w:r w:rsidRPr="002347B2">
        <w:rPr>
          <w:rFonts w:asciiTheme="minorHAnsi" w:eastAsia="Calibri" w:hAnsiTheme="minorHAnsi" w:cstheme="minorHAnsi"/>
          <w:sz w:val="20"/>
          <w:szCs w:val="20"/>
        </w:rPr>
        <w:t xml:space="preserve"> </w:t>
      </w:r>
    </w:p>
  </w:endnote>
  <w:endnote w:id="52">
    <w:p w14:paraId="1D35551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 Rights Of Indigenous Women In Thailand: Joint Submission To The UN Universal Periodic Review (UPR) For Thailand's Third UPR Cycle, 39th Session Of The UPR Working Group,</w:t>
      </w:r>
      <w:r w:rsidRPr="002347B2">
        <w:rPr>
          <w:rFonts w:asciiTheme="minorHAnsi" w:eastAsia="Calibri" w:hAnsiTheme="minorHAnsi" w:cstheme="minorHAnsi"/>
          <w:sz w:val="20"/>
          <w:szCs w:val="20"/>
        </w:rPr>
        <w:t xml:space="preserve"> (16 April 2021), available at:  </w:t>
      </w:r>
      <w:hyperlink r:id="rId44">
        <w:r w:rsidRPr="002347B2">
          <w:rPr>
            <w:rFonts w:asciiTheme="minorHAnsi" w:eastAsia="Calibri" w:hAnsiTheme="minorHAnsi" w:cstheme="minorHAnsi"/>
            <w:color w:val="1155CC"/>
            <w:sz w:val="20"/>
            <w:szCs w:val="20"/>
            <w:u w:val="single"/>
          </w:rPr>
          <w:t>https://www.manushyafoundation.org/joint-upr-submission-ipwomen</w:t>
        </w:r>
      </w:hyperlink>
      <w:r w:rsidRPr="002347B2">
        <w:rPr>
          <w:rFonts w:asciiTheme="minorHAnsi" w:eastAsia="Calibri" w:hAnsiTheme="minorHAnsi" w:cstheme="minorHAnsi"/>
          <w:sz w:val="20"/>
          <w:szCs w:val="20"/>
        </w:rPr>
        <w:t xml:space="preserve"> </w:t>
      </w:r>
    </w:p>
  </w:endnote>
  <w:endnote w:id="53">
    <w:p w14:paraId="220E38A9"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Community-Led &amp; Participatory Research Report, Raising our voices to save our future</w:t>
      </w:r>
      <w:r w:rsidRPr="002347B2">
        <w:rPr>
          <w:rFonts w:asciiTheme="minorHAnsi" w:eastAsia="Calibri" w:hAnsiTheme="minorHAnsi" w:cstheme="minorHAnsi"/>
          <w:sz w:val="20"/>
          <w:szCs w:val="20"/>
        </w:rPr>
        <w:t xml:space="preserve">, (September 2019), available at: </w:t>
      </w:r>
      <w:hyperlink r:id="rId45">
        <w:r w:rsidRPr="002347B2">
          <w:rPr>
            <w:rFonts w:asciiTheme="minorHAnsi" w:eastAsia="Calibri" w:hAnsiTheme="minorHAnsi" w:cstheme="minorHAnsi"/>
            <w:color w:val="1155CC"/>
            <w:sz w:val="20"/>
            <w:szCs w:val="20"/>
            <w:u w:val="single"/>
          </w:rPr>
          <w:t>https://www.manushyafoundation.org/iwnt-report</w:t>
        </w:r>
      </w:hyperlink>
      <w:r w:rsidRPr="002347B2">
        <w:rPr>
          <w:rFonts w:asciiTheme="minorHAnsi" w:eastAsia="Calibri" w:hAnsiTheme="minorHAnsi" w:cstheme="minorHAnsi"/>
          <w:sz w:val="20"/>
          <w:szCs w:val="20"/>
        </w:rPr>
        <w:t xml:space="preserve"> </w:t>
      </w:r>
    </w:p>
  </w:endnote>
  <w:endnote w:id="54">
    <w:p w14:paraId="16A0750D"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Prachatai English, </w:t>
      </w:r>
      <w:r w:rsidRPr="002347B2">
        <w:rPr>
          <w:rFonts w:asciiTheme="minorHAnsi" w:eastAsia="Calibri" w:hAnsiTheme="minorHAnsi" w:cstheme="minorHAnsi"/>
          <w:i/>
          <w:sz w:val="20"/>
          <w:szCs w:val="20"/>
        </w:rPr>
        <w:t>Gender-Responsiveness key to inclusiveness in COVID-19 pandemic,</w:t>
      </w:r>
      <w:r w:rsidRPr="002347B2">
        <w:rPr>
          <w:rFonts w:asciiTheme="minorHAnsi" w:eastAsia="Calibri" w:hAnsiTheme="minorHAnsi" w:cstheme="minorHAnsi"/>
          <w:sz w:val="20"/>
          <w:szCs w:val="20"/>
        </w:rPr>
        <w:t xml:space="preserve"> (21 April 2020), available at: </w:t>
      </w:r>
      <w:hyperlink r:id="rId46">
        <w:r w:rsidRPr="002347B2">
          <w:rPr>
            <w:rFonts w:asciiTheme="minorHAnsi" w:eastAsia="Calibri" w:hAnsiTheme="minorHAnsi" w:cstheme="minorHAnsi"/>
            <w:color w:val="1155CC"/>
            <w:sz w:val="20"/>
            <w:szCs w:val="20"/>
            <w:u w:val="single"/>
          </w:rPr>
          <w:t>https://prachatai.com/english/node/8475</w:t>
        </w:r>
      </w:hyperlink>
      <w:r w:rsidRPr="002347B2">
        <w:rPr>
          <w:rFonts w:asciiTheme="minorHAnsi" w:eastAsia="Calibri" w:hAnsiTheme="minorHAnsi" w:cstheme="minorHAnsi"/>
          <w:sz w:val="20"/>
          <w:szCs w:val="20"/>
        </w:rPr>
        <w:t xml:space="preserve"> </w:t>
      </w:r>
    </w:p>
  </w:endnote>
  <w:endnote w:id="55">
    <w:p w14:paraId="24951C9A"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Information obtained from interviews conducted by Manushya Foundation to inform this report, (August-September 2022)</w:t>
      </w:r>
    </w:p>
  </w:endnote>
  <w:endnote w:id="56">
    <w:p w14:paraId="077709F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 Rights of People Living with HIV and Drug Users: Thailand's Third Universal Periodic Review Cycle,</w:t>
      </w:r>
      <w:r w:rsidRPr="002347B2">
        <w:rPr>
          <w:rFonts w:asciiTheme="minorHAnsi" w:eastAsia="Calibri" w:hAnsiTheme="minorHAnsi" w:cstheme="minorHAnsi"/>
          <w:sz w:val="20"/>
          <w:szCs w:val="20"/>
        </w:rPr>
        <w:t xml:space="preserve"> (29 September 2021), available at: </w:t>
      </w:r>
      <w:hyperlink r:id="rId47">
        <w:r w:rsidRPr="002347B2">
          <w:rPr>
            <w:rFonts w:asciiTheme="minorHAnsi" w:eastAsia="Calibri" w:hAnsiTheme="minorHAnsi" w:cstheme="minorHAnsi"/>
            <w:color w:val="1155CC"/>
            <w:sz w:val="20"/>
            <w:szCs w:val="20"/>
            <w:u w:val="single"/>
          </w:rPr>
          <w:t>https://www.manushyafoundation.org/thailand-third-upr-cycle-factsheet-the-rights-of-people-living-with-hiv-and-drug-users</w:t>
        </w:r>
      </w:hyperlink>
      <w:r w:rsidRPr="002347B2">
        <w:rPr>
          <w:rFonts w:asciiTheme="minorHAnsi" w:eastAsia="Calibri" w:hAnsiTheme="minorHAnsi" w:cstheme="minorHAnsi"/>
          <w:sz w:val="20"/>
          <w:szCs w:val="20"/>
        </w:rPr>
        <w:t xml:space="preserve"> </w:t>
      </w:r>
    </w:p>
  </w:endnote>
  <w:endnote w:id="57">
    <w:p w14:paraId="7CC680F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OHCHR, </w:t>
      </w:r>
      <w:r w:rsidRPr="002347B2">
        <w:rPr>
          <w:rFonts w:asciiTheme="minorHAnsi" w:eastAsia="Calibri" w:hAnsiTheme="minorHAnsi" w:cstheme="minorHAnsi"/>
          <w:i/>
          <w:sz w:val="20"/>
          <w:szCs w:val="20"/>
        </w:rPr>
        <w:t>Report of the Special Rapporteur on torture and other cruel, inhuman or degrading treatment or punishment, Juan E. Méndez</w:t>
      </w:r>
      <w:r w:rsidRPr="002347B2">
        <w:rPr>
          <w:rFonts w:asciiTheme="minorHAnsi" w:eastAsia="Calibri" w:hAnsiTheme="minorHAnsi" w:cstheme="minorHAnsi"/>
          <w:sz w:val="20"/>
          <w:szCs w:val="20"/>
        </w:rPr>
        <w:t xml:space="preserve">, (1 February 2013), available at: </w:t>
      </w:r>
      <w:hyperlink r:id="rId48">
        <w:r w:rsidRPr="002347B2">
          <w:rPr>
            <w:rFonts w:asciiTheme="minorHAnsi" w:eastAsia="Calibri" w:hAnsiTheme="minorHAnsi" w:cstheme="minorHAnsi"/>
            <w:color w:val="1155CC"/>
            <w:sz w:val="20"/>
            <w:szCs w:val="20"/>
            <w:u w:val="single"/>
          </w:rPr>
          <w:t>https://www.ohchr.org/sites/default/files/Documents/HRBodies/HRCouncil/RegularSession/Session22/A.HRC.22.53_English.pdf</w:t>
        </w:r>
      </w:hyperlink>
      <w:r w:rsidRPr="002347B2">
        <w:rPr>
          <w:rFonts w:asciiTheme="minorHAnsi" w:eastAsia="Calibri" w:hAnsiTheme="minorHAnsi" w:cstheme="minorHAnsi"/>
          <w:sz w:val="20"/>
          <w:szCs w:val="20"/>
        </w:rPr>
        <w:t xml:space="preserve">  </w:t>
      </w:r>
    </w:p>
  </w:endnote>
  <w:endnote w:id="58">
    <w:p w14:paraId="664EE9C2"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59">
    <w:p w14:paraId="7C6AA9E4"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Joint Civil Society Report, List of Themes to be considered by the Committee on the Elimination of Racial Discrimination (CERD) For the review of the combined fourth to eighth periodic reports of Thailand (CERD/C/THA/4-8) at the 102nd session of the CERD Committee (Geneva – Postponed 2020)</w:t>
      </w:r>
      <w:r w:rsidRPr="002347B2">
        <w:rPr>
          <w:rFonts w:asciiTheme="minorHAnsi" w:eastAsia="Calibri" w:hAnsiTheme="minorHAnsi" w:cstheme="minorHAnsi"/>
          <w:sz w:val="20"/>
          <w:szCs w:val="20"/>
        </w:rPr>
        <w:t xml:space="preserve">, available at: </w:t>
      </w:r>
      <w:hyperlink r:id="rId49">
        <w:r w:rsidRPr="002347B2">
          <w:rPr>
            <w:rFonts w:asciiTheme="minorHAnsi" w:eastAsia="Calibri" w:hAnsiTheme="minorHAnsi" w:cstheme="minorHAnsi"/>
            <w:color w:val="1155CC"/>
            <w:sz w:val="20"/>
            <w:szCs w:val="20"/>
            <w:u w:val="single"/>
          </w:rPr>
          <w:t>https://www.manushyafoundation.org/joint-civil-society-report-cerd</w:t>
        </w:r>
      </w:hyperlink>
      <w:r w:rsidRPr="002347B2">
        <w:rPr>
          <w:rFonts w:asciiTheme="minorHAnsi" w:eastAsia="Calibri" w:hAnsiTheme="minorHAnsi" w:cstheme="minorHAnsi"/>
          <w:sz w:val="20"/>
          <w:szCs w:val="20"/>
        </w:rPr>
        <w:t xml:space="preserve"> </w:t>
      </w:r>
    </w:p>
  </w:endnote>
  <w:endnote w:id="60">
    <w:p w14:paraId="230477A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2347B2">
        <w:rPr>
          <w:rFonts w:asciiTheme="minorHAnsi" w:eastAsia="Calibri" w:hAnsiTheme="minorHAnsi" w:cstheme="minorHAnsi"/>
          <w:sz w:val="20"/>
          <w:szCs w:val="20"/>
        </w:rPr>
        <w:t>, (25 October 2021), available at:</w:t>
      </w:r>
    </w:p>
    <w:p w14:paraId="7D701EC1" w14:textId="77777777" w:rsidR="003823DA" w:rsidRPr="002347B2" w:rsidRDefault="00000000" w:rsidP="003823DA">
      <w:pPr>
        <w:spacing w:line="240" w:lineRule="auto"/>
        <w:ind w:left="360"/>
        <w:rPr>
          <w:rFonts w:asciiTheme="minorHAnsi" w:hAnsiTheme="minorHAnsi" w:cstheme="minorHAnsi"/>
          <w:sz w:val="20"/>
          <w:szCs w:val="20"/>
        </w:rPr>
      </w:pPr>
      <w:hyperlink r:id="rId50" w:history="1">
        <w:r w:rsidR="003823DA" w:rsidRPr="002347B2">
          <w:rPr>
            <w:rStyle w:val="Hyperlink"/>
            <w:rFonts w:asciiTheme="minorHAnsi" w:eastAsia="Calibri" w:hAnsiTheme="minorHAnsi" w:cstheme="minorHAnsi"/>
            <w:sz w:val="20"/>
            <w:szCs w:val="20"/>
          </w:rPr>
          <w:t>https://www.manushyafoundation.org/joint-civil-society-cerd-shadow-report</w:t>
        </w:r>
      </w:hyperlink>
      <w:r w:rsidR="003823DA" w:rsidRPr="002347B2">
        <w:rPr>
          <w:rFonts w:asciiTheme="minorHAnsi" w:eastAsia="Calibri" w:hAnsiTheme="minorHAnsi" w:cstheme="minorHAnsi"/>
          <w:sz w:val="20"/>
          <w:szCs w:val="20"/>
        </w:rPr>
        <w:t xml:space="preserve"> </w:t>
      </w:r>
    </w:p>
  </w:endnote>
  <w:endnote w:id="61">
    <w:p w14:paraId="5158DC6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62">
    <w:p w14:paraId="590D4DC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Thai Positive Women Foundation (TPWF), Empower Foundation, Indigenous Women’s Network of Thailand, Health and Opportunity Network (HON), Amnat Charoen Friend of Women Center and Women Workers for Justice Group (WJG), </w:t>
      </w:r>
      <w:r w:rsidRPr="002347B2">
        <w:rPr>
          <w:rFonts w:asciiTheme="minorHAnsi" w:eastAsia="Calibri" w:hAnsiTheme="minorHAnsi" w:cstheme="minorHAnsi"/>
          <w:i/>
          <w:sz w:val="20"/>
          <w:szCs w:val="20"/>
        </w:rPr>
        <w:t>Joint UPR Submission: The Rights of Marginalized Women in Thailand, for the UN Universal Periodic Review of Thailand (3rd UPR Cycle), 39th Session of the UPR Working Group</w:t>
      </w:r>
      <w:r w:rsidRPr="002347B2">
        <w:rPr>
          <w:rFonts w:asciiTheme="minorHAnsi" w:eastAsia="Calibri" w:hAnsiTheme="minorHAnsi" w:cstheme="minorHAnsi"/>
          <w:sz w:val="20"/>
          <w:szCs w:val="20"/>
        </w:rPr>
        <w:t xml:space="preserve">, (March 2021), available at: </w:t>
      </w:r>
      <w:hyperlink r:id="rId51">
        <w:r w:rsidRPr="002347B2">
          <w:rPr>
            <w:rFonts w:asciiTheme="minorHAnsi" w:eastAsia="Calibri" w:hAnsiTheme="minorHAnsi" w:cstheme="minorHAnsi"/>
            <w:color w:val="1155CC"/>
            <w:sz w:val="20"/>
            <w:szCs w:val="20"/>
            <w:u w:val="single"/>
          </w:rPr>
          <w:t>https://uprdoc.ohchr.org/uprweb/downloadfile.aspx?filename=9028&amp;file=CoverPage</w:t>
        </w:r>
      </w:hyperlink>
      <w:r w:rsidRPr="002347B2">
        <w:rPr>
          <w:rFonts w:asciiTheme="minorHAnsi" w:eastAsia="Calibri" w:hAnsiTheme="minorHAnsi" w:cstheme="minorHAnsi"/>
          <w:sz w:val="20"/>
          <w:szCs w:val="20"/>
        </w:rPr>
        <w:t xml:space="preserve">  </w:t>
      </w:r>
    </w:p>
  </w:endnote>
  <w:endnote w:id="63">
    <w:p w14:paraId="6E6E1273"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64">
    <w:p w14:paraId="0FC6BE57"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65">
    <w:p w14:paraId="5680CD1F"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 Rights Of Indigenous Women In Thailand: Joint Submission To The UN Universal Periodic Review (UPR) For Thailand's Third UPR Cycle, 39th Session Of The UPR Working Group</w:t>
      </w:r>
      <w:r w:rsidRPr="002347B2">
        <w:rPr>
          <w:rFonts w:asciiTheme="minorHAnsi" w:eastAsia="Calibri" w:hAnsiTheme="minorHAnsi" w:cstheme="minorHAnsi"/>
          <w:sz w:val="20"/>
          <w:szCs w:val="20"/>
        </w:rPr>
        <w:t xml:space="preserve">, (16 April 2021), available at: </w:t>
      </w:r>
      <w:hyperlink r:id="rId52">
        <w:r w:rsidRPr="002347B2">
          <w:rPr>
            <w:rFonts w:asciiTheme="minorHAnsi" w:eastAsia="Calibri" w:hAnsiTheme="minorHAnsi" w:cstheme="minorHAnsi"/>
            <w:color w:val="1155CC"/>
            <w:sz w:val="20"/>
            <w:szCs w:val="20"/>
            <w:u w:val="single"/>
          </w:rPr>
          <w:t>https://www.manushyafoundation.org/joint-upr-submission-ipwomen</w:t>
        </w:r>
      </w:hyperlink>
    </w:p>
  </w:endnote>
  <w:endnote w:id="66">
    <w:p w14:paraId="2649FCF9"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67">
    <w:p w14:paraId="7F7AA6B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The government has even charged several street-based sex workers with violating the COVID-19 Emergency Decree, which is punishable by a fine of up to THB 40,000 or imprisonment of up to 2 years, or both. </w:t>
      </w:r>
      <w:r w:rsidRPr="002347B2">
        <w:rPr>
          <w:rFonts w:asciiTheme="minorHAnsi" w:eastAsia="Calibri" w:hAnsiTheme="minorHAnsi" w:cstheme="minorHAnsi"/>
          <w:i/>
          <w:sz w:val="20"/>
          <w:szCs w:val="20"/>
        </w:rPr>
        <w:t>See</w:t>
      </w:r>
      <w:r w:rsidRPr="002347B2">
        <w:rPr>
          <w:rFonts w:asciiTheme="minorHAnsi" w:eastAsia="Calibri" w:hAnsiTheme="minorHAnsi" w:cstheme="minorHAnsi"/>
          <w:sz w:val="20"/>
          <w:szCs w:val="20"/>
        </w:rPr>
        <w:t xml:space="preserve"> Manushya Foundation, </w:t>
      </w:r>
      <w:r w:rsidRPr="002347B2">
        <w:rPr>
          <w:rFonts w:asciiTheme="minorHAnsi" w:eastAsia="Calibri" w:hAnsiTheme="minorHAnsi" w:cstheme="minorHAnsi"/>
          <w:i/>
          <w:sz w:val="20"/>
          <w:szCs w:val="20"/>
        </w:rPr>
        <w:t>The Rights of Sex Workers: Thailand's Third Universal Periodic Review Cycle,</w:t>
      </w:r>
      <w:r w:rsidRPr="002347B2">
        <w:rPr>
          <w:rFonts w:asciiTheme="minorHAnsi" w:eastAsia="Calibri" w:hAnsiTheme="minorHAnsi" w:cstheme="minorHAnsi"/>
          <w:sz w:val="20"/>
          <w:szCs w:val="20"/>
        </w:rPr>
        <w:t xml:space="preserve"> (29 September 2021), available at: </w:t>
      </w:r>
    </w:p>
    <w:p w14:paraId="1F5A6E2F"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53" w:history="1">
        <w:r w:rsidR="003823DA" w:rsidRPr="002347B2">
          <w:rPr>
            <w:rStyle w:val="Hyperlink"/>
            <w:rFonts w:asciiTheme="minorHAnsi" w:eastAsia="Calibri" w:hAnsiTheme="minorHAnsi" w:cstheme="minorHAnsi"/>
            <w:sz w:val="20"/>
            <w:szCs w:val="20"/>
          </w:rPr>
          <w:t>https://www.manushyafoundation.org/thailand-third-upr-cycle-factsheet-the-rights-of-sex-workers</w:t>
        </w:r>
      </w:hyperlink>
      <w:r w:rsidR="003823DA" w:rsidRPr="002347B2">
        <w:rPr>
          <w:rFonts w:asciiTheme="minorHAnsi" w:eastAsia="Calibri" w:hAnsiTheme="minorHAnsi" w:cstheme="minorHAnsi"/>
          <w:sz w:val="20"/>
          <w:szCs w:val="20"/>
        </w:rPr>
        <w:t xml:space="preserve"> </w:t>
      </w:r>
    </w:p>
  </w:endnote>
  <w:endnote w:id="68">
    <w:p w14:paraId="6B41C16F"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Sexual Orientation, Gender Identity And Expression, And Sex Characteristics (SOGIESC) Rights In Thailand: Joint Submission To The UN Universal Periodic Review (UPR) For Thailand's Third UPR Cycle, 39th Session Of The UPR Working Group</w:t>
      </w:r>
      <w:r w:rsidRPr="002347B2">
        <w:rPr>
          <w:rFonts w:asciiTheme="minorHAnsi" w:eastAsia="Calibri" w:hAnsiTheme="minorHAnsi" w:cstheme="minorHAnsi"/>
          <w:sz w:val="20"/>
          <w:szCs w:val="20"/>
        </w:rPr>
        <w:t xml:space="preserve">, (25 March 2021), available at: </w:t>
      </w:r>
      <w:hyperlink r:id="rId54">
        <w:r w:rsidRPr="002347B2">
          <w:rPr>
            <w:rFonts w:asciiTheme="minorHAnsi" w:eastAsia="Calibri" w:hAnsiTheme="minorHAnsi" w:cstheme="minorHAnsi"/>
            <w:color w:val="1155CC"/>
            <w:sz w:val="20"/>
            <w:szCs w:val="20"/>
            <w:u w:val="single"/>
          </w:rPr>
          <w:t>https://www.manushyafoundation.org/joint-upr-submission-sogiesc</w:t>
        </w:r>
      </w:hyperlink>
      <w:r w:rsidRPr="002347B2">
        <w:rPr>
          <w:rFonts w:asciiTheme="minorHAnsi" w:eastAsia="Calibri" w:hAnsiTheme="minorHAnsi" w:cstheme="minorHAnsi"/>
          <w:sz w:val="20"/>
          <w:szCs w:val="20"/>
        </w:rPr>
        <w:t xml:space="preserve"> </w:t>
      </w:r>
    </w:p>
  </w:endnote>
  <w:endnote w:id="69">
    <w:p w14:paraId="54A6C0A6"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Qualifying conditions for people with disabilities to receive pension: </w:t>
      </w:r>
      <w:r w:rsidRPr="002347B2">
        <w:rPr>
          <w:rFonts w:asciiTheme="minorHAnsi" w:eastAsia="Calibri" w:hAnsiTheme="minorHAnsi" w:cstheme="minorHAnsi"/>
          <w:sz w:val="20"/>
          <w:szCs w:val="20"/>
        </w:rPr>
        <w:br/>
        <w:t>Disability pension (formal sector, social insurance): The person must be incapable of work and have at least three months of contributions in the 15 months before the total physical or mental disability begins. Medical officers assigned by the Social Security Office assess the degree of disability annually. The medical committee of the Social Security Office may suspend the benefit if it determines that the disability pensioner is rehabilitated.</w:t>
      </w:r>
      <w:r w:rsidRPr="002347B2">
        <w:rPr>
          <w:rFonts w:asciiTheme="minorHAnsi" w:eastAsia="Calibri" w:hAnsiTheme="minorHAnsi" w:cstheme="minorHAnsi"/>
          <w:sz w:val="20"/>
          <w:szCs w:val="20"/>
        </w:rPr>
        <w:br/>
        <w:t>Disability pension (informal sector, social insurance): The person must be assessed with a disability and not insured under the formal-sector program. Must have at least six months of contributions in the 10 months before the disability begins. Medical officers assigned by the Social Security Office assess the degree of disability annually. The medical committee of the Social Security Office may suspend the benefit if it determines that the disability pensioner is rehabilitated.</w:t>
      </w:r>
      <w:r w:rsidRPr="002347B2">
        <w:rPr>
          <w:rFonts w:asciiTheme="minorHAnsi" w:eastAsia="Calibri" w:hAnsiTheme="minorHAnsi" w:cstheme="minorHAnsi"/>
          <w:sz w:val="20"/>
          <w:szCs w:val="20"/>
        </w:rPr>
        <w:br/>
        <w:t xml:space="preserve">Disability benefit (National Savings Fund, provident fund): The person must be younger than age 60, assessed with a disability, and not insured under the formal-sector program. </w:t>
      </w:r>
      <w:r w:rsidRPr="002347B2">
        <w:rPr>
          <w:rFonts w:asciiTheme="minorHAnsi" w:eastAsia="Calibri" w:hAnsiTheme="minorHAnsi" w:cstheme="minorHAnsi"/>
          <w:i/>
          <w:iCs/>
          <w:sz w:val="20"/>
          <w:szCs w:val="20"/>
        </w:rPr>
        <w:t xml:space="preserve">See </w:t>
      </w:r>
      <w:r w:rsidRPr="002347B2">
        <w:rPr>
          <w:rFonts w:asciiTheme="minorHAnsi" w:eastAsia="Calibri" w:hAnsiTheme="minorHAnsi" w:cstheme="minorHAnsi"/>
          <w:sz w:val="20"/>
          <w:szCs w:val="20"/>
        </w:rPr>
        <w:t>Social Security Programs Throughout the World: Asia and the Pacific, available at: ​​</w:t>
      </w:r>
      <w:hyperlink r:id="rId55">
        <w:r w:rsidRPr="002347B2">
          <w:rPr>
            <w:rFonts w:asciiTheme="minorHAnsi" w:eastAsia="Calibri" w:hAnsiTheme="minorHAnsi" w:cstheme="minorHAnsi"/>
            <w:color w:val="1A73E8"/>
            <w:sz w:val="20"/>
            <w:szCs w:val="20"/>
            <w:highlight w:val="white"/>
            <w:u w:val="single"/>
          </w:rPr>
          <w:t>https://www.ssa.gov/policy/docs/progdesc/ssptw/2018-2019/asia/thailand.html</w:t>
        </w:r>
      </w:hyperlink>
    </w:p>
  </w:endnote>
  <w:endnote w:id="70">
    <w:p w14:paraId="1C398DED" w14:textId="77777777" w:rsidR="003823DA" w:rsidRPr="002347B2" w:rsidRDefault="003823DA" w:rsidP="003823DA">
      <w:pPr>
        <w:spacing w:line="240" w:lineRule="auto"/>
        <w:ind w:left="360" w:hanging="360"/>
        <w:rPr>
          <w:rFonts w:asciiTheme="minorHAnsi" w:eastAsia="Calibri" w:hAnsiTheme="minorHAnsi" w:cstheme="minorHAnsi"/>
          <w:sz w:val="16"/>
          <w:szCs w:val="16"/>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highlight w:val="white"/>
        </w:rPr>
        <w:t xml:space="preserve"> </w:t>
      </w:r>
      <w:r w:rsidRPr="002347B2">
        <w:rPr>
          <w:rFonts w:asciiTheme="minorHAnsi" w:eastAsia="Calibri" w:hAnsiTheme="minorHAnsi" w:cstheme="minorHAnsi"/>
          <w:sz w:val="20"/>
          <w:szCs w:val="20"/>
          <w:highlight w:val="white"/>
        </w:rPr>
        <w:tab/>
        <w:t xml:space="preserve">500 baht a month is paid with at least six months of contributions in the last 10 months before the disability began; 650 baht a month with at least 12 months in the last 20 months; 800 baht a month with at least 24 months in the last 40 months; and 1,000 baht a month with at least 36 months in the last 60 months. The pension is paid for up to 15 years. </w:t>
      </w:r>
      <w:hyperlink r:id="rId56">
        <w:r w:rsidRPr="002347B2">
          <w:rPr>
            <w:rFonts w:asciiTheme="minorHAnsi" w:eastAsia="Calibri" w:hAnsiTheme="minorHAnsi" w:cstheme="minorHAnsi"/>
            <w:color w:val="1155CC"/>
            <w:sz w:val="20"/>
            <w:szCs w:val="20"/>
            <w:highlight w:val="white"/>
            <w:u w:val="single"/>
          </w:rPr>
          <w:t>https://www.ssa.gov/policy/docs/progdesc/ssptw/2018-2019/asia/thailand.html</w:t>
        </w:r>
      </w:hyperlink>
      <w:r w:rsidRPr="002347B2">
        <w:rPr>
          <w:rFonts w:asciiTheme="minorHAnsi" w:eastAsia="Calibri" w:hAnsiTheme="minorHAnsi" w:cstheme="minorHAnsi"/>
          <w:sz w:val="20"/>
          <w:szCs w:val="20"/>
          <w:highlight w:val="white"/>
        </w:rPr>
        <w:t xml:space="preserve"> </w:t>
      </w:r>
    </w:p>
  </w:endnote>
  <w:endnote w:id="71">
    <w:p w14:paraId="67068CF8"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Rights of Persons with Disabilities in Thailand: Thailand's Third Universal Periodic Review Cycle,</w:t>
      </w:r>
      <w:r w:rsidRPr="002347B2">
        <w:rPr>
          <w:rFonts w:asciiTheme="minorHAnsi" w:eastAsia="Calibri" w:hAnsiTheme="minorHAnsi" w:cstheme="minorHAnsi"/>
          <w:sz w:val="20"/>
          <w:szCs w:val="20"/>
        </w:rPr>
        <w:t xml:space="preserve"> (9 September 2021), available at: </w:t>
      </w:r>
      <w:hyperlink r:id="rId57">
        <w:r w:rsidRPr="002347B2">
          <w:rPr>
            <w:rFonts w:asciiTheme="minorHAnsi" w:eastAsia="Calibri" w:hAnsiTheme="minorHAnsi" w:cstheme="minorHAnsi"/>
            <w:color w:val="1155CC"/>
            <w:sz w:val="20"/>
            <w:szCs w:val="20"/>
            <w:u w:val="single"/>
          </w:rPr>
          <w:t>https://www.manushyafoundation.org/upr-factsheet-rights-of-persons-with-disabilities-in-thailand</w:t>
        </w:r>
      </w:hyperlink>
      <w:r w:rsidRPr="002347B2">
        <w:rPr>
          <w:rFonts w:asciiTheme="minorHAnsi" w:eastAsia="Calibri" w:hAnsiTheme="minorHAnsi" w:cstheme="minorHAnsi"/>
          <w:sz w:val="20"/>
          <w:szCs w:val="20"/>
        </w:rPr>
        <w:t xml:space="preserve"> </w:t>
      </w:r>
    </w:p>
  </w:endnote>
  <w:endnote w:id="72">
    <w:p w14:paraId="015AF810"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Rights of Persons with Disabilities in Thailand: Thailand's Third Universal Periodic Review Cycle,</w:t>
      </w:r>
      <w:r w:rsidRPr="002347B2">
        <w:rPr>
          <w:rFonts w:asciiTheme="minorHAnsi" w:eastAsia="Calibri" w:hAnsiTheme="minorHAnsi" w:cstheme="minorHAnsi"/>
          <w:sz w:val="20"/>
          <w:szCs w:val="20"/>
        </w:rPr>
        <w:t xml:space="preserve"> (9 September 2021), available at: </w:t>
      </w:r>
      <w:hyperlink r:id="rId58">
        <w:r w:rsidRPr="002347B2">
          <w:rPr>
            <w:rFonts w:asciiTheme="minorHAnsi" w:eastAsia="Calibri" w:hAnsiTheme="minorHAnsi" w:cstheme="minorHAnsi"/>
            <w:color w:val="1155CC"/>
            <w:sz w:val="20"/>
            <w:szCs w:val="20"/>
            <w:u w:val="single"/>
          </w:rPr>
          <w:t>https://www.manushyafoundation.org/upr-factsheet-rights-of-persons-with-disabilities-in-thailand</w:t>
        </w:r>
      </w:hyperlink>
      <w:r w:rsidRPr="002347B2">
        <w:rPr>
          <w:rFonts w:asciiTheme="minorHAnsi" w:eastAsia="Calibri" w:hAnsiTheme="minorHAnsi" w:cstheme="minorHAnsi"/>
          <w:sz w:val="20"/>
          <w:szCs w:val="20"/>
        </w:rPr>
        <w:t xml:space="preserve"> </w:t>
      </w:r>
    </w:p>
  </w:endnote>
  <w:endnote w:id="73">
    <w:p w14:paraId="19EB3BD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Qualifying conditions for the elderly to receive pension: </w:t>
      </w:r>
      <w:r w:rsidRPr="002347B2">
        <w:rPr>
          <w:rFonts w:asciiTheme="minorHAnsi" w:eastAsia="Calibri" w:hAnsiTheme="minorHAnsi" w:cstheme="minorHAnsi"/>
          <w:sz w:val="20"/>
          <w:szCs w:val="20"/>
        </w:rPr>
        <w:br/>
        <w:t>Old-age pension (formal sector, social insurance): Age 55 with at least 180 months of contributions;</w:t>
      </w:r>
      <w:r w:rsidRPr="002347B2">
        <w:rPr>
          <w:rFonts w:asciiTheme="minorHAnsi" w:eastAsia="Calibri" w:hAnsiTheme="minorHAnsi" w:cstheme="minorHAnsi"/>
          <w:sz w:val="20"/>
          <w:szCs w:val="20"/>
        </w:rPr>
        <w:br/>
        <w:t>Old-age settlement (formal sector, social insurance): Age 55 with at least one but less than 180 months of contributions;</w:t>
      </w:r>
      <w:r w:rsidRPr="002347B2">
        <w:rPr>
          <w:rFonts w:asciiTheme="minorHAnsi" w:eastAsia="Calibri" w:hAnsiTheme="minorHAnsi" w:cstheme="minorHAnsi"/>
          <w:sz w:val="20"/>
          <w:szCs w:val="20"/>
        </w:rPr>
        <w:br/>
        <w:t>Old-age grant (informal sector, social insurance): Age 60 and not insured under the formal-sector program;</w:t>
      </w:r>
      <w:r w:rsidRPr="002347B2">
        <w:rPr>
          <w:rFonts w:asciiTheme="minorHAnsi" w:eastAsia="Calibri" w:hAnsiTheme="minorHAnsi" w:cstheme="minorHAnsi"/>
          <w:sz w:val="20"/>
          <w:szCs w:val="20"/>
        </w:rPr>
        <w:br/>
        <w:t>Old-age pension (National Savings Fund, provident fund): Age 60 and not insured under the formal-sector program;</w:t>
      </w:r>
      <w:r w:rsidRPr="002347B2">
        <w:rPr>
          <w:rFonts w:asciiTheme="minorHAnsi" w:eastAsia="Calibri" w:hAnsiTheme="minorHAnsi" w:cstheme="minorHAnsi"/>
          <w:sz w:val="20"/>
          <w:szCs w:val="20"/>
        </w:rPr>
        <w:br/>
        <w:t xml:space="preserve">Old-age pension (social assistance): Age 60 and not receiving any other pension. </w:t>
      </w:r>
      <w:r w:rsidRPr="002347B2">
        <w:rPr>
          <w:rFonts w:asciiTheme="minorHAnsi" w:eastAsia="Calibri" w:hAnsiTheme="minorHAnsi" w:cstheme="minorHAnsi"/>
          <w:i/>
          <w:iCs/>
          <w:sz w:val="20"/>
          <w:szCs w:val="20"/>
        </w:rPr>
        <w:t xml:space="preserve">See </w:t>
      </w:r>
      <w:r w:rsidRPr="002347B2">
        <w:rPr>
          <w:rFonts w:asciiTheme="minorHAnsi" w:eastAsia="Calibri" w:hAnsiTheme="minorHAnsi" w:cstheme="minorHAnsi"/>
          <w:sz w:val="20"/>
          <w:szCs w:val="20"/>
        </w:rPr>
        <w:t>Social Security Programs Throughout the World: Asia and the Pacific, available at: ​​</w:t>
      </w:r>
      <w:hyperlink r:id="rId59">
        <w:r w:rsidRPr="002347B2">
          <w:rPr>
            <w:rFonts w:asciiTheme="minorHAnsi" w:eastAsia="Calibri" w:hAnsiTheme="minorHAnsi" w:cstheme="minorHAnsi"/>
            <w:color w:val="1A73E8"/>
            <w:sz w:val="20"/>
            <w:szCs w:val="20"/>
            <w:highlight w:val="white"/>
            <w:u w:val="single"/>
          </w:rPr>
          <w:t>https://www.ssa.gov/policy/docs/progdesc/ssptw/2018-2019/asia/thailand.html</w:t>
        </w:r>
      </w:hyperlink>
    </w:p>
  </w:endnote>
  <w:endnote w:id="74">
    <w:p w14:paraId="70640351"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Act on Older Persons B.E. 2546 (2003), available at: </w:t>
      </w:r>
      <w:hyperlink r:id="rId60">
        <w:r w:rsidRPr="002347B2">
          <w:rPr>
            <w:rFonts w:asciiTheme="minorHAnsi" w:eastAsia="Calibri" w:hAnsiTheme="minorHAnsi" w:cstheme="minorHAnsi"/>
            <w:color w:val="1155CC"/>
            <w:sz w:val="20"/>
            <w:szCs w:val="20"/>
            <w:u w:val="single"/>
          </w:rPr>
          <w:t>http://ilo.org/dyn/natlex/natlex4.detail?p_lang=en&amp;p_isn=69641&amp;p_country=THA&amp;p_count=441</w:t>
        </w:r>
      </w:hyperlink>
      <w:r w:rsidRPr="002347B2">
        <w:rPr>
          <w:rFonts w:asciiTheme="minorHAnsi" w:hAnsiTheme="minorHAnsi" w:cstheme="minorHAnsi"/>
          <w:sz w:val="20"/>
          <w:szCs w:val="20"/>
        </w:rPr>
        <w:t xml:space="preserve"> </w:t>
      </w:r>
    </w:p>
  </w:endnote>
  <w:endnote w:id="75">
    <w:p w14:paraId="47E0400F" w14:textId="77777777" w:rsidR="003823DA" w:rsidRPr="002347B2" w:rsidRDefault="003823DA" w:rsidP="003823DA">
      <w:pPr>
        <w:spacing w:line="240" w:lineRule="auto"/>
        <w:ind w:left="360" w:hanging="360"/>
        <w:rPr>
          <w:rFonts w:asciiTheme="minorHAnsi" w:eastAsia="Calibri" w:hAnsiTheme="minorHAnsi" w:cstheme="minorHAnsi"/>
          <w:sz w:val="20"/>
          <w:szCs w:val="20"/>
          <w:highlight w:val="white"/>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r>
      <w:r w:rsidRPr="002347B2">
        <w:rPr>
          <w:rFonts w:asciiTheme="minorHAnsi" w:eastAsia="Calibri" w:hAnsiTheme="minorHAnsi" w:cstheme="minorHAnsi"/>
          <w:sz w:val="20"/>
          <w:szCs w:val="20"/>
          <w:highlight w:val="white"/>
        </w:rPr>
        <w:t xml:space="preserve">600 baht is paid to persons aged 60 to 69; 700 baht if aged 70 to 79; 800 baht if aged 80 to 89; and 1,000 baht if aged 90 or older. </w:t>
      </w:r>
      <w:r w:rsidRPr="002347B2">
        <w:rPr>
          <w:rFonts w:asciiTheme="minorHAnsi" w:eastAsia="Calibri" w:hAnsiTheme="minorHAnsi" w:cstheme="minorHAnsi"/>
          <w:i/>
          <w:iCs/>
          <w:sz w:val="20"/>
          <w:szCs w:val="20"/>
        </w:rPr>
        <w:t xml:space="preserve">See </w:t>
      </w:r>
      <w:r w:rsidRPr="002347B2">
        <w:rPr>
          <w:rFonts w:asciiTheme="minorHAnsi" w:eastAsia="Calibri" w:hAnsiTheme="minorHAnsi" w:cstheme="minorHAnsi"/>
          <w:sz w:val="20"/>
          <w:szCs w:val="20"/>
        </w:rPr>
        <w:t xml:space="preserve">Social Security Programs Throughout the World: Asia and the Pacific, available at: </w:t>
      </w:r>
      <w:r w:rsidRPr="002347B2">
        <w:rPr>
          <w:rFonts w:asciiTheme="minorHAnsi" w:eastAsia="Calibri" w:hAnsiTheme="minorHAnsi" w:cstheme="minorHAnsi"/>
          <w:sz w:val="20"/>
          <w:szCs w:val="20"/>
          <w:highlight w:val="white"/>
        </w:rPr>
        <w:t xml:space="preserve"> </w:t>
      </w:r>
    </w:p>
    <w:p w14:paraId="01066AD3" w14:textId="77777777" w:rsidR="003823DA" w:rsidRPr="002347B2" w:rsidRDefault="00000000" w:rsidP="003823DA">
      <w:pPr>
        <w:spacing w:line="240" w:lineRule="auto"/>
        <w:ind w:left="360"/>
        <w:rPr>
          <w:rFonts w:asciiTheme="minorHAnsi" w:eastAsia="Calibri" w:hAnsiTheme="minorHAnsi" w:cstheme="minorHAnsi"/>
          <w:i/>
          <w:sz w:val="20"/>
          <w:szCs w:val="20"/>
        </w:rPr>
      </w:pPr>
      <w:hyperlink r:id="rId61" w:history="1">
        <w:r w:rsidR="003823DA" w:rsidRPr="002347B2">
          <w:rPr>
            <w:rStyle w:val="Hyperlink"/>
            <w:rFonts w:asciiTheme="minorHAnsi" w:eastAsia="Calibri" w:hAnsiTheme="minorHAnsi" w:cstheme="minorHAnsi"/>
            <w:sz w:val="20"/>
            <w:szCs w:val="20"/>
            <w:highlight w:val="white"/>
          </w:rPr>
          <w:t>https://www.ssa.gov/policy/docs/progdesc/ssptw/2018-2019/asia/thailand.html</w:t>
        </w:r>
      </w:hyperlink>
      <w:r w:rsidR="003823DA" w:rsidRPr="002347B2">
        <w:rPr>
          <w:rFonts w:asciiTheme="minorHAnsi" w:eastAsia="Calibri" w:hAnsiTheme="minorHAnsi" w:cstheme="minorHAnsi"/>
          <w:sz w:val="20"/>
          <w:szCs w:val="20"/>
          <w:highlight w:val="white"/>
        </w:rPr>
        <w:t xml:space="preserve">; ASEAN,  </w:t>
      </w:r>
      <w:r w:rsidR="003823DA" w:rsidRPr="002347B2">
        <w:rPr>
          <w:rFonts w:asciiTheme="minorHAnsi" w:eastAsia="Calibri" w:hAnsiTheme="minorHAnsi" w:cstheme="minorHAnsi"/>
          <w:i/>
          <w:sz w:val="20"/>
          <w:szCs w:val="20"/>
          <w:highlight w:val="white"/>
        </w:rPr>
        <w:t>Old-Age Income Security in ASEAN Member States – Policy Trends, Challenges and Opportunities,</w:t>
      </w:r>
      <w:r w:rsidR="003823DA" w:rsidRPr="002347B2">
        <w:rPr>
          <w:rFonts w:asciiTheme="minorHAnsi" w:eastAsia="Calibri" w:hAnsiTheme="minorHAnsi" w:cstheme="minorHAnsi"/>
          <w:sz w:val="20"/>
          <w:szCs w:val="20"/>
        </w:rPr>
        <w:t xml:space="preserve"> (2021), available at: </w:t>
      </w:r>
      <w:hyperlink r:id="rId62">
        <w:r w:rsidR="003823DA" w:rsidRPr="002347B2">
          <w:rPr>
            <w:rFonts w:asciiTheme="minorHAnsi" w:eastAsia="Calibri" w:hAnsiTheme="minorHAnsi" w:cstheme="minorHAnsi"/>
            <w:color w:val="1155CC"/>
            <w:sz w:val="20"/>
            <w:szCs w:val="20"/>
            <w:u w:val="single"/>
          </w:rPr>
          <w:t>https://asean.org/book/old-age-income-security-in-asean-member-states-policy-trends-challenges-and-opportunities/</w:t>
        </w:r>
      </w:hyperlink>
      <w:r w:rsidR="003823DA" w:rsidRPr="002347B2">
        <w:rPr>
          <w:rFonts w:asciiTheme="minorHAnsi" w:eastAsia="Calibri" w:hAnsiTheme="minorHAnsi" w:cstheme="minorHAnsi"/>
          <w:sz w:val="20"/>
          <w:szCs w:val="20"/>
        </w:rPr>
        <w:t xml:space="preserve">; Manushya Foundation, </w:t>
      </w:r>
      <w:r w:rsidR="003823DA" w:rsidRPr="002347B2">
        <w:rPr>
          <w:rFonts w:asciiTheme="minorHAnsi" w:eastAsia="Calibri" w:hAnsiTheme="minorHAnsi" w:cstheme="minorHAnsi"/>
          <w:i/>
          <w:sz w:val="20"/>
          <w:szCs w:val="20"/>
        </w:rPr>
        <w:t xml:space="preserve">Elderly Rights in Thailand: Thailand's Third Universal Periodic Review Cycle, </w:t>
      </w:r>
      <w:r w:rsidR="003823DA" w:rsidRPr="002347B2">
        <w:rPr>
          <w:rFonts w:asciiTheme="minorHAnsi" w:eastAsia="Calibri" w:hAnsiTheme="minorHAnsi" w:cstheme="minorHAnsi"/>
          <w:sz w:val="20"/>
          <w:szCs w:val="20"/>
        </w:rPr>
        <w:t xml:space="preserve">(9 September 2021), available at: </w:t>
      </w:r>
      <w:hyperlink r:id="rId63">
        <w:r w:rsidR="003823DA" w:rsidRPr="002347B2">
          <w:rPr>
            <w:rFonts w:asciiTheme="minorHAnsi" w:eastAsia="Calibri" w:hAnsiTheme="minorHAnsi" w:cstheme="minorHAnsi"/>
            <w:color w:val="1155CC"/>
            <w:sz w:val="20"/>
            <w:szCs w:val="20"/>
            <w:u w:val="single"/>
          </w:rPr>
          <w:t>https://www.manushyafoundation.org/thailand-third-upr-cycle-factsheet-elderly-rights</w:t>
        </w:r>
      </w:hyperlink>
      <w:r w:rsidR="003823DA" w:rsidRPr="002347B2">
        <w:rPr>
          <w:rFonts w:asciiTheme="minorHAnsi" w:eastAsia="Calibri" w:hAnsiTheme="minorHAnsi" w:cstheme="minorHAnsi"/>
          <w:sz w:val="20"/>
          <w:szCs w:val="20"/>
        </w:rPr>
        <w:t xml:space="preserve"> </w:t>
      </w:r>
    </w:p>
  </w:endnote>
  <w:endnote w:id="76">
    <w:p w14:paraId="6E3CDF4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HelpAge International, </w:t>
      </w:r>
      <w:r w:rsidRPr="002347B2">
        <w:rPr>
          <w:rFonts w:asciiTheme="minorHAnsi" w:eastAsia="Calibri" w:hAnsiTheme="minorHAnsi" w:cstheme="minorHAnsi"/>
          <w:i/>
          <w:sz w:val="20"/>
          <w:szCs w:val="20"/>
        </w:rPr>
        <w:t>Old age income security in Thailand: work, family and social protection</w:t>
      </w:r>
      <w:r w:rsidRPr="002347B2">
        <w:rPr>
          <w:rFonts w:asciiTheme="minorHAnsi" w:eastAsia="Calibri" w:hAnsiTheme="minorHAnsi" w:cstheme="minorHAnsi"/>
          <w:sz w:val="20"/>
          <w:szCs w:val="20"/>
        </w:rPr>
        <w:t xml:space="preserve">, (14 February 2017), available at: </w:t>
      </w:r>
      <w:hyperlink r:id="rId64">
        <w:r w:rsidRPr="002347B2">
          <w:rPr>
            <w:rFonts w:asciiTheme="minorHAnsi" w:eastAsia="Calibri" w:hAnsiTheme="minorHAnsi" w:cstheme="minorHAnsi"/>
            <w:color w:val="1155CC"/>
            <w:sz w:val="20"/>
            <w:szCs w:val="20"/>
            <w:u w:val="single"/>
          </w:rPr>
          <w:t>https://www.refworld.org/docid/5a8a8aea7.html</w:t>
        </w:r>
      </w:hyperlink>
      <w:r w:rsidRPr="002347B2">
        <w:rPr>
          <w:rFonts w:asciiTheme="minorHAnsi" w:eastAsia="Calibri" w:hAnsiTheme="minorHAnsi" w:cstheme="minorHAnsi"/>
          <w:sz w:val="20"/>
          <w:szCs w:val="20"/>
        </w:rPr>
        <w:t xml:space="preserve"> </w:t>
      </w:r>
    </w:p>
  </w:endnote>
  <w:endnote w:id="77">
    <w:p w14:paraId="304F1465" w14:textId="77777777" w:rsidR="003823DA" w:rsidRPr="002347B2" w:rsidRDefault="003823DA" w:rsidP="003823DA">
      <w:pPr>
        <w:spacing w:line="240" w:lineRule="auto"/>
        <w:ind w:left="360" w:hanging="360"/>
        <w:rPr>
          <w:rFonts w:asciiTheme="minorHAnsi" w:eastAsia="Calibri" w:hAnsiTheme="minorHAnsi" w:cstheme="minorHAnsi"/>
          <w: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Elderly Rights in Thailand: Thailand's Third Universal Periodic Review Cycle</w:t>
      </w:r>
    </w:p>
    <w:p w14:paraId="64CE251B"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(9 September 2021), available at: </w:t>
      </w:r>
      <w:hyperlink r:id="rId65">
        <w:r w:rsidRPr="002347B2">
          <w:rPr>
            <w:rFonts w:asciiTheme="minorHAnsi" w:eastAsia="Calibri" w:hAnsiTheme="minorHAnsi" w:cstheme="minorHAnsi"/>
            <w:color w:val="1155CC"/>
            <w:sz w:val="20"/>
            <w:szCs w:val="20"/>
            <w:u w:val="single"/>
          </w:rPr>
          <w:t>https://www.manushyafoundation.org/thailand-third-upr-cycle-factsheet-elderly-rights</w:t>
        </w:r>
      </w:hyperlink>
      <w:r w:rsidRPr="002347B2">
        <w:rPr>
          <w:rFonts w:asciiTheme="minorHAnsi" w:eastAsia="Calibri" w:hAnsiTheme="minorHAnsi" w:cstheme="minorHAnsi"/>
          <w:sz w:val="20"/>
          <w:szCs w:val="20"/>
        </w:rPr>
        <w:t xml:space="preserve"> </w:t>
      </w:r>
    </w:p>
  </w:endnote>
  <w:endnote w:id="78">
    <w:p w14:paraId="53726269"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Social Security Act, B.E. 2533 (1990), Unofficial Translation, available at:</w:t>
      </w:r>
    </w:p>
    <w:p w14:paraId="66363BAC"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66" w:history="1">
        <w:r w:rsidR="003823DA" w:rsidRPr="002347B2">
          <w:rPr>
            <w:rStyle w:val="Hyperlink"/>
            <w:rFonts w:asciiTheme="minorHAnsi" w:eastAsia="Calibri" w:hAnsiTheme="minorHAnsi" w:cstheme="minorHAnsi"/>
            <w:sz w:val="20"/>
            <w:szCs w:val="20"/>
          </w:rPr>
          <w:t>http://web.krisdika.go.th/data/outsitedata/outsite21/file/Social_Security_Act_B.E._2533.pdf</w:t>
        </w:r>
      </w:hyperlink>
      <w:r w:rsidR="003823DA" w:rsidRPr="002347B2">
        <w:rPr>
          <w:rFonts w:asciiTheme="minorHAnsi" w:eastAsia="Calibri" w:hAnsiTheme="minorHAnsi" w:cstheme="minorHAnsi"/>
          <w:sz w:val="20"/>
          <w:szCs w:val="20"/>
        </w:rPr>
        <w:t xml:space="preserve"> </w:t>
      </w:r>
    </w:p>
  </w:endnote>
  <w:endnote w:id="79">
    <w:p w14:paraId="499C140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The Protection Of Migrant Workers</w:t>
      </w:r>
      <w:r w:rsidRPr="002347B2">
        <w:rPr>
          <w:rFonts w:asciiTheme="minorHAnsi" w:eastAsia="Calibri" w:hAnsiTheme="minorHAnsi" w:cstheme="minorHAnsi"/>
          <w:sz w:val="20"/>
          <w:szCs w:val="20"/>
        </w:rPr>
        <w:t xml:space="preserve">, (March 2019), available at: </w:t>
      </w:r>
    </w:p>
    <w:p w14:paraId="03B9CCAE" w14:textId="77777777" w:rsidR="003823DA" w:rsidRPr="002347B2" w:rsidRDefault="00000000" w:rsidP="003823DA">
      <w:pPr>
        <w:spacing w:line="240" w:lineRule="auto"/>
        <w:ind w:left="360"/>
        <w:rPr>
          <w:rFonts w:asciiTheme="minorHAnsi" w:hAnsiTheme="minorHAnsi" w:cstheme="minorHAnsi"/>
          <w:sz w:val="20"/>
          <w:szCs w:val="20"/>
        </w:rPr>
      </w:pPr>
      <w:hyperlink r:id="rId67" w:history="1">
        <w:r w:rsidR="003823DA" w:rsidRPr="002347B2">
          <w:rPr>
            <w:rStyle w:val="Hyperlink"/>
            <w:rFonts w:asciiTheme="minorHAnsi" w:eastAsia="Calibri" w:hAnsiTheme="minorHAnsi" w:cstheme="minorHAnsi"/>
            <w:sz w:val="20"/>
            <w:szCs w:val="20"/>
          </w:rPr>
          <w:t>https://www.manushyafoundation.org/nba-bhr-protection-migrant-workers</w:t>
        </w:r>
      </w:hyperlink>
      <w:r w:rsidR="003823DA" w:rsidRPr="002347B2">
        <w:rPr>
          <w:rFonts w:asciiTheme="minorHAnsi" w:eastAsia="Calibri" w:hAnsiTheme="minorHAnsi" w:cstheme="minorHAnsi"/>
          <w:sz w:val="20"/>
          <w:szCs w:val="20"/>
        </w:rPr>
        <w:t xml:space="preserve"> </w:t>
      </w:r>
    </w:p>
  </w:endnote>
  <w:endnote w:id="80">
    <w:p w14:paraId="09EDEB2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Thematic Assessment Chapter Of The Independent Cso National Baseline Assessment (Nba) On Business &amp; Human Rights: Promotion of Decent Working Conditions for Formal and Informal Workers</w:t>
      </w:r>
      <w:r w:rsidRPr="002347B2">
        <w:rPr>
          <w:rFonts w:asciiTheme="minorHAnsi" w:eastAsia="Calibri" w:hAnsiTheme="minorHAnsi" w:cstheme="minorHAnsi"/>
          <w:sz w:val="20"/>
          <w:szCs w:val="20"/>
        </w:rPr>
        <w:t xml:space="preserve">, (March 2019), available at: </w:t>
      </w:r>
      <w:hyperlink r:id="rId68">
        <w:r w:rsidRPr="002347B2">
          <w:rPr>
            <w:rFonts w:asciiTheme="minorHAnsi" w:eastAsia="Calibri" w:hAnsiTheme="minorHAnsi" w:cstheme="minorHAnsi"/>
            <w:color w:val="1155CC"/>
            <w:sz w:val="20"/>
            <w:szCs w:val="20"/>
            <w:u w:val="single"/>
          </w:rPr>
          <w:t>https://www.manushyafoundation.org/nba-bhr-decent-working-conditions</w:t>
        </w:r>
      </w:hyperlink>
      <w:r w:rsidRPr="002347B2">
        <w:rPr>
          <w:rFonts w:asciiTheme="minorHAnsi" w:eastAsia="Calibri" w:hAnsiTheme="minorHAnsi" w:cstheme="minorHAnsi"/>
          <w:sz w:val="20"/>
          <w:szCs w:val="20"/>
        </w:rPr>
        <w:t xml:space="preserve"> </w:t>
      </w:r>
    </w:p>
  </w:endnote>
  <w:endnote w:id="81">
    <w:p w14:paraId="07631D00"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t>Information obtained from interviews conducted by Manushya Foundation to inform this report, (August-September 2022)</w:t>
      </w:r>
    </w:p>
  </w:endnote>
  <w:endnote w:id="82">
    <w:p w14:paraId="005C36B6"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IWGIA, </w:t>
      </w:r>
      <w:r w:rsidRPr="002347B2">
        <w:rPr>
          <w:rFonts w:asciiTheme="minorHAnsi" w:eastAsia="Calibri" w:hAnsiTheme="minorHAnsi" w:cstheme="minorHAnsi"/>
          <w:i/>
          <w:sz w:val="20"/>
          <w:szCs w:val="20"/>
        </w:rPr>
        <w:t>The Indigenous World 2021: Thailand</w:t>
      </w:r>
      <w:r w:rsidRPr="002347B2">
        <w:rPr>
          <w:rFonts w:asciiTheme="minorHAnsi" w:eastAsia="Calibri" w:hAnsiTheme="minorHAnsi" w:cstheme="minorHAnsi"/>
          <w:sz w:val="20"/>
          <w:szCs w:val="20"/>
        </w:rPr>
        <w:t xml:space="preserve">, (18 March 2021), available at: </w:t>
      </w:r>
      <w:hyperlink r:id="rId69">
        <w:r w:rsidRPr="002347B2">
          <w:rPr>
            <w:rFonts w:asciiTheme="minorHAnsi" w:eastAsia="Calibri" w:hAnsiTheme="minorHAnsi" w:cstheme="minorHAnsi"/>
            <w:color w:val="1155CC"/>
            <w:sz w:val="20"/>
            <w:szCs w:val="20"/>
            <w:u w:val="single"/>
          </w:rPr>
          <w:t>https://www.iwgia.org/en/thailand/4252-iw-2021-thailand.html</w:t>
        </w:r>
      </w:hyperlink>
      <w:r w:rsidRPr="002347B2">
        <w:rPr>
          <w:rFonts w:asciiTheme="minorHAnsi" w:eastAsia="Calibri" w:hAnsiTheme="minorHAnsi" w:cstheme="minorHAnsi"/>
          <w:sz w:val="20"/>
          <w:szCs w:val="20"/>
        </w:rPr>
        <w:t xml:space="preserve"> </w:t>
      </w:r>
    </w:p>
  </w:endnote>
  <w:endnote w:id="83">
    <w:p w14:paraId="6CAB8FF3"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Ministry of Social Development and Human Security, </w:t>
      </w:r>
      <w:r w:rsidRPr="002347B2">
        <w:rPr>
          <w:rFonts w:asciiTheme="minorHAnsi" w:eastAsia="Calibri" w:hAnsiTheme="minorHAnsi" w:cstheme="minorHAnsi"/>
          <w:i/>
          <w:sz w:val="20"/>
          <w:szCs w:val="20"/>
        </w:rPr>
        <w:t>Master Plan for the Development of Ethnic Groups in Thailand 2015- 2017</w:t>
      </w:r>
      <w:r w:rsidRPr="002347B2">
        <w:rPr>
          <w:rFonts w:asciiTheme="minorHAnsi" w:eastAsia="Calibri" w:hAnsiTheme="minorHAnsi" w:cstheme="minorHAnsi"/>
          <w:sz w:val="20"/>
          <w:szCs w:val="20"/>
        </w:rPr>
        <w:t xml:space="preserve">, (2015), available at: </w:t>
      </w:r>
      <w:hyperlink r:id="rId70">
        <w:r w:rsidRPr="002347B2">
          <w:rPr>
            <w:rFonts w:asciiTheme="minorHAnsi" w:eastAsia="Calibri" w:hAnsiTheme="minorHAnsi" w:cstheme="minorHAnsi"/>
            <w:color w:val="1155CC"/>
            <w:sz w:val="20"/>
            <w:szCs w:val="20"/>
            <w:u w:val="single"/>
          </w:rPr>
          <w:t>http://bitly.ws/uQ7L</w:t>
        </w:r>
      </w:hyperlink>
      <w:r w:rsidRPr="002347B2">
        <w:rPr>
          <w:rFonts w:asciiTheme="minorHAnsi" w:eastAsia="Calibri" w:hAnsiTheme="minorHAnsi" w:cstheme="minorHAnsi"/>
          <w:sz w:val="20"/>
          <w:szCs w:val="20"/>
        </w:rPr>
        <w:t xml:space="preserve"> </w:t>
      </w:r>
    </w:p>
  </w:endnote>
  <w:endnote w:id="84">
    <w:p w14:paraId="0CBE4116"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Information obtained from interviews conducted by Manushya Foundation to inform this report, (August-September 2022)</w:t>
      </w:r>
    </w:p>
  </w:endnote>
  <w:endnote w:id="85">
    <w:p w14:paraId="79D3A8C1"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In some cases, environmental activists belonging to indigenous groups have even been murdered or enforced disappeared. In 2012, Justice For Peace Foundation (JFP) conducted research on enforced disappearances in Thailand and documented 40 incidents that involved the enforced disappearance of 59 people. JPF found that indigenous groups and ethnic minority groups are disproportionately victims of such disappearances: 86 percent of the 59 people belong to indigenous groups and ethnic minority groups, particularly Malay Muslims and hill tribe communities. </w:t>
      </w:r>
      <w:r w:rsidRPr="002347B2">
        <w:rPr>
          <w:rFonts w:asciiTheme="minorHAnsi" w:eastAsia="Calibri" w:hAnsiTheme="minorHAnsi" w:cstheme="minorHAnsi"/>
          <w:i/>
          <w:sz w:val="20"/>
          <w:szCs w:val="20"/>
        </w:rPr>
        <w:t xml:space="preserve">See </w:t>
      </w:r>
      <w:r w:rsidRPr="002347B2">
        <w:rPr>
          <w:rFonts w:asciiTheme="minorHAnsi" w:eastAsia="Calibri" w:hAnsiTheme="minorHAnsi" w:cstheme="minorHAnsi"/>
          <w:sz w:val="20"/>
          <w:szCs w:val="20"/>
        </w:rPr>
        <w:t>Justice for Peace Foundation,</w:t>
      </w:r>
      <w:r w:rsidRPr="002347B2">
        <w:rPr>
          <w:rFonts w:asciiTheme="minorHAnsi" w:eastAsia="Calibri" w:hAnsiTheme="minorHAnsi" w:cstheme="minorHAnsi"/>
          <w:i/>
          <w:sz w:val="20"/>
          <w:szCs w:val="20"/>
        </w:rPr>
        <w:t xml:space="preserve"> The Situation of Enforced Disappearance in Thailand</w:t>
      </w:r>
      <w:r w:rsidRPr="002347B2">
        <w:rPr>
          <w:rFonts w:asciiTheme="minorHAnsi" w:eastAsia="Calibri" w:hAnsiTheme="minorHAnsi" w:cstheme="minorHAnsi"/>
          <w:sz w:val="20"/>
          <w:szCs w:val="20"/>
        </w:rPr>
        <w:t xml:space="preserve">, (2012), available at: </w:t>
      </w:r>
      <w:hyperlink r:id="rId71">
        <w:r w:rsidRPr="002347B2">
          <w:rPr>
            <w:rFonts w:asciiTheme="minorHAnsi" w:eastAsia="Calibri" w:hAnsiTheme="minorHAnsi" w:cstheme="minorHAnsi"/>
            <w:color w:val="1155CC"/>
            <w:sz w:val="20"/>
            <w:szCs w:val="20"/>
            <w:u w:val="single"/>
          </w:rPr>
          <w:t>https://issuu.com/wgjp/docs/enforced_disappearances_in_thailand_03</w:t>
        </w:r>
      </w:hyperlink>
      <w:r w:rsidRPr="002347B2">
        <w:rPr>
          <w:rFonts w:asciiTheme="minorHAnsi" w:eastAsia="Calibri" w:hAnsiTheme="minorHAnsi" w:cstheme="minorHAnsi"/>
          <w:sz w:val="20"/>
          <w:szCs w:val="20"/>
        </w:rPr>
        <w:t xml:space="preserve"> </w:t>
      </w:r>
    </w:p>
  </w:endnote>
  <w:endnote w:id="86">
    <w:p w14:paraId="47FDE40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Complaint for Urgent Action for Protection of the 14 Sab Wai Villagers, facing human rights violations due to Thailand’s False Climate Solutions,</w:t>
      </w:r>
      <w:r w:rsidRPr="002347B2">
        <w:rPr>
          <w:rFonts w:asciiTheme="minorHAnsi" w:eastAsia="Calibri" w:hAnsiTheme="minorHAnsi" w:cstheme="minorHAnsi"/>
          <w:sz w:val="20"/>
          <w:szCs w:val="20"/>
        </w:rPr>
        <w:t xml:space="preserve"> (4 August 2022), available at: </w:t>
      </w:r>
      <w:hyperlink r:id="rId72">
        <w:r w:rsidRPr="002347B2">
          <w:rPr>
            <w:rFonts w:asciiTheme="minorHAnsi" w:eastAsia="Calibri" w:hAnsiTheme="minorHAnsi" w:cstheme="minorHAnsi"/>
            <w:color w:val="1155CC"/>
            <w:sz w:val="20"/>
            <w:szCs w:val="20"/>
            <w:u w:val="single"/>
          </w:rPr>
          <w:t>https://www.manushyafoundation.org/complaint-for-urgent-action-savesabwaivillagers-from-forced-evictions</w:t>
        </w:r>
      </w:hyperlink>
      <w:r w:rsidRPr="002347B2">
        <w:rPr>
          <w:rFonts w:asciiTheme="minorHAnsi" w:eastAsia="Calibri" w:hAnsiTheme="minorHAnsi" w:cstheme="minorHAnsi"/>
          <w:sz w:val="20"/>
          <w:szCs w:val="20"/>
        </w:rPr>
        <w:t xml:space="preserve"> </w:t>
      </w:r>
    </w:p>
  </w:endnote>
  <w:endnote w:id="87">
    <w:p w14:paraId="7222D54F"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We have to #SaveChana!</w:t>
      </w:r>
      <w:r w:rsidRPr="002347B2">
        <w:rPr>
          <w:rFonts w:asciiTheme="minorHAnsi" w:eastAsia="Calibri" w:hAnsiTheme="minorHAnsi" w:cstheme="minorHAnsi"/>
          <w:sz w:val="20"/>
          <w:szCs w:val="20"/>
        </w:rPr>
        <w:t xml:space="preserve">, (7 December 2021), available at:  </w:t>
      </w:r>
    </w:p>
    <w:p w14:paraId="3D5E2AF0" w14:textId="77777777" w:rsidR="003823DA" w:rsidRPr="002347B2" w:rsidRDefault="00000000" w:rsidP="003823DA">
      <w:pPr>
        <w:spacing w:line="240" w:lineRule="auto"/>
        <w:ind w:left="360"/>
        <w:rPr>
          <w:rFonts w:asciiTheme="minorHAnsi" w:hAnsiTheme="minorHAnsi" w:cstheme="minorHAnsi"/>
          <w:sz w:val="20"/>
          <w:szCs w:val="20"/>
        </w:rPr>
      </w:pPr>
      <w:hyperlink r:id="rId73" w:history="1">
        <w:r w:rsidR="003823DA" w:rsidRPr="002347B2">
          <w:rPr>
            <w:rStyle w:val="Hyperlink"/>
            <w:rFonts w:asciiTheme="minorHAnsi" w:eastAsia="Calibri" w:hAnsiTheme="minorHAnsi" w:cstheme="minorHAnsi"/>
            <w:sz w:val="20"/>
            <w:szCs w:val="20"/>
          </w:rPr>
          <w:t>https://www.manushyafoundation.org/post/we-have-to-savechana</w:t>
        </w:r>
      </w:hyperlink>
    </w:p>
  </w:endnote>
  <w:endnote w:id="88">
    <w:p w14:paraId="60A2211D"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#SaveChana is possible with the power of the people!</w:t>
      </w:r>
      <w:r w:rsidRPr="002347B2">
        <w:rPr>
          <w:rFonts w:asciiTheme="minorHAnsi" w:eastAsia="Calibri" w:hAnsiTheme="minorHAnsi" w:cstheme="minorHAnsi"/>
          <w:sz w:val="20"/>
          <w:szCs w:val="20"/>
        </w:rPr>
        <w:t xml:space="preserve">, (15 December 2021), available at: </w:t>
      </w:r>
      <w:hyperlink r:id="rId74">
        <w:r w:rsidRPr="002347B2">
          <w:rPr>
            <w:rFonts w:asciiTheme="minorHAnsi" w:eastAsia="Calibri" w:hAnsiTheme="minorHAnsi" w:cstheme="minorHAnsi"/>
            <w:color w:val="1155CC"/>
            <w:sz w:val="20"/>
            <w:szCs w:val="20"/>
            <w:u w:val="single"/>
          </w:rPr>
          <w:t>https://www.manushyafoundation.org/post/savechana-is-possible-with-the-power-of-the-people</w:t>
        </w:r>
      </w:hyperlink>
      <w:r w:rsidRPr="002347B2">
        <w:rPr>
          <w:rFonts w:asciiTheme="minorHAnsi" w:eastAsia="Calibri" w:hAnsiTheme="minorHAnsi" w:cstheme="minorHAnsi"/>
          <w:sz w:val="20"/>
          <w:szCs w:val="20"/>
        </w:rPr>
        <w:t xml:space="preserve">  </w:t>
      </w:r>
    </w:p>
  </w:endnote>
  <w:endnote w:id="89">
    <w:p w14:paraId="46DD2CE7"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UN Women, Thailand, available at: </w:t>
      </w:r>
      <w:hyperlink r:id="rId75">
        <w:r w:rsidRPr="002347B2">
          <w:rPr>
            <w:rFonts w:asciiTheme="minorHAnsi" w:eastAsia="Calibri" w:hAnsiTheme="minorHAnsi" w:cstheme="minorHAnsi"/>
            <w:color w:val="1155CC"/>
            <w:sz w:val="20"/>
            <w:szCs w:val="20"/>
            <w:u w:val="single"/>
          </w:rPr>
          <w:t>https://asiapacific.unwomen.org/en/countries/thailand</w:t>
        </w:r>
      </w:hyperlink>
      <w:r w:rsidRPr="002347B2">
        <w:rPr>
          <w:rFonts w:asciiTheme="minorHAnsi" w:eastAsia="Calibri" w:hAnsiTheme="minorHAnsi" w:cstheme="minorHAnsi"/>
          <w:sz w:val="20"/>
          <w:szCs w:val="20"/>
        </w:rPr>
        <w:t xml:space="preserve"> </w:t>
      </w:r>
    </w:p>
  </w:endnote>
  <w:endnote w:id="90">
    <w:p w14:paraId="2E106BD1"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Safe Abortion In Thailand: Joint Submission To The UN Universal Periodic Review (UPR) For Thailand's Third UPR Cycle, 39th Session Of The UPR Working Group,</w:t>
      </w:r>
      <w:r w:rsidRPr="002347B2">
        <w:rPr>
          <w:rFonts w:asciiTheme="minorHAnsi" w:eastAsia="Calibri" w:hAnsiTheme="minorHAnsi" w:cstheme="minorHAnsi"/>
          <w:sz w:val="20"/>
          <w:szCs w:val="20"/>
        </w:rPr>
        <w:t xml:space="preserve"> (16 April 2021), available at:</w:t>
      </w:r>
    </w:p>
    <w:p w14:paraId="4704F8D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r>
      <w:hyperlink r:id="rId76" w:history="1">
        <w:r w:rsidRPr="002347B2">
          <w:rPr>
            <w:rStyle w:val="Hyperlink"/>
            <w:rFonts w:asciiTheme="minorHAnsi" w:eastAsia="Calibri" w:hAnsiTheme="minorHAnsi" w:cstheme="minorHAnsi"/>
            <w:sz w:val="20"/>
            <w:szCs w:val="20"/>
          </w:rPr>
          <w:t>https://www.manushyafoundation.org/joint-upr-submission-safeabortion</w:t>
        </w:r>
      </w:hyperlink>
      <w:r w:rsidRPr="002347B2">
        <w:rPr>
          <w:rFonts w:asciiTheme="minorHAnsi" w:eastAsia="Calibri" w:hAnsiTheme="minorHAnsi" w:cstheme="minorHAnsi"/>
          <w:sz w:val="20"/>
          <w:szCs w:val="20"/>
        </w:rPr>
        <w:t xml:space="preserve"> </w:t>
      </w:r>
    </w:p>
  </w:endnote>
  <w:endnote w:id="91">
    <w:p w14:paraId="24CBD1C9" w14:textId="77777777" w:rsidR="003823DA" w:rsidRPr="002347B2" w:rsidRDefault="003823DA" w:rsidP="003823DA">
      <w:pPr>
        <w:spacing w:line="240" w:lineRule="auto"/>
        <w:ind w:left="360" w:hanging="360"/>
        <w:rPr>
          <w:rFonts w:asciiTheme="minorHAnsi" w:hAnsiTheme="minorHAnsi" w:cstheme="minorHAnsi"/>
          <w:sz w:val="20"/>
          <w:szCs w:val="20"/>
          <w:highlight w:val="yellow"/>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Community-Led &amp; Participatory Research Report, Raising our voices to save our future</w:t>
      </w:r>
      <w:r w:rsidRPr="002347B2">
        <w:rPr>
          <w:rFonts w:asciiTheme="minorHAnsi" w:eastAsia="Calibri" w:hAnsiTheme="minorHAnsi" w:cstheme="minorHAnsi"/>
          <w:sz w:val="20"/>
          <w:szCs w:val="20"/>
        </w:rPr>
        <w:t xml:space="preserve">, (September 2019), p. 37, available at: </w:t>
      </w:r>
      <w:hyperlink r:id="rId77">
        <w:r w:rsidRPr="002347B2">
          <w:rPr>
            <w:rFonts w:asciiTheme="minorHAnsi" w:eastAsia="Calibri" w:hAnsiTheme="minorHAnsi" w:cstheme="minorHAnsi"/>
            <w:color w:val="1155CC"/>
            <w:sz w:val="20"/>
            <w:szCs w:val="20"/>
            <w:u w:val="single"/>
          </w:rPr>
          <w:t>https://www.manushyafoundation.org/iwnt-report</w:t>
        </w:r>
      </w:hyperlink>
    </w:p>
  </w:endnote>
  <w:endnote w:id="92">
    <w:p w14:paraId="3A3BD8E6"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Community-Led &amp; Participatory Research Report, Raising our voices to save our future</w:t>
      </w:r>
      <w:r w:rsidRPr="002347B2">
        <w:rPr>
          <w:rFonts w:asciiTheme="minorHAnsi" w:eastAsia="Calibri" w:hAnsiTheme="minorHAnsi" w:cstheme="minorHAnsi"/>
          <w:sz w:val="20"/>
          <w:szCs w:val="20"/>
        </w:rPr>
        <w:t xml:space="preserve">, (September 2019), p. 37, available at: </w:t>
      </w:r>
      <w:hyperlink r:id="rId78">
        <w:r w:rsidRPr="002347B2">
          <w:rPr>
            <w:rFonts w:asciiTheme="minorHAnsi" w:eastAsia="Calibri" w:hAnsiTheme="minorHAnsi" w:cstheme="minorHAnsi"/>
            <w:color w:val="1155CC"/>
            <w:sz w:val="20"/>
            <w:szCs w:val="20"/>
            <w:u w:val="single"/>
          </w:rPr>
          <w:t>https://www.manushyafoundation.org/iwnt-report</w:t>
        </w:r>
      </w:hyperlink>
      <w:r w:rsidRPr="002347B2">
        <w:rPr>
          <w:rFonts w:asciiTheme="minorHAnsi" w:hAnsiTheme="minorHAnsi" w:cstheme="minorHAnsi"/>
          <w:sz w:val="20"/>
          <w:szCs w:val="20"/>
        </w:rPr>
        <w:t xml:space="preserve"> </w:t>
      </w:r>
    </w:p>
  </w:endnote>
  <w:endnote w:id="93">
    <w:p w14:paraId="24FCB0F8"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Safe Abortion In Thailand: Joint Submission To The UN Universal Periodic Review (UPR) For Thailand's Third UPR Cycle, 39th Session Of The UPR Working Group</w:t>
      </w:r>
      <w:r w:rsidRPr="002347B2">
        <w:rPr>
          <w:rFonts w:asciiTheme="minorHAnsi" w:eastAsia="Calibri" w:hAnsiTheme="minorHAnsi" w:cstheme="minorHAnsi"/>
          <w:sz w:val="20"/>
          <w:szCs w:val="20"/>
        </w:rPr>
        <w:t xml:space="preserve">, (16 April 2021), available at: </w:t>
      </w:r>
      <w:hyperlink r:id="rId79">
        <w:r w:rsidRPr="002347B2">
          <w:rPr>
            <w:rFonts w:asciiTheme="minorHAnsi" w:eastAsia="Calibri" w:hAnsiTheme="minorHAnsi" w:cstheme="minorHAnsi"/>
            <w:color w:val="1155CC"/>
            <w:sz w:val="20"/>
            <w:szCs w:val="20"/>
            <w:u w:val="single"/>
          </w:rPr>
          <w:t>https://www.manushyafoundation.org/joint-upr-submission-safeabortion</w:t>
        </w:r>
      </w:hyperlink>
      <w:r w:rsidRPr="002347B2">
        <w:rPr>
          <w:rFonts w:asciiTheme="minorHAnsi" w:eastAsia="Calibri" w:hAnsiTheme="minorHAnsi" w:cstheme="minorHAnsi"/>
          <w:sz w:val="20"/>
          <w:szCs w:val="20"/>
        </w:rPr>
        <w:t xml:space="preserve"> </w:t>
      </w:r>
    </w:p>
  </w:endnote>
  <w:endnote w:id="94">
    <w:p w14:paraId="0D1DE387" w14:textId="77777777" w:rsidR="003823DA" w:rsidRPr="002347B2" w:rsidRDefault="003823DA" w:rsidP="003823DA">
      <w:pPr>
        <w:spacing w:line="240" w:lineRule="auto"/>
        <w:ind w:left="360" w:hanging="360"/>
        <w:rPr>
          <w:rFonts w:asciiTheme="minorHAnsi" w:hAnsiTheme="minorHAnsi" w:cstheme="minorHAnsi"/>
          <w:sz w:val="18"/>
          <w:szCs w:val="18"/>
        </w:rPr>
      </w:pPr>
      <w:r w:rsidRPr="002347B2">
        <w:rPr>
          <w:rFonts w:asciiTheme="minorHAnsi" w:hAnsiTheme="minorHAnsi" w:cstheme="minorHAnsi"/>
          <w:vertAlign w:val="superscript"/>
        </w:rPr>
        <w:endnoteRef/>
      </w:r>
      <w:r w:rsidRPr="002347B2">
        <w:rPr>
          <w:rFonts w:asciiTheme="minorHAnsi" w:hAnsiTheme="minorHAnsi" w:cstheme="minorHAnsi"/>
          <w:sz w:val="18"/>
          <w:szCs w:val="18"/>
        </w:rPr>
        <w:t xml:space="preserve"> </w:t>
      </w:r>
      <w:r w:rsidRPr="002347B2">
        <w:rPr>
          <w:rFonts w:asciiTheme="minorHAnsi" w:hAnsiTheme="minorHAnsi" w:cstheme="minorHAnsi"/>
          <w:sz w:val="18"/>
          <w:szCs w:val="18"/>
        </w:rPr>
        <w:tab/>
      </w:r>
      <w:r w:rsidRPr="002347B2">
        <w:rPr>
          <w:rFonts w:asciiTheme="minorHAnsi" w:eastAsia="Calibri" w:hAnsiTheme="minorHAnsi" w:cstheme="minorHAnsi"/>
          <w:sz w:val="20"/>
          <w:szCs w:val="20"/>
        </w:rPr>
        <w:t>Section 77 in the 2017 Constitution enshrines the principle of equality before the law and provides that “[p]rior to the enactment of any law, the State shall conduct consultation with the stakeholders, thoroughly and systematically assess possible impact of the law, and disclose results of the consultation and the assessment to the public as well as taking such results into consideration at every stage of the legislation process …”</w:t>
      </w:r>
    </w:p>
  </w:endnote>
  <w:endnote w:id="95">
    <w:p w14:paraId="4EAE65D1"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The Rights of Sex Workers: Thailand's Third Universal Periodic Review Cycle</w:t>
      </w:r>
      <w:r w:rsidRPr="002347B2">
        <w:rPr>
          <w:rFonts w:asciiTheme="minorHAnsi" w:eastAsia="Calibri" w:hAnsiTheme="minorHAnsi" w:cstheme="minorHAnsi"/>
          <w:sz w:val="20"/>
          <w:szCs w:val="20"/>
        </w:rPr>
        <w:t xml:space="preserve">, (29 September 2021), available at: </w:t>
      </w:r>
      <w:hyperlink r:id="rId80">
        <w:r w:rsidRPr="002347B2">
          <w:rPr>
            <w:rFonts w:asciiTheme="minorHAnsi" w:eastAsia="Calibri" w:hAnsiTheme="minorHAnsi" w:cstheme="minorHAnsi"/>
            <w:color w:val="1155CC"/>
            <w:sz w:val="20"/>
            <w:szCs w:val="20"/>
            <w:u w:val="single"/>
          </w:rPr>
          <w:t>https://www.manushyafoundation.org/thailand-third-upr-cycle-factsheet-the-rights-of-sex-workers</w:t>
        </w:r>
      </w:hyperlink>
      <w:r w:rsidRPr="002347B2">
        <w:rPr>
          <w:rFonts w:asciiTheme="minorHAnsi" w:eastAsia="Calibri" w:hAnsiTheme="minorHAnsi" w:cstheme="minorHAnsi"/>
          <w:sz w:val="20"/>
          <w:szCs w:val="20"/>
        </w:rPr>
        <w:t xml:space="preserve"> </w:t>
      </w:r>
    </w:p>
  </w:endnote>
  <w:endnote w:id="96">
    <w:p w14:paraId="1384F079"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Human Trafficking: Thailand's Third Universal Periodic Review Cycle,</w:t>
      </w:r>
      <w:r w:rsidRPr="002347B2">
        <w:rPr>
          <w:rFonts w:asciiTheme="minorHAnsi" w:eastAsia="Calibri" w:hAnsiTheme="minorHAnsi" w:cstheme="minorHAnsi"/>
          <w:sz w:val="20"/>
          <w:szCs w:val="20"/>
        </w:rPr>
        <w:t xml:space="preserve"> (29 September 2021), available at: </w:t>
      </w:r>
      <w:hyperlink r:id="rId81">
        <w:r w:rsidRPr="002347B2">
          <w:rPr>
            <w:rFonts w:asciiTheme="minorHAnsi" w:eastAsia="Calibri" w:hAnsiTheme="minorHAnsi" w:cstheme="minorHAnsi"/>
            <w:color w:val="1155CC"/>
            <w:sz w:val="20"/>
            <w:szCs w:val="20"/>
            <w:u w:val="single"/>
          </w:rPr>
          <w:t>https://www.manushyafoundation.org/thailand-third-upr-cycle-factsheet-human-trafficking</w:t>
        </w:r>
      </w:hyperlink>
      <w:r w:rsidRPr="002347B2">
        <w:rPr>
          <w:rFonts w:asciiTheme="minorHAnsi" w:eastAsia="Calibri" w:hAnsiTheme="minorHAnsi" w:cstheme="minorHAnsi"/>
          <w:sz w:val="20"/>
          <w:szCs w:val="20"/>
        </w:rPr>
        <w:t xml:space="preserve">; </w:t>
      </w:r>
    </w:p>
    <w:p w14:paraId="6E0A1ADC" w14:textId="77777777" w:rsidR="003823DA" w:rsidRPr="002347B2" w:rsidRDefault="003823DA" w:rsidP="003823DA">
      <w:pPr>
        <w:spacing w:line="240" w:lineRule="auto"/>
        <w:ind w:left="360"/>
        <w:rPr>
          <w:rFonts w:asciiTheme="minorHAnsi" w:eastAsia="Calibri" w:hAnsiTheme="minorHAnsi" w:cstheme="minorHAnsi"/>
          <w:sz w:val="20"/>
          <w:szCs w:val="20"/>
        </w:rPr>
      </w:pPr>
      <w:r w:rsidRPr="002347B2">
        <w:rPr>
          <w:rFonts w:asciiTheme="minorHAnsi" w:eastAsia="Calibri" w:hAnsiTheme="minorHAnsi" w:cstheme="minorHAnsi"/>
          <w:sz w:val="20"/>
          <w:szCs w:val="20"/>
        </w:rPr>
        <w:t>Planned Parenthood Association of Thailand &amp; Sexual Rights Initiative,</w:t>
      </w:r>
      <w:r w:rsidRPr="002347B2">
        <w:rPr>
          <w:rFonts w:asciiTheme="minorHAnsi" w:eastAsia="Calibri" w:hAnsiTheme="minorHAnsi" w:cstheme="minorHAnsi"/>
          <w:i/>
          <w:sz w:val="20"/>
          <w:szCs w:val="20"/>
        </w:rPr>
        <w:t xml:space="preserve"> Joint UPR Submission on the Human Rights of Sex Workers in Thailand</w:t>
      </w:r>
      <w:r w:rsidRPr="002347B2">
        <w:rPr>
          <w:rFonts w:asciiTheme="minorHAnsi" w:eastAsia="Calibri" w:hAnsiTheme="minorHAnsi" w:cstheme="minorHAnsi"/>
          <w:sz w:val="20"/>
          <w:szCs w:val="20"/>
        </w:rPr>
        <w:t xml:space="preserve">, (2013), available at: </w:t>
      </w:r>
      <w:hyperlink r:id="rId82">
        <w:r w:rsidRPr="002347B2">
          <w:rPr>
            <w:rFonts w:asciiTheme="minorHAnsi" w:eastAsia="Calibri" w:hAnsiTheme="minorHAnsi" w:cstheme="minorHAnsi"/>
            <w:color w:val="1155CC"/>
            <w:sz w:val="20"/>
            <w:szCs w:val="20"/>
            <w:u w:val="single"/>
          </w:rPr>
          <w:t>https://www.upr-info.org/sites/default/files/documents/2013-10/js6-jointsubmission6-eng.pdf</w:t>
        </w:r>
      </w:hyperlink>
      <w:r w:rsidRPr="002347B2">
        <w:rPr>
          <w:rFonts w:asciiTheme="minorHAnsi" w:eastAsia="Calibri" w:hAnsiTheme="minorHAnsi" w:cstheme="minorHAnsi"/>
          <w:sz w:val="20"/>
          <w:szCs w:val="20"/>
        </w:rPr>
        <w:t xml:space="preserve"> </w:t>
      </w:r>
    </w:p>
  </w:endnote>
  <w:endnote w:id="97">
    <w:p w14:paraId="14B56003"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In responding to recommendations it received on the matter during the 3rd cycle of the Universal Periodic Review (UPR), Thailand stated that the term “indigenous persons” is not applicable to Thailand. </w:t>
      </w:r>
      <w:r w:rsidRPr="002347B2">
        <w:rPr>
          <w:rFonts w:asciiTheme="minorHAnsi" w:eastAsia="Calibri" w:hAnsiTheme="minorHAnsi" w:cstheme="minorHAnsi"/>
          <w:i/>
          <w:sz w:val="20"/>
          <w:szCs w:val="20"/>
        </w:rPr>
        <w:t xml:space="preserve">See </w:t>
      </w:r>
      <w:r w:rsidRPr="002347B2">
        <w:rPr>
          <w:rFonts w:asciiTheme="minorHAnsi" w:eastAsia="Calibri" w:hAnsiTheme="minorHAnsi" w:cstheme="minorHAnsi"/>
          <w:sz w:val="20"/>
          <w:szCs w:val="20"/>
        </w:rPr>
        <w:t xml:space="preserve">UN Human Rights Council, </w:t>
      </w:r>
      <w:r w:rsidRPr="002347B2">
        <w:rPr>
          <w:rFonts w:asciiTheme="minorHAnsi" w:eastAsia="Calibri" w:hAnsiTheme="minorHAnsi" w:cstheme="minorHAnsi"/>
          <w:i/>
          <w:sz w:val="20"/>
          <w:szCs w:val="20"/>
        </w:rPr>
        <w:t>Report of the Working Group on the Universal Periodic Review, Thailand</w:t>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i/>
          <w:sz w:val="20"/>
          <w:szCs w:val="20"/>
        </w:rPr>
        <w:t xml:space="preserve">A/HRC/49/17/Add.1, </w:t>
      </w:r>
      <w:r w:rsidRPr="002347B2">
        <w:rPr>
          <w:rFonts w:asciiTheme="minorHAnsi" w:eastAsia="Calibri" w:hAnsiTheme="minorHAnsi" w:cstheme="minorHAnsi"/>
          <w:sz w:val="20"/>
          <w:szCs w:val="20"/>
        </w:rPr>
        <w:t>para. 15</w:t>
      </w:r>
      <w:r w:rsidRPr="002347B2">
        <w:rPr>
          <w:rFonts w:asciiTheme="minorHAnsi" w:eastAsia="Calibri" w:hAnsiTheme="minorHAnsi" w:cstheme="minorHAnsi"/>
          <w:i/>
          <w:sz w:val="20"/>
          <w:szCs w:val="20"/>
        </w:rPr>
        <w:t>,</w:t>
      </w:r>
      <w:r w:rsidRPr="002347B2">
        <w:rPr>
          <w:rFonts w:asciiTheme="minorHAnsi" w:eastAsia="Calibri" w:hAnsiTheme="minorHAnsi" w:cstheme="minorHAnsi"/>
          <w:sz w:val="20"/>
          <w:szCs w:val="20"/>
        </w:rPr>
        <w:t xml:space="preserve"> (21 December 2021), available at: </w:t>
      </w:r>
      <w:hyperlink r:id="rId83">
        <w:r w:rsidRPr="002347B2">
          <w:rPr>
            <w:rFonts w:asciiTheme="minorHAnsi" w:eastAsia="Calibri" w:hAnsiTheme="minorHAnsi" w:cstheme="minorHAnsi"/>
            <w:color w:val="1155CC"/>
            <w:sz w:val="20"/>
            <w:szCs w:val="20"/>
            <w:u w:val="single"/>
          </w:rPr>
          <w:t>https://documents-dds-ny.un.org/doc/UNDOC/GEN/G21/383/31/PDF/G2138331.pdf?OpenElement</w:t>
        </w:r>
      </w:hyperlink>
      <w:r w:rsidRPr="002347B2">
        <w:rPr>
          <w:rFonts w:asciiTheme="minorHAnsi" w:eastAsia="Calibri" w:hAnsiTheme="minorHAnsi" w:cstheme="minorHAnsi"/>
          <w:sz w:val="20"/>
          <w:szCs w:val="20"/>
        </w:rPr>
        <w:t xml:space="preserve"> </w:t>
      </w:r>
    </w:p>
  </w:endnote>
  <w:endnote w:id="98">
    <w:p w14:paraId="0D3110C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This includes the 2015 Master Forestry Plan; NCPO Orders Nos. 64 and 66 which instruct the government to cease deforestation and encroachment on forest reserves across the country without impacting local communities who inhabit the lands; and the 2016 Mining Act</w:t>
      </w:r>
    </w:p>
  </w:endnote>
  <w:endnote w:id="99">
    <w:p w14:paraId="2E5CA8C3"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The draft law on the Council of Indigenous Peoples in Thailand B.E. was submitted to the House of Representatives in late 2020 pursuant to Section 133(3) of the 2017 Constitution. It marked the first time that indigenous peoples were able to draft and present a draft bill on their own accord. The draft law was tabled as an agenda item in the House of Representatives’ first meeting in 2022. </w:t>
      </w:r>
      <w:r w:rsidRPr="002347B2">
        <w:rPr>
          <w:rFonts w:asciiTheme="minorHAnsi" w:eastAsia="Calibri" w:hAnsiTheme="minorHAnsi" w:cstheme="minorHAnsi"/>
          <w:i/>
          <w:sz w:val="20"/>
          <w:szCs w:val="20"/>
        </w:rPr>
        <w:t>See</w:t>
      </w:r>
      <w:r w:rsidRPr="002347B2">
        <w:rPr>
          <w:rFonts w:asciiTheme="minorHAnsi" w:eastAsia="Calibri" w:hAnsiTheme="minorHAnsi" w:cstheme="minorHAnsi"/>
          <w:sz w:val="20"/>
          <w:szCs w:val="20"/>
        </w:rPr>
        <w:t xml:space="preserve"> IWGIA, </w:t>
      </w:r>
      <w:r w:rsidRPr="002347B2">
        <w:rPr>
          <w:rFonts w:asciiTheme="minorHAnsi" w:eastAsia="Calibri" w:hAnsiTheme="minorHAnsi" w:cstheme="minorHAnsi"/>
          <w:i/>
          <w:sz w:val="20"/>
          <w:szCs w:val="20"/>
        </w:rPr>
        <w:t xml:space="preserve">The Indigenous World 2022: Thailand, </w:t>
      </w:r>
      <w:r w:rsidRPr="002347B2">
        <w:rPr>
          <w:rFonts w:asciiTheme="minorHAnsi" w:eastAsia="Calibri" w:hAnsiTheme="minorHAnsi" w:cstheme="minorHAnsi"/>
          <w:sz w:val="20"/>
          <w:szCs w:val="20"/>
        </w:rPr>
        <w:t xml:space="preserve">(1 April 2022), available at: </w:t>
      </w:r>
      <w:hyperlink r:id="rId84" w:anchor="_edn14">
        <w:r w:rsidRPr="002347B2">
          <w:rPr>
            <w:rFonts w:asciiTheme="minorHAnsi" w:eastAsia="Calibri" w:hAnsiTheme="minorHAnsi" w:cstheme="minorHAnsi"/>
            <w:color w:val="1155CC"/>
            <w:sz w:val="20"/>
            <w:szCs w:val="20"/>
            <w:u w:val="single"/>
          </w:rPr>
          <w:t>https://www.iwgia.org/en/thailand/4658-iw-2022-thailand.html#_edn14</w:t>
        </w:r>
      </w:hyperlink>
      <w:r w:rsidRPr="002347B2">
        <w:rPr>
          <w:rFonts w:asciiTheme="minorHAnsi" w:eastAsia="Calibri" w:hAnsiTheme="minorHAnsi" w:cstheme="minorHAnsi"/>
          <w:sz w:val="20"/>
          <w:szCs w:val="20"/>
        </w:rPr>
        <w:t xml:space="preserve"> </w:t>
      </w:r>
    </w:p>
  </w:endnote>
  <w:endnote w:id="100">
    <w:p w14:paraId="33C302D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This consistent with the Thai law prescription that the former may be applied when both parties to a dispute are of the Muslim faith. As a consequence, Dato Justices join the Court of First Instance and have the primary responsibility of interpreting Islamic principles and applying them to cases related to matrimony, divorce, and inheritance. Different standards on these matters as they apply to women are embedded into Islamic Law, resulting in many cases being decided in favor of the male parties and general inequalities in the way that disputes are settled. </w:t>
      </w:r>
    </w:p>
  </w:endnote>
  <w:endnote w:id="101">
    <w:p w14:paraId="5B51400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02">
    <w:p w14:paraId="57116C4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03">
    <w:p w14:paraId="52731085"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ICJ, </w:t>
      </w:r>
      <w:r w:rsidRPr="002347B2">
        <w:rPr>
          <w:rFonts w:asciiTheme="minorHAnsi" w:eastAsia="Calibri" w:hAnsiTheme="minorHAnsi" w:cstheme="minorHAnsi"/>
          <w:i/>
          <w:sz w:val="20"/>
          <w:szCs w:val="20"/>
        </w:rPr>
        <w:t xml:space="preserve">Women’s Access to Justice: Identifying the Obstacles &amp; Need for Change, </w:t>
      </w:r>
      <w:r w:rsidRPr="002347B2">
        <w:rPr>
          <w:rFonts w:asciiTheme="minorHAnsi" w:eastAsia="Calibri" w:hAnsiTheme="minorHAnsi" w:cstheme="minorHAnsi"/>
          <w:sz w:val="20"/>
          <w:szCs w:val="20"/>
        </w:rPr>
        <w:t xml:space="preserve">(2012), available at: </w:t>
      </w:r>
      <w:hyperlink r:id="rId85">
        <w:r w:rsidRPr="002347B2">
          <w:rPr>
            <w:rFonts w:asciiTheme="minorHAnsi" w:eastAsia="Calibri" w:hAnsiTheme="minorHAnsi" w:cstheme="minorHAnsi"/>
            <w:color w:val="1155CC"/>
            <w:sz w:val="20"/>
            <w:szCs w:val="20"/>
            <w:u w:val="single"/>
          </w:rPr>
          <w:t>https://www.icj.org/wp-content/uploads/2012/08/ICJ-JPF-Report-Thailand-Womens-Access-to-Justice-English.pdf</w:t>
        </w:r>
      </w:hyperlink>
      <w:r w:rsidRPr="002347B2">
        <w:rPr>
          <w:rFonts w:asciiTheme="minorHAnsi" w:eastAsia="Calibri" w:hAnsiTheme="minorHAnsi" w:cstheme="minorHAnsi"/>
          <w:sz w:val="20"/>
          <w:szCs w:val="20"/>
        </w:rPr>
        <w:t xml:space="preserve"> </w:t>
      </w:r>
    </w:p>
  </w:endnote>
  <w:endnote w:id="104">
    <w:p w14:paraId="234D916A"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Information obtained from interviews conducted by Manushya Foundation to inform this report, (August-September 2022)</w:t>
      </w:r>
    </w:p>
  </w:endnote>
  <w:endnote w:id="105">
    <w:p w14:paraId="71D053D7"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Southeast Asia Globe, </w:t>
      </w:r>
      <w:r w:rsidRPr="002347B2">
        <w:rPr>
          <w:rFonts w:asciiTheme="minorHAnsi" w:eastAsia="Calibri" w:hAnsiTheme="minorHAnsi" w:cstheme="minorHAnsi"/>
          <w:i/>
          <w:sz w:val="20"/>
          <w:szCs w:val="20"/>
        </w:rPr>
        <w:t>Thai-Muslim women join forces against domestic violence in the Deep South</w:t>
      </w:r>
      <w:r w:rsidRPr="002347B2">
        <w:rPr>
          <w:rFonts w:asciiTheme="minorHAnsi" w:eastAsia="Calibri" w:hAnsiTheme="minorHAnsi" w:cstheme="minorHAnsi"/>
          <w:sz w:val="20"/>
          <w:szCs w:val="20"/>
        </w:rPr>
        <w:t xml:space="preserve">, (5 May 2021), available at: </w:t>
      </w:r>
      <w:hyperlink r:id="rId86">
        <w:r w:rsidRPr="002347B2">
          <w:rPr>
            <w:rFonts w:asciiTheme="minorHAnsi" w:eastAsia="Calibri" w:hAnsiTheme="minorHAnsi" w:cstheme="minorHAnsi"/>
            <w:color w:val="1155CC"/>
            <w:sz w:val="20"/>
            <w:szCs w:val="20"/>
            <w:u w:val="single"/>
          </w:rPr>
          <w:t>https://southeastasiaglobe.com/domestic-violence-thailand/</w:t>
        </w:r>
      </w:hyperlink>
      <w:r w:rsidRPr="002347B2">
        <w:rPr>
          <w:rFonts w:asciiTheme="minorHAnsi" w:eastAsia="Calibri" w:hAnsiTheme="minorHAnsi" w:cstheme="minorHAnsi"/>
          <w:sz w:val="20"/>
          <w:szCs w:val="20"/>
        </w:rPr>
        <w:t xml:space="preserve"> </w:t>
      </w:r>
    </w:p>
  </w:endnote>
  <w:endnote w:id="106">
    <w:p w14:paraId="602D521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Prachatai English, </w:t>
      </w:r>
      <w:r w:rsidRPr="002347B2">
        <w:rPr>
          <w:rFonts w:asciiTheme="minorHAnsi" w:eastAsia="Calibri" w:hAnsiTheme="minorHAnsi" w:cstheme="minorHAnsi"/>
          <w:i/>
          <w:sz w:val="20"/>
          <w:szCs w:val="20"/>
        </w:rPr>
        <w:t xml:space="preserve">Police block activists from petitioning APEC ministers, </w:t>
      </w:r>
      <w:r w:rsidRPr="002347B2">
        <w:rPr>
          <w:rFonts w:asciiTheme="minorHAnsi" w:eastAsia="Calibri" w:hAnsiTheme="minorHAnsi" w:cstheme="minorHAnsi"/>
          <w:sz w:val="20"/>
          <w:szCs w:val="20"/>
        </w:rPr>
        <w:t xml:space="preserve">(24 August 2022), available at: </w:t>
      </w:r>
      <w:hyperlink r:id="rId87">
        <w:r w:rsidRPr="002347B2">
          <w:rPr>
            <w:rFonts w:asciiTheme="minorHAnsi" w:eastAsia="Calibri" w:hAnsiTheme="minorHAnsi" w:cstheme="minorHAnsi"/>
            <w:color w:val="1155CC"/>
            <w:sz w:val="20"/>
            <w:szCs w:val="20"/>
            <w:u w:val="single"/>
          </w:rPr>
          <w:t>https://prachatai.com/english/node/9975</w:t>
        </w:r>
      </w:hyperlink>
      <w:r w:rsidRPr="002347B2">
        <w:rPr>
          <w:rFonts w:asciiTheme="minorHAnsi" w:eastAsia="Calibri" w:hAnsiTheme="minorHAnsi" w:cstheme="minorHAnsi"/>
          <w:sz w:val="20"/>
          <w:szCs w:val="20"/>
        </w:rPr>
        <w:t xml:space="preserve"> </w:t>
      </w:r>
    </w:p>
  </w:endnote>
  <w:endnote w:id="107">
    <w:p w14:paraId="45B44235"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08">
    <w:p w14:paraId="2F5CC804"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09">
    <w:p w14:paraId="1572165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Thai PBS News, </w:t>
      </w:r>
      <w:r w:rsidRPr="002347B2">
        <w:rPr>
          <w:rFonts w:asciiTheme="minorHAnsi" w:eastAsia="Calibri" w:hAnsiTheme="minorHAnsi" w:cstheme="minorHAnsi"/>
          <w:i/>
          <w:sz w:val="20"/>
          <w:szCs w:val="20"/>
        </w:rPr>
        <w:t>Survey shows 75% of Thai women experience domestic violence more than once</w:t>
      </w:r>
      <w:r w:rsidRPr="002347B2">
        <w:rPr>
          <w:rFonts w:asciiTheme="minorHAnsi" w:eastAsia="Calibri" w:hAnsiTheme="minorHAnsi" w:cstheme="minorHAnsi"/>
          <w:sz w:val="20"/>
          <w:szCs w:val="20"/>
        </w:rPr>
        <w:t xml:space="preserve">, (25 November 2021), available at: </w:t>
      </w:r>
      <w:hyperlink r:id="rId88">
        <w:r w:rsidRPr="002347B2">
          <w:rPr>
            <w:rFonts w:asciiTheme="minorHAnsi" w:eastAsia="Calibri" w:hAnsiTheme="minorHAnsi" w:cstheme="minorHAnsi"/>
            <w:color w:val="1155CC"/>
            <w:sz w:val="20"/>
            <w:szCs w:val="20"/>
            <w:u w:val="single"/>
          </w:rPr>
          <w:t>https://www.thaipbsworld.com/survey-shows-75-of-thai-women-experience-domestic-violence-more-than-once/</w:t>
        </w:r>
      </w:hyperlink>
      <w:r w:rsidRPr="002347B2">
        <w:rPr>
          <w:rFonts w:asciiTheme="minorHAnsi" w:eastAsia="Calibri" w:hAnsiTheme="minorHAnsi" w:cstheme="minorHAnsi"/>
          <w:color w:val="333333"/>
          <w:sz w:val="20"/>
          <w:szCs w:val="20"/>
        </w:rPr>
        <w:t xml:space="preserve"> </w:t>
      </w:r>
    </w:p>
  </w:endnote>
  <w:endnote w:id="110">
    <w:p w14:paraId="54D02674"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 xml:space="preserve">Women Who Are Subjected To Male Violence In Intimate Relationships: Thailand's Third Universal Periodic Review Cycle, </w:t>
      </w:r>
      <w:r w:rsidRPr="002347B2">
        <w:rPr>
          <w:rFonts w:asciiTheme="minorHAnsi" w:eastAsia="Calibri" w:hAnsiTheme="minorHAnsi" w:cstheme="minorHAnsi"/>
          <w:sz w:val="20"/>
          <w:szCs w:val="20"/>
        </w:rPr>
        <w:t xml:space="preserve">(9 September 2021), available at: </w:t>
      </w:r>
      <w:hyperlink r:id="rId89">
        <w:r w:rsidRPr="002347B2">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347B2">
        <w:rPr>
          <w:rFonts w:asciiTheme="minorHAnsi" w:eastAsia="Calibri" w:hAnsiTheme="minorHAnsi" w:cstheme="minorHAnsi"/>
          <w:sz w:val="20"/>
          <w:szCs w:val="20"/>
        </w:rPr>
        <w:t xml:space="preserve"> </w:t>
      </w:r>
    </w:p>
  </w:endnote>
  <w:endnote w:id="111">
    <w:p w14:paraId="50600CFA"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Thailand Development Research Institute,</w:t>
      </w:r>
      <w:r w:rsidRPr="002347B2">
        <w:rPr>
          <w:rFonts w:asciiTheme="minorHAnsi" w:eastAsia="Calibri" w:hAnsiTheme="minorHAnsi" w:cstheme="minorHAnsi"/>
          <w:i/>
          <w:sz w:val="20"/>
          <w:szCs w:val="20"/>
        </w:rPr>
        <w:t xml:space="preserve"> Violence Against Women Still Prevalent,</w:t>
      </w:r>
      <w:r w:rsidRPr="002347B2">
        <w:rPr>
          <w:rFonts w:asciiTheme="minorHAnsi" w:eastAsia="Calibri" w:hAnsiTheme="minorHAnsi" w:cstheme="minorHAnsi"/>
          <w:sz w:val="20"/>
          <w:szCs w:val="20"/>
        </w:rPr>
        <w:t xml:space="preserve"> (25 November 2020), available at: </w:t>
      </w:r>
      <w:hyperlink r:id="rId90">
        <w:r w:rsidRPr="002347B2">
          <w:rPr>
            <w:rFonts w:asciiTheme="minorHAnsi" w:eastAsia="Calibri" w:hAnsiTheme="minorHAnsi" w:cstheme="minorHAnsi"/>
            <w:color w:val="1155CC"/>
            <w:sz w:val="20"/>
            <w:szCs w:val="20"/>
            <w:u w:val="single"/>
          </w:rPr>
          <w:t>https://tdri.or.th/en/2020/11/abuse-against-women-still-prevalent/</w:t>
        </w:r>
      </w:hyperlink>
      <w:r w:rsidRPr="002347B2">
        <w:rPr>
          <w:rFonts w:asciiTheme="minorHAnsi" w:eastAsia="Calibri" w:hAnsiTheme="minorHAnsi" w:cstheme="minorHAnsi"/>
          <w:sz w:val="20"/>
          <w:szCs w:val="20"/>
        </w:rPr>
        <w:t xml:space="preserve"> </w:t>
      </w:r>
    </w:p>
  </w:endnote>
  <w:endnote w:id="112">
    <w:p w14:paraId="0FDEAEB0"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 xml:space="preserve">Women Who Are Subjected To Male Violence In Intimate Relationships: Thailand's Third Universal Periodic Review Cycle, </w:t>
      </w:r>
      <w:r w:rsidRPr="002347B2">
        <w:rPr>
          <w:rFonts w:asciiTheme="minorHAnsi" w:eastAsia="Calibri" w:hAnsiTheme="minorHAnsi" w:cstheme="minorHAnsi"/>
          <w:sz w:val="20"/>
          <w:szCs w:val="20"/>
        </w:rPr>
        <w:t xml:space="preserve">(9 September 2021), available at: </w:t>
      </w:r>
      <w:hyperlink r:id="rId91">
        <w:r w:rsidRPr="002347B2">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347B2">
        <w:rPr>
          <w:rFonts w:asciiTheme="minorHAnsi" w:eastAsia="Calibri" w:hAnsiTheme="minorHAnsi" w:cstheme="minorHAnsi"/>
          <w:sz w:val="20"/>
          <w:szCs w:val="20"/>
        </w:rPr>
        <w:t xml:space="preserve"> </w:t>
      </w:r>
    </w:p>
  </w:endnote>
  <w:endnote w:id="113">
    <w:p w14:paraId="6CE03D9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 xml:space="preserve">Women Who Are Subjected To Male Violence In Intimate Relationships: Thailand's Third Universal Periodic Review Cycle, </w:t>
      </w:r>
      <w:r w:rsidRPr="002347B2">
        <w:rPr>
          <w:rFonts w:asciiTheme="minorHAnsi" w:eastAsia="Calibri" w:hAnsiTheme="minorHAnsi" w:cstheme="minorHAnsi"/>
          <w:sz w:val="20"/>
          <w:szCs w:val="20"/>
        </w:rPr>
        <w:t xml:space="preserve">(9 September 2021), available at: </w:t>
      </w:r>
      <w:hyperlink r:id="rId92">
        <w:r w:rsidRPr="002347B2">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347B2">
        <w:rPr>
          <w:rFonts w:asciiTheme="minorHAnsi" w:eastAsia="Calibri" w:hAnsiTheme="minorHAnsi" w:cstheme="minorHAnsi"/>
          <w:sz w:val="20"/>
          <w:szCs w:val="20"/>
        </w:rPr>
        <w:t xml:space="preserve"> </w:t>
      </w:r>
    </w:p>
  </w:endnote>
  <w:endnote w:id="114">
    <w:p w14:paraId="71A70D9C"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 xml:space="preserve">Women Who Are Subjected To Male Violence In Intimate Relationships: Thailand's Third Universal Periodic Review Cycle, </w:t>
      </w:r>
      <w:r w:rsidRPr="002347B2">
        <w:rPr>
          <w:rFonts w:asciiTheme="minorHAnsi" w:eastAsia="Calibri" w:hAnsiTheme="minorHAnsi" w:cstheme="minorHAnsi"/>
          <w:sz w:val="20"/>
          <w:szCs w:val="20"/>
        </w:rPr>
        <w:t xml:space="preserve">(9 September 2021), available at: </w:t>
      </w:r>
      <w:hyperlink r:id="rId93">
        <w:r w:rsidRPr="002347B2">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347B2">
        <w:rPr>
          <w:rFonts w:asciiTheme="minorHAnsi" w:eastAsia="Calibri" w:hAnsiTheme="minorHAnsi" w:cstheme="minorHAnsi"/>
          <w:sz w:val="20"/>
          <w:szCs w:val="20"/>
        </w:rPr>
        <w:t xml:space="preserve"> </w:t>
      </w:r>
    </w:p>
  </w:endnote>
  <w:endnote w:id="115">
    <w:p w14:paraId="30C21860"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 xml:space="preserve">Women Who Are Subjected To Male Violence In Intimate Relationships: Thailand's Third Universal Periodic Review Cycle, </w:t>
      </w:r>
      <w:r w:rsidRPr="002347B2">
        <w:rPr>
          <w:rFonts w:asciiTheme="minorHAnsi" w:eastAsia="Calibri" w:hAnsiTheme="minorHAnsi" w:cstheme="minorHAnsi"/>
          <w:sz w:val="20"/>
          <w:szCs w:val="20"/>
        </w:rPr>
        <w:t xml:space="preserve">(9 September 2021), available at: </w:t>
      </w:r>
      <w:hyperlink r:id="rId94">
        <w:r w:rsidRPr="002347B2">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347B2">
        <w:rPr>
          <w:rFonts w:asciiTheme="minorHAnsi" w:eastAsia="Calibri" w:hAnsiTheme="minorHAnsi" w:cstheme="minorHAnsi"/>
          <w:sz w:val="20"/>
          <w:szCs w:val="20"/>
        </w:rPr>
        <w:t xml:space="preserve"> </w:t>
      </w:r>
    </w:p>
  </w:endnote>
  <w:endnote w:id="116">
    <w:p w14:paraId="212DFAB6"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 xml:space="preserve">Women Who Are Subjected To Male Violence In Intimate Relationships: Thailand's Third Universal Periodic Review Cycle, </w:t>
      </w:r>
      <w:r w:rsidRPr="002347B2">
        <w:rPr>
          <w:rFonts w:asciiTheme="minorHAnsi" w:eastAsia="Calibri" w:hAnsiTheme="minorHAnsi" w:cstheme="minorHAnsi"/>
          <w:sz w:val="20"/>
          <w:szCs w:val="20"/>
        </w:rPr>
        <w:t xml:space="preserve">(9 September 2021), available at: </w:t>
      </w:r>
      <w:hyperlink r:id="rId95">
        <w:r w:rsidRPr="002347B2">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347B2">
        <w:rPr>
          <w:rFonts w:asciiTheme="minorHAnsi" w:eastAsia="Calibri" w:hAnsiTheme="minorHAnsi" w:cstheme="minorHAnsi"/>
          <w:sz w:val="20"/>
          <w:szCs w:val="20"/>
        </w:rPr>
        <w:t xml:space="preserve"> </w:t>
      </w:r>
    </w:p>
  </w:endnote>
  <w:endnote w:id="117">
    <w:p w14:paraId="7BF7D7C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Thailand Development Research Institute,</w:t>
      </w:r>
      <w:r w:rsidRPr="002347B2">
        <w:rPr>
          <w:rFonts w:asciiTheme="minorHAnsi" w:eastAsia="Calibri" w:hAnsiTheme="minorHAnsi" w:cstheme="minorHAnsi"/>
          <w:i/>
          <w:sz w:val="20"/>
          <w:szCs w:val="20"/>
        </w:rPr>
        <w:t xml:space="preserve"> Violence Against Women Still Prevalent,</w:t>
      </w:r>
      <w:r w:rsidRPr="002347B2">
        <w:rPr>
          <w:rFonts w:asciiTheme="minorHAnsi" w:eastAsia="Calibri" w:hAnsiTheme="minorHAnsi" w:cstheme="minorHAnsi"/>
          <w:sz w:val="20"/>
          <w:szCs w:val="20"/>
        </w:rPr>
        <w:t xml:space="preserve"> (25 November 2020), available at: </w:t>
      </w:r>
      <w:hyperlink r:id="rId96">
        <w:r w:rsidRPr="002347B2">
          <w:rPr>
            <w:rFonts w:asciiTheme="minorHAnsi" w:eastAsia="Calibri" w:hAnsiTheme="minorHAnsi" w:cstheme="minorHAnsi"/>
            <w:color w:val="1155CC"/>
            <w:sz w:val="20"/>
            <w:szCs w:val="20"/>
            <w:u w:val="single"/>
          </w:rPr>
          <w:t>https://tdri.or.th/en/2020/11/abuse-against-women-still-prevalent/</w:t>
        </w:r>
      </w:hyperlink>
      <w:r w:rsidRPr="002347B2">
        <w:rPr>
          <w:rFonts w:asciiTheme="minorHAnsi" w:eastAsia="Calibri" w:hAnsiTheme="minorHAnsi" w:cstheme="minorHAnsi"/>
          <w:sz w:val="20"/>
          <w:szCs w:val="20"/>
        </w:rPr>
        <w:t xml:space="preserve"> </w:t>
      </w:r>
    </w:p>
  </w:endnote>
  <w:endnote w:id="118">
    <w:p w14:paraId="6E1EE2CF"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Joint Civil Society Report, List of Themes to be considered by the Committee on the Elimination of Racial Discrimination (CERD) For the review of the combined fourth to eighth periodic reports of Thailand (CERD/C/THA/4-8) at the 102nd session of the CERD Committee (Geneva – Postponed 2020)</w:t>
      </w:r>
      <w:r w:rsidRPr="002347B2">
        <w:rPr>
          <w:rFonts w:asciiTheme="minorHAnsi" w:eastAsia="Calibri" w:hAnsiTheme="minorHAnsi" w:cstheme="minorHAnsi"/>
          <w:sz w:val="20"/>
          <w:szCs w:val="20"/>
        </w:rPr>
        <w:t xml:space="preserve">, available at: </w:t>
      </w:r>
      <w:hyperlink r:id="rId97">
        <w:r w:rsidRPr="002347B2">
          <w:rPr>
            <w:rFonts w:asciiTheme="minorHAnsi" w:eastAsia="Calibri" w:hAnsiTheme="minorHAnsi" w:cstheme="minorHAnsi"/>
            <w:color w:val="1155CC"/>
            <w:sz w:val="20"/>
            <w:szCs w:val="20"/>
            <w:u w:val="single"/>
          </w:rPr>
          <w:t>https://www.manushyafoundation.org/joint-civil-society-report-cerd</w:t>
        </w:r>
      </w:hyperlink>
      <w:r w:rsidRPr="002347B2">
        <w:rPr>
          <w:rFonts w:asciiTheme="minorHAnsi" w:eastAsia="Calibri" w:hAnsiTheme="minorHAnsi" w:cstheme="minorHAnsi"/>
          <w:sz w:val="20"/>
          <w:szCs w:val="20"/>
        </w:rPr>
        <w:t xml:space="preserve"> </w:t>
      </w:r>
    </w:p>
  </w:endnote>
  <w:endnote w:id="119">
    <w:p w14:paraId="31F00B79"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20">
    <w:p w14:paraId="60F4E690"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Joint Civil Society Report, List of Themes to be considered by the Committee on the Elimination of Racial Discrimination (CERD) For the review of the combined fourth to eighth periodic reports of Thailand (CERD/C/THA/4-8) at the 102nd session of the CERD Committee (Geneva – Postponed 2020)</w:t>
      </w:r>
      <w:r w:rsidRPr="002347B2">
        <w:rPr>
          <w:rFonts w:asciiTheme="minorHAnsi" w:eastAsia="Calibri" w:hAnsiTheme="minorHAnsi" w:cstheme="minorHAnsi"/>
          <w:sz w:val="20"/>
          <w:szCs w:val="20"/>
        </w:rPr>
        <w:t xml:space="preserve">, available at: </w:t>
      </w:r>
      <w:hyperlink r:id="rId98">
        <w:r w:rsidRPr="002347B2">
          <w:rPr>
            <w:rFonts w:asciiTheme="minorHAnsi" w:eastAsia="Calibri" w:hAnsiTheme="minorHAnsi" w:cstheme="minorHAnsi"/>
            <w:color w:val="1155CC"/>
            <w:sz w:val="20"/>
            <w:szCs w:val="20"/>
            <w:u w:val="single"/>
          </w:rPr>
          <w:t>https://www.manushyafoundation.org/joint-civil-society-report-cerd</w:t>
        </w:r>
      </w:hyperlink>
      <w:r w:rsidRPr="002347B2">
        <w:rPr>
          <w:rFonts w:asciiTheme="minorHAnsi" w:eastAsia="Calibri" w:hAnsiTheme="minorHAnsi" w:cstheme="minorHAnsi"/>
          <w:sz w:val="20"/>
          <w:szCs w:val="20"/>
        </w:rPr>
        <w:t xml:space="preserve"> </w:t>
      </w:r>
    </w:p>
  </w:endnote>
  <w:endnote w:id="121">
    <w:p w14:paraId="2E3E18B3"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22">
    <w:p w14:paraId="1F466492"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23">
    <w:p w14:paraId="6A8CEAD6"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24">
    <w:p w14:paraId="3B19FD9E"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Information obtained from interviews conducted by Manushya Foundation to inform this report, (August-September 2022)</w:t>
      </w:r>
    </w:p>
  </w:endnote>
  <w:endnote w:id="125">
    <w:p w14:paraId="6F23631F"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hAnsiTheme="minorHAnsi" w:cstheme="minorHAnsi"/>
          <w:sz w:val="20"/>
          <w:szCs w:val="20"/>
        </w:rPr>
        <w:t xml:space="preserve"> </w:t>
      </w:r>
      <w:r w:rsidRPr="002347B2">
        <w:rPr>
          <w:rFonts w:asciiTheme="minorHAnsi" w:hAnsiTheme="minorHAnsi" w:cstheme="minorHAnsi"/>
          <w:sz w:val="20"/>
          <w:szCs w:val="20"/>
        </w:rPr>
        <w:tab/>
      </w:r>
      <w:r w:rsidRPr="002347B2">
        <w:rPr>
          <w:rFonts w:asciiTheme="minorHAnsi" w:eastAsia="Calibri" w:hAnsiTheme="minorHAnsi" w:cstheme="minorHAnsi"/>
          <w:sz w:val="20"/>
          <w:szCs w:val="20"/>
        </w:rPr>
        <w:t xml:space="preserve">Manushya Foundation, </w:t>
      </w:r>
      <w:r w:rsidRPr="002347B2">
        <w:rPr>
          <w:rFonts w:asciiTheme="minorHAnsi" w:eastAsia="Calibri" w:hAnsiTheme="minorHAnsi" w:cstheme="minorHAnsi"/>
          <w:i/>
          <w:sz w:val="20"/>
          <w:szCs w:val="20"/>
        </w:rPr>
        <w:t>Joint Civil Society Report, List of Themes to be considered by the Committee on the Elimination of Racial Discrimination (CERD) For the review of the combined fourth to eighth periodic reports of Thailand (CERD/C/THA/4-8) at the 102nd session of the CERD Committee (Geneva – Postponed 2020)</w:t>
      </w:r>
      <w:r w:rsidRPr="002347B2">
        <w:rPr>
          <w:rFonts w:asciiTheme="minorHAnsi" w:eastAsia="Calibri" w:hAnsiTheme="minorHAnsi" w:cstheme="minorHAnsi"/>
          <w:sz w:val="20"/>
          <w:szCs w:val="20"/>
        </w:rPr>
        <w:t xml:space="preserve">, available at: </w:t>
      </w:r>
      <w:hyperlink r:id="rId99">
        <w:r w:rsidRPr="002347B2">
          <w:rPr>
            <w:rFonts w:asciiTheme="minorHAnsi" w:eastAsia="Calibri" w:hAnsiTheme="minorHAnsi" w:cstheme="minorHAnsi"/>
            <w:color w:val="1155CC"/>
            <w:sz w:val="20"/>
            <w:szCs w:val="20"/>
            <w:u w:val="single"/>
          </w:rPr>
          <w:t>https://www.manushyafoundation.org/joint-civil-society-report-cerd</w:t>
        </w:r>
      </w:hyperlink>
      <w:r w:rsidRPr="002347B2">
        <w:rPr>
          <w:rFonts w:asciiTheme="minorHAnsi" w:eastAsia="Calibri" w:hAnsiTheme="minorHAnsi" w:cstheme="minorHAnsi"/>
          <w:sz w:val="20"/>
          <w:szCs w:val="20"/>
        </w:rPr>
        <w:t xml:space="preserve"> </w:t>
      </w:r>
    </w:p>
  </w:endnote>
  <w:endnote w:id="126">
    <w:p w14:paraId="3B9E9C77"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Girls Not Brides, Thailand, available at: </w:t>
      </w:r>
    </w:p>
    <w:p w14:paraId="4EE552FA"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100" w:history="1">
        <w:r w:rsidR="003823DA" w:rsidRPr="002347B2">
          <w:rPr>
            <w:rStyle w:val="Hyperlink"/>
            <w:rFonts w:asciiTheme="minorHAnsi" w:eastAsia="Calibri" w:hAnsiTheme="minorHAnsi" w:cstheme="minorHAnsi"/>
            <w:sz w:val="20"/>
            <w:szCs w:val="20"/>
          </w:rPr>
          <w:t>https://www.girlsnotbrides.org/learning-resources/child-marriage-atlas/regions-and-countries/thailand/</w:t>
        </w:r>
      </w:hyperlink>
      <w:r w:rsidR="003823DA" w:rsidRPr="002347B2">
        <w:rPr>
          <w:rFonts w:asciiTheme="minorHAnsi" w:eastAsia="Calibri" w:hAnsiTheme="minorHAnsi" w:cstheme="minorHAnsi"/>
          <w:sz w:val="20"/>
          <w:szCs w:val="20"/>
        </w:rPr>
        <w:t xml:space="preserve"> </w:t>
      </w:r>
    </w:p>
  </w:endnote>
  <w:endnote w:id="127">
    <w:p w14:paraId="4EAD212D"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Girls Not Brides, Thailand, available at: </w:t>
      </w:r>
    </w:p>
    <w:p w14:paraId="62DEABD0" w14:textId="77777777" w:rsidR="003823DA" w:rsidRPr="002347B2" w:rsidRDefault="00000000" w:rsidP="003823DA">
      <w:pPr>
        <w:spacing w:line="240" w:lineRule="auto"/>
        <w:ind w:left="360"/>
        <w:rPr>
          <w:rFonts w:asciiTheme="minorHAnsi" w:hAnsiTheme="minorHAnsi" w:cstheme="minorHAnsi"/>
          <w:sz w:val="20"/>
          <w:szCs w:val="20"/>
        </w:rPr>
      </w:pPr>
      <w:hyperlink r:id="rId101" w:history="1">
        <w:r w:rsidR="003823DA" w:rsidRPr="002347B2">
          <w:rPr>
            <w:rStyle w:val="Hyperlink"/>
            <w:rFonts w:asciiTheme="minorHAnsi" w:eastAsia="Calibri" w:hAnsiTheme="minorHAnsi" w:cstheme="minorHAnsi"/>
            <w:sz w:val="20"/>
            <w:szCs w:val="20"/>
          </w:rPr>
          <w:t>https://www.girlsnotbrides.org/learning-resources/child-marriage-atlas/regions-and-countries/thailand/</w:t>
        </w:r>
      </w:hyperlink>
      <w:r w:rsidR="003823DA" w:rsidRPr="002347B2">
        <w:rPr>
          <w:rFonts w:asciiTheme="minorHAnsi" w:eastAsia="Calibri" w:hAnsiTheme="minorHAnsi" w:cstheme="minorHAnsi"/>
          <w:sz w:val="20"/>
          <w:szCs w:val="20"/>
        </w:rPr>
        <w:t xml:space="preserve"> </w:t>
      </w:r>
    </w:p>
  </w:endnote>
  <w:endnote w:id="128">
    <w:p w14:paraId="13723D0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Information obtained from interviews conducted by Manushya Foundation to inform this report, (August-September 2022)</w:t>
      </w:r>
    </w:p>
  </w:endnote>
  <w:endnote w:id="129">
    <w:p w14:paraId="209D0A8B"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Nairobi National Commitment on ICPD25, Royal Thai Government, (1 November 2019), available at: </w:t>
      </w:r>
    </w:p>
    <w:p w14:paraId="43AA42C6"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102" w:history="1">
        <w:r w:rsidR="003823DA" w:rsidRPr="002347B2">
          <w:rPr>
            <w:rStyle w:val="Hyperlink"/>
            <w:rFonts w:asciiTheme="minorHAnsi" w:eastAsia="Calibri" w:hAnsiTheme="minorHAnsi" w:cstheme="minorHAnsi"/>
            <w:sz w:val="20"/>
            <w:szCs w:val="20"/>
          </w:rPr>
          <w:t>https://www.nairobisummiticpd.org/commitment/nairobi-national-commitment-icpd25-royal-thai-government</w:t>
        </w:r>
      </w:hyperlink>
      <w:r w:rsidR="003823DA" w:rsidRPr="002347B2">
        <w:rPr>
          <w:rFonts w:asciiTheme="minorHAnsi" w:eastAsia="Calibri" w:hAnsiTheme="minorHAnsi" w:cstheme="minorHAnsi"/>
          <w:sz w:val="20"/>
          <w:szCs w:val="20"/>
        </w:rPr>
        <w:t xml:space="preserve"> </w:t>
      </w:r>
    </w:p>
  </w:endnote>
  <w:endnote w:id="130">
    <w:p w14:paraId="75D07C52"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Thai Civil and Commercial Code, Section 1448, available at: </w:t>
      </w:r>
    </w:p>
    <w:p w14:paraId="5A3E4030" w14:textId="77777777" w:rsidR="003823DA" w:rsidRPr="002347B2" w:rsidRDefault="00000000" w:rsidP="003823DA">
      <w:pPr>
        <w:spacing w:line="240" w:lineRule="auto"/>
        <w:ind w:left="360"/>
        <w:rPr>
          <w:rFonts w:asciiTheme="minorHAnsi" w:eastAsia="Calibri" w:hAnsiTheme="minorHAnsi" w:cstheme="minorHAnsi"/>
          <w:sz w:val="20"/>
          <w:szCs w:val="20"/>
        </w:rPr>
      </w:pPr>
      <w:hyperlink r:id="rId103" w:history="1">
        <w:r w:rsidR="003823DA" w:rsidRPr="002347B2">
          <w:rPr>
            <w:rStyle w:val="Hyperlink"/>
            <w:rFonts w:asciiTheme="minorHAnsi" w:eastAsia="Calibri" w:hAnsiTheme="minorHAnsi" w:cstheme="minorHAnsi"/>
            <w:sz w:val="20"/>
            <w:szCs w:val="20"/>
          </w:rPr>
          <w:t>https://library.siam-legal.com/thai-law/civil-and-commercial-code-marriage-section-1448-1460/</w:t>
        </w:r>
      </w:hyperlink>
      <w:r w:rsidR="003823DA" w:rsidRPr="002347B2">
        <w:rPr>
          <w:rFonts w:asciiTheme="minorHAnsi" w:eastAsia="Calibri" w:hAnsiTheme="minorHAnsi" w:cstheme="minorHAnsi"/>
          <w:sz w:val="20"/>
          <w:szCs w:val="20"/>
        </w:rPr>
        <w:t xml:space="preserve"> </w:t>
      </w:r>
    </w:p>
  </w:endnote>
  <w:endnote w:id="131">
    <w:p w14:paraId="21314895" w14:textId="77777777" w:rsidR="003823DA" w:rsidRPr="002347B2" w:rsidRDefault="003823DA" w:rsidP="003823DA">
      <w:pPr>
        <w:spacing w:line="240" w:lineRule="auto"/>
        <w:ind w:left="360" w:hanging="360"/>
        <w:rPr>
          <w:rFonts w:asciiTheme="minorHAns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Sexual Orientation, Gender Identity And Expression, And Sex Characteristics (SOGIESC) Rights In Thailand: Joint Submission To The UN Universal Periodic Review (UPR) For Thailand's Third UPR Cycle, 39th Session Of The UPR Working Group</w:t>
      </w:r>
      <w:r w:rsidRPr="002347B2">
        <w:rPr>
          <w:rFonts w:asciiTheme="minorHAnsi" w:eastAsia="Calibri" w:hAnsiTheme="minorHAnsi" w:cstheme="minorHAnsi"/>
          <w:sz w:val="20"/>
          <w:szCs w:val="20"/>
        </w:rPr>
        <w:t xml:space="preserve">, (25 March 2021), available at: </w:t>
      </w:r>
      <w:hyperlink r:id="rId104">
        <w:r w:rsidRPr="002347B2">
          <w:rPr>
            <w:rFonts w:asciiTheme="minorHAnsi" w:eastAsia="Calibri" w:hAnsiTheme="minorHAnsi" w:cstheme="minorHAnsi"/>
            <w:color w:val="1155CC"/>
            <w:sz w:val="20"/>
            <w:szCs w:val="20"/>
            <w:u w:val="single"/>
          </w:rPr>
          <w:t>https://www.manushyafoundation.org/joint-upr-submission-sogiesc</w:t>
        </w:r>
      </w:hyperlink>
      <w:r w:rsidRPr="002347B2">
        <w:rPr>
          <w:rFonts w:asciiTheme="minorHAnsi" w:hAnsiTheme="minorHAnsi" w:cstheme="minorHAnsi"/>
          <w:sz w:val="20"/>
          <w:szCs w:val="20"/>
        </w:rPr>
        <w:t xml:space="preserve"> </w:t>
      </w:r>
    </w:p>
  </w:endnote>
  <w:endnote w:id="132">
    <w:p w14:paraId="7ABA391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The Court indicated that the purpose of the marriage is “to reproduce”, and concluded that a marriage of people with gender diversity cannot reproduce and thus they are unable to form such familial bond </w:t>
      </w:r>
    </w:p>
  </w:endnote>
  <w:endnote w:id="133">
    <w:p w14:paraId="552E2E8E" w14:textId="77777777" w:rsidR="003823DA" w:rsidRPr="002347B2" w:rsidRDefault="003823DA" w:rsidP="003823DA">
      <w:pPr>
        <w:spacing w:line="240" w:lineRule="auto"/>
        <w:ind w:left="360" w:hanging="360"/>
        <w:rPr>
          <w:rFonts w:asciiTheme="minorHAnsi" w:eastAsia="Calibri" w:hAnsiTheme="minorHAnsi" w:cstheme="minorHAnsi"/>
          <w:sz w:val="20"/>
          <w:szCs w:val="20"/>
        </w:rPr>
      </w:pPr>
      <w:r w:rsidRPr="002347B2">
        <w:rPr>
          <w:rFonts w:asciiTheme="minorHAnsi" w:hAnsiTheme="minorHAnsi" w:cstheme="minorHAnsi"/>
          <w:vertAlign w:val="superscript"/>
        </w:rPr>
        <w:endnoteRef/>
      </w:r>
      <w:r w:rsidRPr="002347B2">
        <w:rPr>
          <w:rFonts w:asciiTheme="minorHAnsi" w:eastAsia="Calibri" w:hAnsiTheme="minorHAnsi" w:cstheme="minorHAnsi"/>
          <w:sz w:val="20"/>
          <w:szCs w:val="20"/>
        </w:rPr>
        <w:t xml:space="preserve"> </w:t>
      </w:r>
      <w:r w:rsidRPr="002347B2">
        <w:rPr>
          <w:rFonts w:asciiTheme="minorHAnsi" w:eastAsia="Calibri" w:hAnsiTheme="minorHAnsi" w:cstheme="minorHAnsi"/>
          <w:sz w:val="20"/>
          <w:szCs w:val="20"/>
        </w:rPr>
        <w:tab/>
        <w:t xml:space="preserve">Manushya Foundation, </w:t>
      </w:r>
      <w:r w:rsidRPr="002347B2">
        <w:rPr>
          <w:rFonts w:asciiTheme="minorHAnsi" w:eastAsia="Calibri" w:hAnsiTheme="minorHAnsi" w:cstheme="minorHAnsi"/>
          <w:i/>
          <w:sz w:val="20"/>
          <w:szCs w:val="20"/>
        </w:rPr>
        <w:t>Inhumane anti-Marriage Equality Ruling: The Constitutional Court never fails to shock us!</w:t>
      </w:r>
      <w:r w:rsidRPr="002347B2">
        <w:rPr>
          <w:rFonts w:asciiTheme="minorHAnsi" w:eastAsia="Calibri" w:hAnsiTheme="minorHAnsi" w:cstheme="minorHAnsi"/>
          <w:sz w:val="20"/>
          <w:szCs w:val="20"/>
        </w:rPr>
        <w:t xml:space="preserve">, (3 December 2021), available at: </w:t>
      </w:r>
      <w:hyperlink r:id="rId105">
        <w:r w:rsidRPr="002347B2">
          <w:rPr>
            <w:rFonts w:asciiTheme="minorHAnsi" w:eastAsia="Calibri" w:hAnsiTheme="minorHAnsi" w:cstheme="minorHAnsi"/>
            <w:color w:val="1155CC"/>
            <w:sz w:val="20"/>
            <w:szCs w:val="20"/>
            <w:u w:val="single"/>
          </w:rPr>
          <w:t>https://www.manushyafoundation.org/post/the-constitutional-court-never-fails-to-shock-us</w:t>
        </w:r>
      </w:hyperlink>
    </w:p>
    <w:p w14:paraId="67BCE4C3" w14:textId="77777777" w:rsidR="003823DA" w:rsidRPr="002347B2" w:rsidRDefault="003823DA" w:rsidP="003823DA">
      <w:pPr>
        <w:spacing w:line="240" w:lineRule="auto"/>
        <w:ind w:left="360" w:hanging="360"/>
        <w:rPr>
          <w:rFonts w:asciiTheme="minorHAnsi" w:eastAsia="Calibri" w:hAnsiTheme="minorHAnsi" w:cstheme="minorHAnsi"/>
          <w:sz w:val="20"/>
          <w:szCs w:val="20"/>
        </w:rPr>
      </w:pPr>
    </w:p>
    <w:p w14:paraId="54A0EB40" w14:textId="77777777" w:rsidR="003823DA" w:rsidRPr="002347B2" w:rsidRDefault="003823DA" w:rsidP="003823DA">
      <w:pPr>
        <w:spacing w:line="240" w:lineRule="auto"/>
        <w:ind w:left="360" w:hanging="360"/>
        <w:rPr>
          <w:rFonts w:asciiTheme="minorHAnsi" w:eastAsia="Calibri" w:hAnsiTheme="minorHAnsi" w:cstheme="minorHAnsi"/>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78386"/>
      <w:docPartObj>
        <w:docPartGallery w:val="Page Numbers (Bottom of Page)"/>
        <w:docPartUnique/>
      </w:docPartObj>
    </w:sdtPr>
    <w:sdtContent>
      <w:p w14:paraId="004F3CED" w14:textId="55697BFF" w:rsidR="002347B2" w:rsidRDefault="002347B2" w:rsidP="008B7D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26615D91" w14:textId="77777777" w:rsidR="002347B2" w:rsidRDefault="002347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inorHAnsi" w:hAnsiTheme="minorHAnsi" w:cstheme="minorHAnsi"/>
        <w:color w:val="ED6B31"/>
        <w:sz w:val="20"/>
        <w:szCs w:val="20"/>
      </w:rPr>
      <w:id w:val="-1351563960"/>
      <w:docPartObj>
        <w:docPartGallery w:val="Page Numbers (Bottom of Page)"/>
        <w:docPartUnique/>
      </w:docPartObj>
    </w:sdtPr>
    <w:sdtContent>
      <w:p w14:paraId="34BFBED4" w14:textId="054767C1" w:rsidR="002347B2" w:rsidRPr="00B3717A" w:rsidRDefault="002347B2" w:rsidP="008B7D95">
        <w:pPr>
          <w:pStyle w:val="Footer"/>
          <w:framePr w:wrap="none" w:vAnchor="text" w:hAnchor="margin" w:xAlign="center" w:y="1"/>
          <w:rPr>
            <w:rStyle w:val="PageNumber"/>
            <w:rFonts w:asciiTheme="minorHAnsi" w:hAnsiTheme="minorHAnsi" w:cstheme="minorHAnsi"/>
            <w:color w:val="ED6B31"/>
            <w:sz w:val="20"/>
            <w:szCs w:val="20"/>
          </w:rPr>
        </w:pPr>
        <w:r w:rsidRPr="00B3717A">
          <w:rPr>
            <w:rStyle w:val="PageNumber"/>
            <w:rFonts w:asciiTheme="minorHAnsi" w:hAnsiTheme="minorHAnsi" w:cstheme="minorHAnsi"/>
            <w:color w:val="ED6B31"/>
            <w:sz w:val="20"/>
            <w:szCs w:val="20"/>
          </w:rPr>
          <w:fldChar w:fldCharType="begin"/>
        </w:r>
        <w:r w:rsidRPr="00B3717A">
          <w:rPr>
            <w:rStyle w:val="PageNumber"/>
            <w:rFonts w:asciiTheme="minorHAnsi" w:hAnsiTheme="minorHAnsi" w:cstheme="minorHAnsi"/>
            <w:color w:val="ED6B31"/>
            <w:sz w:val="20"/>
            <w:szCs w:val="20"/>
          </w:rPr>
          <w:instrText xml:space="preserve"> PAGE </w:instrText>
        </w:r>
        <w:r w:rsidRPr="00B3717A">
          <w:rPr>
            <w:rStyle w:val="PageNumber"/>
            <w:rFonts w:asciiTheme="minorHAnsi" w:hAnsiTheme="minorHAnsi" w:cstheme="minorHAnsi"/>
            <w:color w:val="ED6B31"/>
            <w:sz w:val="20"/>
            <w:szCs w:val="20"/>
          </w:rPr>
          <w:fldChar w:fldCharType="separate"/>
        </w:r>
        <w:r w:rsidRPr="00B3717A">
          <w:rPr>
            <w:rStyle w:val="PageNumber"/>
            <w:rFonts w:asciiTheme="minorHAnsi" w:hAnsiTheme="minorHAnsi" w:cstheme="minorHAnsi"/>
            <w:noProof/>
            <w:color w:val="ED6B31"/>
            <w:sz w:val="20"/>
            <w:szCs w:val="20"/>
          </w:rPr>
          <w:t>1</w:t>
        </w:r>
        <w:r w:rsidRPr="00B3717A">
          <w:rPr>
            <w:rStyle w:val="PageNumber"/>
            <w:rFonts w:asciiTheme="minorHAnsi" w:hAnsiTheme="minorHAnsi" w:cstheme="minorHAnsi"/>
            <w:color w:val="ED6B31"/>
            <w:sz w:val="20"/>
            <w:szCs w:val="20"/>
          </w:rPr>
          <w:fldChar w:fldCharType="end"/>
        </w:r>
      </w:p>
    </w:sdtContent>
  </w:sdt>
  <w:p w14:paraId="4A1C24E2" w14:textId="77777777" w:rsidR="002347B2" w:rsidRDefault="00234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51130" w14:textId="77777777" w:rsidR="00CF7285" w:rsidRDefault="00CF7285" w:rsidP="003823DA">
      <w:pPr>
        <w:spacing w:line="240" w:lineRule="auto"/>
      </w:pPr>
      <w:r>
        <w:separator/>
      </w:r>
    </w:p>
  </w:footnote>
  <w:footnote w:type="continuationSeparator" w:id="0">
    <w:p w14:paraId="10A2002A" w14:textId="77777777" w:rsidR="00CF7285" w:rsidRDefault="00CF7285" w:rsidP="003823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16EAA" w14:textId="6A0A0886" w:rsidR="00B3717A" w:rsidRDefault="0073066E" w:rsidP="00B3717A">
    <w:pPr>
      <w:pStyle w:val="Header"/>
      <w:tabs>
        <w:tab w:val="clear" w:pos="4680"/>
        <w:tab w:val="clear" w:pos="9360"/>
        <w:tab w:val="left" w:pos="1884"/>
      </w:tabs>
    </w:pPr>
    <w:r>
      <w:rPr>
        <w:noProof/>
      </w:rPr>
      <w:drawing>
        <wp:anchor distT="114300" distB="114300" distL="114300" distR="114300" simplePos="0" relativeHeight="251663360" behindDoc="0" locked="0" layoutInCell="1" hidden="0" allowOverlap="1" wp14:anchorId="650FE8FF" wp14:editId="6EDE873B">
          <wp:simplePos x="0" y="0"/>
          <wp:positionH relativeFrom="column">
            <wp:posOffset>3539598</wp:posOffset>
          </wp:positionH>
          <wp:positionV relativeFrom="paragraph">
            <wp:posOffset>-121041</wp:posOffset>
          </wp:positionV>
          <wp:extent cx="1495425" cy="419100"/>
          <wp:effectExtent l="0" t="0" r="0" b="0"/>
          <wp:wrapNone/>
          <wp:docPr id="17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95425" cy="419100"/>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1A51A0A7" wp14:editId="38D5252D">
          <wp:simplePos x="0" y="0"/>
          <wp:positionH relativeFrom="column">
            <wp:posOffset>1322003</wp:posOffset>
          </wp:positionH>
          <wp:positionV relativeFrom="paragraph">
            <wp:posOffset>16105</wp:posOffset>
          </wp:positionV>
          <wp:extent cx="1918335" cy="271463"/>
          <wp:effectExtent l="0" t="0" r="0" b="0"/>
          <wp:wrapNone/>
          <wp:docPr id="18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918335" cy="271463"/>
                  </a:xfrm>
                  <a:prstGeom prst="rect">
                    <a:avLst/>
                  </a:prstGeom>
                  <a:ln/>
                </pic:spPr>
              </pic:pic>
            </a:graphicData>
          </a:graphic>
        </wp:anchor>
      </w:drawing>
    </w:r>
    <w:r w:rsidR="00B3717A">
      <w:rPr>
        <w:noProof/>
      </w:rPr>
      <w:drawing>
        <wp:anchor distT="0" distB="0" distL="114300" distR="114300" simplePos="0" relativeHeight="251659264" behindDoc="0" locked="0" layoutInCell="1" hidden="0" allowOverlap="1" wp14:anchorId="726D9E5E" wp14:editId="52D7290E">
          <wp:simplePos x="0" y="0"/>
          <wp:positionH relativeFrom="page">
            <wp:posOffset>-58366</wp:posOffset>
          </wp:positionH>
          <wp:positionV relativeFrom="page">
            <wp:posOffset>-582457</wp:posOffset>
          </wp:positionV>
          <wp:extent cx="2452688" cy="1463908"/>
          <wp:effectExtent l="0" t="0" r="0" b="0"/>
          <wp:wrapSquare wrapText="bothSides" distT="0" distB="0" distL="114300" distR="114300"/>
          <wp:docPr id="17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
                  <a:srcRect t="11776" b="11775"/>
                  <a:stretch>
                    <a:fillRect/>
                  </a:stretch>
                </pic:blipFill>
                <pic:spPr>
                  <a:xfrm>
                    <a:off x="0" y="0"/>
                    <a:ext cx="2452688" cy="1463908"/>
                  </a:xfrm>
                  <a:prstGeom prst="rect">
                    <a:avLst/>
                  </a:prstGeom>
                  <a:ln/>
                </pic:spPr>
              </pic:pic>
            </a:graphicData>
          </a:graphic>
        </wp:anchor>
      </w:drawing>
    </w:r>
    <w:r w:rsidR="00B3717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25654"/>
    <w:multiLevelType w:val="multilevel"/>
    <w:tmpl w:val="355ED6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C05817"/>
    <w:multiLevelType w:val="multilevel"/>
    <w:tmpl w:val="84C288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506F7C"/>
    <w:multiLevelType w:val="multilevel"/>
    <w:tmpl w:val="7B3296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EAB1351"/>
    <w:multiLevelType w:val="multilevel"/>
    <w:tmpl w:val="58EA8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766624"/>
    <w:multiLevelType w:val="multilevel"/>
    <w:tmpl w:val="9C2A9FD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1F5399A"/>
    <w:multiLevelType w:val="multilevel"/>
    <w:tmpl w:val="161C8B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52B7FE5"/>
    <w:multiLevelType w:val="multilevel"/>
    <w:tmpl w:val="9A5EB766"/>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4AE1601"/>
    <w:multiLevelType w:val="multilevel"/>
    <w:tmpl w:val="AA109602"/>
    <w:lvl w:ilvl="0">
      <w:start w:val="1"/>
      <w:numFmt w:val="upperRoman"/>
      <w:lvlText w:val="%1."/>
      <w:lvlJc w:val="right"/>
      <w:pPr>
        <w:ind w:left="90" w:firstLine="180"/>
      </w:pPr>
      <w:rPr>
        <w:rFonts w:ascii="Calibri" w:eastAsia="Calibri" w:hAnsi="Calibri" w:cs="Calibri"/>
        <w:b/>
        <w:color w:val="FF6D00"/>
        <w:sz w:val="24"/>
        <w:szCs w:val="24"/>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B194501"/>
    <w:multiLevelType w:val="multilevel"/>
    <w:tmpl w:val="DD3CD83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3482DE3"/>
    <w:multiLevelType w:val="multilevel"/>
    <w:tmpl w:val="2EAE3E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44D1ECD"/>
    <w:multiLevelType w:val="multilevel"/>
    <w:tmpl w:val="CAD61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B76289"/>
    <w:multiLevelType w:val="multilevel"/>
    <w:tmpl w:val="EB9C845C"/>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71433B9"/>
    <w:multiLevelType w:val="multilevel"/>
    <w:tmpl w:val="EF6CA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9BE726F"/>
    <w:multiLevelType w:val="multilevel"/>
    <w:tmpl w:val="AACCD8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DF0615C"/>
    <w:multiLevelType w:val="multilevel"/>
    <w:tmpl w:val="8FF65A1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0E608E3"/>
    <w:multiLevelType w:val="multilevel"/>
    <w:tmpl w:val="3F3404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BB2301F"/>
    <w:multiLevelType w:val="multilevel"/>
    <w:tmpl w:val="B63828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65151152">
    <w:abstractNumId w:val="11"/>
  </w:num>
  <w:num w:numId="2" w16cid:durableId="1559171206">
    <w:abstractNumId w:val="10"/>
  </w:num>
  <w:num w:numId="3" w16cid:durableId="280380159">
    <w:abstractNumId w:val="13"/>
  </w:num>
  <w:num w:numId="4" w16cid:durableId="1613510998">
    <w:abstractNumId w:val="12"/>
  </w:num>
  <w:num w:numId="5" w16cid:durableId="1597513538">
    <w:abstractNumId w:val="7"/>
  </w:num>
  <w:num w:numId="6" w16cid:durableId="1507941858">
    <w:abstractNumId w:val="14"/>
  </w:num>
  <w:num w:numId="7" w16cid:durableId="1834906580">
    <w:abstractNumId w:val="9"/>
  </w:num>
  <w:num w:numId="8" w16cid:durableId="1735664394">
    <w:abstractNumId w:val="1"/>
  </w:num>
  <w:num w:numId="9" w16cid:durableId="1778865569">
    <w:abstractNumId w:val="0"/>
  </w:num>
  <w:num w:numId="10" w16cid:durableId="1510872106">
    <w:abstractNumId w:val="2"/>
  </w:num>
  <w:num w:numId="11" w16cid:durableId="1155610443">
    <w:abstractNumId w:val="8"/>
  </w:num>
  <w:num w:numId="12" w16cid:durableId="2096003586">
    <w:abstractNumId w:val="16"/>
  </w:num>
  <w:num w:numId="13" w16cid:durableId="2100448381">
    <w:abstractNumId w:val="3"/>
  </w:num>
  <w:num w:numId="14" w16cid:durableId="782111939">
    <w:abstractNumId w:val="6"/>
  </w:num>
  <w:num w:numId="15" w16cid:durableId="742603700">
    <w:abstractNumId w:val="15"/>
  </w:num>
  <w:num w:numId="16" w16cid:durableId="935165689">
    <w:abstractNumId w:val="5"/>
  </w:num>
  <w:num w:numId="17" w16cid:durableId="1947692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DA"/>
    <w:rsid w:val="00106A37"/>
    <w:rsid w:val="001661AA"/>
    <w:rsid w:val="001B020F"/>
    <w:rsid w:val="002347B2"/>
    <w:rsid w:val="003823DA"/>
    <w:rsid w:val="004059A3"/>
    <w:rsid w:val="00476C71"/>
    <w:rsid w:val="00496ADF"/>
    <w:rsid w:val="00503F9B"/>
    <w:rsid w:val="00556CA9"/>
    <w:rsid w:val="005930D1"/>
    <w:rsid w:val="005C4AD2"/>
    <w:rsid w:val="005E268E"/>
    <w:rsid w:val="00657D5C"/>
    <w:rsid w:val="006F0479"/>
    <w:rsid w:val="006F30B7"/>
    <w:rsid w:val="0073066E"/>
    <w:rsid w:val="00892D85"/>
    <w:rsid w:val="00893CD3"/>
    <w:rsid w:val="00993FB5"/>
    <w:rsid w:val="00B3717A"/>
    <w:rsid w:val="00C80224"/>
    <w:rsid w:val="00CF7285"/>
    <w:rsid w:val="00D1797B"/>
    <w:rsid w:val="00DC5C54"/>
    <w:rsid w:val="00E71E42"/>
    <w:rsid w:val="00EA50A8"/>
    <w:rsid w:val="00ED09A7"/>
    <w:rsid w:val="00F0294C"/>
    <w:rsid w:val="00F562B3"/>
    <w:rsid w:val="00F640EA"/>
    <w:rsid w:val="00FC3074"/>
  </w:rsids>
  <m:mathPr>
    <m:mathFont m:val="Cambria Math"/>
    <m:brkBin m:val="before"/>
    <m:brkBinSub m:val="--"/>
    <m:smallFrac m:val="0"/>
    <m:dispDef/>
    <m:lMargin m:val="0"/>
    <m:rMargin m:val="0"/>
    <m:defJc m:val="centerGroup"/>
    <m:wrapIndent m:val="1440"/>
    <m:intLim m:val="subSup"/>
    <m:naryLim m:val="undOvr"/>
  </m:mathPr>
  <w:themeFontLang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208304"/>
  <w15:chartTrackingRefBased/>
  <w15:docId w15:val="{6C5025BF-A49E-774A-AFDC-4752C81B1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3DA"/>
    <w:pPr>
      <w:spacing w:line="276" w:lineRule="auto"/>
    </w:pPr>
    <w:rPr>
      <w:rFonts w:ascii="Arial" w:eastAsia="Arial" w:hAnsi="Arial" w:cs="Arial"/>
      <w:sz w:val="22"/>
      <w:szCs w:val="22"/>
      <w:lang w:val="en" w:eastAsia="en-GB"/>
    </w:rPr>
  </w:style>
  <w:style w:type="paragraph" w:styleId="Heading1">
    <w:name w:val="heading 1"/>
    <w:basedOn w:val="Normal"/>
    <w:next w:val="Normal"/>
    <w:link w:val="Heading1Char"/>
    <w:uiPriority w:val="9"/>
    <w:qFormat/>
    <w:rsid w:val="003823DA"/>
    <w:pPr>
      <w:keepNext/>
      <w:keepLines/>
      <w:ind w:left="90" w:firstLine="180"/>
      <w:jc w:val="both"/>
      <w:outlineLvl w:val="0"/>
    </w:pPr>
    <w:rPr>
      <w:rFonts w:ascii="Calibri" w:eastAsia="Calibri" w:hAnsi="Calibri" w:cs="Calibri"/>
      <w:b/>
      <w:color w:val="FF6D00"/>
      <w:sz w:val="24"/>
      <w:szCs w:val="24"/>
    </w:rPr>
  </w:style>
  <w:style w:type="paragraph" w:styleId="Heading2">
    <w:name w:val="heading 2"/>
    <w:basedOn w:val="Normal"/>
    <w:next w:val="Normal"/>
    <w:link w:val="Heading2Char"/>
    <w:uiPriority w:val="9"/>
    <w:semiHidden/>
    <w:unhideWhenUsed/>
    <w:qFormat/>
    <w:rsid w:val="003823DA"/>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rsid w:val="003823DA"/>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3823DA"/>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rsid w:val="003823DA"/>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3823D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3DA"/>
    <w:rPr>
      <w:rFonts w:ascii="Calibri" w:eastAsia="Calibri" w:hAnsi="Calibri" w:cs="Calibri"/>
      <w:b/>
      <w:color w:val="FF6D00"/>
      <w:lang w:val="en" w:eastAsia="en-GB"/>
    </w:rPr>
  </w:style>
  <w:style w:type="character" w:customStyle="1" w:styleId="Heading2Char">
    <w:name w:val="Heading 2 Char"/>
    <w:basedOn w:val="DefaultParagraphFont"/>
    <w:link w:val="Heading2"/>
    <w:uiPriority w:val="9"/>
    <w:semiHidden/>
    <w:rsid w:val="003823DA"/>
    <w:rPr>
      <w:rFonts w:ascii="Arial" w:eastAsia="Arial" w:hAnsi="Arial" w:cs="Arial"/>
      <w:sz w:val="32"/>
      <w:szCs w:val="32"/>
      <w:lang w:val="en" w:eastAsia="en-GB"/>
    </w:rPr>
  </w:style>
  <w:style w:type="character" w:customStyle="1" w:styleId="Heading3Char">
    <w:name w:val="Heading 3 Char"/>
    <w:basedOn w:val="DefaultParagraphFont"/>
    <w:link w:val="Heading3"/>
    <w:uiPriority w:val="9"/>
    <w:semiHidden/>
    <w:rsid w:val="003823DA"/>
    <w:rPr>
      <w:rFonts w:ascii="Arial" w:eastAsia="Arial" w:hAnsi="Arial" w:cs="Arial"/>
      <w:color w:val="434343"/>
      <w:sz w:val="28"/>
      <w:szCs w:val="28"/>
      <w:lang w:val="en" w:eastAsia="en-GB"/>
    </w:rPr>
  </w:style>
  <w:style w:type="character" w:customStyle="1" w:styleId="Heading4Char">
    <w:name w:val="Heading 4 Char"/>
    <w:basedOn w:val="DefaultParagraphFont"/>
    <w:link w:val="Heading4"/>
    <w:uiPriority w:val="9"/>
    <w:semiHidden/>
    <w:rsid w:val="003823DA"/>
    <w:rPr>
      <w:rFonts w:ascii="Arial" w:eastAsia="Arial" w:hAnsi="Arial" w:cs="Arial"/>
      <w:color w:val="666666"/>
      <w:lang w:val="en" w:eastAsia="en-GB"/>
    </w:rPr>
  </w:style>
  <w:style w:type="character" w:customStyle="1" w:styleId="Heading5Char">
    <w:name w:val="Heading 5 Char"/>
    <w:basedOn w:val="DefaultParagraphFont"/>
    <w:link w:val="Heading5"/>
    <w:uiPriority w:val="9"/>
    <w:semiHidden/>
    <w:rsid w:val="003823DA"/>
    <w:rPr>
      <w:rFonts w:ascii="Arial" w:eastAsia="Arial" w:hAnsi="Arial" w:cs="Arial"/>
      <w:color w:val="666666"/>
      <w:sz w:val="22"/>
      <w:szCs w:val="22"/>
      <w:lang w:val="en" w:eastAsia="en-GB"/>
    </w:rPr>
  </w:style>
  <w:style w:type="character" w:customStyle="1" w:styleId="Heading6Char">
    <w:name w:val="Heading 6 Char"/>
    <w:basedOn w:val="DefaultParagraphFont"/>
    <w:link w:val="Heading6"/>
    <w:uiPriority w:val="9"/>
    <w:semiHidden/>
    <w:rsid w:val="003823DA"/>
    <w:rPr>
      <w:rFonts w:ascii="Arial" w:eastAsia="Arial" w:hAnsi="Arial" w:cs="Arial"/>
      <w:i/>
      <w:color w:val="666666"/>
      <w:sz w:val="22"/>
      <w:szCs w:val="22"/>
      <w:lang w:val="en" w:eastAsia="en-GB"/>
    </w:rPr>
  </w:style>
  <w:style w:type="paragraph" w:styleId="Title">
    <w:name w:val="Title"/>
    <w:basedOn w:val="Normal"/>
    <w:next w:val="Normal"/>
    <w:link w:val="TitleChar"/>
    <w:uiPriority w:val="10"/>
    <w:qFormat/>
    <w:rsid w:val="003823DA"/>
    <w:pPr>
      <w:keepNext/>
      <w:keepLines/>
      <w:spacing w:after="60"/>
    </w:pPr>
    <w:rPr>
      <w:sz w:val="52"/>
      <w:szCs w:val="52"/>
    </w:rPr>
  </w:style>
  <w:style w:type="character" w:customStyle="1" w:styleId="TitleChar">
    <w:name w:val="Title Char"/>
    <w:basedOn w:val="DefaultParagraphFont"/>
    <w:link w:val="Title"/>
    <w:uiPriority w:val="10"/>
    <w:rsid w:val="003823DA"/>
    <w:rPr>
      <w:rFonts w:ascii="Arial" w:eastAsia="Arial" w:hAnsi="Arial" w:cs="Arial"/>
      <w:sz w:val="52"/>
      <w:szCs w:val="52"/>
      <w:lang w:val="en" w:eastAsia="en-GB"/>
    </w:rPr>
  </w:style>
  <w:style w:type="paragraph" w:styleId="Subtitle">
    <w:name w:val="Subtitle"/>
    <w:basedOn w:val="Normal"/>
    <w:next w:val="Normal"/>
    <w:link w:val="SubtitleChar"/>
    <w:uiPriority w:val="11"/>
    <w:qFormat/>
    <w:rsid w:val="003823DA"/>
    <w:pPr>
      <w:keepNext/>
      <w:keepLines/>
      <w:spacing w:after="320"/>
    </w:pPr>
    <w:rPr>
      <w:color w:val="666666"/>
      <w:sz w:val="30"/>
      <w:szCs w:val="30"/>
    </w:rPr>
  </w:style>
  <w:style w:type="character" w:customStyle="1" w:styleId="SubtitleChar">
    <w:name w:val="Subtitle Char"/>
    <w:basedOn w:val="DefaultParagraphFont"/>
    <w:link w:val="Subtitle"/>
    <w:uiPriority w:val="11"/>
    <w:rsid w:val="003823DA"/>
    <w:rPr>
      <w:rFonts w:ascii="Arial" w:eastAsia="Arial" w:hAnsi="Arial" w:cs="Arial"/>
      <w:color w:val="666666"/>
      <w:sz w:val="30"/>
      <w:szCs w:val="30"/>
      <w:lang w:val="en" w:eastAsia="en-GB"/>
    </w:rPr>
  </w:style>
  <w:style w:type="paragraph" w:styleId="TOC1">
    <w:name w:val="toc 1"/>
    <w:basedOn w:val="Normal"/>
    <w:next w:val="Normal"/>
    <w:autoRedefine/>
    <w:uiPriority w:val="39"/>
    <w:unhideWhenUsed/>
    <w:rsid w:val="003823DA"/>
    <w:pPr>
      <w:spacing w:after="100"/>
    </w:pPr>
  </w:style>
  <w:style w:type="character" w:styleId="Hyperlink">
    <w:name w:val="Hyperlink"/>
    <w:basedOn w:val="DefaultParagraphFont"/>
    <w:uiPriority w:val="99"/>
    <w:unhideWhenUsed/>
    <w:rsid w:val="003823DA"/>
    <w:rPr>
      <w:color w:val="0563C1" w:themeColor="hyperlink"/>
      <w:u w:val="single"/>
    </w:rPr>
  </w:style>
  <w:style w:type="paragraph" w:styleId="FootnoteText">
    <w:name w:val="footnote text"/>
    <w:basedOn w:val="Normal"/>
    <w:link w:val="FootnoteTextChar"/>
    <w:uiPriority w:val="99"/>
    <w:semiHidden/>
    <w:unhideWhenUsed/>
    <w:rsid w:val="003823DA"/>
    <w:pPr>
      <w:spacing w:line="240" w:lineRule="auto"/>
    </w:pPr>
    <w:rPr>
      <w:sz w:val="20"/>
      <w:szCs w:val="20"/>
    </w:rPr>
  </w:style>
  <w:style w:type="character" w:customStyle="1" w:styleId="FootnoteTextChar">
    <w:name w:val="Footnote Text Char"/>
    <w:basedOn w:val="DefaultParagraphFont"/>
    <w:link w:val="FootnoteText"/>
    <w:uiPriority w:val="99"/>
    <w:semiHidden/>
    <w:rsid w:val="003823DA"/>
    <w:rPr>
      <w:rFonts w:ascii="Arial" w:eastAsia="Arial" w:hAnsi="Arial" w:cs="Arial"/>
      <w:sz w:val="20"/>
      <w:szCs w:val="20"/>
      <w:lang w:val="en" w:eastAsia="en-GB"/>
    </w:rPr>
  </w:style>
  <w:style w:type="paragraph" w:styleId="EndnoteText">
    <w:name w:val="endnote text"/>
    <w:basedOn w:val="Normal"/>
    <w:link w:val="EndnoteTextChar"/>
    <w:uiPriority w:val="99"/>
    <w:semiHidden/>
    <w:unhideWhenUsed/>
    <w:rsid w:val="003823DA"/>
    <w:pPr>
      <w:spacing w:line="240" w:lineRule="auto"/>
    </w:pPr>
    <w:rPr>
      <w:sz w:val="20"/>
      <w:szCs w:val="20"/>
    </w:rPr>
  </w:style>
  <w:style w:type="character" w:customStyle="1" w:styleId="EndnoteTextChar">
    <w:name w:val="Endnote Text Char"/>
    <w:basedOn w:val="DefaultParagraphFont"/>
    <w:link w:val="EndnoteText"/>
    <w:uiPriority w:val="99"/>
    <w:semiHidden/>
    <w:rsid w:val="003823DA"/>
    <w:rPr>
      <w:rFonts w:ascii="Arial" w:eastAsia="Arial" w:hAnsi="Arial" w:cs="Arial"/>
      <w:sz w:val="20"/>
      <w:szCs w:val="20"/>
      <w:lang w:val="en" w:eastAsia="en-GB"/>
    </w:rPr>
  </w:style>
  <w:style w:type="character" w:styleId="FootnoteReference">
    <w:name w:val="footnote reference"/>
    <w:basedOn w:val="DefaultParagraphFont"/>
    <w:uiPriority w:val="99"/>
    <w:semiHidden/>
    <w:unhideWhenUsed/>
    <w:rsid w:val="003823DA"/>
    <w:rPr>
      <w:vertAlign w:val="superscript"/>
    </w:rPr>
  </w:style>
  <w:style w:type="character" w:styleId="EndnoteReference">
    <w:name w:val="endnote reference"/>
    <w:basedOn w:val="DefaultParagraphFont"/>
    <w:uiPriority w:val="99"/>
    <w:semiHidden/>
    <w:unhideWhenUsed/>
    <w:rsid w:val="003823DA"/>
    <w:rPr>
      <w:vertAlign w:val="superscript"/>
    </w:rPr>
  </w:style>
  <w:style w:type="character" w:styleId="UnresolvedMention">
    <w:name w:val="Unresolved Mention"/>
    <w:basedOn w:val="DefaultParagraphFont"/>
    <w:uiPriority w:val="99"/>
    <w:semiHidden/>
    <w:unhideWhenUsed/>
    <w:rsid w:val="003823DA"/>
    <w:rPr>
      <w:color w:val="605E5C"/>
      <w:shd w:val="clear" w:color="auto" w:fill="E1DFDD"/>
    </w:rPr>
  </w:style>
  <w:style w:type="paragraph" w:styleId="NoSpacing">
    <w:name w:val="No Spacing"/>
    <w:link w:val="NoSpacingChar"/>
    <w:uiPriority w:val="1"/>
    <w:qFormat/>
    <w:rsid w:val="003823DA"/>
    <w:rPr>
      <w:rFonts w:eastAsiaTheme="minorEastAsia"/>
      <w:sz w:val="22"/>
      <w:szCs w:val="22"/>
      <w:lang w:val="en-US" w:eastAsia="zh-CN"/>
    </w:rPr>
  </w:style>
  <w:style w:type="character" w:customStyle="1" w:styleId="NoSpacingChar">
    <w:name w:val="No Spacing Char"/>
    <w:basedOn w:val="DefaultParagraphFont"/>
    <w:link w:val="NoSpacing"/>
    <w:uiPriority w:val="1"/>
    <w:rsid w:val="003823DA"/>
    <w:rPr>
      <w:rFonts w:eastAsiaTheme="minorEastAsia"/>
      <w:sz w:val="22"/>
      <w:szCs w:val="22"/>
      <w:lang w:val="en-US" w:eastAsia="zh-CN"/>
    </w:rPr>
  </w:style>
  <w:style w:type="paragraph" w:styleId="Header">
    <w:name w:val="header"/>
    <w:basedOn w:val="Normal"/>
    <w:link w:val="HeaderChar"/>
    <w:uiPriority w:val="99"/>
    <w:unhideWhenUsed/>
    <w:rsid w:val="003823DA"/>
    <w:pPr>
      <w:tabs>
        <w:tab w:val="center" w:pos="4680"/>
        <w:tab w:val="right" w:pos="9360"/>
      </w:tabs>
      <w:spacing w:line="240" w:lineRule="auto"/>
    </w:pPr>
  </w:style>
  <w:style w:type="character" w:customStyle="1" w:styleId="HeaderChar">
    <w:name w:val="Header Char"/>
    <w:basedOn w:val="DefaultParagraphFont"/>
    <w:link w:val="Header"/>
    <w:uiPriority w:val="99"/>
    <w:rsid w:val="003823DA"/>
    <w:rPr>
      <w:rFonts w:ascii="Arial" w:eastAsia="Arial" w:hAnsi="Arial" w:cs="Arial"/>
      <w:sz w:val="22"/>
      <w:szCs w:val="22"/>
      <w:lang w:val="en" w:eastAsia="en-GB"/>
    </w:rPr>
  </w:style>
  <w:style w:type="paragraph" w:styleId="Footer">
    <w:name w:val="footer"/>
    <w:basedOn w:val="Normal"/>
    <w:link w:val="FooterChar"/>
    <w:uiPriority w:val="99"/>
    <w:unhideWhenUsed/>
    <w:rsid w:val="003823DA"/>
    <w:pPr>
      <w:tabs>
        <w:tab w:val="center" w:pos="4680"/>
        <w:tab w:val="right" w:pos="9360"/>
      </w:tabs>
      <w:spacing w:line="240" w:lineRule="auto"/>
    </w:pPr>
  </w:style>
  <w:style w:type="character" w:customStyle="1" w:styleId="FooterChar">
    <w:name w:val="Footer Char"/>
    <w:basedOn w:val="DefaultParagraphFont"/>
    <w:link w:val="Footer"/>
    <w:uiPriority w:val="99"/>
    <w:rsid w:val="003823DA"/>
    <w:rPr>
      <w:rFonts w:ascii="Arial" w:eastAsia="Arial" w:hAnsi="Arial" w:cs="Arial"/>
      <w:sz w:val="22"/>
      <w:szCs w:val="22"/>
      <w:lang w:val="en" w:eastAsia="en-GB"/>
    </w:rPr>
  </w:style>
  <w:style w:type="paragraph" w:styleId="NormalWeb">
    <w:name w:val="Normal (Web)"/>
    <w:basedOn w:val="Normal"/>
    <w:uiPriority w:val="99"/>
    <w:semiHidden/>
    <w:unhideWhenUsed/>
    <w:rsid w:val="003823DA"/>
    <w:pPr>
      <w:spacing w:before="100" w:beforeAutospacing="1" w:after="100" w:afterAutospacing="1" w:line="240" w:lineRule="auto"/>
    </w:pPr>
    <w:rPr>
      <w:rFonts w:ascii="Times New Roman" w:eastAsia="Times New Roman" w:hAnsi="Times New Roman" w:cs="Times New Roman"/>
      <w:sz w:val="24"/>
      <w:szCs w:val="24"/>
      <w:lang w:eastAsia="en-US" w:bidi="th-TH"/>
    </w:rPr>
  </w:style>
  <w:style w:type="character" w:styleId="PageNumber">
    <w:name w:val="page number"/>
    <w:basedOn w:val="DefaultParagraphFont"/>
    <w:uiPriority w:val="99"/>
    <w:semiHidden/>
    <w:unhideWhenUsed/>
    <w:rsid w:val="002347B2"/>
  </w:style>
  <w:style w:type="paragraph" w:styleId="Revision">
    <w:name w:val="Revision"/>
    <w:hidden/>
    <w:uiPriority w:val="99"/>
    <w:semiHidden/>
    <w:rsid w:val="004059A3"/>
    <w:rPr>
      <w:rFonts w:ascii="Arial" w:eastAsia="Arial" w:hAnsi="Arial" w:cs="Arial"/>
      <w:sz w:val="22"/>
      <w:szCs w:val="22"/>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ushyafoundation.org/"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cs-surveys-prod.s3.amazonaws.com/MICS5/East%20Asia%20and%20the%20Pacific/Thailand/2015-2016/Final/Thailand%202015-16%20MICS_English.pdf.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ics-surveys-prod.s3.amazonaws.com/MICS5/East%20Asia%20and%20the%20Pacific/Thailand/2015-2016/Final/Thailand%202015-16%20MICS_English.pdf.pdf"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emilie@manushyafoundation.org"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26" Type="http://schemas.openxmlformats.org/officeDocument/2006/relationships/hyperlink" Target="https://www.manushyafoundation.org/thailand-third-upr-cycle-factsheet-the-rights-of-people-living-with-hiv-and-drug-users" TargetMode="External"/><Relationship Id="rId21" Type="http://schemas.openxmlformats.org/officeDocument/2006/relationships/hyperlink" Target="https://www.manushyafoundation.org/nba-bhr-protection-migrant-workers" TargetMode="External"/><Relationship Id="rId42" Type="http://schemas.openxmlformats.org/officeDocument/2006/relationships/hyperlink" Target="https://www.manushyafoundation.org/thailand-third-upr-cycle-factsheet-safe-abortion" TargetMode="External"/><Relationship Id="rId47" Type="http://schemas.openxmlformats.org/officeDocument/2006/relationships/hyperlink" Target="https://www.manushyafoundation.org/thailand-third-upr-cycle-factsheet-the-rights-of-people-living-with-hiv-and-drug-users" TargetMode="External"/><Relationship Id="rId63" Type="http://schemas.openxmlformats.org/officeDocument/2006/relationships/hyperlink" Target="https://www.manushyafoundation.org/thailand-third-upr-cycle-factsheet-elderly-rights" TargetMode="External"/><Relationship Id="rId68" Type="http://schemas.openxmlformats.org/officeDocument/2006/relationships/hyperlink" Target="https://www.manushyafoundation.org/nba-bhr-decent-working-conditions" TargetMode="External"/><Relationship Id="rId84" Type="http://schemas.openxmlformats.org/officeDocument/2006/relationships/hyperlink" Target="https://www.iwgia.org/en/thailand/4658-iw-2022-thailand.html" TargetMode="External"/><Relationship Id="rId89" Type="http://schemas.openxmlformats.org/officeDocument/2006/relationships/hyperlink" Target="https://www.manushyafoundation.org/thailand-third-upr-cycle-factsheet-women-who-are-subjected-to-male-violence" TargetMode="External"/><Relationship Id="rId16" Type="http://schemas.openxmlformats.org/officeDocument/2006/relationships/hyperlink" Target="https://www.manushyafoundation.org/nba-bhr-gender-discrimination" TargetMode="External"/><Relationship Id="rId11" Type="http://schemas.openxmlformats.org/officeDocument/2006/relationships/hyperlink" Target="https://www.wiego.org/publications/city-report-informal-economy-monitoring-study-home-based-workers-bangkok-thailand" TargetMode="External"/><Relationship Id="rId32" Type="http://schemas.openxmlformats.org/officeDocument/2006/relationships/hyperlink" Target="https://www.bangkokpost.com/thailand/general/2277139/amendment-to-ensure-women-paid-for-all-98-days-of-maternity-leave" TargetMode="External"/><Relationship Id="rId37" Type="http://schemas.openxmlformats.org/officeDocument/2006/relationships/hyperlink" Target="https://www.loc.gov/item/global-legal-monitor/2021-03-01/thailand-abortion-in-first-trimester-legalized/" TargetMode="External"/><Relationship Id="rId53" Type="http://schemas.openxmlformats.org/officeDocument/2006/relationships/hyperlink" Target="https://www.manushyafoundation.org/thailand-third-upr-cycle-factsheet-the-rights-of-sex-workers" TargetMode="External"/><Relationship Id="rId58" Type="http://schemas.openxmlformats.org/officeDocument/2006/relationships/hyperlink" Target="https://www.manushyafoundation.org/upr-factsheet-rights-of-persons-with-disabilities-in-thailand" TargetMode="External"/><Relationship Id="rId74" Type="http://schemas.openxmlformats.org/officeDocument/2006/relationships/hyperlink" Target="https://www.manushyafoundation.org/post/savechana-is-possible-with-the-power-of-the-people" TargetMode="External"/><Relationship Id="rId79" Type="http://schemas.openxmlformats.org/officeDocument/2006/relationships/hyperlink" Target="https://www.manushyafoundation.org/joint-upr-submission-safeabortion" TargetMode="External"/><Relationship Id="rId102" Type="http://schemas.openxmlformats.org/officeDocument/2006/relationships/hyperlink" Target="https://www.nairobisummiticpd.org/commitment/nairobi-national-commitment-icpd25-royal-thai-government" TargetMode="External"/><Relationship Id="rId5" Type="http://schemas.openxmlformats.org/officeDocument/2006/relationships/hyperlink" Target="https://www.ilo.org/gender/Informationresources/Publications/WCMS_732791/lang--en/index.htm" TargetMode="External"/><Relationship Id="rId90" Type="http://schemas.openxmlformats.org/officeDocument/2006/relationships/hyperlink" Target="https://tdri.or.th/en/2020/11/abuse-against-women-still-prevalent/" TargetMode="External"/><Relationship Id="rId95" Type="http://schemas.openxmlformats.org/officeDocument/2006/relationships/hyperlink" Target="https://www.manushyafoundation.org/thailand-third-upr-cycle-factsheet-women-who-are-subjected-to-male-violence" TargetMode="External"/><Relationship Id="rId22" Type="http://schemas.openxmlformats.org/officeDocument/2006/relationships/hyperlink" Target="https://www.ilo.org/asia/media-centre/news/WCMS_844750/lang--en/index.htm" TargetMode="External"/><Relationship Id="rId27" Type="http://schemas.openxmlformats.org/officeDocument/2006/relationships/hyperlink" Target="https://www.manushyafoundation.org/thailand-third-upr-cycle-factsheet-the-rights-of-sex-workers" TargetMode="External"/><Relationship Id="rId43" Type="http://schemas.openxmlformats.org/officeDocument/2006/relationships/hyperlink" Target="https://www.manushyafoundation.org/iwnt-report" TargetMode="External"/><Relationship Id="rId48" Type="http://schemas.openxmlformats.org/officeDocument/2006/relationships/hyperlink" Target="https://www.ohchr.org/sites/default/files/Documents/HRBodies/HRCouncil/RegularSession/Session22/A.HRC.22.53_English.pdf" TargetMode="External"/><Relationship Id="rId64" Type="http://schemas.openxmlformats.org/officeDocument/2006/relationships/hyperlink" Target="https://www.refworld.org/docid/5a8a8aea7.html" TargetMode="External"/><Relationship Id="rId69" Type="http://schemas.openxmlformats.org/officeDocument/2006/relationships/hyperlink" Target="https://www.iwgia.org/en/thailand/4252-iw-2021-thailand.html" TargetMode="External"/><Relationship Id="rId80" Type="http://schemas.openxmlformats.org/officeDocument/2006/relationships/hyperlink" Target="https://www.manushyafoundation.org/thailand-third-upr-cycle-factsheet-the-rights-of-sex-workers" TargetMode="External"/><Relationship Id="rId85" Type="http://schemas.openxmlformats.org/officeDocument/2006/relationships/hyperlink" Target="https://www.icj.org/wp-content/uploads/2012/08/ICJ-JPF-Report-Thailand-Womens-Access-to-Justice-English.pdf" TargetMode="External"/><Relationship Id="rId12" Type="http://schemas.openxmlformats.org/officeDocument/2006/relationships/hyperlink" Target="https://www.manushyafoundation.org/nba-bhr-decent-working-conditions" TargetMode="External"/><Relationship Id="rId17" Type="http://schemas.openxmlformats.org/officeDocument/2006/relationships/hyperlink" Target="https://www.manushyafoundation.org/nba-bhr-gender-discrimination" TargetMode="External"/><Relationship Id="rId33" Type="http://schemas.openxmlformats.org/officeDocument/2006/relationships/hyperlink" Target="https://hrmasia.com/thailand-amends-law-for-longer-paid-maternity-leave/" TargetMode="External"/><Relationship Id="rId38" Type="http://schemas.openxmlformats.org/officeDocument/2006/relationships/hyperlink" Target="https://www.channelnewsasia.com/asia/thailand-safe-abortion-legalisation-social-stigma-2338306" TargetMode="External"/><Relationship Id="rId59" Type="http://schemas.openxmlformats.org/officeDocument/2006/relationships/hyperlink" Target="https://www.ssa.gov/policy/docs/progdesc/ssptw/2018-2019/asia/thailand.html" TargetMode="External"/><Relationship Id="rId103" Type="http://schemas.openxmlformats.org/officeDocument/2006/relationships/hyperlink" Target="https://library.siam-legal.com/thai-law/civil-and-commercial-code-marriage-section-1448-1460/" TargetMode="External"/><Relationship Id="rId20" Type="http://schemas.openxmlformats.org/officeDocument/2006/relationships/hyperlink" Target="https://www.manushyafoundation.org/post/tackling-gender-discrimination-at-the-workplace-the-case-of-junevs-cute-press-ssup-group" TargetMode="External"/><Relationship Id="rId41" Type="http://schemas.openxmlformats.org/officeDocument/2006/relationships/hyperlink" Target="https://www.icj.org/thailand-has-failed-to-adequately-address-the-disproportionate-impact-of-covid-19-on-the-economic-social-and-cultural-rights-of-marginalized-persons/" TargetMode="External"/><Relationship Id="rId54" Type="http://schemas.openxmlformats.org/officeDocument/2006/relationships/hyperlink" Target="https://www.manushyafoundation.org/joint-upr-submission-sogiesc" TargetMode="External"/><Relationship Id="rId62" Type="http://schemas.openxmlformats.org/officeDocument/2006/relationships/hyperlink" Target="https://asean.org/book/old-age-income-security-in-asean-member-states-policy-trends-challenges-and-opportunities/" TargetMode="External"/><Relationship Id="rId70" Type="http://schemas.openxmlformats.org/officeDocument/2006/relationships/hyperlink" Target="http://bitly.ws/uQ7L" TargetMode="External"/><Relationship Id="rId75" Type="http://schemas.openxmlformats.org/officeDocument/2006/relationships/hyperlink" Target="https://asiapacific.unwomen.org/en/countries/thailand" TargetMode="External"/><Relationship Id="rId83" Type="http://schemas.openxmlformats.org/officeDocument/2006/relationships/hyperlink" Target="https://documents-dds-ny.un.org/doc/UNDOC/GEN/G21/383/31/PDF/G2138331.pdf?OpenElement" TargetMode="External"/><Relationship Id="rId88" Type="http://schemas.openxmlformats.org/officeDocument/2006/relationships/hyperlink" Target="https://www.thaipbsworld.com/survey-shows-75-of-thai-women-experience-domestic-violence-more-than-once/" TargetMode="External"/><Relationship Id="rId91" Type="http://schemas.openxmlformats.org/officeDocument/2006/relationships/hyperlink" Target="https://www.manushyafoundation.org/thailand-third-upr-cycle-factsheet-women-who-are-subjected-to-male-violence" TargetMode="External"/><Relationship Id="rId96" Type="http://schemas.openxmlformats.org/officeDocument/2006/relationships/hyperlink" Target="https://tdri.or.th/en/2020/11/abuse-against-women-still-prevalent/" TargetMode="External"/><Relationship Id="rId1" Type="http://schemas.openxmlformats.org/officeDocument/2006/relationships/hyperlink" Target="https://borgenproject.org/feminization-of-poverty-in-thailand/" TargetMode="External"/><Relationship Id="rId6" Type="http://schemas.openxmlformats.org/officeDocument/2006/relationships/hyperlink" Target="https://asiapacific.unwomen.org/en/news-and-events/stories/2020/06/against-the-odds-stories-from-women-in-thailand-during-covid19" TargetMode="External"/><Relationship Id="rId15" Type="http://schemas.openxmlformats.org/officeDocument/2006/relationships/hyperlink" Target="https://www.manushyafoundation.org/nba-bhr-working-paper-gender-lens" TargetMode="External"/><Relationship Id="rId23" Type="http://schemas.openxmlformats.org/officeDocument/2006/relationships/hyperlink" Target="https://www.ilo.org/asia/media-centre/news/WCMS_844750/lang--en/index.htm" TargetMode="External"/><Relationship Id="rId28" Type="http://schemas.openxmlformats.org/officeDocument/2006/relationships/hyperlink" Target="https://www.manushyafoundation.org/thailand-third-upr-cycle-factsheet-the-rights-of-sex-workers" TargetMode="External"/><Relationship Id="rId36" Type="http://schemas.openxmlformats.org/officeDocument/2006/relationships/hyperlink" Target="https://www.bangkokpost.com/life/social-and-lifestyle/2402151/thailand-to-legalise-abortion-up-to-20-weeks" TargetMode="External"/><Relationship Id="rId49" Type="http://schemas.openxmlformats.org/officeDocument/2006/relationships/hyperlink" Target="https://www.manushyafoundation.org/joint-civil-society-report-cerd" TargetMode="External"/><Relationship Id="rId57" Type="http://schemas.openxmlformats.org/officeDocument/2006/relationships/hyperlink" Target="https://www.manushyafoundation.org/upr-factsheet-rights-of-persons-with-disabilities-in-thailand" TargetMode="External"/><Relationship Id="rId10" Type="http://schemas.openxmlformats.org/officeDocument/2006/relationships/hyperlink" Target="https://www.thaipbsworld.com/labour-day-brings-little-cheer-for-thailands-20-million-informal-workers/" TargetMode="External"/><Relationship Id="rId31" Type="http://schemas.openxmlformats.org/officeDocument/2006/relationships/hyperlink" Target="https://www.ilo.org/dyn/natlex/docs/ELECTRONIC/49727/125954/F-1924487677/THA49727%20Eng.pdf" TargetMode="External"/><Relationship Id="rId44" Type="http://schemas.openxmlformats.org/officeDocument/2006/relationships/hyperlink" Target="https://www.manushyafoundation.org/joint-upr-submission-ipwomen" TargetMode="External"/><Relationship Id="rId52" Type="http://schemas.openxmlformats.org/officeDocument/2006/relationships/hyperlink" Target="https://www.manushyafoundation.org/joint-upr-submission-ipwomen" TargetMode="External"/><Relationship Id="rId60" Type="http://schemas.openxmlformats.org/officeDocument/2006/relationships/hyperlink" Target="http://ilo.org/dyn/natlex/natlex4.detail?p_lang=en&amp;p_isn=69641&amp;p_country=THA&amp;p_count=441" TargetMode="External"/><Relationship Id="rId65" Type="http://schemas.openxmlformats.org/officeDocument/2006/relationships/hyperlink" Target="https://www.manushyafoundation.org/thailand-third-upr-cycle-factsheet-elderly-rights" TargetMode="External"/><Relationship Id="rId73" Type="http://schemas.openxmlformats.org/officeDocument/2006/relationships/hyperlink" Target="https://www.manushyafoundation.org/post/we-have-to-savechana" TargetMode="External"/><Relationship Id="rId78" Type="http://schemas.openxmlformats.org/officeDocument/2006/relationships/hyperlink" Target="https://www.manushyafoundation.org/iwnt-report" TargetMode="External"/><Relationship Id="rId81" Type="http://schemas.openxmlformats.org/officeDocument/2006/relationships/hyperlink" Target="https://www.manushyafoundation.org/thailand-third-upr-cycle-factsheet-human-trafficking" TargetMode="External"/><Relationship Id="rId86" Type="http://schemas.openxmlformats.org/officeDocument/2006/relationships/hyperlink" Target="https://southeastasiaglobe.com/domestic-violence-thailand/" TargetMode="External"/><Relationship Id="rId94" Type="http://schemas.openxmlformats.org/officeDocument/2006/relationships/hyperlink" Target="https://www.manushyafoundation.org/thailand-third-upr-cycle-factsheet-women-who-are-subjected-to-male-violence" TargetMode="External"/><Relationship Id="rId99" Type="http://schemas.openxmlformats.org/officeDocument/2006/relationships/hyperlink" Target="https://www.manushyafoundation.org/joint-civil-society-report-cerd" TargetMode="External"/><Relationship Id="rId101" Type="http://schemas.openxmlformats.org/officeDocument/2006/relationships/hyperlink" Target="https://www.girlsnotbrides.org/learning-resources/child-marriage-atlas/regions-and-countries/thailand/" TargetMode="External"/><Relationship Id="rId4" Type="http://schemas.openxmlformats.org/officeDocument/2006/relationships/hyperlink" Target="https://interactive.unwomen.org/multimedia/infographic/economicempowermentindianocean/en/thailand.html" TargetMode="External"/><Relationship Id="rId9" Type="http://schemas.openxmlformats.org/officeDocument/2006/relationships/hyperlink" Target="https://www.manushyafoundation.org/nba-bhr-decent-working-conditions" TargetMode="External"/><Relationship Id="rId13" Type="http://schemas.openxmlformats.org/officeDocument/2006/relationships/hyperlink" Target="https://www.manushyafoundation.org/thailand-third-upr-cycle-factsheet-labour-rights" TargetMode="External"/><Relationship Id="rId18" Type="http://schemas.openxmlformats.org/officeDocument/2006/relationships/hyperlink" Target="https://www.manushyafoundation.org/post/nada-chaiyajit-was-sued-for-defamation-for-facebook-posts-denouncing-sexual-harassment" TargetMode="External"/><Relationship Id="rId39" Type="http://schemas.openxmlformats.org/officeDocument/2006/relationships/hyperlink" Target="https://www.channelnewsasia.com/asia/thailand-safe-abortion-legalisation-social-stigma-2338306" TargetMode="External"/><Relationship Id="rId34" Type="http://schemas.openxmlformats.org/officeDocument/2006/relationships/hyperlink" Target="https://www.ohchr.org/en/statements/2021/09/abortion-essential-healthcare-and-womens-health-must-be-prioritized-over" TargetMode="External"/><Relationship Id="rId50" Type="http://schemas.openxmlformats.org/officeDocument/2006/relationships/hyperlink" Target="https://www.manushyafoundation.org/joint-civil-society-cerd-shadow-report" TargetMode="External"/><Relationship Id="rId55" Type="http://schemas.openxmlformats.org/officeDocument/2006/relationships/hyperlink" Target="https://www.ssa.gov/policy/docs/progdesc/ssptw/2018-2019/asia/thailand.html" TargetMode="External"/><Relationship Id="rId76" Type="http://schemas.openxmlformats.org/officeDocument/2006/relationships/hyperlink" Target="https://www.manushyafoundation.org/joint-upr-submission-safeabortion" TargetMode="External"/><Relationship Id="rId97" Type="http://schemas.openxmlformats.org/officeDocument/2006/relationships/hyperlink" Target="https://www.manushyafoundation.org/joint-civil-society-report-cerd" TargetMode="External"/><Relationship Id="rId104" Type="http://schemas.openxmlformats.org/officeDocument/2006/relationships/hyperlink" Target="https://www.manushyafoundation.org/joint-upr-submission-sogiesc" TargetMode="External"/><Relationship Id="rId7" Type="http://schemas.openxmlformats.org/officeDocument/2006/relationships/hyperlink" Target="https://www.unescap.org/kp/2021/addressing-unpaid-care-work-asean" TargetMode="External"/><Relationship Id="rId71" Type="http://schemas.openxmlformats.org/officeDocument/2006/relationships/hyperlink" Target="https://issuu.com/wgjp/docs/enforced_disappearances_in_thailand_03" TargetMode="External"/><Relationship Id="rId92" Type="http://schemas.openxmlformats.org/officeDocument/2006/relationships/hyperlink" Target="https://www.manushyafoundation.org/thailand-third-upr-cycle-factsheet-women-who-are-subjected-to-male-violence" TargetMode="External"/><Relationship Id="rId2" Type="http://schemas.openxmlformats.org/officeDocument/2006/relationships/hyperlink" Target="https://interactive.unwomen.org/multimedia/infographic/economicempowermentindianocean/en/thailand.html" TargetMode="External"/><Relationship Id="rId29" Type="http://schemas.openxmlformats.org/officeDocument/2006/relationships/hyperlink" Target="https://www.manushyafoundation.org/upr-factsheet-rights-of-persons-with-disabilities-in-thailand" TargetMode="External"/><Relationship Id="rId24" Type="http://schemas.openxmlformats.org/officeDocument/2006/relationships/hyperlink" Target="https://www.ohchr.org/en/press-releases/2021/12/dialogue-thailand-experts-committee-elimination-racial-discrimination-ask" TargetMode="External"/><Relationship Id="rId40" Type="http://schemas.openxmlformats.org/officeDocument/2006/relationships/hyperlink" Target="https://www.manushyafoundation.org/thailand-third-upr-cycle-factsheet-safe-abortion" TargetMode="External"/><Relationship Id="rId45" Type="http://schemas.openxmlformats.org/officeDocument/2006/relationships/hyperlink" Target="https://www.manushyafoundation.org/iwnt-report" TargetMode="External"/><Relationship Id="rId66" Type="http://schemas.openxmlformats.org/officeDocument/2006/relationships/hyperlink" Target="http://web.krisdika.go.th/data/outsitedata/outsite21/file/Social_Security_Act_B.E._2533.pdf" TargetMode="External"/><Relationship Id="rId87" Type="http://schemas.openxmlformats.org/officeDocument/2006/relationships/hyperlink" Target="https://prachatai.com/english/node/9975" TargetMode="External"/><Relationship Id="rId61" Type="http://schemas.openxmlformats.org/officeDocument/2006/relationships/hyperlink" Target="https://www.ssa.gov/policy/docs/progdesc/ssptw/2018-2019/asia/thailand.html" TargetMode="External"/><Relationship Id="rId82" Type="http://schemas.openxmlformats.org/officeDocument/2006/relationships/hyperlink" Target="https://www.upr-info.org/sites/default/files/documents/2013-10/js6-jointsubmission6-eng.pdf" TargetMode="External"/><Relationship Id="rId19" Type="http://schemas.openxmlformats.org/officeDocument/2006/relationships/hyperlink" Target="https://www.ilo.org/dyn/natlex/docs/ELECTRONIC/49727/125954/F-1924487677/THA49727%20Eng.pdf" TargetMode="External"/><Relationship Id="rId14" Type="http://schemas.openxmlformats.org/officeDocument/2006/relationships/hyperlink" Target="https://www.manushyafoundation.org/nba-bhr-gender-discrimination" TargetMode="External"/><Relationship Id="rId30" Type="http://schemas.openxmlformats.org/officeDocument/2006/relationships/hyperlink" Target="https://minorityrights.org/publications/disability-thailand/" TargetMode="External"/><Relationship Id="rId35" Type="http://schemas.openxmlformats.org/officeDocument/2006/relationships/hyperlink" Target="http://www.ratchakitcha.soc.go.th/DATA/PDF/2565/E/228/T_0001.PDF" TargetMode="External"/><Relationship Id="rId56" Type="http://schemas.openxmlformats.org/officeDocument/2006/relationships/hyperlink" Target="https://www.ssa.gov/policy/docs/progdesc/ssptw/2018-2019/asia/thailand.html" TargetMode="External"/><Relationship Id="rId77" Type="http://schemas.openxmlformats.org/officeDocument/2006/relationships/hyperlink" Target="https://www.manushyafoundation.org/iwnt-report" TargetMode="External"/><Relationship Id="rId100" Type="http://schemas.openxmlformats.org/officeDocument/2006/relationships/hyperlink" Target="https://www.girlsnotbrides.org/learning-resources/child-marriage-atlas/regions-and-countries/thailand/" TargetMode="External"/><Relationship Id="rId105" Type="http://schemas.openxmlformats.org/officeDocument/2006/relationships/hyperlink" Target="https://www.manushyafoundation.org/post/the-constitutional-court-never-fails-to-shock-us" TargetMode="External"/><Relationship Id="rId8" Type="http://schemas.openxmlformats.org/officeDocument/2006/relationships/hyperlink" Target="https://www.apec.org/publications/2022/03/unpaid-care-and-domestic-work-counting-the-costs" TargetMode="External"/><Relationship Id="rId51" Type="http://schemas.openxmlformats.org/officeDocument/2006/relationships/hyperlink" Target="https://uprdoc.ohchr.org/uprweb/downloadfile.aspx?filename=9028&amp;file=CoverPage" TargetMode="External"/><Relationship Id="rId72" Type="http://schemas.openxmlformats.org/officeDocument/2006/relationships/hyperlink" Target="https://www.manushyafoundation.org/complaint-for-urgent-action-savesabwaivillagers-from-forced-evictions" TargetMode="External"/><Relationship Id="rId93" Type="http://schemas.openxmlformats.org/officeDocument/2006/relationships/hyperlink" Target="https://www.manushyafoundation.org/thailand-third-upr-cycle-factsheet-women-who-are-subjected-to-male-violence" TargetMode="External"/><Relationship Id="rId98" Type="http://schemas.openxmlformats.org/officeDocument/2006/relationships/hyperlink" Target="https://www.manushyafoundation.org/joint-civil-society-report-cerd" TargetMode="External"/><Relationship Id="rId3" Type="http://schemas.openxmlformats.org/officeDocument/2006/relationships/hyperlink" Target="https://borgenproject.org/feminization-of-poverty-in-thailand/" TargetMode="External"/><Relationship Id="rId25" Type="http://schemas.openxmlformats.org/officeDocument/2006/relationships/hyperlink" Target="https://www.manushyafoundation.org/nba-bhr-protection-migrant-workers" TargetMode="External"/><Relationship Id="rId46" Type="http://schemas.openxmlformats.org/officeDocument/2006/relationships/hyperlink" Target="https://prachatai.com/english/node/8475" TargetMode="External"/><Relationship Id="rId67" Type="http://schemas.openxmlformats.org/officeDocument/2006/relationships/hyperlink" Target="https://www.manushyafoundation.org/nba-bhr-protection-migrant-worker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7E855D-0A58-4C99-A799-11D969CDB662}"/>
</file>

<file path=customXml/itemProps2.xml><?xml version="1.0" encoding="utf-8"?>
<ds:datastoreItem xmlns:ds="http://schemas.openxmlformats.org/officeDocument/2006/customXml" ds:itemID="{6E138083-5349-4D01-B0E5-30494E5484ED}"/>
</file>

<file path=customXml/itemProps3.xml><?xml version="1.0" encoding="utf-8"?>
<ds:datastoreItem xmlns:ds="http://schemas.openxmlformats.org/officeDocument/2006/customXml" ds:itemID="{FF91647B-A299-4579-9029-F94136E86A1F}"/>
</file>

<file path=docProps/app.xml><?xml version="1.0" encoding="utf-8"?>
<Properties xmlns="http://schemas.openxmlformats.org/officeDocument/2006/extended-properties" xmlns:vt="http://schemas.openxmlformats.org/officeDocument/2006/docPropsVTypes">
  <Template>Normal</Template>
  <TotalTime>0</TotalTime>
  <Pages>23</Pages>
  <Words>6515</Words>
  <Characters>37136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Manushya Foundation</dc:creator>
  <cp:keywords/>
  <dc:description/>
  <cp:lastModifiedBy>Emilie Palamy Pradichit</cp:lastModifiedBy>
  <cp:revision>2</cp:revision>
  <dcterms:created xsi:type="dcterms:W3CDTF">2022-10-10T07:08:00Z</dcterms:created>
  <dcterms:modified xsi:type="dcterms:W3CDTF">2022-10-10T07:08:00Z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