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6AE7" w:rsidRPr="006C3188" w:rsidRDefault="006C3188" w:rsidP="006C3188">
      <w:pPr>
        <w:spacing w:line="360" w:lineRule="auto"/>
        <w:jc w:val="center"/>
        <w:rPr>
          <w:rFonts w:eastAsia="Times New Roman Bold" w:hAnsi="Times New Roman" w:cs="Times New Roman"/>
          <w:b/>
          <w:sz w:val="28"/>
          <w:szCs w:val="28"/>
          <w:lang w:val="en-US"/>
        </w:rPr>
      </w:pPr>
      <w:bookmarkStart w:id="0" w:name="_GoBack"/>
      <w:bookmarkEnd w:id="0"/>
      <w:r>
        <w:rPr>
          <w:rFonts w:hAnsi="Times New Roman" w:cs="Times New Roman"/>
          <w:b/>
          <w:sz w:val="28"/>
          <w:szCs w:val="28"/>
          <w:lang w:val="en-US"/>
        </w:rPr>
        <w:t>Information</w:t>
      </w:r>
    </w:p>
    <w:p w:rsidR="00E46AE7" w:rsidRPr="006C3188" w:rsidRDefault="006C3188" w:rsidP="006C3188">
      <w:pPr>
        <w:spacing w:line="360" w:lineRule="auto"/>
        <w:jc w:val="center"/>
        <w:rPr>
          <w:rFonts w:eastAsia="Times New Roman Bold" w:hAnsi="Times New Roman" w:cs="Times New Roman"/>
          <w:b/>
          <w:sz w:val="28"/>
          <w:szCs w:val="28"/>
          <w:lang w:val="en-US"/>
        </w:rPr>
      </w:pPr>
      <w:r>
        <w:rPr>
          <w:rFonts w:hAnsi="Times New Roman" w:cs="Times New Roman"/>
          <w:b/>
          <w:sz w:val="28"/>
          <w:szCs w:val="28"/>
          <w:lang w:val="en-US"/>
        </w:rPr>
        <w:t>by</w:t>
      </w:r>
      <w:r w:rsidR="00327161" w:rsidRPr="006C3188">
        <w:rPr>
          <w:rFonts w:hAnsi="Times New Roman" w:cs="Times New Roman"/>
          <w:b/>
          <w:sz w:val="28"/>
          <w:szCs w:val="28"/>
          <w:lang w:val="en-US"/>
        </w:rPr>
        <w:t xml:space="preserve"> the Commissioner for Human Rights (Ombudsman)</w:t>
      </w:r>
    </w:p>
    <w:p w:rsidR="00E46AE7" w:rsidRPr="006C3188" w:rsidRDefault="00327161" w:rsidP="006C3188">
      <w:pPr>
        <w:spacing w:line="360" w:lineRule="auto"/>
        <w:jc w:val="center"/>
        <w:rPr>
          <w:rFonts w:eastAsia="Times New Roman Bold" w:hAnsi="Times New Roman" w:cs="Times New Roman"/>
          <w:b/>
          <w:sz w:val="28"/>
          <w:szCs w:val="28"/>
          <w:lang w:val="en-US"/>
        </w:rPr>
      </w:pPr>
      <w:r w:rsidRPr="006C3188">
        <w:rPr>
          <w:rFonts w:hAnsi="Times New Roman" w:cs="Times New Roman"/>
          <w:b/>
          <w:sz w:val="28"/>
          <w:szCs w:val="28"/>
          <w:lang w:val="en-US"/>
        </w:rPr>
        <w:t>in the Republic of Kazakhstan on</w:t>
      </w:r>
    </w:p>
    <w:p w:rsidR="006C3188" w:rsidRDefault="00327161" w:rsidP="006C3188">
      <w:pPr>
        <w:spacing w:line="360" w:lineRule="auto"/>
        <w:jc w:val="center"/>
        <w:rPr>
          <w:rFonts w:hAnsi="Times New Roman" w:cs="Times New Roman"/>
          <w:b/>
          <w:sz w:val="28"/>
          <w:szCs w:val="28"/>
          <w:lang w:val="en-US"/>
        </w:rPr>
      </w:pPr>
      <w:r w:rsidRPr="006C3188">
        <w:rPr>
          <w:rFonts w:hAnsi="Times New Roman" w:cs="Times New Roman"/>
          <w:b/>
          <w:sz w:val="28"/>
          <w:szCs w:val="28"/>
          <w:lang w:val="en-US"/>
        </w:rPr>
        <w:t xml:space="preserve">National Preventive Mechanism </w:t>
      </w:r>
    </w:p>
    <w:p w:rsidR="00E46AE7" w:rsidRPr="006C3188" w:rsidRDefault="00386DBE" w:rsidP="006C3188">
      <w:pPr>
        <w:spacing w:line="360" w:lineRule="auto"/>
        <w:jc w:val="center"/>
        <w:rPr>
          <w:rFonts w:eastAsia="Times New Roman Bold" w:hAnsi="Times New Roman" w:cs="Times New Roman"/>
          <w:b/>
          <w:sz w:val="28"/>
          <w:szCs w:val="28"/>
          <w:lang w:val="en-US"/>
        </w:rPr>
      </w:pPr>
      <w:r w:rsidRPr="006C3188">
        <w:rPr>
          <w:rFonts w:hAnsi="Times New Roman" w:cs="Times New Roman"/>
          <w:b/>
          <w:sz w:val="28"/>
          <w:szCs w:val="28"/>
          <w:lang w:val="en-US"/>
        </w:rPr>
        <w:t>under the Optional Protocol to the Convention against Torture</w:t>
      </w:r>
    </w:p>
    <w:p w:rsidR="00E46AE7" w:rsidRPr="006C3188" w:rsidRDefault="00E46AE7" w:rsidP="006C3188">
      <w:pPr>
        <w:spacing w:line="360" w:lineRule="auto"/>
        <w:jc w:val="both"/>
        <w:rPr>
          <w:rFonts w:hAnsi="Times New Roman" w:cs="Times New Roman"/>
          <w:sz w:val="28"/>
          <w:szCs w:val="28"/>
          <w:lang w:val="en-US"/>
        </w:rPr>
      </w:pP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The </w:t>
      </w:r>
      <w:r w:rsidR="00386DBE" w:rsidRPr="006C3188">
        <w:rPr>
          <w:rFonts w:hAnsi="Times New Roman" w:cs="Times New Roman"/>
          <w:sz w:val="28"/>
          <w:szCs w:val="28"/>
          <w:lang w:val="en-US"/>
        </w:rPr>
        <w:t xml:space="preserve">prohibition of </w:t>
      </w:r>
      <w:r w:rsidRPr="006C3188">
        <w:rPr>
          <w:rFonts w:hAnsi="Times New Roman" w:cs="Times New Roman"/>
          <w:sz w:val="28"/>
          <w:szCs w:val="28"/>
          <w:lang w:val="en-US"/>
        </w:rPr>
        <w:t>us</w:t>
      </w:r>
      <w:r w:rsidR="00386DBE" w:rsidRPr="006C3188">
        <w:rPr>
          <w:rFonts w:hAnsi="Times New Roman" w:cs="Times New Roman"/>
          <w:sz w:val="28"/>
          <w:szCs w:val="28"/>
          <w:lang w:val="en-US"/>
        </w:rPr>
        <w:t>ing</w:t>
      </w:r>
      <w:r w:rsidRPr="006C3188">
        <w:rPr>
          <w:rFonts w:hAnsi="Times New Roman" w:cs="Times New Roman"/>
          <w:sz w:val="28"/>
          <w:szCs w:val="28"/>
          <w:lang w:val="en-US"/>
        </w:rPr>
        <w:t xml:space="preserve"> torture, violence and other forms of cruel or degrading t</w:t>
      </w:r>
      <w:r w:rsidR="001F0F8B" w:rsidRPr="006C3188">
        <w:rPr>
          <w:rFonts w:hAnsi="Times New Roman" w:cs="Times New Roman"/>
          <w:sz w:val="28"/>
          <w:szCs w:val="28"/>
          <w:lang w:val="en-US"/>
        </w:rPr>
        <w:t>reatment or punishment</w:t>
      </w:r>
      <w:r w:rsidR="00386DBE" w:rsidRPr="006C3188">
        <w:rPr>
          <w:rFonts w:hAnsi="Times New Roman" w:cs="Times New Roman"/>
          <w:sz w:val="28"/>
          <w:szCs w:val="28"/>
          <w:lang w:val="en-US"/>
        </w:rPr>
        <w:t xml:space="preserve"> is formalized by Article 17, Pa</w:t>
      </w:r>
      <w:r w:rsidRPr="006C3188">
        <w:rPr>
          <w:rFonts w:hAnsi="Times New Roman" w:cs="Times New Roman"/>
          <w:sz w:val="28"/>
          <w:szCs w:val="28"/>
          <w:lang w:val="en-US"/>
        </w:rPr>
        <w:t>ra</w:t>
      </w:r>
      <w:r w:rsidR="00386DBE" w:rsidRPr="006C3188">
        <w:rPr>
          <w:rFonts w:hAnsi="Times New Roman" w:cs="Times New Roman"/>
          <w:sz w:val="28"/>
          <w:szCs w:val="28"/>
          <w:lang w:val="en-US"/>
        </w:rPr>
        <w:t>graph</w:t>
      </w:r>
      <w:r w:rsidRPr="006C3188">
        <w:rPr>
          <w:rFonts w:hAnsi="Times New Roman" w:cs="Times New Roman"/>
          <w:sz w:val="28"/>
          <w:szCs w:val="28"/>
          <w:lang w:val="en-US"/>
        </w:rPr>
        <w:t xml:space="preserve"> 2 of the </w:t>
      </w:r>
      <w:r w:rsidR="00386DBE" w:rsidRPr="006C3188">
        <w:rPr>
          <w:rFonts w:hAnsi="Times New Roman" w:cs="Times New Roman"/>
          <w:sz w:val="28"/>
          <w:szCs w:val="28"/>
          <w:lang w:val="en-US"/>
        </w:rPr>
        <w:t>Constitution of the Republic of Kazakhstan.</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Kazakhstan is also a </w:t>
      </w:r>
      <w:r w:rsidR="001F0F8B" w:rsidRPr="006C3188">
        <w:rPr>
          <w:rFonts w:hAnsi="Times New Roman" w:cs="Times New Roman"/>
          <w:sz w:val="28"/>
          <w:szCs w:val="28"/>
          <w:lang w:val="en-US"/>
        </w:rPr>
        <w:t xml:space="preserve">party to </w:t>
      </w:r>
      <w:r w:rsidRPr="006C3188">
        <w:rPr>
          <w:rFonts w:hAnsi="Times New Roman" w:cs="Times New Roman"/>
          <w:sz w:val="28"/>
          <w:szCs w:val="28"/>
          <w:lang w:val="en-US"/>
        </w:rPr>
        <w:t xml:space="preserve">the main international treaties and mechanisms on torture prevention.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In particular, the Republic of Kazakhstan has joined the Convention Against Torture in 1998 and has ratified the Optional Protocol thereof in 2008, where one of the requirements was to establish or to support </w:t>
      </w:r>
      <w:r w:rsidR="001F0F8B" w:rsidRPr="006C3188">
        <w:rPr>
          <w:rFonts w:hAnsi="Times New Roman" w:cs="Times New Roman"/>
          <w:sz w:val="28"/>
          <w:szCs w:val="28"/>
          <w:lang w:val="en-US"/>
        </w:rPr>
        <w:t xml:space="preserve">the </w:t>
      </w:r>
      <w:r w:rsidRPr="006C3188">
        <w:rPr>
          <w:rFonts w:hAnsi="Times New Roman" w:cs="Times New Roman"/>
          <w:sz w:val="28"/>
          <w:szCs w:val="28"/>
          <w:lang w:val="en-US"/>
        </w:rPr>
        <w:t xml:space="preserve">NPM during one year.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However, due to the global financial-economic crisis and forced budget cuts this commitment had to be left unimplemented.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Since the state’s commitment pertinent to Article 18, para 3 of the Optional Protocol to provide all the required resources for NPM </w:t>
      </w:r>
      <w:r w:rsidR="001F0F8B" w:rsidRPr="006C3188">
        <w:rPr>
          <w:rFonts w:hAnsi="Times New Roman" w:cs="Times New Roman"/>
          <w:sz w:val="28"/>
          <w:szCs w:val="28"/>
          <w:lang w:val="en-US"/>
        </w:rPr>
        <w:t>operation</w:t>
      </w:r>
      <w:r w:rsidRPr="006C3188">
        <w:rPr>
          <w:rFonts w:hAnsi="Times New Roman" w:cs="Times New Roman"/>
          <w:sz w:val="28"/>
          <w:szCs w:val="28"/>
          <w:lang w:val="en-US"/>
        </w:rPr>
        <w:t xml:space="preserve"> entails certain financial expenditure for the national budget, the Presidential Decree No.896 dated November 30, 2009 has announced postponement</w:t>
      </w:r>
      <w:r w:rsidR="001F0F8B" w:rsidRPr="006C3188">
        <w:rPr>
          <w:rFonts w:hAnsi="Times New Roman" w:cs="Times New Roman"/>
          <w:sz w:val="28"/>
          <w:szCs w:val="28"/>
          <w:lang w:val="en-US"/>
        </w:rPr>
        <w:t xml:space="preserve"> of </w:t>
      </w:r>
      <w:r w:rsidRPr="006C3188">
        <w:rPr>
          <w:rFonts w:hAnsi="Times New Roman" w:cs="Times New Roman"/>
          <w:sz w:val="28"/>
          <w:szCs w:val="28"/>
          <w:lang w:val="en-US"/>
        </w:rPr>
        <w:t xml:space="preserve"> implementation of the commitment by 3 years, with reference to Article 24, para 1 of the Protocol.</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The abovementioned period began when the depositary received Kazakhstan’s application for postponement, i.e. since 2011.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The requested postponement has given all the stakeholders including public agencies and NGO sector a chance to carry out a more rigorous work of designing the NPM to be established. </w:t>
      </w:r>
    </w:p>
    <w:p w:rsidR="00E46AE7" w:rsidRPr="006C3188" w:rsidRDefault="001F0F8B"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The </w:t>
      </w:r>
      <w:r w:rsidR="00327161" w:rsidRPr="006C3188">
        <w:rPr>
          <w:rFonts w:hAnsi="Times New Roman" w:cs="Times New Roman"/>
          <w:sz w:val="28"/>
          <w:szCs w:val="28"/>
          <w:lang w:val="en-US"/>
        </w:rPr>
        <w:t xml:space="preserve">Government, Parliament, Supreme Court, Constitutional Council, Presidential Administration, Prosecution General’s Office, Ombudsman and other bodies of executive power, including Ministries of Justice, Interior, </w:t>
      </w:r>
      <w:r w:rsidR="00B4168C" w:rsidRPr="006C3188">
        <w:rPr>
          <w:rFonts w:hAnsi="Times New Roman" w:cs="Times New Roman"/>
          <w:sz w:val="28"/>
          <w:szCs w:val="28"/>
          <w:lang w:val="en-US"/>
        </w:rPr>
        <w:t xml:space="preserve">and </w:t>
      </w:r>
      <w:r w:rsidRPr="006C3188">
        <w:rPr>
          <w:rFonts w:hAnsi="Times New Roman" w:cs="Times New Roman"/>
          <w:sz w:val="28"/>
          <w:szCs w:val="28"/>
          <w:lang w:val="en-US"/>
        </w:rPr>
        <w:t>H</w:t>
      </w:r>
      <w:r w:rsidR="00B4168C" w:rsidRPr="006C3188">
        <w:rPr>
          <w:rFonts w:hAnsi="Times New Roman" w:cs="Times New Roman"/>
          <w:sz w:val="28"/>
          <w:szCs w:val="28"/>
          <w:lang w:val="en-US"/>
        </w:rPr>
        <w:t>ealthcare</w:t>
      </w:r>
      <w:r w:rsidR="00327161" w:rsidRPr="006C3188">
        <w:rPr>
          <w:rFonts w:hAnsi="Times New Roman" w:cs="Times New Roman"/>
          <w:sz w:val="28"/>
          <w:szCs w:val="28"/>
          <w:lang w:val="en-US"/>
        </w:rPr>
        <w:t xml:space="preserve">, </w:t>
      </w:r>
      <w:r w:rsidR="00327161" w:rsidRPr="006C3188">
        <w:rPr>
          <w:rFonts w:hAnsi="Times New Roman" w:cs="Times New Roman"/>
          <w:sz w:val="28"/>
          <w:szCs w:val="28"/>
          <w:lang w:val="en-US"/>
        </w:rPr>
        <w:lastRenderedPageBreak/>
        <w:t xml:space="preserve">representatives of international and non-governmental organizations were involved in drafting of the NPM law.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Given the broad consensus that Ombudsman has a significant role to play in the future of the NPM, the national human rights institution has been maintaining wide public discussions on the NPM  </w:t>
      </w:r>
      <w:r w:rsidR="00386DBE" w:rsidRPr="006C3188">
        <w:rPr>
          <w:rFonts w:hAnsi="Times New Roman" w:cs="Times New Roman"/>
          <w:sz w:val="28"/>
          <w:szCs w:val="28"/>
          <w:lang w:val="en-US"/>
        </w:rPr>
        <w:t xml:space="preserve">draft law </w:t>
      </w:r>
      <w:r w:rsidRPr="006C3188">
        <w:rPr>
          <w:rFonts w:hAnsi="Times New Roman" w:cs="Times New Roman"/>
          <w:sz w:val="28"/>
          <w:szCs w:val="28"/>
          <w:lang w:val="en-US"/>
        </w:rPr>
        <w:t xml:space="preserve">and ensured involvement of civil society representatives.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The Working Group under the Government in charge of law-drafting included representatives of 13 NGOs, and 4 international organizations, namely </w:t>
      </w:r>
      <w:r w:rsidR="001F0F8B" w:rsidRPr="006C3188">
        <w:rPr>
          <w:rFonts w:hAnsi="Times New Roman" w:cs="Times New Roman"/>
          <w:sz w:val="28"/>
          <w:szCs w:val="28"/>
          <w:lang w:val="en-US"/>
        </w:rPr>
        <w:t xml:space="preserve">UN </w:t>
      </w:r>
      <w:r w:rsidRPr="006C3188">
        <w:rPr>
          <w:rFonts w:hAnsi="Times New Roman" w:cs="Times New Roman"/>
          <w:sz w:val="28"/>
          <w:szCs w:val="28"/>
          <w:lang w:val="en-US"/>
        </w:rPr>
        <w:t xml:space="preserve">OHCHR Office in Central Asia, Penal Reform </w:t>
      </w:r>
      <w:r w:rsidR="00386DBE" w:rsidRPr="006C3188">
        <w:rPr>
          <w:rFonts w:hAnsi="Times New Roman" w:cs="Times New Roman"/>
          <w:sz w:val="28"/>
          <w:szCs w:val="28"/>
          <w:lang w:val="en-US"/>
        </w:rPr>
        <w:t xml:space="preserve">International in </w:t>
      </w:r>
      <w:r w:rsidRPr="006C3188">
        <w:rPr>
          <w:rFonts w:hAnsi="Times New Roman" w:cs="Times New Roman"/>
          <w:sz w:val="28"/>
          <w:szCs w:val="28"/>
          <w:lang w:val="en-US"/>
        </w:rPr>
        <w:t xml:space="preserve">Central Asia, OSCE Center in Astana and International Journalism Center (Medianet).   Other NGOs, who have drafted alternative version of the NPM </w:t>
      </w:r>
      <w:r w:rsidR="00386DBE" w:rsidRPr="006C3188">
        <w:rPr>
          <w:rFonts w:hAnsi="Times New Roman" w:cs="Times New Roman"/>
          <w:sz w:val="28"/>
          <w:szCs w:val="28"/>
          <w:lang w:val="en-US"/>
        </w:rPr>
        <w:t>l</w:t>
      </w:r>
      <w:r w:rsidRPr="006C3188">
        <w:rPr>
          <w:rFonts w:hAnsi="Times New Roman" w:cs="Times New Roman"/>
          <w:sz w:val="28"/>
          <w:szCs w:val="28"/>
          <w:lang w:val="en-US"/>
        </w:rPr>
        <w:t xml:space="preserve">aw were also involved.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Following the results of </w:t>
      </w:r>
      <w:r w:rsidR="00386DBE" w:rsidRPr="006C3188">
        <w:rPr>
          <w:rFonts w:hAnsi="Times New Roman" w:cs="Times New Roman"/>
          <w:sz w:val="28"/>
          <w:szCs w:val="28"/>
          <w:lang w:val="en-US"/>
        </w:rPr>
        <w:t>continuous</w:t>
      </w:r>
      <w:r w:rsidRPr="006C3188">
        <w:rPr>
          <w:rFonts w:hAnsi="Times New Roman" w:cs="Times New Roman"/>
          <w:sz w:val="28"/>
          <w:szCs w:val="28"/>
          <w:lang w:val="en-US"/>
        </w:rPr>
        <w:t xml:space="preserve"> debates that took place within the Working Group, significant amount of proposals made by the civil society ha</w:t>
      </w:r>
      <w:r w:rsidR="00386DBE" w:rsidRPr="006C3188">
        <w:rPr>
          <w:rFonts w:hAnsi="Times New Roman" w:cs="Times New Roman"/>
          <w:sz w:val="28"/>
          <w:szCs w:val="28"/>
          <w:lang w:val="en-US"/>
        </w:rPr>
        <w:t>s</w:t>
      </w:r>
      <w:r w:rsidRPr="006C3188">
        <w:rPr>
          <w:rFonts w:hAnsi="Times New Roman" w:cs="Times New Roman"/>
          <w:sz w:val="28"/>
          <w:szCs w:val="28"/>
          <w:lang w:val="en-US"/>
        </w:rPr>
        <w:t xml:space="preserve"> been reflected in the final document. </w:t>
      </w:r>
    </w:p>
    <w:p w:rsidR="00E46AE7" w:rsidRPr="006C3188" w:rsidRDefault="001F0F8B"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The </w:t>
      </w:r>
      <w:r w:rsidR="00327161" w:rsidRPr="006C3188">
        <w:rPr>
          <w:rFonts w:hAnsi="Times New Roman" w:cs="Times New Roman"/>
          <w:sz w:val="28"/>
          <w:szCs w:val="28"/>
          <w:lang w:val="en-US"/>
        </w:rPr>
        <w:t xml:space="preserve">Justice Ministry </w:t>
      </w:r>
      <w:r w:rsidR="00386DBE" w:rsidRPr="006C3188">
        <w:rPr>
          <w:rFonts w:hAnsi="Times New Roman" w:cs="Times New Roman"/>
          <w:sz w:val="28"/>
          <w:szCs w:val="28"/>
          <w:lang w:val="en-US"/>
        </w:rPr>
        <w:t xml:space="preserve">of the Republic of Kazakhstan as the body responsible for making the most important laws in Kazakhstan’s legal practice </w:t>
      </w:r>
      <w:r w:rsidR="00327161" w:rsidRPr="006C3188">
        <w:rPr>
          <w:rFonts w:hAnsi="Times New Roman" w:cs="Times New Roman"/>
          <w:sz w:val="28"/>
          <w:szCs w:val="28"/>
          <w:lang w:val="en-US"/>
        </w:rPr>
        <w:t>was appointed as</w:t>
      </w:r>
      <w:r w:rsidR="00386DBE" w:rsidRPr="006C3188">
        <w:rPr>
          <w:rFonts w:hAnsi="Times New Roman" w:cs="Times New Roman"/>
          <w:sz w:val="28"/>
          <w:szCs w:val="28"/>
          <w:lang w:val="en-US"/>
        </w:rPr>
        <w:t xml:space="preserve"> the main author of the draft law</w:t>
      </w:r>
      <w:r w:rsidR="00327161" w:rsidRPr="006C3188">
        <w:rPr>
          <w:rFonts w:hAnsi="Times New Roman" w:cs="Times New Roman"/>
          <w:sz w:val="28"/>
          <w:szCs w:val="28"/>
          <w:lang w:val="en-US"/>
        </w:rPr>
        <w:t xml:space="preserve">.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Number of conferences, round-tables and other activities with participation of members of </w:t>
      </w:r>
      <w:r w:rsidR="00386DBE" w:rsidRPr="006C3188">
        <w:rPr>
          <w:rFonts w:hAnsi="Times New Roman" w:cs="Times New Roman"/>
          <w:sz w:val="28"/>
          <w:szCs w:val="28"/>
          <w:lang w:val="en-US"/>
        </w:rPr>
        <w:t>P</w:t>
      </w:r>
      <w:r w:rsidRPr="006C3188">
        <w:rPr>
          <w:rFonts w:hAnsi="Times New Roman" w:cs="Times New Roman"/>
          <w:sz w:val="28"/>
          <w:szCs w:val="28"/>
          <w:lang w:val="en-US"/>
        </w:rPr>
        <w:t xml:space="preserve">arliament, representatives of public agencies, human rights organizations and international experts took place in the course of drafting of the law.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There were visiting sessions of the Working Group members to correctional institutions, where individual meetings with prison staff and prisoners took place</w:t>
      </w:r>
      <w:r w:rsidR="00B4168C" w:rsidRPr="006C3188">
        <w:rPr>
          <w:rFonts w:hAnsi="Times New Roman" w:cs="Times New Roman"/>
          <w:sz w:val="28"/>
          <w:szCs w:val="28"/>
          <w:lang w:val="en-US"/>
        </w:rPr>
        <w:t>; presentations</w:t>
      </w:r>
      <w:r w:rsidRPr="006C3188">
        <w:rPr>
          <w:rFonts w:hAnsi="Times New Roman" w:cs="Times New Roman"/>
          <w:sz w:val="28"/>
          <w:szCs w:val="28"/>
          <w:lang w:val="en-US"/>
        </w:rPr>
        <w:t xml:space="preserve"> of the draft law were made.  Such a format allowed legislators learn practical issues relevant to the law and take on board opinions of beneficiaries.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The draft law has been submitted for the Majilis’ (Lower House of Parliament) approval in March 2012.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The profile committee has conducted a public presentation of t</w:t>
      </w:r>
      <w:r w:rsidR="001C76E4" w:rsidRPr="006C3188">
        <w:rPr>
          <w:rFonts w:hAnsi="Times New Roman" w:cs="Times New Roman"/>
          <w:sz w:val="28"/>
          <w:szCs w:val="28"/>
          <w:lang w:val="en-US"/>
        </w:rPr>
        <w:t xml:space="preserve">he draft law on May 8, 2012 that was </w:t>
      </w:r>
      <w:r w:rsidRPr="006C3188">
        <w:rPr>
          <w:rFonts w:hAnsi="Times New Roman" w:cs="Times New Roman"/>
          <w:sz w:val="28"/>
          <w:szCs w:val="28"/>
          <w:lang w:val="en-US"/>
        </w:rPr>
        <w:t xml:space="preserve"> attend</w:t>
      </w:r>
      <w:r w:rsidR="001C76E4" w:rsidRPr="006C3188">
        <w:rPr>
          <w:rFonts w:hAnsi="Times New Roman" w:cs="Times New Roman"/>
          <w:sz w:val="28"/>
          <w:szCs w:val="28"/>
          <w:lang w:val="en-US"/>
        </w:rPr>
        <w:t>ed by</w:t>
      </w:r>
      <w:r w:rsidRPr="006C3188">
        <w:rPr>
          <w:rFonts w:hAnsi="Times New Roman" w:cs="Times New Roman"/>
          <w:sz w:val="28"/>
          <w:szCs w:val="28"/>
          <w:lang w:val="en-US"/>
        </w:rPr>
        <w:t xml:space="preserve"> all stakeholders: public agencies, international and </w:t>
      </w:r>
      <w:r w:rsidR="009A307B" w:rsidRPr="006C3188">
        <w:rPr>
          <w:rFonts w:hAnsi="Times New Roman" w:cs="Times New Roman"/>
          <w:sz w:val="28"/>
          <w:szCs w:val="28"/>
          <w:lang w:val="en-US"/>
        </w:rPr>
        <w:t xml:space="preserve">non-governmental organizations </w:t>
      </w:r>
      <w:r w:rsidRPr="006C3188">
        <w:rPr>
          <w:rFonts w:hAnsi="Times New Roman" w:cs="Times New Roman"/>
          <w:sz w:val="28"/>
          <w:szCs w:val="28"/>
          <w:lang w:val="en-US"/>
        </w:rPr>
        <w:t xml:space="preserve"> as well as media. </w:t>
      </w:r>
    </w:p>
    <w:p w:rsidR="00E46AE7" w:rsidRPr="006C3188" w:rsidRDefault="009A307B"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lastRenderedPageBreak/>
        <w:t>In addition to members of P</w:t>
      </w:r>
      <w:r w:rsidR="00327161" w:rsidRPr="006C3188">
        <w:rPr>
          <w:rFonts w:hAnsi="Times New Roman" w:cs="Times New Roman"/>
          <w:sz w:val="28"/>
          <w:szCs w:val="28"/>
          <w:lang w:val="en-US"/>
        </w:rPr>
        <w:t xml:space="preserve">arliament the Parliamentary Working Group included Ombudsman’s staff, public agencies (firstly, General Prosecutor’s Office, justice and interior ministries), international organizations and NGOs, who were actively working on NPM implementation from the very first days, having maintained thereby format of the previous working group. </w:t>
      </w:r>
    </w:p>
    <w:p w:rsidR="00E46AE7" w:rsidRPr="006C3188" w:rsidRDefault="009A307B"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12</w:t>
      </w:r>
      <w:r w:rsidR="00327161" w:rsidRPr="006C3188">
        <w:rPr>
          <w:rFonts w:hAnsi="Times New Roman" w:cs="Times New Roman"/>
          <w:sz w:val="28"/>
          <w:szCs w:val="28"/>
          <w:lang w:val="en-US"/>
        </w:rPr>
        <w:t xml:space="preserve"> July 2012 issues pertinent to </w:t>
      </w:r>
      <w:r w:rsidRPr="006C3188">
        <w:rPr>
          <w:rFonts w:hAnsi="Times New Roman" w:cs="Times New Roman"/>
          <w:sz w:val="28"/>
          <w:szCs w:val="28"/>
          <w:lang w:val="en-US"/>
        </w:rPr>
        <w:t xml:space="preserve">NPM </w:t>
      </w:r>
      <w:r w:rsidR="00327161" w:rsidRPr="006C3188">
        <w:rPr>
          <w:rFonts w:hAnsi="Times New Roman" w:cs="Times New Roman"/>
          <w:sz w:val="28"/>
          <w:szCs w:val="28"/>
          <w:lang w:val="en-US"/>
        </w:rPr>
        <w:t>establishment were raised during the visit of the UN High Commissioner for Human Rights Navanethem Pillay</w:t>
      </w:r>
      <w:r w:rsidRPr="006C3188">
        <w:rPr>
          <w:rFonts w:hAnsi="Times New Roman" w:cs="Times New Roman"/>
          <w:sz w:val="28"/>
          <w:szCs w:val="28"/>
          <w:lang w:val="en-US"/>
        </w:rPr>
        <w:t xml:space="preserve"> to Kazakhstan</w:t>
      </w:r>
      <w:r w:rsidR="00327161" w:rsidRPr="006C3188">
        <w:rPr>
          <w:rFonts w:hAnsi="Times New Roman" w:cs="Times New Roman"/>
          <w:sz w:val="28"/>
          <w:szCs w:val="28"/>
          <w:lang w:val="en-US"/>
        </w:rPr>
        <w:t xml:space="preserve">.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One should note the positive cooperation with the Subcommittee on Torture Prevention of the UN Committee against torture in the context of discussions on various concept-related issues that occurred in the law-making process.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In particular, the </w:t>
      </w:r>
      <w:r w:rsidR="00B4168C" w:rsidRPr="006C3188">
        <w:rPr>
          <w:rFonts w:hAnsi="Times New Roman" w:cs="Times New Roman"/>
          <w:sz w:val="28"/>
          <w:szCs w:val="28"/>
          <w:lang w:val="en-US"/>
        </w:rPr>
        <w:t>Subcommittee</w:t>
      </w:r>
      <w:r w:rsidRPr="006C3188">
        <w:rPr>
          <w:rFonts w:hAnsi="Times New Roman" w:cs="Times New Roman"/>
          <w:sz w:val="28"/>
          <w:szCs w:val="28"/>
          <w:lang w:val="en-US"/>
        </w:rPr>
        <w:t xml:space="preserve"> on Torture Prevention has issued number of written explanations regarding interpretation of the definition of  “place of detention” as well as </w:t>
      </w:r>
      <w:r w:rsidR="001C76E4" w:rsidRPr="006C3188">
        <w:rPr>
          <w:rFonts w:hAnsi="Times New Roman" w:cs="Times New Roman"/>
          <w:sz w:val="28"/>
          <w:szCs w:val="28"/>
          <w:lang w:val="en-US"/>
        </w:rPr>
        <w:t xml:space="preserve">concerning the </w:t>
      </w:r>
      <w:r w:rsidRPr="006C3188">
        <w:rPr>
          <w:rFonts w:hAnsi="Times New Roman" w:cs="Times New Roman"/>
          <w:sz w:val="28"/>
          <w:szCs w:val="28"/>
          <w:lang w:val="en-US"/>
        </w:rPr>
        <w:t>role of the Justice Ministry as a body of executive power responsible for establishment and tuning up of the NPM.</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A visit </w:t>
      </w:r>
      <w:r w:rsidR="001C76E4" w:rsidRPr="006C3188">
        <w:rPr>
          <w:rFonts w:hAnsi="Times New Roman" w:cs="Times New Roman"/>
          <w:sz w:val="28"/>
          <w:szCs w:val="28"/>
          <w:lang w:val="en-US"/>
        </w:rPr>
        <w:t xml:space="preserve">to Kazakhstan </w:t>
      </w:r>
      <w:r w:rsidRPr="006C3188">
        <w:rPr>
          <w:rFonts w:hAnsi="Times New Roman" w:cs="Times New Roman"/>
          <w:sz w:val="28"/>
          <w:szCs w:val="28"/>
          <w:lang w:val="en-US"/>
        </w:rPr>
        <w:t xml:space="preserve">by the Chairman of the </w:t>
      </w:r>
      <w:r w:rsidR="00B4168C" w:rsidRPr="006C3188">
        <w:rPr>
          <w:rFonts w:hAnsi="Times New Roman" w:cs="Times New Roman"/>
          <w:sz w:val="28"/>
          <w:szCs w:val="28"/>
          <w:lang w:val="en-US"/>
        </w:rPr>
        <w:t>Subcommittee</w:t>
      </w:r>
      <w:r w:rsidRPr="006C3188">
        <w:rPr>
          <w:rFonts w:hAnsi="Times New Roman" w:cs="Times New Roman"/>
          <w:sz w:val="28"/>
          <w:szCs w:val="28"/>
          <w:lang w:val="en-US"/>
        </w:rPr>
        <w:t xml:space="preserve"> on Torture Prevention of the UN Committee against Torture Malcolm Evans took place on January 30-31, 2013, where </w:t>
      </w:r>
      <w:r w:rsidR="00B4168C" w:rsidRPr="006C3188">
        <w:rPr>
          <w:rFonts w:hAnsi="Times New Roman" w:cs="Times New Roman"/>
          <w:sz w:val="28"/>
          <w:szCs w:val="28"/>
          <w:lang w:val="en-US"/>
        </w:rPr>
        <w:t>a fruitful discussion</w:t>
      </w:r>
      <w:r w:rsidRPr="006C3188">
        <w:rPr>
          <w:rFonts w:hAnsi="Times New Roman" w:cs="Times New Roman"/>
          <w:sz w:val="28"/>
          <w:szCs w:val="28"/>
          <w:lang w:val="en-US"/>
        </w:rPr>
        <w:t xml:space="preserve"> regarding some disputable issues of NPM establishment took place. </w:t>
      </w:r>
    </w:p>
    <w:p w:rsidR="00E46AE7" w:rsidRPr="006C3188" w:rsidRDefault="00B4168C"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There has also been close cooperation with the Office of </w:t>
      </w:r>
      <w:r w:rsidR="009A307B" w:rsidRPr="006C3188">
        <w:rPr>
          <w:rFonts w:hAnsi="Times New Roman" w:cs="Times New Roman"/>
          <w:sz w:val="28"/>
          <w:szCs w:val="28"/>
          <w:lang w:val="en-US"/>
        </w:rPr>
        <w:t xml:space="preserve">UN </w:t>
      </w:r>
      <w:r w:rsidRPr="006C3188">
        <w:rPr>
          <w:rFonts w:hAnsi="Times New Roman" w:cs="Times New Roman"/>
          <w:sz w:val="28"/>
          <w:szCs w:val="28"/>
          <w:lang w:val="en-US"/>
        </w:rPr>
        <w:t xml:space="preserve">High Commissioner for Human Rights in Central Asia, OSCE Center in Astana, and PRI office in Central Asia.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The above-mentioned assistance contributed to finding solution for some of the essential problems, primarily defining the NPM mandate, confidentiality of meetings with prisoners and number of budget-related issues.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On July 2, 2013, the President of the Republic of Kazakhstan has signed a Law “On Introduction of Changes and Addendae to Certain Legislative Acts of the Republic of Kazakhstan </w:t>
      </w:r>
      <w:r w:rsidR="009A307B" w:rsidRPr="006C3188">
        <w:rPr>
          <w:rFonts w:hAnsi="Times New Roman" w:cs="Times New Roman"/>
          <w:sz w:val="28"/>
          <w:szCs w:val="28"/>
          <w:lang w:val="en-US"/>
        </w:rPr>
        <w:t>on Establishment of</w:t>
      </w:r>
      <w:r w:rsidRPr="006C3188">
        <w:rPr>
          <w:rFonts w:hAnsi="Times New Roman" w:cs="Times New Roman"/>
          <w:sz w:val="28"/>
          <w:szCs w:val="28"/>
          <w:lang w:val="en-US"/>
        </w:rPr>
        <w:t xml:space="preserve"> the National Preventive Mechanism to Prevent Torture and Other Cruel, Inhuman or Degrading Treatment and Punishment” (hereinafter the NPM Law) effectively establishing the NPM in our country. </w:t>
      </w:r>
    </w:p>
    <w:p w:rsidR="00E46AE7" w:rsidRPr="006C3188" w:rsidRDefault="009A307B"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lastRenderedPageBreak/>
        <w:t>Under</w:t>
      </w:r>
      <w:r w:rsidR="00327161" w:rsidRPr="006C3188">
        <w:rPr>
          <w:rFonts w:hAnsi="Times New Roman" w:cs="Times New Roman"/>
          <w:sz w:val="28"/>
          <w:szCs w:val="28"/>
          <w:lang w:val="en-US"/>
        </w:rPr>
        <w:t xml:space="preserve"> the above-mentioned Law, the NPM in Kazakhstan is based on “Ombudsman-plus” model.  </w:t>
      </w:r>
      <w:r w:rsidR="00B4168C" w:rsidRPr="006C3188">
        <w:rPr>
          <w:rFonts w:hAnsi="Times New Roman" w:cs="Times New Roman"/>
          <w:sz w:val="28"/>
          <w:szCs w:val="28"/>
          <w:lang w:val="en-US"/>
        </w:rPr>
        <w:t>In its turn, the Ombudsman is the na</w:t>
      </w:r>
      <w:r w:rsidRPr="006C3188">
        <w:rPr>
          <w:rFonts w:hAnsi="Times New Roman" w:cs="Times New Roman"/>
          <w:sz w:val="28"/>
          <w:szCs w:val="28"/>
          <w:lang w:val="en-US"/>
        </w:rPr>
        <w:t>tional human rights institution</w:t>
      </w:r>
      <w:r w:rsidR="00B4168C" w:rsidRPr="006C3188">
        <w:rPr>
          <w:rFonts w:hAnsi="Times New Roman" w:cs="Times New Roman"/>
          <w:sz w:val="28"/>
          <w:szCs w:val="28"/>
          <w:lang w:val="en-US"/>
        </w:rPr>
        <w:t xml:space="preserve"> established by Presidential Decree No.947 dated September 19, 2002, and possesses “B” status (incomplete compliance with Paris Principles, which refer to the status of the national human rights institutions, in charge of human rights promotion and protection) in the International Coordinating Committee of the National Human Rights Institutions following accreditation results of 2012. </w:t>
      </w:r>
    </w:p>
    <w:p w:rsidR="009A307B"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The law entails introduction of changes in four codes: Criminal Procedure Code, Penal Code, Code of Administrative Offences, Public Health and Healthcare System Code; and four laws: “Order and Conditions of Detention of Persons in Specialized Facilities, Ensuring Temporary Isolation from Society”, “Prevention of Juvenile Crimes”, “Forced Treatment of Persons with Alcohol and Drug Addictions” and “On the Rights of the Child”.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Due to certain newness of the mechanism and a subsequent need to modify significant number of legal acts and regulations, preparations for practical launch of the NPM took some time after the </w:t>
      </w:r>
      <w:r w:rsidR="009A307B" w:rsidRPr="006C3188">
        <w:rPr>
          <w:rFonts w:hAnsi="Times New Roman" w:cs="Times New Roman"/>
          <w:sz w:val="28"/>
          <w:szCs w:val="28"/>
          <w:lang w:val="en-US"/>
        </w:rPr>
        <w:t>adoption</w:t>
      </w:r>
      <w:r w:rsidRPr="006C3188">
        <w:rPr>
          <w:rFonts w:hAnsi="Times New Roman" w:cs="Times New Roman"/>
          <w:sz w:val="28"/>
          <w:szCs w:val="28"/>
          <w:lang w:val="en-US"/>
        </w:rPr>
        <w:t xml:space="preserve"> of the law.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Firstly, by the force of the Ombudsman’s orders, the following has been approved: </w:t>
      </w:r>
    </w:p>
    <w:p w:rsidR="00E46AE7" w:rsidRPr="006C3188" w:rsidRDefault="00327161" w:rsidP="006C3188">
      <w:pPr>
        <w:numPr>
          <w:ilvl w:val="0"/>
          <w:numId w:val="3"/>
        </w:numPr>
        <w:tabs>
          <w:tab w:val="clear" w:pos="720"/>
          <w:tab w:val="num" w:pos="1339"/>
        </w:tabs>
        <w:spacing w:line="360" w:lineRule="auto"/>
        <w:ind w:left="643" w:firstLine="77"/>
        <w:jc w:val="both"/>
        <w:rPr>
          <w:rFonts w:hAnsi="Times New Roman" w:cs="Times New Roman"/>
          <w:sz w:val="28"/>
          <w:szCs w:val="28"/>
          <w:lang w:val="en-US"/>
        </w:rPr>
      </w:pPr>
      <w:r w:rsidRPr="006C3188">
        <w:rPr>
          <w:rFonts w:hAnsi="Times New Roman" w:cs="Times New Roman"/>
          <w:sz w:val="28"/>
          <w:szCs w:val="28"/>
          <w:lang w:val="en-US"/>
        </w:rPr>
        <w:t xml:space="preserve">Statute of the Commission on Election of Coordinating Council Members under the Commissioner for Human Rights in the Republic of Kazakhstan and its composition; </w:t>
      </w:r>
    </w:p>
    <w:p w:rsidR="00E46AE7" w:rsidRPr="006C3188" w:rsidRDefault="00327161" w:rsidP="006C3188">
      <w:pPr>
        <w:numPr>
          <w:ilvl w:val="0"/>
          <w:numId w:val="4"/>
        </w:numPr>
        <w:tabs>
          <w:tab w:val="clear" w:pos="720"/>
          <w:tab w:val="num" w:pos="1339"/>
        </w:tabs>
        <w:spacing w:line="360" w:lineRule="auto"/>
        <w:ind w:left="643" w:firstLine="77"/>
        <w:jc w:val="both"/>
        <w:rPr>
          <w:rFonts w:hAnsi="Times New Roman" w:cs="Times New Roman"/>
          <w:sz w:val="28"/>
          <w:szCs w:val="28"/>
          <w:lang w:val="en-US"/>
        </w:rPr>
      </w:pPr>
      <w:r w:rsidRPr="006C3188">
        <w:rPr>
          <w:rFonts w:hAnsi="Times New Roman" w:cs="Times New Roman"/>
          <w:sz w:val="28"/>
          <w:szCs w:val="28"/>
          <w:lang w:val="en-US"/>
        </w:rPr>
        <w:t>Statute of the Coordinating Council Members under the Commissioner for Human Rights in the Republic of Kazakhstan;</w:t>
      </w:r>
    </w:p>
    <w:p w:rsidR="00E46AE7" w:rsidRPr="006C3188" w:rsidRDefault="00327161" w:rsidP="006C3188">
      <w:pPr>
        <w:numPr>
          <w:ilvl w:val="0"/>
          <w:numId w:val="5"/>
        </w:numPr>
        <w:tabs>
          <w:tab w:val="clear" w:pos="720"/>
          <w:tab w:val="num" w:pos="1339"/>
        </w:tabs>
        <w:spacing w:line="360" w:lineRule="auto"/>
        <w:ind w:left="643" w:firstLine="77"/>
        <w:jc w:val="both"/>
        <w:rPr>
          <w:rFonts w:hAnsi="Times New Roman" w:cs="Times New Roman"/>
          <w:sz w:val="28"/>
          <w:szCs w:val="28"/>
          <w:lang w:val="en-US"/>
        </w:rPr>
      </w:pPr>
      <w:r w:rsidRPr="006C3188">
        <w:rPr>
          <w:rFonts w:hAnsi="Times New Roman" w:cs="Times New Roman"/>
          <w:sz w:val="28"/>
          <w:szCs w:val="28"/>
          <w:lang w:val="en-US"/>
        </w:rPr>
        <w:t xml:space="preserve">Rules of forming  NPM members into groups to conduct preventative visits; </w:t>
      </w:r>
    </w:p>
    <w:p w:rsidR="00E46AE7" w:rsidRPr="006C3188" w:rsidRDefault="00327161" w:rsidP="006C3188">
      <w:pPr>
        <w:numPr>
          <w:ilvl w:val="0"/>
          <w:numId w:val="6"/>
        </w:numPr>
        <w:tabs>
          <w:tab w:val="clear" w:pos="720"/>
          <w:tab w:val="num" w:pos="1339"/>
        </w:tabs>
        <w:spacing w:line="360" w:lineRule="auto"/>
        <w:ind w:left="643" w:firstLine="77"/>
        <w:jc w:val="both"/>
        <w:rPr>
          <w:rFonts w:hAnsi="Times New Roman" w:cs="Times New Roman"/>
          <w:sz w:val="28"/>
          <w:szCs w:val="28"/>
          <w:lang w:val="en-US"/>
        </w:rPr>
      </w:pPr>
      <w:r w:rsidRPr="006C3188">
        <w:rPr>
          <w:rFonts w:hAnsi="Times New Roman" w:cs="Times New Roman"/>
          <w:sz w:val="28"/>
          <w:szCs w:val="28"/>
          <w:lang w:val="en-US"/>
        </w:rPr>
        <w:t>Rules of selection of NPM members;</w:t>
      </w:r>
    </w:p>
    <w:p w:rsidR="00E46AE7" w:rsidRPr="006C3188" w:rsidRDefault="00327161" w:rsidP="006C3188">
      <w:pPr>
        <w:numPr>
          <w:ilvl w:val="0"/>
          <w:numId w:val="7"/>
        </w:numPr>
        <w:tabs>
          <w:tab w:val="clear" w:pos="720"/>
          <w:tab w:val="num" w:pos="1339"/>
        </w:tabs>
        <w:spacing w:line="360" w:lineRule="auto"/>
        <w:ind w:left="643" w:firstLine="77"/>
        <w:jc w:val="both"/>
        <w:rPr>
          <w:rFonts w:hAnsi="Times New Roman" w:cs="Times New Roman"/>
          <w:sz w:val="28"/>
          <w:szCs w:val="28"/>
          <w:lang w:val="en-US"/>
        </w:rPr>
      </w:pPr>
      <w:r w:rsidRPr="006C3188">
        <w:rPr>
          <w:rFonts w:hAnsi="Times New Roman" w:cs="Times New Roman"/>
          <w:sz w:val="28"/>
          <w:szCs w:val="28"/>
          <w:lang w:val="en-US"/>
        </w:rPr>
        <w:t xml:space="preserve">Methodological guidelines for preventative visits, and </w:t>
      </w:r>
    </w:p>
    <w:p w:rsidR="00E46AE7" w:rsidRPr="006C3188" w:rsidRDefault="00327161" w:rsidP="006C3188">
      <w:pPr>
        <w:numPr>
          <w:ilvl w:val="0"/>
          <w:numId w:val="8"/>
        </w:numPr>
        <w:tabs>
          <w:tab w:val="clear" w:pos="720"/>
          <w:tab w:val="num" w:pos="1339"/>
        </w:tabs>
        <w:spacing w:line="360" w:lineRule="auto"/>
        <w:ind w:left="643" w:firstLine="77"/>
        <w:jc w:val="both"/>
        <w:rPr>
          <w:rFonts w:hAnsi="Times New Roman" w:cs="Times New Roman"/>
          <w:sz w:val="28"/>
          <w:szCs w:val="28"/>
          <w:lang w:val="en-US"/>
        </w:rPr>
      </w:pPr>
      <w:r w:rsidRPr="006C3188">
        <w:rPr>
          <w:rFonts w:hAnsi="Times New Roman" w:cs="Times New Roman"/>
          <w:sz w:val="28"/>
          <w:szCs w:val="28"/>
          <w:lang w:val="en-US"/>
        </w:rPr>
        <w:t xml:space="preserve">Rules of drafting of the annual consolidated report on the results of preventative visits. </w:t>
      </w:r>
    </w:p>
    <w:p w:rsidR="00E46AE7" w:rsidRPr="006C3188" w:rsidRDefault="00E46AE7" w:rsidP="006C3188">
      <w:pPr>
        <w:spacing w:line="360" w:lineRule="auto"/>
        <w:jc w:val="both"/>
        <w:rPr>
          <w:rFonts w:hAnsi="Times New Roman" w:cs="Times New Roman"/>
          <w:sz w:val="28"/>
          <w:szCs w:val="28"/>
          <w:lang w:val="en-US"/>
        </w:rPr>
      </w:pP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lastRenderedPageBreak/>
        <w:t>Besides, the Government</w:t>
      </w:r>
      <w:r w:rsidR="009A307B" w:rsidRPr="006C3188">
        <w:rPr>
          <w:rFonts w:hAnsi="Times New Roman" w:cs="Times New Roman"/>
          <w:sz w:val="28"/>
          <w:szCs w:val="28"/>
          <w:lang w:val="en-US"/>
        </w:rPr>
        <w:t xml:space="preserve"> of the Republic of Kazakhstan </w:t>
      </w:r>
      <w:r w:rsidRPr="006C3188">
        <w:rPr>
          <w:rFonts w:hAnsi="Times New Roman" w:cs="Times New Roman"/>
          <w:sz w:val="28"/>
          <w:szCs w:val="28"/>
          <w:lang w:val="en-US"/>
        </w:rPr>
        <w:t xml:space="preserve">has approved the Rules of Compensation to NPM members for preventative visits and Rules of Preventative Visits by NPM members.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The abovementioned 8 acts</w:t>
      </w:r>
      <w:r w:rsidR="00B4168C" w:rsidRPr="006C3188">
        <w:rPr>
          <w:rFonts w:hAnsi="Times New Roman" w:cs="Times New Roman"/>
          <w:sz w:val="28"/>
          <w:szCs w:val="28"/>
          <w:lang w:val="en-US"/>
        </w:rPr>
        <w:t>, together</w:t>
      </w:r>
      <w:r w:rsidRPr="006C3188">
        <w:rPr>
          <w:rFonts w:hAnsi="Times New Roman" w:cs="Times New Roman"/>
          <w:sz w:val="28"/>
          <w:szCs w:val="28"/>
          <w:lang w:val="en-US"/>
        </w:rPr>
        <w:t xml:space="preserve"> with 4 codes and 4 laws which regulate functioning of detention places and which constitute legal framework of NPM in Kazakhstan have been pu</w:t>
      </w:r>
      <w:r w:rsidR="001C76E4" w:rsidRPr="006C3188">
        <w:rPr>
          <w:rFonts w:hAnsi="Times New Roman" w:cs="Times New Roman"/>
          <w:sz w:val="28"/>
          <w:szCs w:val="28"/>
          <w:lang w:val="en-US"/>
        </w:rPr>
        <w:t>blished in the special bulletin</w:t>
      </w:r>
      <w:r w:rsidRPr="006C3188">
        <w:rPr>
          <w:rFonts w:hAnsi="Times New Roman" w:cs="Times New Roman"/>
          <w:sz w:val="28"/>
          <w:szCs w:val="28"/>
          <w:lang w:val="en-US"/>
        </w:rPr>
        <w:t xml:space="preserve"> in Kazakh (state) and Russian languages and disseminated to all the stakeholders.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On January 10, 2014 the Special Commission under the Ombudsman consisting of reputable public figures and leaders of human rights NGOs, media and lawyers, scholars and MPs have elected members of the Coordinating Council under the Commissioner for Human Rights, tasked with coordination of NPM activity and consisting exclusively </w:t>
      </w:r>
      <w:r w:rsidR="009A307B" w:rsidRPr="006C3188">
        <w:rPr>
          <w:rFonts w:hAnsi="Times New Roman" w:cs="Times New Roman"/>
          <w:sz w:val="28"/>
          <w:szCs w:val="28"/>
          <w:lang w:val="en-US"/>
        </w:rPr>
        <w:t xml:space="preserve">of </w:t>
      </w:r>
      <w:r w:rsidRPr="006C3188">
        <w:rPr>
          <w:rFonts w:hAnsi="Times New Roman" w:cs="Times New Roman"/>
          <w:sz w:val="28"/>
          <w:szCs w:val="28"/>
          <w:lang w:val="en-US"/>
        </w:rPr>
        <w:t xml:space="preserve">civil society representatives.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On February 19, 2014, at its first session the Coordinating Council has elected NPM members – civil society representatives who carry out monitoring </w:t>
      </w:r>
      <w:r w:rsidR="009A307B" w:rsidRPr="006C3188">
        <w:rPr>
          <w:rFonts w:hAnsi="Times New Roman" w:cs="Times New Roman"/>
          <w:sz w:val="28"/>
          <w:szCs w:val="28"/>
          <w:lang w:val="en-US"/>
        </w:rPr>
        <w:t xml:space="preserve">function </w:t>
      </w:r>
      <w:r w:rsidRPr="006C3188">
        <w:rPr>
          <w:rFonts w:hAnsi="Times New Roman" w:cs="Times New Roman"/>
          <w:sz w:val="28"/>
          <w:szCs w:val="28"/>
          <w:lang w:val="en-US"/>
        </w:rPr>
        <w:t xml:space="preserve">of the NPM.  Regional NPM Group leaders have also been elected, all in all 15 groups, with total number of NPM members is 112 persons.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Election of NPM members was preceded by ample amount of </w:t>
      </w:r>
      <w:r w:rsidR="00B4168C" w:rsidRPr="006C3188">
        <w:rPr>
          <w:rFonts w:hAnsi="Times New Roman" w:cs="Times New Roman"/>
          <w:sz w:val="28"/>
          <w:szCs w:val="28"/>
          <w:lang w:val="en-US"/>
        </w:rPr>
        <w:t>work;</w:t>
      </w:r>
      <w:r w:rsidRPr="006C3188">
        <w:rPr>
          <w:rFonts w:hAnsi="Times New Roman" w:cs="Times New Roman"/>
          <w:sz w:val="28"/>
          <w:szCs w:val="28"/>
          <w:lang w:val="en-US"/>
        </w:rPr>
        <w:t xml:space="preserve"> selection announcement was published on the Ombudsman’</w:t>
      </w:r>
      <w:r w:rsidR="009A307B" w:rsidRPr="006C3188">
        <w:rPr>
          <w:rFonts w:hAnsi="Times New Roman" w:cs="Times New Roman"/>
          <w:sz w:val="28"/>
          <w:szCs w:val="28"/>
          <w:lang w:val="en-US"/>
        </w:rPr>
        <w:t>s website, I</w:t>
      </w:r>
      <w:r w:rsidRPr="006C3188">
        <w:rPr>
          <w:rFonts w:hAnsi="Times New Roman" w:cs="Times New Roman"/>
          <w:sz w:val="28"/>
          <w:szCs w:val="28"/>
          <w:lang w:val="en-US"/>
        </w:rPr>
        <w:t xml:space="preserve">nternet, social media and other media.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The Ombudsman’s office has conducted inventory of the institutions to be monitored under NPM in line the law, namely: places of punishment execution (correctional institutions, pre-trial detention facilities, military detention facilities, garrison detention quarters), institutions of forced treatment (tuberculosis, </w:t>
      </w:r>
      <w:r w:rsidR="009A307B" w:rsidRPr="006C3188">
        <w:rPr>
          <w:rFonts w:hAnsi="Times New Roman" w:cs="Times New Roman"/>
          <w:sz w:val="28"/>
          <w:szCs w:val="28"/>
          <w:lang w:val="en-US"/>
        </w:rPr>
        <w:t>drug treatment clinics</w:t>
      </w:r>
      <w:r w:rsidRPr="006C3188">
        <w:rPr>
          <w:rFonts w:hAnsi="Times New Roman" w:cs="Times New Roman"/>
          <w:sz w:val="28"/>
          <w:szCs w:val="28"/>
          <w:lang w:val="en-US"/>
        </w:rPr>
        <w:t>, psychiatric), specialized institutions and premises ensuring temporary isolation from the society (</w:t>
      </w:r>
      <w:r w:rsidR="009A307B" w:rsidRPr="006C3188">
        <w:rPr>
          <w:rFonts w:hAnsi="Times New Roman" w:cs="Times New Roman"/>
          <w:sz w:val="28"/>
          <w:szCs w:val="28"/>
          <w:lang w:val="en-US"/>
        </w:rPr>
        <w:t>temporary isolators</w:t>
      </w:r>
      <w:r w:rsidRPr="006C3188">
        <w:rPr>
          <w:rFonts w:hAnsi="Times New Roman" w:cs="Times New Roman"/>
          <w:sz w:val="28"/>
          <w:szCs w:val="28"/>
          <w:lang w:val="en-US"/>
        </w:rPr>
        <w:t xml:space="preserve">, any premises of police stations), </w:t>
      </w:r>
      <w:r w:rsidR="00773976" w:rsidRPr="006C3188">
        <w:rPr>
          <w:rFonts w:hAnsi="Times New Roman" w:cs="Times New Roman"/>
          <w:sz w:val="28"/>
          <w:szCs w:val="28"/>
          <w:lang w:val="en-US"/>
        </w:rPr>
        <w:t xml:space="preserve">minors adaptation </w:t>
      </w:r>
      <w:r w:rsidRPr="006C3188">
        <w:rPr>
          <w:rFonts w:hAnsi="Times New Roman" w:cs="Times New Roman"/>
          <w:sz w:val="28"/>
          <w:szCs w:val="28"/>
          <w:lang w:val="en-US"/>
        </w:rPr>
        <w:t xml:space="preserve">centers, specialized educational institutions, special security mode educational institutions.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The first monitoring visits carried out under the NPM mandate began in March 2014.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As of September 1, 2014, i.e. for the first six months of its operation, 168 out of 597 mandate institutions in all the regions of the country were visited, including 47 </w:t>
      </w:r>
      <w:r w:rsidR="00773976" w:rsidRPr="006C3188">
        <w:rPr>
          <w:rFonts w:hAnsi="Times New Roman" w:cs="Times New Roman"/>
          <w:sz w:val="28"/>
          <w:szCs w:val="28"/>
          <w:lang w:val="en-US"/>
        </w:rPr>
        <w:lastRenderedPageBreak/>
        <w:t>temporary isolators</w:t>
      </w:r>
      <w:r w:rsidRPr="006C3188">
        <w:rPr>
          <w:rFonts w:hAnsi="Times New Roman" w:cs="Times New Roman"/>
          <w:sz w:val="28"/>
          <w:szCs w:val="28"/>
          <w:lang w:val="en-US"/>
        </w:rPr>
        <w:t xml:space="preserve">, 38 pre-trial detention facilities, 7 </w:t>
      </w:r>
      <w:r w:rsidR="00773976" w:rsidRPr="006C3188">
        <w:rPr>
          <w:rFonts w:hAnsi="Times New Roman" w:cs="Times New Roman"/>
          <w:sz w:val="28"/>
          <w:szCs w:val="28"/>
          <w:lang w:val="en-US"/>
        </w:rPr>
        <w:t>institutions for undocumented persons,</w:t>
      </w:r>
      <w:r w:rsidRPr="006C3188">
        <w:rPr>
          <w:rFonts w:hAnsi="Times New Roman" w:cs="Times New Roman"/>
          <w:sz w:val="28"/>
          <w:szCs w:val="28"/>
          <w:lang w:val="en-US"/>
        </w:rPr>
        <w:t xml:space="preserve"> 13 special </w:t>
      </w:r>
      <w:r w:rsidR="00773976" w:rsidRPr="006C3188">
        <w:rPr>
          <w:rFonts w:hAnsi="Times New Roman" w:cs="Times New Roman"/>
          <w:sz w:val="28"/>
          <w:szCs w:val="28"/>
          <w:lang w:val="en-US"/>
        </w:rPr>
        <w:t>institutions for offenders</w:t>
      </w:r>
      <w:r w:rsidRPr="006C3188">
        <w:rPr>
          <w:rFonts w:hAnsi="Times New Roman" w:cs="Times New Roman"/>
          <w:sz w:val="28"/>
          <w:szCs w:val="28"/>
          <w:lang w:val="en-US"/>
        </w:rPr>
        <w:t>, 12</w:t>
      </w:r>
      <w:r w:rsidR="00773976" w:rsidRPr="006C3188">
        <w:rPr>
          <w:rFonts w:hAnsi="Times New Roman" w:cs="Times New Roman"/>
          <w:sz w:val="28"/>
          <w:szCs w:val="28"/>
          <w:lang w:val="en-US"/>
        </w:rPr>
        <w:t xml:space="preserve"> minors</w:t>
      </w:r>
      <w:r w:rsidRPr="006C3188">
        <w:rPr>
          <w:rFonts w:hAnsi="Times New Roman" w:cs="Times New Roman"/>
          <w:sz w:val="28"/>
          <w:szCs w:val="28"/>
          <w:lang w:val="en-US"/>
        </w:rPr>
        <w:t xml:space="preserve"> </w:t>
      </w:r>
      <w:r w:rsidR="003171C6" w:rsidRPr="006C3188">
        <w:rPr>
          <w:rFonts w:hAnsi="Times New Roman" w:cs="Times New Roman"/>
          <w:sz w:val="28"/>
          <w:szCs w:val="28"/>
          <w:lang w:val="en-US"/>
        </w:rPr>
        <w:t>adaptation centers</w:t>
      </w:r>
      <w:r w:rsidRPr="006C3188">
        <w:rPr>
          <w:rFonts w:hAnsi="Times New Roman" w:cs="Times New Roman"/>
          <w:sz w:val="28"/>
          <w:szCs w:val="28"/>
          <w:lang w:val="en-US"/>
        </w:rPr>
        <w:t xml:space="preserve">, 16 psychiatric facilities, 13 </w:t>
      </w:r>
      <w:r w:rsidR="00773976" w:rsidRPr="006C3188">
        <w:rPr>
          <w:rFonts w:hAnsi="Times New Roman" w:cs="Times New Roman"/>
          <w:sz w:val="28"/>
          <w:szCs w:val="28"/>
          <w:lang w:val="en-US"/>
        </w:rPr>
        <w:t>narcological</w:t>
      </w:r>
      <w:r w:rsidRPr="006C3188">
        <w:rPr>
          <w:rFonts w:hAnsi="Times New Roman" w:cs="Times New Roman"/>
          <w:sz w:val="28"/>
          <w:szCs w:val="28"/>
          <w:lang w:val="en-US"/>
        </w:rPr>
        <w:t xml:space="preserve"> and 13 anti-tuberculosis facilities, 5 specialized educational institutions and 4 military detention quarters.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The NPM Law stipulates periodic, interim and special visits.  Periodic and interim visits take place </w:t>
      </w:r>
      <w:r w:rsidR="00773976" w:rsidRPr="006C3188">
        <w:rPr>
          <w:rFonts w:hAnsi="Times New Roman" w:cs="Times New Roman"/>
          <w:sz w:val="28"/>
          <w:szCs w:val="28"/>
          <w:lang w:val="en-US"/>
        </w:rPr>
        <w:t>according to</w:t>
      </w:r>
      <w:r w:rsidRPr="006C3188">
        <w:rPr>
          <w:rFonts w:hAnsi="Times New Roman" w:cs="Times New Roman"/>
          <w:sz w:val="28"/>
          <w:szCs w:val="28"/>
          <w:lang w:val="en-US"/>
        </w:rPr>
        <w:t xml:space="preserve"> the plan approved annually by the Coordinating Council while being of confidential nature.  Special visits take place upon specific permission of the Ombudsman.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In 6-months period the NPM has conducted 158 periodic, 5 interim and 5 special visits.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The first experience proves unequivocally the efficiency of the NPM’s monitoring model, enabling one to register human rights violations at the institutions, and most importantly helping to develop targeted, justified and relevant recommendations.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The NPM </w:t>
      </w:r>
      <w:r w:rsidR="00773976" w:rsidRPr="006C3188">
        <w:rPr>
          <w:rFonts w:hAnsi="Times New Roman" w:cs="Times New Roman"/>
          <w:sz w:val="28"/>
          <w:szCs w:val="28"/>
          <w:lang w:val="en-US"/>
        </w:rPr>
        <w:t>provides a</w:t>
      </w:r>
      <w:r w:rsidRPr="006C3188">
        <w:rPr>
          <w:rFonts w:hAnsi="Times New Roman" w:cs="Times New Roman"/>
          <w:sz w:val="28"/>
          <w:szCs w:val="28"/>
          <w:lang w:val="en-US"/>
        </w:rPr>
        <w:t xml:space="preserve"> number of ways to communicate recommendations to the relevant authorities and general public. </w:t>
      </w:r>
      <w:r w:rsidR="00773976" w:rsidRPr="006C3188">
        <w:rPr>
          <w:rFonts w:hAnsi="Times New Roman" w:cs="Times New Roman"/>
          <w:sz w:val="28"/>
          <w:szCs w:val="28"/>
          <w:lang w:val="en-US"/>
        </w:rPr>
        <w:t>Thus</w:t>
      </w:r>
      <w:r w:rsidRPr="006C3188">
        <w:rPr>
          <w:rFonts w:hAnsi="Times New Roman" w:cs="Times New Roman"/>
          <w:sz w:val="28"/>
          <w:szCs w:val="28"/>
          <w:lang w:val="en-US"/>
        </w:rPr>
        <w:t>, a systemic analysis of recommendations</w:t>
      </w:r>
      <w:r w:rsidR="00773976" w:rsidRPr="006C3188">
        <w:rPr>
          <w:rFonts w:hAnsi="Times New Roman" w:cs="Times New Roman"/>
          <w:sz w:val="28"/>
          <w:szCs w:val="28"/>
          <w:lang w:val="en-US"/>
        </w:rPr>
        <w:t xml:space="preserve"> </w:t>
      </w:r>
      <w:r w:rsidRPr="006C3188">
        <w:rPr>
          <w:rFonts w:hAnsi="Times New Roman" w:cs="Times New Roman"/>
          <w:sz w:val="28"/>
          <w:szCs w:val="28"/>
          <w:lang w:val="en-US"/>
        </w:rPr>
        <w:t xml:space="preserve">implementation thereof will be presented in the annual consolidated reports of NPM members.  Also, following each preventive visit appropriate recommendations will be sent to </w:t>
      </w:r>
      <w:r w:rsidR="00773976" w:rsidRPr="006C3188">
        <w:rPr>
          <w:rFonts w:hAnsi="Times New Roman" w:cs="Times New Roman"/>
          <w:sz w:val="28"/>
          <w:szCs w:val="28"/>
          <w:lang w:val="en-US"/>
        </w:rPr>
        <w:t xml:space="preserve">institution </w:t>
      </w:r>
      <w:r w:rsidRPr="006C3188">
        <w:rPr>
          <w:rFonts w:hAnsi="Times New Roman" w:cs="Times New Roman"/>
          <w:sz w:val="28"/>
          <w:szCs w:val="28"/>
          <w:lang w:val="en-US"/>
        </w:rPr>
        <w:t>administration</w:t>
      </w:r>
      <w:r w:rsidR="00773976" w:rsidRPr="006C3188">
        <w:rPr>
          <w:rFonts w:hAnsi="Times New Roman" w:cs="Times New Roman"/>
          <w:sz w:val="28"/>
          <w:szCs w:val="28"/>
          <w:lang w:val="en-US"/>
        </w:rPr>
        <w:t>s</w:t>
      </w:r>
      <w:r w:rsidRPr="006C3188">
        <w:rPr>
          <w:rFonts w:hAnsi="Times New Roman" w:cs="Times New Roman"/>
          <w:sz w:val="28"/>
          <w:szCs w:val="28"/>
          <w:lang w:val="en-US"/>
        </w:rPr>
        <w:t xml:space="preserve">. </w:t>
      </w:r>
    </w:p>
    <w:p w:rsidR="00E46AE7" w:rsidRPr="006C3188" w:rsidRDefault="003171C6"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F</w:t>
      </w:r>
      <w:r w:rsidR="00327161" w:rsidRPr="006C3188">
        <w:rPr>
          <w:rFonts w:hAnsi="Times New Roman" w:cs="Times New Roman"/>
          <w:sz w:val="28"/>
          <w:szCs w:val="28"/>
          <w:lang w:val="en-US"/>
        </w:rPr>
        <w:t xml:space="preserve">inally, </w:t>
      </w:r>
      <w:r w:rsidRPr="006C3188">
        <w:rPr>
          <w:rFonts w:hAnsi="Times New Roman" w:cs="Times New Roman"/>
          <w:sz w:val="28"/>
          <w:szCs w:val="28"/>
          <w:lang w:val="en-US"/>
        </w:rPr>
        <w:t xml:space="preserve">the </w:t>
      </w:r>
      <w:r w:rsidR="00327161" w:rsidRPr="006C3188">
        <w:rPr>
          <w:rFonts w:hAnsi="Times New Roman" w:cs="Times New Roman"/>
          <w:sz w:val="28"/>
          <w:szCs w:val="28"/>
          <w:lang w:val="en-US"/>
        </w:rPr>
        <w:t>detected problems may be generalized under the process whereby Om</w:t>
      </w:r>
      <w:r w:rsidRPr="006C3188">
        <w:rPr>
          <w:rFonts w:hAnsi="Times New Roman" w:cs="Times New Roman"/>
          <w:sz w:val="28"/>
          <w:szCs w:val="28"/>
          <w:lang w:val="en-US"/>
        </w:rPr>
        <w:t>budsman exercises his right to s</w:t>
      </w:r>
      <w:r w:rsidR="00327161" w:rsidRPr="006C3188">
        <w:rPr>
          <w:rFonts w:hAnsi="Times New Roman" w:cs="Times New Roman"/>
          <w:sz w:val="28"/>
          <w:szCs w:val="28"/>
          <w:lang w:val="en-US"/>
        </w:rPr>
        <w:t xml:space="preserve">end recommendations within the general NPM mandate.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A comprehensive analysis of 2014 activities will be </w:t>
      </w:r>
      <w:r w:rsidR="003171C6" w:rsidRPr="006C3188">
        <w:rPr>
          <w:rFonts w:hAnsi="Times New Roman" w:cs="Times New Roman"/>
          <w:sz w:val="28"/>
          <w:szCs w:val="28"/>
          <w:lang w:val="en-US"/>
        </w:rPr>
        <w:t>incorporated</w:t>
      </w:r>
      <w:r w:rsidRPr="006C3188">
        <w:rPr>
          <w:rFonts w:hAnsi="Times New Roman" w:cs="Times New Roman"/>
          <w:sz w:val="28"/>
          <w:szCs w:val="28"/>
          <w:lang w:val="en-US"/>
        </w:rPr>
        <w:t xml:space="preserve"> in the first consolidated report to be prepared in early 2015.  Under the above listed NPM legislation, the Ombudsman coordinates the activity of NPM members and ensures they have necessary capacity and professional knowledge.  To guarantee effective coordination of the NPM activity, a Coordinating Council is established, where members are elected by the special commission which is established by Ombudsman in a sovereign manner.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Ombudsman is also a member of the</w:t>
      </w:r>
      <w:r w:rsidR="003171C6" w:rsidRPr="006C3188">
        <w:rPr>
          <w:rFonts w:hAnsi="Times New Roman" w:cs="Times New Roman"/>
          <w:sz w:val="28"/>
          <w:szCs w:val="28"/>
          <w:lang w:val="en-US"/>
        </w:rPr>
        <w:t xml:space="preserve"> </w:t>
      </w:r>
      <w:r w:rsidRPr="006C3188">
        <w:rPr>
          <w:rFonts w:hAnsi="Times New Roman" w:cs="Times New Roman"/>
          <w:sz w:val="28"/>
          <w:szCs w:val="28"/>
          <w:lang w:val="en-US"/>
        </w:rPr>
        <w:t>Coordinating</w:t>
      </w:r>
      <w:r w:rsidR="003171C6" w:rsidRPr="006C3188">
        <w:rPr>
          <w:rFonts w:hAnsi="Times New Roman" w:cs="Times New Roman"/>
          <w:sz w:val="28"/>
          <w:szCs w:val="28"/>
          <w:lang w:val="en-US"/>
        </w:rPr>
        <w:t xml:space="preserve"> </w:t>
      </w:r>
      <w:r w:rsidRPr="006C3188">
        <w:rPr>
          <w:rFonts w:hAnsi="Times New Roman" w:cs="Times New Roman"/>
          <w:sz w:val="28"/>
          <w:szCs w:val="28"/>
          <w:lang w:val="en-US"/>
        </w:rPr>
        <w:t xml:space="preserve">Council ex officio.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lastRenderedPageBreak/>
        <w:t>The Coordinating Council collaborates with the Subcommittee on Torture Prevention of the UN Committee against Torture, selects NPM members, forms regional groups,</w:t>
      </w:r>
      <w:r w:rsidR="003171C6" w:rsidRPr="006C3188">
        <w:rPr>
          <w:rFonts w:hAnsi="Times New Roman" w:cs="Times New Roman"/>
          <w:sz w:val="28"/>
          <w:szCs w:val="28"/>
          <w:lang w:val="en-US"/>
        </w:rPr>
        <w:t xml:space="preserve"> </w:t>
      </w:r>
      <w:r w:rsidRPr="006C3188">
        <w:rPr>
          <w:rFonts w:hAnsi="Times New Roman" w:cs="Times New Roman"/>
          <w:sz w:val="28"/>
          <w:szCs w:val="28"/>
          <w:lang w:val="en-US"/>
        </w:rPr>
        <w:t xml:space="preserve">appoints their leaders and determines visits plan, accepts visit reports, prepares annual consolidated report of NPM members and contributes by other means to implementation of the Ombudsman's mandate under the NPM.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T</w:t>
      </w:r>
      <w:r w:rsidR="002623F0" w:rsidRPr="006C3188">
        <w:rPr>
          <w:rFonts w:hAnsi="Times New Roman" w:cs="Times New Roman"/>
          <w:sz w:val="28"/>
          <w:szCs w:val="28"/>
          <w:lang w:val="en-US"/>
        </w:rPr>
        <w:t>he NPM members are elected from the</w:t>
      </w:r>
      <w:r w:rsidRPr="006C3188">
        <w:rPr>
          <w:rFonts w:hAnsi="Times New Roman" w:cs="Times New Roman"/>
          <w:sz w:val="28"/>
          <w:szCs w:val="28"/>
          <w:lang w:val="en-US"/>
        </w:rPr>
        <w:t xml:space="preserve"> members of public monitoring commissions and public associations, engaged in human rights promotion activity, lawyers, social workers, medical experts.  Given the size of the country </w:t>
      </w:r>
      <w:r w:rsidR="002623F0" w:rsidRPr="006C3188">
        <w:rPr>
          <w:rFonts w:hAnsi="Times New Roman" w:cs="Times New Roman"/>
          <w:sz w:val="28"/>
          <w:szCs w:val="28"/>
          <w:lang w:val="en-US"/>
        </w:rPr>
        <w:t xml:space="preserve">the </w:t>
      </w:r>
      <w:r w:rsidRPr="006C3188">
        <w:rPr>
          <w:rFonts w:hAnsi="Times New Roman" w:cs="Times New Roman"/>
          <w:sz w:val="28"/>
          <w:szCs w:val="28"/>
          <w:lang w:val="en-US"/>
        </w:rPr>
        <w:t xml:space="preserve">NPM members are divided into regional groups. </w:t>
      </w:r>
    </w:p>
    <w:p w:rsidR="00E46AE7" w:rsidRPr="006C3188" w:rsidRDefault="003171C6"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D</w:t>
      </w:r>
      <w:r w:rsidR="00327161" w:rsidRPr="006C3188">
        <w:rPr>
          <w:rFonts w:hAnsi="Times New Roman" w:cs="Times New Roman"/>
          <w:sz w:val="28"/>
          <w:szCs w:val="28"/>
          <w:lang w:val="en-US"/>
        </w:rPr>
        <w:t>evelopment and consequent implementation of the NPM in Kazak</w:t>
      </w:r>
      <w:r w:rsidR="002623F0" w:rsidRPr="006C3188">
        <w:rPr>
          <w:rFonts w:hAnsi="Times New Roman" w:cs="Times New Roman"/>
          <w:sz w:val="28"/>
          <w:szCs w:val="28"/>
          <w:lang w:val="en-US"/>
        </w:rPr>
        <w:t>hstan h</w:t>
      </w:r>
      <w:r w:rsidR="00327161" w:rsidRPr="006C3188">
        <w:rPr>
          <w:rFonts w:hAnsi="Times New Roman" w:cs="Times New Roman"/>
          <w:sz w:val="28"/>
          <w:szCs w:val="28"/>
          <w:lang w:val="en-US"/>
        </w:rPr>
        <w:t xml:space="preserve">as revealed number of issues which are of interest in the context of future improvement of the NPM activity.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This way the NPM Law determines the list of institutions subject to preventive visit, which includes penal institutions, pre-trial detentio</w:t>
      </w:r>
      <w:r w:rsidR="002623F0" w:rsidRPr="006C3188">
        <w:rPr>
          <w:rFonts w:hAnsi="Times New Roman" w:cs="Times New Roman"/>
          <w:sz w:val="28"/>
          <w:szCs w:val="28"/>
          <w:lang w:val="en-US"/>
        </w:rPr>
        <w:t>n centers, f</w:t>
      </w:r>
      <w:r w:rsidRPr="006C3188">
        <w:rPr>
          <w:rFonts w:hAnsi="Times New Roman" w:cs="Times New Roman"/>
          <w:sz w:val="28"/>
          <w:szCs w:val="28"/>
          <w:lang w:val="en-US"/>
        </w:rPr>
        <w:t xml:space="preserve">orced treatment institutions, special facilities of temporary isolation, </w:t>
      </w:r>
      <w:r w:rsidR="00B4190B" w:rsidRPr="006C3188">
        <w:rPr>
          <w:rFonts w:hAnsi="Times New Roman" w:cs="Times New Roman"/>
          <w:sz w:val="28"/>
          <w:szCs w:val="28"/>
          <w:lang w:val="en-US"/>
        </w:rPr>
        <w:t xml:space="preserve">minors </w:t>
      </w:r>
      <w:r w:rsidRPr="006C3188">
        <w:rPr>
          <w:rFonts w:hAnsi="Times New Roman" w:cs="Times New Roman"/>
          <w:sz w:val="28"/>
          <w:szCs w:val="28"/>
          <w:lang w:val="en-US"/>
        </w:rPr>
        <w:t>centers</w:t>
      </w:r>
      <w:r w:rsidR="00B4190B" w:rsidRPr="006C3188">
        <w:rPr>
          <w:rFonts w:hAnsi="Times New Roman" w:cs="Times New Roman"/>
          <w:sz w:val="28"/>
          <w:szCs w:val="28"/>
          <w:lang w:val="en-US"/>
        </w:rPr>
        <w:t xml:space="preserve"> </w:t>
      </w:r>
      <w:r w:rsidRPr="006C3188">
        <w:rPr>
          <w:rFonts w:hAnsi="Times New Roman" w:cs="Times New Roman"/>
          <w:sz w:val="28"/>
          <w:szCs w:val="28"/>
          <w:lang w:val="en-US"/>
        </w:rPr>
        <w:t xml:space="preserve">for adaptation, and special security mode educational institutions. </w:t>
      </w:r>
    </w:p>
    <w:p w:rsidR="00E46AE7" w:rsidRPr="006C3188" w:rsidRDefault="00B4168C"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The NPM mandate does not cover socio-medical institutions like homes for senior citizens and homes for children with psycho-neurological disorders, children with </w:t>
      </w:r>
      <w:r w:rsidR="002623F0" w:rsidRPr="006C3188">
        <w:rPr>
          <w:rFonts w:hAnsi="Times New Roman" w:cs="Times New Roman"/>
          <w:sz w:val="28"/>
          <w:szCs w:val="28"/>
          <w:lang w:val="en-US"/>
        </w:rPr>
        <w:t xml:space="preserve">locomotor </w:t>
      </w:r>
      <w:r w:rsidRPr="006C3188">
        <w:rPr>
          <w:rFonts w:hAnsi="Times New Roman" w:cs="Times New Roman"/>
          <w:sz w:val="28"/>
          <w:szCs w:val="28"/>
          <w:lang w:val="en-US"/>
        </w:rPr>
        <w:t xml:space="preserve">disabilities, </w:t>
      </w:r>
      <w:r w:rsidR="00B4190B" w:rsidRPr="006C3188">
        <w:rPr>
          <w:rFonts w:hAnsi="Times New Roman" w:cs="Times New Roman"/>
          <w:sz w:val="28"/>
          <w:szCs w:val="28"/>
          <w:lang w:val="en-US"/>
        </w:rPr>
        <w:t xml:space="preserve">old-aged persons, </w:t>
      </w:r>
      <w:r w:rsidRPr="006C3188">
        <w:rPr>
          <w:rFonts w:hAnsi="Times New Roman" w:cs="Times New Roman"/>
          <w:sz w:val="28"/>
          <w:szCs w:val="28"/>
          <w:lang w:val="en-US"/>
        </w:rPr>
        <w:t>orphanages, special boarding schools and other specialized social organizations  with around the clock care.</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However, with reference to the Optional Protocol provisions, the system of the NPM's regular visits must cover all the places and institutions where persons deprived of liberty are detained.  To this end the Ombudsman's office jointly with the NPM Coordinating Council </w:t>
      </w:r>
      <w:r w:rsidR="002623F0" w:rsidRPr="006C3188">
        <w:rPr>
          <w:rFonts w:hAnsi="Times New Roman" w:cs="Times New Roman"/>
          <w:sz w:val="28"/>
          <w:szCs w:val="28"/>
          <w:lang w:val="en-US"/>
        </w:rPr>
        <w:t xml:space="preserve">has initiated an </w:t>
      </w:r>
      <w:r w:rsidRPr="006C3188">
        <w:rPr>
          <w:rFonts w:hAnsi="Times New Roman" w:cs="Times New Roman"/>
          <w:sz w:val="28"/>
          <w:szCs w:val="28"/>
          <w:lang w:val="en-US"/>
        </w:rPr>
        <w:t xml:space="preserve">advocacy campaign focused on the Kazakh Parliament to initiate legislative changes to expand the NPM's mandate to include above mentioned institutions.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Nevertheless, considering the peculiarities of</w:t>
      </w:r>
      <w:r w:rsidR="00B4190B" w:rsidRPr="006C3188">
        <w:rPr>
          <w:rFonts w:hAnsi="Times New Roman" w:cs="Times New Roman"/>
          <w:sz w:val="28"/>
          <w:szCs w:val="28"/>
          <w:lang w:val="en-US"/>
        </w:rPr>
        <w:t xml:space="preserve"> law-</w:t>
      </w:r>
      <w:r w:rsidRPr="006C3188">
        <w:rPr>
          <w:rFonts w:hAnsi="Times New Roman" w:cs="Times New Roman"/>
          <w:sz w:val="28"/>
          <w:szCs w:val="28"/>
          <w:lang w:val="en-US"/>
        </w:rPr>
        <w:t>enforcement practice special attention is paid to impr</w:t>
      </w:r>
      <w:r w:rsidR="002623F0" w:rsidRPr="006C3188">
        <w:rPr>
          <w:rFonts w:hAnsi="Times New Roman" w:cs="Times New Roman"/>
          <w:sz w:val="28"/>
          <w:szCs w:val="28"/>
          <w:lang w:val="en-US"/>
        </w:rPr>
        <w:t>oving t</w:t>
      </w:r>
      <w:r w:rsidRPr="006C3188">
        <w:rPr>
          <w:rFonts w:hAnsi="Times New Roman" w:cs="Times New Roman"/>
          <w:sz w:val="28"/>
          <w:szCs w:val="28"/>
          <w:lang w:val="en-US"/>
        </w:rPr>
        <w:t xml:space="preserve">he NPM procedures within the effective mandate.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lastRenderedPageBreak/>
        <w:t xml:space="preserve">Also, the institutions which are not covered under </w:t>
      </w:r>
      <w:r w:rsidR="00B4168C" w:rsidRPr="006C3188">
        <w:rPr>
          <w:rFonts w:hAnsi="Times New Roman" w:cs="Times New Roman"/>
          <w:sz w:val="28"/>
          <w:szCs w:val="28"/>
          <w:lang w:val="en-US"/>
        </w:rPr>
        <w:t>the</w:t>
      </w:r>
      <w:r w:rsidRPr="006C3188">
        <w:rPr>
          <w:rFonts w:hAnsi="Times New Roman" w:cs="Times New Roman"/>
          <w:sz w:val="28"/>
          <w:szCs w:val="28"/>
          <w:lang w:val="en-US"/>
        </w:rPr>
        <w:t xml:space="preserve"> NPM procedures still fall under the mandate of the Ombudsman in line with Clause 15, Subpara 5 of the Statute of the </w:t>
      </w:r>
      <w:r w:rsidR="00B4168C" w:rsidRPr="006C3188">
        <w:rPr>
          <w:rFonts w:hAnsi="Times New Roman" w:cs="Times New Roman"/>
          <w:sz w:val="28"/>
          <w:szCs w:val="28"/>
          <w:lang w:val="en-US"/>
        </w:rPr>
        <w:t>Commissioner</w:t>
      </w:r>
      <w:r w:rsidRPr="006C3188">
        <w:rPr>
          <w:rFonts w:hAnsi="Times New Roman" w:cs="Times New Roman"/>
          <w:sz w:val="28"/>
          <w:szCs w:val="28"/>
          <w:lang w:val="en-US"/>
        </w:rPr>
        <w:t xml:space="preserve"> for Human Rights.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Another important task is to train officials, including the staff of the visited institutions and staff of supervising bodies, as well as NGOs sector representatives including NPM members.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The practical experience shows that these persons' awareness of the NPM, their rights and duties is still poor.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To this end</w:t>
      </w:r>
      <w:r w:rsidR="00B4168C" w:rsidRPr="006C3188">
        <w:rPr>
          <w:rFonts w:hAnsi="Times New Roman" w:cs="Times New Roman"/>
          <w:sz w:val="28"/>
          <w:szCs w:val="28"/>
          <w:lang w:val="en-US"/>
        </w:rPr>
        <w:t>, a</w:t>
      </w:r>
      <w:r w:rsidRPr="006C3188">
        <w:rPr>
          <w:rFonts w:hAnsi="Times New Roman" w:cs="Times New Roman"/>
          <w:sz w:val="28"/>
          <w:szCs w:val="28"/>
          <w:lang w:val="en-US"/>
        </w:rPr>
        <w:t xml:space="preserve"> significant amount of work is carried out together with Penal Reform International</w:t>
      </w:r>
      <w:r w:rsidR="00B4190B" w:rsidRPr="006C3188">
        <w:rPr>
          <w:rFonts w:hAnsi="Times New Roman" w:cs="Times New Roman"/>
          <w:sz w:val="28"/>
          <w:szCs w:val="28"/>
          <w:lang w:val="en-US"/>
        </w:rPr>
        <w:t xml:space="preserve"> in Central Asia</w:t>
      </w:r>
      <w:r w:rsidRPr="006C3188">
        <w:rPr>
          <w:rFonts w:hAnsi="Times New Roman" w:cs="Times New Roman"/>
          <w:sz w:val="28"/>
          <w:szCs w:val="28"/>
          <w:lang w:val="en-US"/>
        </w:rPr>
        <w:t xml:space="preserve">, OSCE Center in Astana, OHCHR and British </w:t>
      </w:r>
      <w:r w:rsidR="00B4190B" w:rsidRPr="006C3188">
        <w:rPr>
          <w:rFonts w:hAnsi="Times New Roman" w:cs="Times New Roman"/>
          <w:sz w:val="28"/>
          <w:szCs w:val="28"/>
          <w:lang w:val="en-US"/>
        </w:rPr>
        <w:t>E</w:t>
      </w:r>
      <w:r w:rsidRPr="006C3188">
        <w:rPr>
          <w:rFonts w:hAnsi="Times New Roman" w:cs="Times New Roman"/>
          <w:sz w:val="28"/>
          <w:szCs w:val="28"/>
          <w:lang w:val="en-US"/>
        </w:rPr>
        <w:t>mbassy</w:t>
      </w:r>
      <w:r w:rsidR="00B4190B" w:rsidRPr="006C3188">
        <w:rPr>
          <w:rFonts w:hAnsi="Times New Roman" w:cs="Times New Roman"/>
          <w:sz w:val="28"/>
          <w:szCs w:val="28"/>
          <w:lang w:val="en-US"/>
        </w:rPr>
        <w:t xml:space="preserve"> in Kazakhstan</w:t>
      </w:r>
      <w:r w:rsidRPr="006C3188">
        <w:rPr>
          <w:rFonts w:hAnsi="Times New Roman" w:cs="Times New Roman"/>
          <w:sz w:val="28"/>
          <w:szCs w:val="28"/>
          <w:lang w:val="en-US"/>
        </w:rPr>
        <w:t xml:space="preserve"> with the </w:t>
      </w:r>
      <w:r w:rsidR="006C3188" w:rsidRPr="006C3188">
        <w:rPr>
          <w:rFonts w:hAnsi="Times New Roman" w:cs="Times New Roman"/>
          <w:sz w:val="28"/>
          <w:szCs w:val="28"/>
          <w:lang w:val="en-US"/>
        </w:rPr>
        <w:t>assistance</w:t>
      </w:r>
      <w:r w:rsidRPr="006C3188">
        <w:rPr>
          <w:rFonts w:hAnsi="Times New Roman" w:cs="Times New Roman"/>
          <w:sz w:val="28"/>
          <w:szCs w:val="28"/>
          <w:lang w:val="en-US"/>
        </w:rPr>
        <w:t xml:space="preserve"> of international experts.</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For instance, in November 2013, series of trainings took place in Astana and Almaty devoted to NPM implementation, which were attended by civil society representatives.  </w:t>
      </w:r>
    </w:p>
    <w:p w:rsidR="00E46AE7" w:rsidRPr="006C3188" w:rsidRDefault="002623F0"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On April 2014 the Ombudsman h</w:t>
      </w:r>
      <w:r w:rsidR="00327161" w:rsidRPr="006C3188">
        <w:rPr>
          <w:rFonts w:hAnsi="Times New Roman" w:cs="Times New Roman"/>
          <w:sz w:val="28"/>
          <w:szCs w:val="28"/>
          <w:lang w:val="en-US"/>
        </w:rPr>
        <w:t xml:space="preserve">as convened a meeting with the stakeholders including </w:t>
      </w:r>
      <w:r w:rsidRPr="006C3188">
        <w:rPr>
          <w:rFonts w:hAnsi="Times New Roman" w:cs="Times New Roman"/>
          <w:sz w:val="28"/>
          <w:szCs w:val="28"/>
          <w:lang w:val="en-US"/>
        </w:rPr>
        <w:t xml:space="preserve">public </w:t>
      </w:r>
      <w:r w:rsidR="00327161" w:rsidRPr="006C3188">
        <w:rPr>
          <w:rFonts w:hAnsi="Times New Roman" w:cs="Times New Roman"/>
          <w:sz w:val="28"/>
          <w:szCs w:val="28"/>
          <w:lang w:val="en-US"/>
        </w:rPr>
        <w:t xml:space="preserve">agencies and Deputy Prosecutor General, to discuss NPM operations and interaction with NPM members.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On May 16, 2014, the Ombudsman together with Prosecutor General and Penal Reform International has conducted a meeting to discuss cooperation of public agencies and the NPM</w:t>
      </w:r>
      <w:r w:rsidR="006C3188" w:rsidRPr="006C3188">
        <w:rPr>
          <w:rFonts w:hAnsi="Times New Roman" w:cs="Times New Roman"/>
          <w:sz w:val="28"/>
          <w:szCs w:val="28"/>
          <w:lang w:val="en-US"/>
        </w:rPr>
        <w:t xml:space="preserve"> members</w:t>
      </w:r>
      <w:r w:rsidRPr="006C3188">
        <w:rPr>
          <w:rFonts w:hAnsi="Times New Roman" w:cs="Times New Roman"/>
          <w:sz w:val="28"/>
          <w:szCs w:val="28"/>
          <w:lang w:val="en-US"/>
        </w:rPr>
        <w:t xml:space="preserve"> which was attended by Presidential Administration, Constitutional Council, central government, Members of Parliament, members of Public Council under the General Prosecution office, </w:t>
      </w:r>
      <w:r w:rsidR="006C3188" w:rsidRPr="006C3188">
        <w:rPr>
          <w:rFonts w:hAnsi="Times New Roman" w:cs="Times New Roman"/>
          <w:sz w:val="28"/>
          <w:szCs w:val="28"/>
          <w:lang w:val="en-US"/>
        </w:rPr>
        <w:t xml:space="preserve">members of the Coordinating Council under the Ombudsman </w:t>
      </w:r>
      <w:r w:rsidRPr="006C3188">
        <w:rPr>
          <w:rFonts w:hAnsi="Times New Roman" w:cs="Times New Roman"/>
          <w:sz w:val="28"/>
          <w:szCs w:val="28"/>
          <w:lang w:val="en-US"/>
        </w:rPr>
        <w:t xml:space="preserve">and via video-conference facility by oblast prosecutors, heads of local </w:t>
      </w:r>
      <w:r w:rsidR="00B4168C" w:rsidRPr="006C3188">
        <w:rPr>
          <w:rFonts w:hAnsi="Times New Roman" w:cs="Times New Roman"/>
          <w:sz w:val="28"/>
          <w:szCs w:val="28"/>
          <w:lang w:val="en-US"/>
        </w:rPr>
        <w:t>authorities and</w:t>
      </w:r>
      <w:r w:rsidRPr="006C3188">
        <w:rPr>
          <w:rFonts w:hAnsi="Times New Roman" w:cs="Times New Roman"/>
          <w:sz w:val="28"/>
          <w:szCs w:val="28"/>
          <w:lang w:val="en-US"/>
        </w:rPr>
        <w:t xml:space="preserve"> law enforcement agencies, and NPM members.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On June 27, 2014, the Coordinating </w:t>
      </w:r>
      <w:r w:rsidR="002623F0" w:rsidRPr="006C3188">
        <w:rPr>
          <w:rFonts w:hAnsi="Times New Roman" w:cs="Times New Roman"/>
          <w:sz w:val="28"/>
          <w:szCs w:val="28"/>
          <w:lang w:val="en-US"/>
        </w:rPr>
        <w:t>C</w:t>
      </w:r>
      <w:r w:rsidRPr="006C3188">
        <w:rPr>
          <w:rFonts w:hAnsi="Times New Roman" w:cs="Times New Roman"/>
          <w:sz w:val="28"/>
          <w:szCs w:val="28"/>
          <w:lang w:val="en-US"/>
        </w:rPr>
        <w:t xml:space="preserve">ouncil has given its recommendations to NPM members based on the very first experience of Monitoring visits and contacts with institutions and persons detained there.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In August-September 2014, we have conducted series of trainings in Astana, Almaty, Ust-Kamenogorsk and Aktobe on practical issues of the NPM operation for its </w:t>
      </w:r>
      <w:r w:rsidRPr="006C3188">
        <w:rPr>
          <w:rFonts w:hAnsi="Times New Roman" w:cs="Times New Roman"/>
          <w:sz w:val="28"/>
          <w:szCs w:val="28"/>
          <w:lang w:val="en-US"/>
        </w:rPr>
        <w:lastRenderedPageBreak/>
        <w:t xml:space="preserve">members and staff of the public agencies </w:t>
      </w:r>
      <w:r w:rsidR="006C3188" w:rsidRPr="006C3188">
        <w:rPr>
          <w:rFonts w:hAnsi="Times New Roman" w:cs="Times New Roman"/>
          <w:sz w:val="28"/>
          <w:szCs w:val="28"/>
          <w:lang w:val="en-US"/>
        </w:rPr>
        <w:t xml:space="preserve">involving the </w:t>
      </w:r>
      <w:r w:rsidRPr="006C3188">
        <w:rPr>
          <w:rFonts w:hAnsi="Times New Roman" w:cs="Times New Roman"/>
          <w:sz w:val="28"/>
          <w:szCs w:val="28"/>
          <w:lang w:val="en-US"/>
        </w:rPr>
        <w:t>international expert Krasimir Kanev (chairman of Bulgarian Helsinki Committee).  The trainings were attended by all NPM members and 179 officials</w:t>
      </w:r>
      <w:r w:rsidR="00B4168C" w:rsidRPr="006C3188">
        <w:rPr>
          <w:rFonts w:hAnsi="Times New Roman" w:cs="Times New Roman"/>
          <w:sz w:val="28"/>
          <w:szCs w:val="28"/>
          <w:lang w:val="en-US"/>
        </w:rPr>
        <w:t>.</w:t>
      </w:r>
      <w:r w:rsidRPr="006C3188">
        <w:rPr>
          <w:rFonts w:hAnsi="Times New Roman" w:cs="Times New Roman"/>
          <w:sz w:val="28"/>
          <w:szCs w:val="28"/>
          <w:lang w:val="en-US"/>
        </w:rPr>
        <w:t xml:space="preserve">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Thes</w:t>
      </w:r>
      <w:r w:rsidR="009947EA" w:rsidRPr="006C3188">
        <w:rPr>
          <w:rFonts w:hAnsi="Times New Roman" w:cs="Times New Roman"/>
          <w:sz w:val="28"/>
          <w:szCs w:val="28"/>
          <w:lang w:val="en-US"/>
        </w:rPr>
        <w:t>e events, above all, proved</w:t>
      </w:r>
      <w:r w:rsidRPr="006C3188">
        <w:rPr>
          <w:rFonts w:hAnsi="Times New Roman" w:cs="Times New Roman"/>
          <w:sz w:val="28"/>
          <w:szCs w:val="28"/>
          <w:lang w:val="en-US"/>
        </w:rPr>
        <w:t xml:space="preserve"> the need to continue systemic training of persons involved in the process</w:t>
      </w:r>
      <w:r w:rsidR="006C3188" w:rsidRPr="006C3188">
        <w:rPr>
          <w:rFonts w:hAnsi="Times New Roman" w:cs="Times New Roman"/>
          <w:sz w:val="28"/>
          <w:szCs w:val="28"/>
          <w:lang w:val="en-US"/>
        </w:rPr>
        <w:t xml:space="preserve"> and their interest </w:t>
      </w:r>
      <w:r w:rsidRPr="006C3188">
        <w:rPr>
          <w:rFonts w:hAnsi="Times New Roman" w:cs="Times New Roman"/>
          <w:sz w:val="28"/>
          <w:szCs w:val="28"/>
          <w:lang w:val="en-US"/>
        </w:rPr>
        <w:t>to increase their capacity</w:t>
      </w:r>
      <w:r w:rsidR="009947EA" w:rsidRPr="006C3188">
        <w:rPr>
          <w:rFonts w:hAnsi="Times New Roman" w:cs="Times New Roman"/>
          <w:sz w:val="28"/>
          <w:szCs w:val="28"/>
          <w:lang w:val="en-US"/>
        </w:rPr>
        <w:t>.</w:t>
      </w:r>
      <w:r w:rsidRPr="006C3188">
        <w:rPr>
          <w:rFonts w:hAnsi="Times New Roman" w:cs="Times New Roman"/>
          <w:sz w:val="28"/>
          <w:szCs w:val="28"/>
          <w:lang w:val="en-US"/>
        </w:rPr>
        <w:t xml:space="preserve"> </w:t>
      </w:r>
    </w:p>
    <w:p w:rsidR="00E46AE7" w:rsidRPr="006C3188" w:rsidRDefault="00327161"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Taking into account peculiarities of monitoring children's institutions, we have organized trainings together with UNICEF and PRI </w:t>
      </w:r>
      <w:r w:rsidR="003171C6" w:rsidRPr="006C3188">
        <w:rPr>
          <w:rFonts w:hAnsi="Times New Roman" w:cs="Times New Roman"/>
          <w:sz w:val="28"/>
          <w:szCs w:val="28"/>
          <w:lang w:val="en-US"/>
        </w:rPr>
        <w:t>i</w:t>
      </w:r>
      <w:r w:rsidRPr="006C3188">
        <w:rPr>
          <w:rFonts w:hAnsi="Times New Roman" w:cs="Times New Roman"/>
          <w:sz w:val="28"/>
          <w:szCs w:val="28"/>
          <w:lang w:val="en-US"/>
        </w:rPr>
        <w:t xml:space="preserve">n Central Asia to build capacity of the Ombudsman's office and NGO representatives engaged in the NPM.  A manual to conduct monitoring in children's institutions has been designed. </w:t>
      </w:r>
    </w:p>
    <w:p w:rsidR="003171C6" w:rsidRPr="006C3188" w:rsidRDefault="003171C6"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One should also mention establishment of the NPM’s Budget Administrator, i.e. body in charge of paying compensation to NPM members of their expenses. </w:t>
      </w:r>
    </w:p>
    <w:p w:rsidR="003171C6" w:rsidRPr="006C3188" w:rsidRDefault="003171C6"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At present </w:t>
      </w:r>
      <w:r w:rsidR="009947EA" w:rsidRPr="006C3188">
        <w:rPr>
          <w:rFonts w:hAnsi="Times New Roman" w:cs="Times New Roman"/>
          <w:sz w:val="28"/>
          <w:szCs w:val="28"/>
          <w:lang w:val="en-US"/>
        </w:rPr>
        <w:t xml:space="preserve">the </w:t>
      </w:r>
      <w:r w:rsidRPr="006C3188">
        <w:rPr>
          <w:rFonts w:hAnsi="Times New Roman" w:cs="Times New Roman"/>
          <w:sz w:val="28"/>
          <w:szCs w:val="28"/>
          <w:lang w:val="en-US"/>
        </w:rPr>
        <w:t xml:space="preserve">Ministry of Justice (executive power branch) is the body responsible for performing this purely technical </w:t>
      </w:r>
      <w:r w:rsidR="009947EA" w:rsidRPr="006C3188">
        <w:rPr>
          <w:rFonts w:hAnsi="Times New Roman" w:cs="Times New Roman"/>
          <w:sz w:val="28"/>
          <w:szCs w:val="28"/>
          <w:lang w:val="en-US"/>
        </w:rPr>
        <w:t>task</w:t>
      </w:r>
      <w:r w:rsidRPr="006C3188">
        <w:rPr>
          <w:rFonts w:hAnsi="Times New Roman" w:cs="Times New Roman"/>
          <w:sz w:val="28"/>
          <w:szCs w:val="28"/>
          <w:lang w:val="en-US"/>
        </w:rPr>
        <w:t>.  Such a consolidated majority decision of public bodies and civil society representatives was taken due to inability of the National Human Rights Center (Office of the Ombudsman)</w:t>
      </w:r>
      <w:r w:rsidR="00606285" w:rsidRPr="006C3188">
        <w:rPr>
          <w:rFonts w:hAnsi="Times New Roman" w:cs="Times New Roman"/>
          <w:sz w:val="28"/>
          <w:szCs w:val="28"/>
          <w:lang w:val="en-US"/>
        </w:rPr>
        <w:t xml:space="preserve"> to commit to performing such function with the existing human resources. </w:t>
      </w:r>
      <w:r w:rsidRPr="006C3188">
        <w:rPr>
          <w:rFonts w:hAnsi="Times New Roman" w:cs="Times New Roman"/>
          <w:sz w:val="28"/>
          <w:szCs w:val="28"/>
          <w:lang w:val="en-US"/>
        </w:rPr>
        <w:t xml:space="preserve">  </w:t>
      </w:r>
    </w:p>
    <w:p w:rsidR="00D97655" w:rsidRPr="006C3188" w:rsidRDefault="00D97655"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At the same time </w:t>
      </w:r>
      <w:r w:rsidR="00606285" w:rsidRPr="006C3188">
        <w:rPr>
          <w:rFonts w:hAnsi="Times New Roman" w:cs="Times New Roman"/>
          <w:sz w:val="28"/>
          <w:szCs w:val="28"/>
          <w:lang w:val="en-US"/>
        </w:rPr>
        <w:t>considering</w:t>
      </w:r>
      <w:r w:rsidRPr="006C3188">
        <w:rPr>
          <w:rFonts w:hAnsi="Times New Roman" w:cs="Times New Roman"/>
          <w:sz w:val="28"/>
          <w:szCs w:val="28"/>
          <w:lang w:val="en-US"/>
        </w:rPr>
        <w:t xml:space="preserve"> every state’s right to choose own format of the NPM model, as stated in the Optional Protocol, Article 17, and to respect the norms of the Optional Protocol financing mechanism for the NPM was designed in a way that neither  Ministry of Justice nor any official or a public body interferes in  the NPM’s operation. </w:t>
      </w:r>
    </w:p>
    <w:p w:rsidR="00D97655" w:rsidRPr="006C3188" w:rsidRDefault="00D97655"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The NPM’s Budget Administrator’s function is limited by verification of the documents submitted for compensation of expenditure to NPM members and subsequent compensation of the above-mentioned expenses.  </w:t>
      </w:r>
    </w:p>
    <w:p w:rsidR="00D97655" w:rsidRPr="006C3188" w:rsidRDefault="00D97655"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Control over compensation, confirmation of the expenses and </w:t>
      </w:r>
      <w:r w:rsidR="009947EA" w:rsidRPr="006C3188">
        <w:rPr>
          <w:rFonts w:hAnsi="Times New Roman" w:cs="Times New Roman"/>
          <w:sz w:val="28"/>
          <w:szCs w:val="28"/>
          <w:lang w:val="en-US"/>
        </w:rPr>
        <w:t xml:space="preserve">verification of </w:t>
      </w:r>
      <w:r w:rsidRPr="006C3188">
        <w:rPr>
          <w:rFonts w:hAnsi="Times New Roman" w:cs="Times New Roman"/>
          <w:sz w:val="28"/>
          <w:szCs w:val="28"/>
          <w:lang w:val="en-US"/>
        </w:rPr>
        <w:t>relevant documents has been entrusted with the Ombudsman.</w:t>
      </w:r>
    </w:p>
    <w:p w:rsidR="00D97655" w:rsidRPr="006C3188" w:rsidRDefault="00D97655"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This arrangement indicates that existing order of NPM’s budget administration does not violate provisions of the Optional Protocol.</w:t>
      </w:r>
    </w:p>
    <w:p w:rsidR="006030D3" w:rsidRPr="006C3188" w:rsidRDefault="006030D3"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Following every monitoring visit, the NPM members are entitled to compensation of travel expenses, accommodation, per diem and stationery, as well as for drafting of </w:t>
      </w:r>
      <w:r w:rsidRPr="006C3188">
        <w:rPr>
          <w:rFonts w:hAnsi="Times New Roman" w:cs="Times New Roman"/>
          <w:sz w:val="28"/>
          <w:szCs w:val="28"/>
          <w:lang w:val="en-US"/>
        </w:rPr>
        <w:lastRenderedPageBreak/>
        <w:t xml:space="preserve">the </w:t>
      </w:r>
      <w:r w:rsidR="006C3188" w:rsidRPr="006C3188">
        <w:rPr>
          <w:rFonts w:hAnsi="Times New Roman" w:cs="Times New Roman"/>
          <w:sz w:val="28"/>
          <w:szCs w:val="28"/>
          <w:lang w:val="en-US"/>
        </w:rPr>
        <w:t>visit</w:t>
      </w:r>
      <w:r w:rsidRPr="006C3188">
        <w:rPr>
          <w:rFonts w:hAnsi="Times New Roman" w:cs="Times New Roman"/>
          <w:sz w:val="28"/>
          <w:szCs w:val="28"/>
          <w:lang w:val="en-US"/>
        </w:rPr>
        <w:t xml:space="preserve"> report in the amount of one minimum monthly salary (19966 kzt, equivalent of $110). </w:t>
      </w:r>
    </w:p>
    <w:p w:rsidR="00D97655" w:rsidRPr="006C3188" w:rsidRDefault="006030D3"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This way, significant progress has been secured in implementation of international and constitutional legal commitments of the Republic of Kazakhstan pertinent to overall prohibition of torture by implementation of the Convention Against Torture and Optional Protocol thereof.     </w:t>
      </w:r>
    </w:p>
    <w:p w:rsidR="00B4168C" w:rsidRPr="006C3188" w:rsidRDefault="006030D3"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The NPM launched in 2014 is one of the milestones of this process.  Meanwhile, true implementation of the Convention Against Torture and Optional Protocol thereof implies effective actions of this newly established mechanism</w:t>
      </w:r>
      <w:r w:rsidR="00B4168C" w:rsidRPr="006C3188">
        <w:rPr>
          <w:rFonts w:hAnsi="Times New Roman" w:cs="Times New Roman"/>
          <w:sz w:val="28"/>
          <w:szCs w:val="28"/>
          <w:lang w:val="en-US"/>
        </w:rPr>
        <w:t xml:space="preserve"> and that is a task for the Ombudsman and all the NPM members in Kazakhstan. </w:t>
      </w:r>
    </w:p>
    <w:p w:rsidR="00B4168C" w:rsidRPr="006C3188" w:rsidRDefault="00B4168C"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In this regard the assistance of the Committee against Torture and Subcommittee on Torture Prevention is of positive impact, given that NPM establishment is an important step undertaken by Kazakhstan to implement the country’s commitment to eradicate torture, which opens us both new challenges and additional perspectives of improving the national human rights system. </w:t>
      </w:r>
    </w:p>
    <w:p w:rsidR="00B4168C" w:rsidRPr="006C3188" w:rsidRDefault="00B4168C" w:rsidP="006C3188">
      <w:pPr>
        <w:spacing w:line="360" w:lineRule="auto"/>
        <w:jc w:val="both"/>
        <w:rPr>
          <w:rFonts w:hAnsi="Times New Roman" w:cs="Times New Roman"/>
          <w:sz w:val="28"/>
          <w:szCs w:val="28"/>
          <w:lang w:val="en-US"/>
        </w:rPr>
      </w:pPr>
      <w:r w:rsidRPr="006C3188">
        <w:rPr>
          <w:rFonts w:hAnsi="Times New Roman" w:cs="Times New Roman"/>
          <w:sz w:val="28"/>
          <w:szCs w:val="28"/>
          <w:lang w:val="en-US"/>
        </w:rPr>
        <w:t xml:space="preserve">One of such perspectives is further improvement of the NPM and strengthening of the Ombudsman’s office. </w:t>
      </w:r>
    </w:p>
    <w:p w:rsidR="00E46AE7" w:rsidRPr="006C3188" w:rsidRDefault="00E46AE7" w:rsidP="006C3188">
      <w:pPr>
        <w:spacing w:line="360" w:lineRule="auto"/>
        <w:jc w:val="both"/>
        <w:rPr>
          <w:rFonts w:eastAsia="Times New Roman Bold" w:hAnsi="Times New Roman" w:cs="Times New Roman"/>
          <w:b/>
          <w:sz w:val="28"/>
          <w:szCs w:val="28"/>
          <w:lang w:val="en-US"/>
        </w:rPr>
      </w:pPr>
    </w:p>
    <w:p w:rsidR="00B4168C" w:rsidRPr="006C3188" w:rsidRDefault="00B4168C" w:rsidP="006C3188">
      <w:pPr>
        <w:spacing w:line="360" w:lineRule="auto"/>
        <w:jc w:val="both"/>
        <w:rPr>
          <w:rFonts w:hAnsi="Times New Roman" w:cs="Times New Roman"/>
          <w:b/>
          <w:sz w:val="28"/>
          <w:szCs w:val="28"/>
          <w:lang w:val="en-US"/>
        </w:rPr>
      </w:pPr>
      <w:r w:rsidRPr="006C3188">
        <w:rPr>
          <w:rFonts w:hAnsi="Times New Roman" w:cs="Times New Roman"/>
          <w:b/>
          <w:sz w:val="28"/>
          <w:szCs w:val="28"/>
          <w:lang w:val="en-US"/>
        </w:rPr>
        <w:t>Commissioner for Human Rights</w:t>
      </w:r>
    </w:p>
    <w:p w:rsidR="006C3188" w:rsidRDefault="00B4168C" w:rsidP="006C3188">
      <w:pPr>
        <w:spacing w:line="360" w:lineRule="auto"/>
        <w:jc w:val="both"/>
        <w:rPr>
          <w:rFonts w:hAnsi="Times New Roman" w:cs="Times New Roman"/>
          <w:b/>
          <w:sz w:val="28"/>
          <w:szCs w:val="28"/>
          <w:lang w:val="en-US"/>
        </w:rPr>
      </w:pPr>
      <w:r w:rsidRPr="006C3188">
        <w:rPr>
          <w:rFonts w:hAnsi="Times New Roman" w:cs="Times New Roman"/>
          <w:b/>
          <w:sz w:val="28"/>
          <w:szCs w:val="28"/>
          <w:lang w:val="en-US"/>
        </w:rPr>
        <w:t xml:space="preserve">(Ombudsman) </w:t>
      </w:r>
    </w:p>
    <w:p w:rsidR="00E46AE7" w:rsidRPr="006C3188" w:rsidRDefault="00B4168C" w:rsidP="006C3188">
      <w:pPr>
        <w:spacing w:line="360" w:lineRule="auto"/>
        <w:jc w:val="both"/>
        <w:rPr>
          <w:rFonts w:hAnsi="Times New Roman" w:cs="Times New Roman"/>
          <w:b/>
          <w:sz w:val="28"/>
          <w:szCs w:val="28"/>
          <w:lang w:val="en-US"/>
        </w:rPr>
      </w:pPr>
      <w:r w:rsidRPr="006C3188">
        <w:rPr>
          <w:rFonts w:hAnsi="Times New Roman" w:cs="Times New Roman"/>
          <w:b/>
          <w:sz w:val="28"/>
          <w:szCs w:val="28"/>
          <w:lang w:val="en-US"/>
        </w:rPr>
        <w:t>in the Republic of Kazakhstan</w:t>
      </w:r>
      <w:r w:rsidR="006C3188">
        <w:rPr>
          <w:rFonts w:hAnsi="Times New Roman" w:cs="Times New Roman"/>
          <w:b/>
          <w:sz w:val="28"/>
          <w:szCs w:val="28"/>
          <w:lang w:val="en-US"/>
        </w:rPr>
        <w:tab/>
      </w:r>
      <w:r w:rsidR="006C3188">
        <w:rPr>
          <w:rFonts w:hAnsi="Times New Roman" w:cs="Times New Roman"/>
          <w:b/>
          <w:sz w:val="28"/>
          <w:szCs w:val="28"/>
          <w:lang w:val="en-US"/>
        </w:rPr>
        <w:tab/>
      </w:r>
      <w:r w:rsidR="006C3188">
        <w:rPr>
          <w:rFonts w:hAnsi="Times New Roman" w:cs="Times New Roman"/>
          <w:b/>
          <w:sz w:val="28"/>
          <w:szCs w:val="28"/>
          <w:lang w:val="en-US"/>
        </w:rPr>
        <w:tab/>
      </w:r>
      <w:r w:rsidR="006C3188">
        <w:rPr>
          <w:rFonts w:hAnsi="Times New Roman" w:cs="Times New Roman"/>
          <w:b/>
          <w:sz w:val="28"/>
          <w:szCs w:val="28"/>
          <w:lang w:val="en-US"/>
        </w:rPr>
        <w:tab/>
      </w:r>
      <w:r w:rsidR="006C3188">
        <w:rPr>
          <w:rFonts w:hAnsi="Times New Roman" w:cs="Times New Roman"/>
          <w:b/>
          <w:sz w:val="28"/>
          <w:szCs w:val="28"/>
          <w:lang w:val="en-US"/>
        </w:rPr>
        <w:tab/>
        <w:t xml:space="preserve">                </w:t>
      </w:r>
      <w:r w:rsidRPr="006C3188">
        <w:rPr>
          <w:rFonts w:hAnsi="Times New Roman" w:cs="Times New Roman"/>
          <w:b/>
          <w:sz w:val="28"/>
          <w:szCs w:val="28"/>
          <w:lang w:val="en-US"/>
        </w:rPr>
        <w:t xml:space="preserve">A.Shakirov </w:t>
      </w:r>
    </w:p>
    <w:sectPr w:rsidR="00E46AE7" w:rsidRPr="006C3188" w:rsidSect="00E46AE7">
      <w:headerReference w:type="default" r:id="rId8"/>
      <w:footerReference w:type="first" r:id="rId9"/>
      <w:pgSz w:w="11900" w:h="16840"/>
      <w:pgMar w:top="1134" w:right="851" w:bottom="1134" w:left="1418"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075B" w:rsidRDefault="002F075B" w:rsidP="00E46AE7">
      <w:r>
        <w:separator/>
      </w:r>
    </w:p>
  </w:endnote>
  <w:endnote w:type="continuationSeparator" w:id="0">
    <w:p w:rsidR="002F075B" w:rsidRDefault="002F075B" w:rsidP="00E46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Times New Roman Bold">
    <w:altName w:val="Times New Roman"/>
    <w:panose1 w:val="02020803070505020304"/>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AE7" w:rsidRDefault="00327161">
    <w:pPr>
      <w:pStyle w:val="Footer"/>
    </w:pP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075B" w:rsidRDefault="002F075B" w:rsidP="00E46AE7">
      <w:r>
        <w:separator/>
      </w:r>
    </w:p>
  </w:footnote>
  <w:footnote w:type="continuationSeparator" w:id="0">
    <w:p w:rsidR="002F075B" w:rsidRDefault="002F075B" w:rsidP="00E46A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AE7" w:rsidRDefault="00F0024F">
    <w:pPr>
      <w:pStyle w:val="Header"/>
      <w:jc w:val="right"/>
    </w:pPr>
    <w:r>
      <w:fldChar w:fldCharType="begin"/>
    </w:r>
    <w:r w:rsidR="00327161">
      <w:instrText xml:space="preserve"> PAGE </w:instrText>
    </w:r>
    <w:r>
      <w:fldChar w:fldCharType="separate"/>
    </w:r>
    <w:r w:rsidR="002C5617">
      <w:rPr>
        <w:noProof/>
      </w:rPr>
      <w:t>10</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F1121"/>
    <w:multiLevelType w:val="multilevel"/>
    <w:tmpl w:val="8D4AB2E6"/>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
    <w:nsid w:val="2BF57EC4"/>
    <w:multiLevelType w:val="multilevel"/>
    <w:tmpl w:val="01F8D1DE"/>
    <w:lvl w:ilvl="0">
      <w:numFmt w:val="bullet"/>
      <w:lvlText w:val="-"/>
      <w:lvlJc w:val="left"/>
      <w:pPr>
        <w:tabs>
          <w:tab w:val="num" w:pos="720"/>
        </w:tabs>
        <w:ind w:left="720" w:hanging="696"/>
      </w:pPr>
      <w:rPr>
        <w:position w:val="0"/>
        <w:sz w:val="24"/>
        <w:szCs w:val="24"/>
        <w:rtl w:val="0"/>
        <w:lang w:val="en-US"/>
      </w:rPr>
    </w:lvl>
    <w:lvl w:ilvl="1">
      <w:start w:val="1"/>
      <w:numFmt w:val="bullet"/>
      <w:lvlText w:val="o"/>
      <w:lvlJc w:val="left"/>
      <w:pPr>
        <w:tabs>
          <w:tab w:val="num" w:pos="1485"/>
        </w:tabs>
        <w:ind w:left="1485" w:hanging="405"/>
      </w:pPr>
      <w:rPr>
        <w:position w:val="0"/>
        <w:sz w:val="27"/>
        <w:szCs w:val="27"/>
        <w:rtl w:val="0"/>
        <w:lang w:val="en-US"/>
      </w:rPr>
    </w:lvl>
    <w:lvl w:ilvl="2">
      <w:start w:val="1"/>
      <w:numFmt w:val="bullet"/>
      <w:lvlText w:val="▪"/>
      <w:lvlJc w:val="left"/>
      <w:pPr>
        <w:tabs>
          <w:tab w:val="num" w:pos="2205"/>
        </w:tabs>
        <w:ind w:left="2205" w:hanging="405"/>
      </w:pPr>
      <w:rPr>
        <w:position w:val="0"/>
        <w:sz w:val="27"/>
        <w:szCs w:val="27"/>
        <w:rtl w:val="0"/>
        <w:lang w:val="en-US"/>
      </w:rPr>
    </w:lvl>
    <w:lvl w:ilvl="3">
      <w:start w:val="1"/>
      <w:numFmt w:val="bullet"/>
      <w:lvlText w:val="•"/>
      <w:lvlJc w:val="left"/>
      <w:pPr>
        <w:tabs>
          <w:tab w:val="num" w:pos="2925"/>
        </w:tabs>
        <w:ind w:left="2925" w:hanging="405"/>
      </w:pPr>
      <w:rPr>
        <w:position w:val="0"/>
        <w:sz w:val="27"/>
        <w:szCs w:val="27"/>
        <w:rtl w:val="0"/>
        <w:lang w:val="en-US"/>
      </w:rPr>
    </w:lvl>
    <w:lvl w:ilvl="4">
      <w:start w:val="1"/>
      <w:numFmt w:val="bullet"/>
      <w:lvlText w:val="o"/>
      <w:lvlJc w:val="left"/>
      <w:pPr>
        <w:tabs>
          <w:tab w:val="num" w:pos="3645"/>
        </w:tabs>
        <w:ind w:left="3645" w:hanging="405"/>
      </w:pPr>
      <w:rPr>
        <w:position w:val="0"/>
        <w:sz w:val="27"/>
        <w:szCs w:val="27"/>
        <w:rtl w:val="0"/>
        <w:lang w:val="en-US"/>
      </w:rPr>
    </w:lvl>
    <w:lvl w:ilvl="5">
      <w:start w:val="1"/>
      <w:numFmt w:val="bullet"/>
      <w:lvlText w:val="▪"/>
      <w:lvlJc w:val="left"/>
      <w:pPr>
        <w:tabs>
          <w:tab w:val="num" w:pos="4365"/>
        </w:tabs>
        <w:ind w:left="4365" w:hanging="405"/>
      </w:pPr>
      <w:rPr>
        <w:position w:val="0"/>
        <w:sz w:val="27"/>
        <w:szCs w:val="27"/>
        <w:rtl w:val="0"/>
        <w:lang w:val="en-US"/>
      </w:rPr>
    </w:lvl>
    <w:lvl w:ilvl="6">
      <w:start w:val="1"/>
      <w:numFmt w:val="bullet"/>
      <w:lvlText w:val="•"/>
      <w:lvlJc w:val="left"/>
      <w:pPr>
        <w:tabs>
          <w:tab w:val="num" w:pos="5085"/>
        </w:tabs>
        <w:ind w:left="5085" w:hanging="405"/>
      </w:pPr>
      <w:rPr>
        <w:position w:val="0"/>
        <w:sz w:val="27"/>
        <w:szCs w:val="27"/>
        <w:rtl w:val="0"/>
        <w:lang w:val="en-US"/>
      </w:rPr>
    </w:lvl>
    <w:lvl w:ilvl="7">
      <w:start w:val="1"/>
      <w:numFmt w:val="bullet"/>
      <w:lvlText w:val="o"/>
      <w:lvlJc w:val="left"/>
      <w:pPr>
        <w:tabs>
          <w:tab w:val="num" w:pos="5805"/>
        </w:tabs>
        <w:ind w:left="5805" w:hanging="405"/>
      </w:pPr>
      <w:rPr>
        <w:position w:val="0"/>
        <w:sz w:val="27"/>
        <w:szCs w:val="27"/>
        <w:rtl w:val="0"/>
        <w:lang w:val="en-US"/>
      </w:rPr>
    </w:lvl>
    <w:lvl w:ilvl="8">
      <w:start w:val="1"/>
      <w:numFmt w:val="bullet"/>
      <w:lvlText w:val="▪"/>
      <w:lvlJc w:val="left"/>
      <w:pPr>
        <w:tabs>
          <w:tab w:val="num" w:pos="6525"/>
        </w:tabs>
        <w:ind w:left="6525" w:hanging="405"/>
      </w:pPr>
      <w:rPr>
        <w:position w:val="0"/>
        <w:sz w:val="27"/>
        <w:szCs w:val="27"/>
        <w:rtl w:val="0"/>
        <w:lang w:val="en-US"/>
      </w:rPr>
    </w:lvl>
  </w:abstractNum>
  <w:abstractNum w:abstractNumId="2">
    <w:nsid w:val="324E1B8F"/>
    <w:multiLevelType w:val="multilevel"/>
    <w:tmpl w:val="057A7E4E"/>
    <w:lvl w:ilvl="0">
      <w:start w:val="1"/>
      <w:numFmt w:val="bullet"/>
      <w:lvlText w:val="-"/>
      <w:lvlJc w:val="left"/>
      <w:pPr>
        <w:tabs>
          <w:tab w:val="num" w:pos="720"/>
        </w:tabs>
        <w:ind w:left="720" w:hanging="696"/>
      </w:pPr>
      <w:rPr>
        <w:position w:val="0"/>
        <w:sz w:val="27"/>
        <w:szCs w:val="27"/>
        <w:rtl w:val="0"/>
        <w:lang w:val="en-US"/>
      </w:rPr>
    </w:lvl>
    <w:lvl w:ilvl="1">
      <w:start w:val="1"/>
      <w:numFmt w:val="bullet"/>
      <w:lvlText w:val="o"/>
      <w:lvlJc w:val="left"/>
      <w:pPr>
        <w:tabs>
          <w:tab w:val="num" w:pos="1485"/>
        </w:tabs>
        <w:ind w:left="1485" w:hanging="405"/>
      </w:pPr>
      <w:rPr>
        <w:position w:val="0"/>
        <w:sz w:val="27"/>
        <w:szCs w:val="27"/>
        <w:rtl w:val="0"/>
        <w:lang w:val="en-US"/>
      </w:rPr>
    </w:lvl>
    <w:lvl w:ilvl="2">
      <w:start w:val="1"/>
      <w:numFmt w:val="bullet"/>
      <w:lvlText w:val="▪"/>
      <w:lvlJc w:val="left"/>
      <w:pPr>
        <w:tabs>
          <w:tab w:val="num" w:pos="2205"/>
        </w:tabs>
        <w:ind w:left="2205" w:hanging="405"/>
      </w:pPr>
      <w:rPr>
        <w:position w:val="0"/>
        <w:sz w:val="27"/>
        <w:szCs w:val="27"/>
        <w:rtl w:val="0"/>
        <w:lang w:val="en-US"/>
      </w:rPr>
    </w:lvl>
    <w:lvl w:ilvl="3">
      <w:start w:val="1"/>
      <w:numFmt w:val="bullet"/>
      <w:lvlText w:val="•"/>
      <w:lvlJc w:val="left"/>
      <w:pPr>
        <w:tabs>
          <w:tab w:val="num" w:pos="2925"/>
        </w:tabs>
        <w:ind w:left="2925" w:hanging="405"/>
      </w:pPr>
      <w:rPr>
        <w:position w:val="0"/>
        <w:sz w:val="27"/>
        <w:szCs w:val="27"/>
        <w:rtl w:val="0"/>
        <w:lang w:val="en-US"/>
      </w:rPr>
    </w:lvl>
    <w:lvl w:ilvl="4">
      <w:start w:val="1"/>
      <w:numFmt w:val="bullet"/>
      <w:lvlText w:val="o"/>
      <w:lvlJc w:val="left"/>
      <w:pPr>
        <w:tabs>
          <w:tab w:val="num" w:pos="3645"/>
        </w:tabs>
        <w:ind w:left="3645" w:hanging="405"/>
      </w:pPr>
      <w:rPr>
        <w:position w:val="0"/>
        <w:sz w:val="27"/>
        <w:szCs w:val="27"/>
        <w:rtl w:val="0"/>
        <w:lang w:val="en-US"/>
      </w:rPr>
    </w:lvl>
    <w:lvl w:ilvl="5">
      <w:start w:val="1"/>
      <w:numFmt w:val="bullet"/>
      <w:lvlText w:val="▪"/>
      <w:lvlJc w:val="left"/>
      <w:pPr>
        <w:tabs>
          <w:tab w:val="num" w:pos="4365"/>
        </w:tabs>
        <w:ind w:left="4365" w:hanging="405"/>
      </w:pPr>
      <w:rPr>
        <w:position w:val="0"/>
        <w:sz w:val="27"/>
        <w:szCs w:val="27"/>
        <w:rtl w:val="0"/>
        <w:lang w:val="en-US"/>
      </w:rPr>
    </w:lvl>
    <w:lvl w:ilvl="6">
      <w:start w:val="1"/>
      <w:numFmt w:val="bullet"/>
      <w:lvlText w:val="•"/>
      <w:lvlJc w:val="left"/>
      <w:pPr>
        <w:tabs>
          <w:tab w:val="num" w:pos="5085"/>
        </w:tabs>
        <w:ind w:left="5085" w:hanging="405"/>
      </w:pPr>
      <w:rPr>
        <w:position w:val="0"/>
        <w:sz w:val="27"/>
        <w:szCs w:val="27"/>
        <w:rtl w:val="0"/>
        <w:lang w:val="en-US"/>
      </w:rPr>
    </w:lvl>
    <w:lvl w:ilvl="7">
      <w:start w:val="1"/>
      <w:numFmt w:val="bullet"/>
      <w:lvlText w:val="o"/>
      <w:lvlJc w:val="left"/>
      <w:pPr>
        <w:tabs>
          <w:tab w:val="num" w:pos="5805"/>
        </w:tabs>
        <w:ind w:left="5805" w:hanging="405"/>
      </w:pPr>
      <w:rPr>
        <w:position w:val="0"/>
        <w:sz w:val="27"/>
        <w:szCs w:val="27"/>
        <w:rtl w:val="0"/>
        <w:lang w:val="en-US"/>
      </w:rPr>
    </w:lvl>
    <w:lvl w:ilvl="8">
      <w:start w:val="1"/>
      <w:numFmt w:val="bullet"/>
      <w:lvlText w:val="▪"/>
      <w:lvlJc w:val="left"/>
      <w:pPr>
        <w:tabs>
          <w:tab w:val="num" w:pos="6525"/>
        </w:tabs>
        <w:ind w:left="6525" w:hanging="405"/>
      </w:pPr>
      <w:rPr>
        <w:position w:val="0"/>
        <w:sz w:val="27"/>
        <w:szCs w:val="27"/>
        <w:rtl w:val="0"/>
        <w:lang w:val="en-US"/>
      </w:rPr>
    </w:lvl>
  </w:abstractNum>
  <w:abstractNum w:abstractNumId="3">
    <w:nsid w:val="3CF673F1"/>
    <w:multiLevelType w:val="multilevel"/>
    <w:tmpl w:val="6058739A"/>
    <w:styleLink w:val="List0"/>
    <w:lvl w:ilvl="0">
      <w:numFmt w:val="bullet"/>
      <w:lvlText w:val="-"/>
      <w:lvlJc w:val="left"/>
      <w:pPr>
        <w:tabs>
          <w:tab w:val="num" w:pos="720"/>
        </w:tabs>
        <w:ind w:left="720" w:hanging="696"/>
      </w:pPr>
      <w:rPr>
        <w:position w:val="0"/>
        <w:sz w:val="24"/>
        <w:szCs w:val="24"/>
        <w:rtl w:val="0"/>
        <w:lang w:val="en-US"/>
      </w:rPr>
    </w:lvl>
    <w:lvl w:ilvl="1">
      <w:start w:val="1"/>
      <w:numFmt w:val="bullet"/>
      <w:lvlText w:val="o"/>
      <w:lvlJc w:val="left"/>
      <w:pPr>
        <w:tabs>
          <w:tab w:val="num" w:pos="1485"/>
        </w:tabs>
        <w:ind w:left="1485" w:hanging="405"/>
      </w:pPr>
      <w:rPr>
        <w:position w:val="0"/>
        <w:sz w:val="27"/>
        <w:szCs w:val="27"/>
        <w:rtl w:val="0"/>
        <w:lang w:val="en-US"/>
      </w:rPr>
    </w:lvl>
    <w:lvl w:ilvl="2">
      <w:start w:val="1"/>
      <w:numFmt w:val="bullet"/>
      <w:lvlText w:val="▪"/>
      <w:lvlJc w:val="left"/>
      <w:pPr>
        <w:tabs>
          <w:tab w:val="num" w:pos="2205"/>
        </w:tabs>
        <w:ind w:left="2205" w:hanging="405"/>
      </w:pPr>
      <w:rPr>
        <w:position w:val="0"/>
        <w:sz w:val="27"/>
        <w:szCs w:val="27"/>
        <w:rtl w:val="0"/>
        <w:lang w:val="en-US"/>
      </w:rPr>
    </w:lvl>
    <w:lvl w:ilvl="3">
      <w:start w:val="1"/>
      <w:numFmt w:val="bullet"/>
      <w:lvlText w:val="•"/>
      <w:lvlJc w:val="left"/>
      <w:pPr>
        <w:tabs>
          <w:tab w:val="num" w:pos="2925"/>
        </w:tabs>
        <w:ind w:left="2925" w:hanging="405"/>
      </w:pPr>
      <w:rPr>
        <w:position w:val="0"/>
        <w:sz w:val="27"/>
        <w:szCs w:val="27"/>
        <w:rtl w:val="0"/>
        <w:lang w:val="en-US"/>
      </w:rPr>
    </w:lvl>
    <w:lvl w:ilvl="4">
      <w:start w:val="1"/>
      <w:numFmt w:val="bullet"/>
      <w:lvlText w:val="o"/>
      <w:lvlJc w:val="left"/>
      <w:pPr>
        <w:tabs>
          <w:tab w:val="num" w:pos="3645"/>
        </w:tabs>
        <w:ind w:left="3645" w:hanging="405"/>
      </w:pPr>
      <w:rPr>
        <w:position w:val="0"/>
        <w:sz w:val="27"/>
        <w:szCs w:val="27"/>
        <w:rtl w:val="0"/>
        <w:lang w:val="en-US"/>
      </w:rPr>
    </w:lvl>
    <w:lvl w:ilvl="5">
      <w:start w:val="1"/>
      <w:numFmt w:val="bullet"/>
      <w:lvlText w:val="▪"/>
      <w:lvlJc w:val="left"/>
      <w:pPr>
        <w:tabs>
          <w:tab w:val="num" w:pos="4365"/>
        </w:tabs>
        <w:ind w:left="4365" w:hanging="405"/>
      </w:pPr>
      <w:rPr>
        <w:position w:val="0"/>
        <w:sz w:val="27"/>
        <w:szCs w:val="27"/>
        <w:rtl w:val="0"/>
        <w:lang w:val="en-US"/>
      </w:rPr>
    </w:lvl>
    <w:lvl w:ilvl="6">
      <w:start w:val="1"/>
      <w:numFmt w:val="bullet"/>
      <w:lvlText w:val="•"/>
      <w:lvlJc w:val="left"/>
      <w:pPr>
        <w:tabs>
          <w:tab w:val="num" w:pos="5085"/>
        </w:tabs>
        <w:ind w:left="5085" w:hanging="405"/>
      </w:pPr>
      <w:rPr>
        <w:position w:val="0"/>
        <w:sz w:val="27"/>
        <w:szCs w:val="27"/>
        <w:rtl w:val="0"/>
        <w:lang w:val="en-US"/>
      </w:rPr>
    </w:lvl>
    <w:lvl w:ilvl="7">
      <w:start w:val="1"/>
      <w:numFmt w:val="bullet"/>
      <w:lvlText w:val="o"/>
      <w:lvlJc w:val="left"/>
      <w:pPr>
        <w:tabs>
          <w:tab w:val="num" w:pos="5805"/>
        </w:tabs>
        <w:ind w:left="5805" w:hanging="405"/>
      </w:pPr>
      <w:rPr>
        <w:position w:val="0"/>
        <w:sz w:val="27"/>
        <w:szCs w:val="27"/>
        <w:rtl w:val="0"/>
        <w:lang w:val="en-US"/>
      </w:rPr>
    </w:lvl>
    <w:lvl w:ilvl="8">
      <w:start w:val="1"/>
      <w:numFmt w:val="bullet"/>
      <w:lvlText w:val="▪"/>
      <w:lvlJc w:val="left"/>
      <w:pPr>
        <w:tabs>
          <w:tab w:val="num" w:pos="6525"/>
        </w:tabs>
        <w:ind w:left="6525" w:hanging="405"/>
      </w:pPr>
      <w:rPr>
        <w:position w:val="0"/>
        <w:sz w:val="27"/>
        <w:szCs w:val="27"/>
        <w:rtl w:val="0"/>
        <w:lang w:val="en-US"/>
      </w:rPr>
    </w:lvl>
  </w:abstractNum>
  <w:abstractNum w:abstractNumId="4">
    <w:nsid w:val="4FE7253A"/>
    <w:multiLevelType w:val="multilevel"/>
    <w:tmpl w:val="94B45D38"/>
    <w:lvl w:ilvl="0">
      <w:numFmt w:val="bullet"/>
      <w:lvlText w:val="-"/>
      <w:lvlJc w:val="left"/>
      <w:pPr>
        <w:tabs>
          <w:tab w:val="num" w:pos="720"/>
        </w:tabs>
        <w:ind w:left="720" w:hanging="696"/>
      </w:pPr>
      <w:rPr>
        <w:position w:val="0"/>
        <w:sz w:val="24"/>
        <w:szCs w:val="24"/>
        <w:rtl w:val="0"/>
        <w:lang w:val="en-US"/>
      </w:rPr>
    </w:lvl>
    <w:lvl w:ilvl="1">
      <w:start w:val="1"/>
      <w:numFmt w:val="bullet"/>
      <w:lvlText w:val="o"/>
      <w:lvlJc w:val="left"/>
      <w:pPr>
        <w:tabs>
          <w:tab w:val="num" w:pos="1485"/>
        </w:tabs>
        <w:ind w:left="1485" w:hanging="405"/>
      </w:pPr>
      <w:rPr>
        <w:position w:val="0"/>
        <w:sz w:val="27"/>
        <w:szCs w:val="27"/>
        <w:rtl w:val="0"/>
        <w:lang w:val="en-US"/>
      </w:rPr>
    </w:lvl>
    <w:lvl w:ilvl="2">
      <w:start w:val="1"/>
      <w:numFmt w:val="bullet"/>
      <w:lvlText w:val="▪"/>
      <w:lvlJc w:val="left"/>
      <w:pPr>
        <w:tabs>
          <w:tab w:val="num" w:pos="2205"/>
        </w:tabs>
        <w:ind w:left="2205" w:hanging="405"/>
      </w:pPr>
      <w:rPr>
        <w:position w:val="0"/>
        <w:sz w:val="27"/>
        <w:szCs w:val="27"/>
        <w:rtl w:val="0"/>
        <w:lang w:val="en-US"/>
      </w:rPr>
    </w:lvl>
    <w:lvl w:ilvl="3">
      <w:start w:val="1"/>
      <w:numFmt w:val="bullet"/>
      <w:lvlText w:val="•"/>
      <w:lvlJc w:val="left"/>
      <w:pPr>
        <w:tabs>
          <w:tab w:val="num" w:pos="2925"/>
        </w:tabs>
        <w:ind w:left="2925" w:hanging="405"/>
      </w:pPr>
      <w:rPr>
        <w:position w:val="0"/>
        <w:sz w:val="27"/>
        <w:szCs w:val="27"/>
        <w:rtl w:val="0"/>
        <w:lang w:val="en-US"/>
      </w:rPr>
    </w:lvl>
    <w:lvl w:ilvl="4">
      <w:start w:val="1"/>
      <w:numFmt w:val="bullet"/>
      <w:lvlText w:val="o"/>
      <w:lvlJc w:val="left"/>
      <w:pPr>
        <w:tabs>
          <w:tab w:val="num" w:pos="3645"/>
        </w:tabs>
        <w:ind w:left="3645" w:hanging="405"/>
      </w:pPr>
      <w:rPr>
        <w:position w:val="0"/>
        <w:sz w:val="27"/>
        <w:szCs w:val="27"/>
        <w:rtl w:val="0"/>
        <w:lang w:val="en-US"/>
      </w:rPr>
    </w:lvl>
    <w:lvl w:ilvl="5">
      <w:start w:val="1"/>
      <w:numFmt w:val="bullet"/>
      <w:lvlText w:val="▪"/>
      <w:lvlJc w:val="left"/>
      <w:pPr>
        <w:tabs>
          <w:tab w:val="num" w:pos="4365"/>
        </w:tabs>
        <w:ind w:left="4365" w:hanging="405"/>
      </w:pPr>
      <w:rPr>
        <w:position w:val="0"/>
        <w:sz w:val="27"/>
        <w:szCs w:val="27"/>
        <w:rtl w:val="0"/>
        <w:lang w:val="en-US"/>
      </w:rPr>
    </w:lvl>
    <w:lvl w:ilvl="6">
      <w:start w:val="1"/>
      <w:numFmt w:val="bullet"/>
      <w:lvlText w:val="•"/>
      <w:lvlJc w:val="left"/>
      <w:pPr>
        <w:tabs>
          <w:tab w:val="num" w:pos="5085"/>
        </w:tabs>
        <w:ind w:left="5085" w:hanging="405"/>
      </w:pPr>
      <w:rPr>
        <w:position w:val="0"/>
        <w:sz w:val="27"/>
        <w:szCs w:val="27"/>
        <w:rtl w:val="0"/>
        <w:lang w:val="en-US"/>
      </w:rPr>
    </w:lvl>
    <w:lvl w:ilvl="7">
      <w:start w:val="1"/>
      <w:numFmt w:val="bullet"/>
      <w:lvlText w:val="o"/>
      <w:lvlJc w:val="left"/>
      <w:pPr>
        <w:tabs>
          <w:tab w:val="num" w:pos="5805"/>
        </w:tabs>
        <w:ind w:left="5805" w:hanging="405"/>
      </w:pPr>
      <w:rPr>
        <w:position w:val="0"/>
        <w:sz w:val="27"/>
        <w:szCs w:val="27"/>
        <w:rtl w:val="0"/>
        <w:lang w:val="en-US"/>
      </w:rPr>
    </w:lvl>
    <w:lvl w:ilvl="8">
      <w:start w:val="1"/>
      <w:numFmt w:val="bullet"/>
      <w:lvlText w:val="▪"/>
      <w:lvlJc w:val="left"/>
      <w:pPr>
        <w:tabs>
          <w:tab w:val="num" w:pos="6525"/>
        </w:tabs>
        <w:ind w:left="6525" w:hanging="405"/>
      </w:pPr>
      <w:rPr>
        <w:position w:val="0"/>
        <w:sz w:val="27"/>
        <w:szCs w:val="27"/>
        <w:rtl w:val="0"/>
        <w:lang w:val="en-US"/>
      </w:rPr>
    </w:lvl>
  </w:abstractNum>
  <w:abstractNum w:abstractNumId="5">
    <w:nsid w:val="54C12D62"/>
    <w:multiLevelType w:val="multilevel"/>
    <w:tmpl w:val="7EB69A3E"/>
    <w:lvl w:ilvl="0">
      <w:numFmt w:val="bullet"/>
      <w:lvlText w:val="-"/>
      <w:lvlJc w:val="left"/>
      <w:pPr>
        <w:tabs>
          <w:tab w:val="num" w:pos="720"/>
        </w:tabs>
        <w:ind w:left="720" w:hanging="696"/>
      </w:pPr>
      <w:rPr>
        <w:position w:val="0"/>
        <w:sz w:val="24"/>
        <w:szCs w:val="24"/>
        <w:rtl w:val="0"/>
        <w:lang w:val="en-US"/>
      </w:rPr>
    </w:lvl>
    <w:lvl w:ilvl="1">
      <w:start w:val="1"/>
      <w:numFmt w:val="bullet"/>
      <w:lvlText w:val="o"/>
      <w:lvlJc w:val="left"/>
      <w:pPr>
        <w:tabs>
          <w:tab w:val="num" w:pos="1485"/>
        </w:tabs>
        <w:ind w:left="1485" w:hanging="405"/>
      </w:pPr>
      <w:rPr>
        <w:position w:val="0"/>
        <w:sz w:val="27"/>
        <w:szCs w:val="27"/>
        <w:rtl w:val="0"/>
        <w:lang w:val="en-US"/>
      </w:rPr>
    </w:lvl>
    <w:lvl w:ilvl="2">
      <w:start w:val="1"/>
      <w:numFmt w:val="bullet"/>
      <w:lvlText w:val="▪"/>
      <w:lvlJc w:val="left"/>
      <w:pPr>
        <w:tabs>
          <w:tab w:val="num" w:pos="2205"/>
        </w:tabs>
        <w:ind w:left="2205" w:hanging="405"/>
      </w:pPr>
      <w:rPr>
        <w:position w:val="0"/>
        <w:sz w:val="27"/>
        <w:szCs w:val="27"/>
        <w:rtl w:val="0"/>
        <w:lang w:val="en-US"/>
      </w:rPr>
    </w:lvl>
    <w:lvl w:ilvl="3">
      <w:start w:val="1"/>
      <w:numFmt w:val="bullet"/>
      <w:lvlText w:val="•"/>
      <w:lvlJc w:val="left"/>
      <w:pPr>
        <w:tabs>
          <w:tab w:val="num" w:pos="2925"/>
        </w:tabs>
        <w:ind w:left="2925" w:hanging="405"/>
      </w:pPr>
      <w:rPr>
        <w:position w:val="0"/>
        <w:sz w:val="27"/>
        <w:szCs w:val="27"/>
        <w:rtl w:val="0"/>
        <w:lang w:val="en-US"/>
      </w:rPr>
    </w:lvl>
    <w:lvl w:ilvl="4">
      <w:start w:val="1"/>
      <w:numFmt w:val="bullet"/>
      <w:lvlText w:val="o"/>
      <w:lvlJc w:val="left"/>
      <w:pPr>
        <w:tabs>
          <w:tab w:val="num" w:pos="3645"/>
        </w:tabs>
        <w:ind w:left="3645" w:hanging="405"/>
      </w:pPr>
      <w:rPr>
        <w:position w:val="0"/>
        <w:sz w:val="27"/>
        <w:szCs w:val="27"/>
        <w:rtl w:val="0"/>
        <w:lang w:val="en-US"/>
      </w:rPr>
    </w:lvl>
    <w:lvl w:ilvl="5">
      <w:start w:val="1"/>
      <w:numFmt w:val="bullet"/>
      <w:lvlText w:val="▪"/>
      <w:lvlJc w:val="left"/>
      <w:pPr>
        <w:tabs>
          <w:tab w:val="num" w:pos="4365"/>
        </w:tabs>
        <w:ind w:left="4365" w:hanging="405"/>
      </w:pPr>
      <w:rPr>
        <w:position w:val="0"/>
        <w:sz w:val="27"/>
        <w:szCs w:val="27"/>
        <w:rtl w:val="0"/>
        <w:lang w:val="en-US"/>
      </w:rPr>
    </w:lvl>
    <w:lvl w:ilvl="6">
      <w:start w:val="1"/>
      <w:numFmt w:val="bullet"/>
      <w:lvlText w:val="•"/>
      <w:lvlJc w:val="left"/>
      <w:pPr>
        <w:tabs>
          <w:tab w:val="num" w:pos="5085"/>
        </w:tabs>
        <w:ind w:left="5085" w:hanging="405"/>
      </w:pPr>
      <w:rPr>
        <w:position w:val="0"/>
        <w:sz w:val="27"/>
        <w:szCs w:val="27"/>
        <w:rtl w:val="0"/>
        <w:lang w:val="en-US"/>
      </w:rPr>
    </w:lvl>
    <w:lvl w:ilvl="7">
      <w:start w:val="1"/>
      <w:numFmt w:val="bullet"/>
      <w:lvlText w:val="o"/>
      <w:lvlJc w:val="left"/>
      <w:pPr>
        <w:tabs>
          <w:tab w:val="num" w:pos="5805"/>
        </w:tabs>
        <w:ind w:left="5805" w:hanging="405"/>
      </w:pPr>
      <w:rPr>
        <w:position w:val="0"/>
        <w:sz w:val="27"/>
        <w:szCs w:val="27"/>
        <w:rtl w:val="0"/>
        <w:lang w:val="en-US"/>
      </w:rPr>
    </w:lvl>
    <w:lvl w:ilvl="8">
      <w:start w:val="1"/>
      <w:numFmt w:val="bullet"/>
      <w:lvlText w:val="▪"/>
      <w:lvlJc w:val="left"/>
      <w:pPr>
        <w:tabs>
          <w:tab w:val="num" w:pos="6525"/>
        </w:tabs>
        <w:ind w:left="6525" w:hanging="405"/>
      </w:pPr>
      <w:rPr>
        <w:position w:val="0"/>
        <w:sz w:val="27"/>
        <w:szCs w:val="27"/>
        <w:rtl w:val="0"/>
        <w:lang w:val="en-US"/>
      </w:rPr>
    </w:lvl>
  </w:abstractNum>
  <w:abstractNum w:abstractNumId="6">
    <w:nsid w:val="55212CAE"/>
    <w:multiLevelType w:val="multilevel"/>
    <w:tmpl w:val="7FF66C26"/>
    <w:lvl w:ilvl="0">
      <w:numFmt w:val="bullet"/>
      <w:lvlText w:val="-"/>
      <w:lvlJc w:val="left"/>
      <w:pPr>
        <w:tabs>
          <w:tab w:val="num" w:pos="720"/>
        </w:tabs>
        <w:ind w:left="720" w:hanging="696"/>
      </w:pPr>
      <w:rPr>
        <w:position w:val="0"/>
        <w:sz w:val="24"/>
        <w:szCs w:val="24"/>
        <w:rtl w:val="0"/>
        <w:lang w:val="en-US"/>
      </w:rPr>
    </w:lvl>
    <w:lvl w:ilvl="1">
      <w:start w:val="1"/>
      <w:numFmt w:val="bullet"/>
      <w:lvlText w:val="o"/>
      <w:lvlJc w:val="left"/>
      <w:pPr>
        <w:tabs>
          <w:tab w:val="num" w:pos="1485"/>
        </w:tabs>
        <w:ind w:left="1485" w:hanging="405"/>
      </w:pPr>
      <w:rPr>
        <w:position w:val="0"/>
        <w:sz w:val="27"/>
        <w:szCs w:val="27"/>
        <w:rtl w:val="0"/>
        <w:lang w:val="en-US"/>
      </w:rPr>
    </w:lvl>
    <w:lvl w:ilvl="2">
      <w:start w:val="1"/>
      <w:numFmt w:val="bullet"/>
      <w:lvlText w:val="▪"/>
      <w:lvlJc w:val="left"/>
      <w:pPr>
        <w:tabs>
          <w:tab w:val="num" w:pos="2205"/>
        </w:tabs>
        <w:ind w:left="2205" w:hanging="405"/>
      </w:pPr>
      <w:rPr>
        <w:position w:val="0"/>
        <w:sz w:val="27"/>
        <w:szCs w:val="27"/>
        <w:rtl w:val="0"/>
        <w:lang w:val="en-US"/>
      </w:rPr>
    </w:lvl>
    <w:lvl w:ilvl="3">
      <w:start w:val="1"/>
      <w:numFmt w:val="bullet"/>
      <w:lvlText w:val="•"/>
      <w:lvlJc w:val="left"/>
      <w:pPr>
        <w:tabs>
          <w:tab w:val="num" w:pos="2925"/>
        </w:tabs>
        <w:ind w:left="2925" w:hanging="405"/>
      </w:pPr>
      <w:rPr>
        <w:position w:val="0"/>
        <w:sz w:val="27"/>
        <w:szCs w:val="27"/>
        <w:rtl w:val="0"/>
        <w:lang w:val="en-US"/>
      </w:rPr>
    </w:lvl>
    <w:lvl w:ilvl="4">
      <w:start w:val="1"/>
      <w:numFmt w:val="bullet"/>
      <w:lvlText w:val="o"/>
      <w:lvlJc w:val="left"/>
      <w:pPr>
        <w:tabs>
          <w:tab w:val="num" w:pos="3645"/>
        </w:tabs>
        <w:ind w:left="3645" w:hanging="405"/>
      </w:pPr>
      <w:rPr>
        <w:position w:val="0"/>
        <w:sz w:val="27"/>
        <w:szCs w:val="27"/>
        <w:rtl w:val="0"/>
        <w:lang w:val="en-US"/>
      </w:rPr>
    </w:lvl>
    <w:lvl w:ilvl="5">
      <w:start w:val="1"/>
      <w:numFmt w:val="bullet"/>
      <w:lvlText w:val="▪"/>
      <w:lvlJc w:val="left"/>
      <w:pPr>
        <w:tabs>
          <w:tab w:val="num" w:pos="4365"/>
        </w:tabs>
        <w:ind w:left="4365" w:hanging="405"/>
      </w:pPr>
      <w:rPr>
        <w:position w:val="0"/>
        <w:sz w:val="27"/>
        <w:szCs w:val="27"/>
        <w:rtl w:val="0"/>
        <w:lang w:val="en-US"/>
      </w:rPr>
    </w:lvl>
    <w:lvl w:ilvl="6">
      <w:start w:val="1"/>
      <w:numFmt w:val="bullet"/>
      <w:lvlText w:val="•"/>
      <w:lvlJc w:val="left"/>
      <w:pPr>
        <w:tabs>
          <w:tab w:val="num" w:pos="5085"/>
        </w:tabs>
        <w:ind w:left="5085" w:hanging="405"/>
      </w:pPr>
      <w:rPr>
        <w:position w:val="0"/>
        <w:sz w:val="27"/>
        <w:szCs w:val="27"/>
        <w:rtl w:val="0"/>
        <w:lang w:val="en-US"/>
      </w:rPr>
    </w:lvl>
    <w:lvl w:ilvl="7">
      <w:start w:val="1"/>
      <w:numFmt w:val="bullet"/>
      <w:lvlText w:val="o"/>
      <w:lvlJc w:val="left"/>
      <w:pPr>
        <w:tabs>
          <w:tab w:val="num" w:pos="5805"/>
        </w:tabs>
        <w:ind w:left="5805" w:hanging="405"/>
      </w:pPr>
      <w:rPr>
        <w:position w:val="0"/>
        <w:sz w:val="27"/>
        <w:szCs w:val="27"/>
        <w:rtl w:val="0"/>
        <w:lang w:val="en-US"/>
      </w:rPr>
    </w:lvl>
    <w:lvl w:ilvl="8">
      <w:start w:val="1"/>
      <w:numFmt w:val="bullet"/>
      <w:lvlText w:val="▪"/>
      <w:lvlJc w:val="left"/>
      <w:pPr>
        <w:tabs>
          <w:tab w:val="num" w:pos="6525"/>
        </w:tabs>
        <w:ind w:left="6525" w:hanging="405"/>
      </w:pPr>
      <w:rPr>
        <w:position w:val="0"/>
        <w:sz w:val="27"/>
        <w:szCs w:val="27"/>
        <w:rtl w:val="0"/>
        <w:lang w:val="en-US"/>
      </w:rPr>
    </w:lvl>
  </w:abstractNum>
  <w:abstractNum w:abstractNumId="7">
    <w:nsid w:val="5FA04BF4"/>
    <w:multiLevelType w:val="multilevel"/>
    <w:tmpl w:val="0320404E"/>
    <w:lvl w:ilvl="0">
      <w:numFmt w:val="bullet"/>
      <w:lvlText w:val="-"/>
      <w:lvlJc w:val="left"/>
      <w:pPr>
        <w:tabs>
          <w:tab w:val="num" w:pos="720"/>
        </w:tabs>
        <w:ind w:left="720" w:hanging="696"/>
      </w:pPr>
      <w:rPr>
        <w:position w:val="0"/>
        <w:sz w:val="24"/>
        <w:szCs w:val="24"/>
        <w:rtl w:val="0"/>
        <w:lang w:val="en-US"/>
      </w:rPr>
    </w:lvl>
    <w:lvl w:ilvl="1">
      <w:start w:val="1"/>
      <w:numFmt w:val="bullet"/>
      <w:lvlText w:val="o"/>
      <w:lvlJc w:val="left"/>
      <w:pPr>
        <w:tabs>
          <w:tab w:val="num" w:pos="1485"/>
        </w:tabs>
        <w:ind w:left="1485" w:hanging="405"/>
      </w:pPr>
      <w:rPr>
        <w:position w:val="0"/>
        <w:sz w:val="27"/>
        <w:szCs w:val="27"/>
        <w:rtl w:val="0"/>
        <w:lang w:val="en-US"/>
      </w:rPr>
    </w:lvl>
    <w:lvl w:ilvl="2">
      <w:start w:val="1"/>
      <w:numFmt w:val="bullet"/>
      <w:lvlText w:val="▪"/>
      <w:lvlJc w:val="left"/>
      <w:pPr>
        <w:tabs>
          <w:tab w:val="num" w:pos="2205"/>
        </w:tabs>
        <w:ind w:left="2205" w:hanging="405"/>
      </w:pPr>
      <w:rPr>
        <w:position w:val="0"/>
        <w:sz w:val="27"/>
        <w:szCs w:val="27"/>
        <w:rtl w:val="0"/>
        <w:lang w:val="en-US"/>
      </w:rPr>
    </w:lvl>
    <w:lvl w:ilvl="3">
      <w:start w:val="1"/>
      <w:numFmt w:val="bullet"/>
      <w:lvlText w:val="•"/>
      <w:lvlJc w:val="left"/>
      <w:pPr>
        <w:tabs>
          <w:tab w:val="num" w:pos="2925"/>
        </w:tabs>
        <w:ind w:left="2925" w:hanging="405"/>
      </w:pPr>
      <w:rPr>
        <w:position w:val="0"/>
        <w:sz w:val="27"/>
        <w:szCs w:val="27"/>
        <w:rtl w:val="0"/>
        <w:lang w:val="en-US"/>
      </w:rPr>
    </w:lvl>
    <w:lvl w:ilvl="4">
      <w:start w:val="1"/>
      <w:numFmt w:val="bullet"/>
      <w:lvlText w:val="o"/>
      <w:lvlJc w:val="left"/>
      <w:pPr>
        <w:tabs>
          <w:tab w:val="num" w:pos="3645"/>
        </w:tabs>
        <w:ind w:left="3645" w:hanging="405"/>
      </w:pPr>
      <w:rPr>
        <w:position w:val="0"/>
        <w:sz w:val="27"/>
        <w:szCs w:val="27"/>
        <w:rtl w:val="0"/>
        <w:lang w:val="en-US"/>
      </w:rPr>
    </w:lvl>
    <w:lvl w:ilvl="5">
      <w:start w:val="1"/>
      <w:numFmt w:val="bullet"/>
      <w:lvlText w:val="▪"/>
      <w:lvlJc w:val="left"/>
      <w:pPr>
        <w:tabs>
          <w:tab w:val="num" w:pos="4365"/>
        </w:tabs>
        <w:ind w:left="4365" w:hanging="405"/>
      </w:pPr>
      <w:rPr>
        <w:position w:val="0"/>
        <w:sz w:val="27"/>
        <w:szCs w:val="27"/>
        <w:rtl w:val="0"/>
        <w:lang w:val="en-US"/>
      </w:rPr>
    </w:lvl>
    <w:lvl w:ilvl="6">
      <w:start w:val="1"/>
      <w:numFmt w:val="bullet"/>
      <w:lvlText w:val="•"/>
      <w:lvlJc w:val="left"/>
      <w:pPr>
        <w:tabs>
          <w:tab w:val="num" w:pos="5085"/>
        </w:tabs>
        <w:ind w:left="5085" w:hanging="405"/>
      </w:pPr>
      <w:rPr>
        <w:position w:val="0"/>
        <w:sz w:val="27"/>
        <w:szCs w:val="27"/>
        <w:rtl w:val="0"/>
        <w:lang w:val="en-US"/>
      </w:rPr>
    </w:lvl>
    <w:lvl w:ilvl="7">
      <w:start w:val="1"/>
      <w:numFmt w:val="bullet"/>
      <w:lvlText w:val="o"/>
      <w:lvlJc w:val="left"/>
      <w:pPr>
        <w:tabs>
          <w:tab w:val="num" w:pos="5805"/>
        </w:tabs>
        <w:ind w:left="5805" w:hanging="405"/>
      </w:pPr>
      <w:rPr>
        <w:position w:val="0"/>
        <w:sz w:val="27"/>
        <w:szCs w:val="27"/>
        <w:rtl w:val="0"/>
        <w:lang w:val="en-US"/>
      </w:rPr>
    </w:lvl>
    <w:lvl w:ilvl="8">
      <w:start w:val="1"/>
      <w:numFmt w:val="bullet"/>
      <w:lvlText w:val="▪"/>
      <w:lvlJc w:val="left"/>
      <w:pPr>
        <w:tabs>
          <w:tab w:val="num" w:pos="6525"/>
        </w:tabs>
        <w:ind w:left="6525" w:hanging="405"/>
      </w:pPr>
      <w:rPr>
        <w:position w:val="0"/>
        <w:sz w:val="27"/>
        <w:szCs w:val="27"/>
        <w:rtl w:val="0"/>
        <w:lang w:val="en-US"/>
      </w:rPr>
    </w:lvl>
  </w:abstractNum>
  <w:num w:numId="1">
    <w:abstractNumId w:val="2"/>
  </w:num>
  <w:num w:numId="2">
    <w:abstractNumId w:val="0"/>
  </w:num>
  <w:num w:numId="3">
    <w:abstractNumId w:val="4"/>
  </w:num>
  <w:num w:numId="4">
    <w:abstractNumId w:val="5"/>
  </w:num>
  <w:num w:numId="5">
    <w:abstractNumId w:val="7"/>
  </w:num>
  <w:num w:numId="6">
    <w:abstractNumId w:val="1"/>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6AE7"/>
    <w:rsid w:val="001C76E4"/>
    <w:rsid w:val="001F0F8B"/>
    <w:rsid w:val="002623F0"/>
    <w:rsid w:val="002C5617"/>
    <w:rsid w:val="002F075B"/>
    <w:rsid w:val="003171C6"/>
    <w:rsid w:val="00327161"/>
    <w:rsid w:val="00386DBE"/>
    <w:rsid w:val="006030D3"/>
    <w:rsid w:val="00606285"/>
    <w:rsid w:val="006C3188"/>
    <w:rsid w:val="00773976"/>
    <w:rsid w:val="009947EA"/>
    <w:rsid w:val="009A307B"/>
    <w:rsid w:val="00B4168C"/>
    <w:rsid w:val="00B4190B"/>
    <w:rsid w:val="00C24D73"/>
    <w:rsid w:val="00D97655"/>
    <w:rsid w:val="00E46AE7"/>
    <w:rsid w:val="00F0024F"/>
    <w:rsid w:val="00FF77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46AE7"/>
    <w:rPr>
      <w:rFonts w:hAnsi="Arial Unicode MS" w:cs="Arial Unicode MS"/>
      <w:color w:val="000000"/>
      <w:sz w:val="24"/>
      <w:szCs w:val="24"/>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46AE7"/>
    <w:rPr>
      <w:u w:val="single"/>
    </w:rPr>
  </w:style>
  <w:style w:type="table" w:customStyle="1" w:styleId="TableNormal1">
    <w:name w:val="Table Normal1"/>
    <w:rsid w:val="00E46AE7"/>
    <w:tblPr>
      <w:tblInd w:w="0" w:type="dxa"/>
      <w:tblCellMar>
        <w:top w:w="0" w:type="dxa"/>
        <w:left w:w="0" w:type="dxa"/>
        <w:bottom w:w="0" w:type="dxa"/>
        <w:right w:w="0" w:type="dxa"/>
      </w:tblCellMar>
    </w:tblPr>
  </w:style>
  <w:style w:type="paragraph" w:styleId="Header">
    <w:name w:val="header"/>
    <w:rsid w:val="00E46AE7"/>
    <w:pPr>
      <w:tabs>
        <w:tab w:val="center" w:pos="4677"/>
        <w:tab w:val="right" w:pos="9355"/>
      </w:tabs>
    </w:pPr>
    <w:rPr>
      <w:rFonts w:hAnsi="Arial Unicode MS" w:cs="Arial Unicode MS"/>
      <w:color w:val="000000"/>
      <w:sz w:val="24"/>
      <w:szCs w:val="24"/>
      <w:u w:color="000000"/>
    </w:rPr>
  </w:style>
  <w:style w:type="paragraph" w:customStyle="1" w:styleId="HeaderFooter">
    <w:name w:val="Header &amp; Footer"/>
    <w:rsid w:val="00E46AE7"/>
    <w:pPr>
      <w:tabs>
        <w:tab w:val="right" w:pos="9020"/>
      </w:tabs>
    </w:pPr>
    <w:rPr>
      <w:rFonts w:ascii="Helvetica" w:hAnsi="Arial Unicode MS" w:cs="Arial Unicode MS"/>
      <w:color w:val="000000"/>
      <w:sz w:val="24"/>
      <w:szCs w:val="24"/>
    </w:rPr>
  </w:style>
  <w:style w:type="paragraph" w:styleId="Footer">
    <w:name w:val="footer"/>
    <w:rsid w:val="00E46AE7"/>
    <w:pPr>
      <w:tabs>
        <w:tab w:val="center" w:pos="4677"/>
        <w:tab w:val="right" w:pos="9355"/>
      </w:tabs>
    </w:pPr>
    <w:rPr>
      <w:rFonts w:hAnsi="Arial Unicode MS" w:cs="Arial Unicode MS"/>
      <w:color w:val="000000"/>
      <w:sz w:val="24"/>
      <w:szCs w:val="24"/>
      <w:u w:color="000000"/>
    </w:rPr>
  </w:style>
  <w:style w:type="numbering" w:customStyle="1" w:styleId="List0">
    <w:name w:val="List 0"/>
    <w:basedOn w:val="ImportedStyle1"/>
    <w:rsid w:val="00E46AE7"/>
    <w:pPr>
      <w:numPr>
        <w:numId w:val="8"/>
      </w:numPr>
    </w:pPr>
  </w:style>
  <w:style w:type="numbering" w:customStyle="1" w:styleId="ImportedStyle1">
    <w:name w:val="Imported Style 1"/>
    <w:rsid w:val="00E46A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46AE7"/>
    <w:rPr>
      <w:rFonts w:hAnsi="Arial Unicode MS" w:cs="Arial Unicode MS"/>
      <w:color w:val="000000"/>
      <w:sz w:val="24"/>
      <w:szCs w:val="24"/>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46AE7"/>
    <w:rPr>
      <w:u w:val="single"/>
    </w:rPr>
  </w:style>
  <w:style w:type="table" w:customStyle="1" w:styleId="TableNormal1">
    <w:name w:val="Table Normal1"/>
    <w:rsid w:val="00E46AE7"/>
    <w:tblPr>
      <w:tblInd w:w="0" w:type="dxa"/>
      <w:tblCellMar>
        <w:top w:w="0" w:type="dxa"/>
        <w:left w:w="0" w:type="dxa"/>
        <w:bottom w:w="0" w:type="dxa"/>
        <w:right w:w="0" w:type="dxa"/>
      </w:tblCellMar>
    </w:tblPr>
  </w:style>
  <w:style w:type="paragraph" w:styleId="Header">
    <w:name w:val="header"/>
    <w:rsid w:val="00E46AE7"/>
    <w:pPr>
      <w:tabs>
        <w:tab w:val="center" w:pos="4677"/>
        <w:tab w:val="right" w:pos="9355"/>
      </w:tabs>
    </w:pPr>
    <w:rPr>
      <w:rFonts w:hAnsi="Arial Unicode MS" w:cs="Arial Unicode MS"/>
      <w:color w:val="000000"/>
      <w:sz w:val="24"/>
      <w:szCs w:val="24"/>
      <w:u w:color="000000"/>
    </w:rPr>
  </w:style>
  <w:style w:type="paragraph" w:customStyle="1" w:styleId="HeaderFooter">
    <w:name w:val="Header &amp; Footer"/>
    <w:rsid w:val="00E46AE7"/>
    <w:pPr>
      <w:tabs>
        <w:tab w:val="right" w:pos="9020"/>
      </w:tabs>
    </w:pPr>
    <w:rPr>
      <w:rFonts w:ascii="Helvetica" w:hAnsi="Arial Unicode MS" w:cs="Arial Unicode MS"/>
      <w:color w:val="000000"/>
      <w:sz w:val="24"/>
      <w:szCs w:val="24"/>
    </w:rPr>
  </w:style>
  <w:style w:type="paragraph" w:styleId="Footer">
    <w:name w:val="footer"/>
    <w:rsid w:val="00E46AE7"/>
    <w:pPr>
      <w:tabs>
        <w:tab w:val="center" w:pos="4677"/>
        <w:tab w:val="right" w:pos="9355"/>
      </w:tabs>
    </w:pPr>
    <w:rPr>
      <w:rFonts w:hAnsi="Arial Unicode MS" w:cs="Arial Unicode MS"/>
      <w:color w:val="000000"/>
      <w:sz w:val="24"/>
      <w:szCs w:val="24"/>
      <w:u w:color="000000"/>
    </w:rPr>
  </w:style>
  <w:style w:type="numbering" w:customStyle="1" w:styleId="List0">
    <w:name w:val="List 0"/>
    <w:basedOn w:val="ImportedStyle1"/>
    <w:rsid w:val="00E46AE7"/>
    <w:pPr>
      <w:numPr>
        <w:numId w:val="8"/>
      </w:numPr>
    </w:pPr>
  </w:style>
  <w:style w:type="numbering" w:customStyle="1" w:styleId="ImportedStyle1">
    <w:name w:val="Imported Style 1"/>
    <w:rsid w:val="00E46A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4B6569-73F3-4A7F-B2E9-FE87827CB457}"/>
</file>

<file path=customXml/itemProps2.xml><?xml version="1.0" encoding="utf-8"?>
<ds:datastoreItem xmlns:ds="http://schemas.openxmlformats.org/officeDocument/2006/customXml" ds:itemID="{25EDDC7B-7B0C-4E1D-9DB7-D66CC770503E}"/>
</file>

<file path=customXml/itemProps3.xml><?xml version="1.0" encoding="utf-8"?>
<ds:datastoreItem xmlns:ds="http://schemas.openxmlformats.org/officeDocument/2006/customXml" ds:itemID="{86FC2002-4EAD-4EEA-8009-CD3534ED9C67}"/>
</file>

<file path=docProps/app.xml><?xml version="1.0" encoding="utf-8"?>
<Properties xmlns="http://schemas.openxmlformats.org/officeDocument/2006/extended-properties" xmlns:vt="http://schemas.openxmlformats.org/officeDocument/2006/docPropsVTypes">
  <Template>Normal</Template>
  <TotalTime>0</TotalTime>
  <Pages>10</Pages>
  <Words>2892</Words>
  <Characters>16489</Characters>
  <Application>Microsoft Office Word</Application>
  <DocSecurity>0</DocSecurity>
  <Lines>137</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Caspibitum</dc:creator>
  <cp:lastModifiedBy>Darka Topali</cp:lastModifiedBy>
  <cp:revision>2</cp:revision>
  <dcterms:created xsi:type="dcterms:W3CDTF">2014-10-23T15:52:00Z</dcterms:created>
  <dcterms:modified xsi:type="dcterms:W3CDTF">2014-10-23T15:52:00Z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