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83.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header123.xml" ContentType="application/vnd.openxmlformats-officedocument.wordprocessingml.header+xml"/>
  <Override PartName="/word/footer123.xml" ContentType="application/vnd.openxmlformats-officedocument.wordprocessingml.footer+xml"/>
  <Override PartName="/word/header124.xml" ContentType="application/vnd.openxmlformats-officedocument.wordprocessingml.header+xml"/>
  <Override PartName="/word/header125.xml" ContentType="application/vnd.openxmlformats-officedocument.wordprocessingml.header+xml"/>
  <Override PartName="/word/footer124.xml" ContentType="application/vnd.openxmlformats-officedocument.wordprocessingml.footer+xml"/>
  <Override PartName="/word/footer120.xml" ContentType="application/vnd.openxmlformats-officedocument.wordprocessingml.footer+xml"/>
  <Override PartName="/word/header120.xml" ContentType="application/vnd.openxmlformats-officedocument.wordprocessingml.header+xml"/>
  <Override PartName="/word/footer119.xml" ContentType="application/vnd.openxmlformats-officedocument.wordprocessingml.footer+xml"/>
  <Override PartName="/word/header115.xml" ContentType="application/vnd.openxmlformats-officedocument.wordprocessingml.header+xml"/>
  <Override PartName="/word/header116.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header117.xml" ContentType="application/vnd.openxmlformats-officedocument.wordprocessingml.header+xml"/>
  <Override PartName="/word/footer117.xml" ContentType="application/vnd.openxmlformats-officedocument.wordprocessingml.footer+xml"/>
  <Override PartName="/word/header118.xml" ContentType="application/vnd.openxmlformats-officedocument.wordprocessingml.header+xml"/>
  <Override PartName="/word/header119.xml" ContentType="application/vnd.openxmlformats-officedocument.wordprocessingml.header+xml"/>
  <Override PartName="/word/footer118.xml" ContentType="application/vnd.openxmlformats-officedocument.wordprocessingml.footer+xml"/>
  <Override PartName="/word/footer125.xml" ContentType="application/vnd.openxmlformats-officedocument.wordprocessingml.footer+xml"/>
  <Override PartName="/word/header126.xml" ContentType="application/vnd.openxmlformats-officedocument.wordprocessingml.header+xml"/>
  <Override PartName="/word/footer126.xml" ContentType="application/vnd.openxmlformats-officedocument.wordprocessingml.footer+xml"/>
  <Override PartName="/word/footer132.xml" ContentType="application/vnd.openxmlformats-officedocument.wordprocessingml.footer+xml"/>
  <Override PartName="/word/header133.xml" ContentType="application/vnd.openxmlformats-officedocument.wordprocessingml.header+xml"/>
  <Override PartName="/word/header134.xml" ContentType="application/vnd.openxmlformats-officedocument.wordprocessingml.header+xml"/>
  <Override PartName="/word/footer133.xml" ContentType="application/vnd.openxmlformats-officedocument.wordprocessingml.footer+xml"/>
  <Override PartName="/word/footer134.xml" ContentType="application/vnd.openxmlformats-officedocument.wordprocessingml.footer+xml"/>
  <Override PartName="/word/header135.xml" ContentType="application/vnd.openxmlformats-officedocument.wordprocessingml.header+xml"/>
  <Override PartName="/word/footer135.xml" ContentType="application/vnd.openxmlformats-officedocument.wordprocessingml.footer+xml"/>
  <Override PartName="/word/header136.xml" ContentType="application/vnd.openxmlformats-officedocument.wordprocessingml.header+xml"/>
  <Override PartName="/word/header137.xml" ContentType="application/vnd.openxmlformats-officedocument.wordprocessingml.header+xml"/>
  <Override PartName="/word/header132.xml" ContentType="application/vnd.openxmlformats-officedocument.wordprocessingml.header+xml"/>
  <Override PartName="/word/footer131.xml" ContentType="application/vnd.openxmlformats-officedocument.wordprocessingml.footer+xml"/>
  <Override PartName="/word/footer130.xml" ContentType="application/vnd.openxmlformats-officedocument.wordprocessingml.footer+xml"/>
  <Override PartName="/word/header127.xml" ContentType="application/vnd.openxmlformats-officedocument.wordprocessingml.header+xml"/>
  <Override PartName="/word/header128.xml" ContentType="application/vnd.openxmlformats-officedocument.wordprocessingml.header+xml"/>
  <Override PartName="/word/footer127.xml" ContentType="application/vnd.openxmlformats-officedocument.wordprocessingml.footer+xml"/>
  <Override PartName="/word/footer128.xml" ContentType="application/vnd.openxmlformats-officedocument.wordprocessingml.footer+xml"/>
  <Override PartName="/word/header129.xml" ContentType="application/vnd.openxmlformats-officedocument.wordprocessingml.header+xml"/>
  <Override PartName="/word/footer129.xml" ContentType="application/vnd.openxmlformats-officedocument.wordprocessingml.footer+xml"/>
  <Override PartName="/word/header130.xml" ContentType="application/vnd.openxmlformats-officedocument.wordprocessingml.header+xml"/>
  <Override PartName="/word/header131.xml" ContentType="application/vnd.openxmlformats-officedocument.wordprocessingml.header+xml"/>
  <Override PartName="/word/footer114.xml" ContentType="application/vnd.openxmlformats-officedocument.wordprocessingml.footer+xml"/>
  <Override PartName="/word/header114.xml" ContentType="application/vnd.openxmlformats-officedocument.wordprocessingml.header+xml"/>
  <Override PartName="/word/footer113.xml" ContentType="application/vnd.openxmlformats-officedocument.wordprocessingml.footer+xml"/>
  <Override PartName="/word/header98.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99.xml" ContentType="application/vnd.openxmlformats-officedocument.wordprocessingml.header+xml"/>
  <Override PartName="/word/footer99.xml" ContentType="application/vnd.openxmlformats-officedocument.wordprocessingml.footer+xml"/>
  <Override PartName="/word/header100.xml" ContentType="application/vnd.openxmlformats-officedocument.wordprocessingml.header+xml"/>
  <Override PartName="/word/header101.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header97.xml" ContentType="application/vnd.openxmlformats-officedocument.wordprocessingml.header+xml"/>
  <Override PartName="/word/footer96.xml" ContentType="application/vnd.openxmlformats-officedocument.wordprocessingml.footer+xml"/>
  <Override PartName="/word/header96.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header93.xml" ContentType="application/vnd.openxmlformats-officedocument.wordprocessingml.header+xml"/>
  <Override PartName="/word/footer93.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header102.xml" ContentType="application/vnd.openxmlformats-officedocument.wordprocessingml.header+xml"/>
  <Override PartName="/word/footer102.xml" ContentType="application/vnd.openxmlformats-officedocument.wordprocessingml.footer+xml"/>
  <Override PartName="/word/header103.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header111.xml" ContentType="application/vnd.openxmlformats-officedocument.wordprocessingml.header+xml"/>
  <Override PartName="/word/footer111.xml" ContentType="application/vnd.openxmlformats-officedocument.wordprocessingml.footer+xml"/>
  <Override PartName="/word/header112.xml" ContentType="application/vnd.openxmlformats-officedocument.wordprocessingml.header+xml"/>
  <Override PartName="/word/header113.xml" ContentType="application/vnd.openxmlformats-officedocument.wordprocessingml.header+xml"/>
  <Override PartName="/word/footer112.xml" ContentType="application/vnd.openxmlformats-officedocument.wordprocessingml.footer+xml"/>
  <Override PartName="/word/footer108.xml" ContentType="application/vnd.openxmlformats-officedocument.wordprocessingml.footer+xml"/>
  <Override PartName="/word/header108.xml" ContentType="application/vnd.openxmlformats-officedocument.wordprocessingml.header+xml"/>
  <Override PartName="/word/footer107.xml" ContentType="application/vnd.openxmlformats-officedocument.wordprocessingml.footer+xml"/>
  <Override PartName="/word/header104.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header105.xml" ContentType="application/vnd.openxmlformats-officedocument.wordprocessingml.header+xml"/>
  <Override PartName="/word/footer105.xml" ContentType="application/vnd.openxmlformats-officedocument.wordprocessingml.footer+xml"/>
  <Override PartName="/word/header106.xml" ContentType="application/vnd.openxmlformats-officedocument.wordprocessingml.header+xml"/>
  <Override PartName="/word/header107.xml" ContentType="application/vnd.openxmlformats-officedocument.wordprocessingml.header+xml"/>
  <Override PartName="/word/footer106.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header138.xml" ContentType="application/vnd.openxmlformats-officedocument.wordprocessingml.header+xml"/>
  <Override PartName="/word/footer166.xml" ContentType="application/vnd.openxmlformats-officedocument.wordprocessingml.footer+xml"/>
  <Override PartName="/word/footer167.xml" ContentType="application/vnd.openxmlformats-officedocument.wordprocessingml.footer+xml"/>
  <Override PartName="/word/header168.xml" ContentType="application/vnd.openxmlformats-officedocument.wordprocessingml.header+xml"/>
  <Override PartName="/word/footer168.xml" ContentType="application/vnd.openxmlformats-officedocument.wordprocessingml.footer+xml"/>
  <Override PartName="/word/header169.xml" ContentType="application/vnd.openxmlformats-officedocument.wordprocessingml.header+xml"/>
  <Override PartName="/word/header170.xml" ContentType="application/vnd.openxmlformats-officedocument.wordprocessingml.header+xml"/>
  <Override PartName="/word/footer169.xml" ContentType="application/vnd.openxmlformats-officedocument.wordprocessingml.footer+xml"/>
  <Override PartName="/word/footer170.xml" ContentType="application/vnd.openxmlformats-officedocument.wordprocessingml.footer+xml"/>
  <Override PartName="/word/header171.xml" ContentType="application/vnd.openxmlformats-officedocument.wordprocessingml.header+xml"/>
  <Override PartName="/word/header167.xml" ContentType="application/vnd.openxmlformats-officedocument.wordprocessingml.header+xml"/>
  <Override PartName="/word/header166.xml" ContentType="application/vnd.openxmlformats-officedocument.wordprocessingml.header+xml"/>
  <Override PartName="/word/footer165.xml" ContentType="application/vnd.openxmlformats-officedocument.wordprocessingml.footer+xml"/>
  <Override PartName="/word/footer161.xml" ContentType="application/vnd.openxmlformats-officedocument.wordprocessingml.footer+xml"/>
  <Override PartName="/word/header162.xml" ContentType="application/vnd.openxmlformats-officedocument.wordprocessingml.header+xml"/>
  <Override PartName="/word/footer162.xml" ContentType="application/vnd.openxmlformats-officedocument.wordprocessingml.footer+xml"/>
  <Override PartName="/word/header163.xml" ContentType="application/vnd.openxmlformats-officedocument.wordprocessingml.header+xml"/>
  <Override PartName="/word/header164.xml" ContentType="application/vnd.openxmlformats-officedocument.wordprocessingml.header+xml"/>
  <Override PartName="/word/footer163.xml" ContentType="application/vnd.openxmlformats-officedocument.wordprocessingml.footer+xml"/>
  <Override PartName="/word/footer164.xml" ContentType="application/vnd.openxmlformats-officedocument.wordprocessingml.footer+xml"/>
  <Override PartName="/word/header165.xml" ContentType="application/vnd.openxmlformats-officedocument.wordprocessingml.header+xml"/>
  <Override PartName="/word/footer171.xml" ContentType="application/vnd.openxmlformats-officedocument.wordprocessingml.footer+xml"/>
  <Override PartName="/word/header172.xml" ContentType="application/vnd.openxmlformats-officedocument.wordprocessingml.header+xml"/>
  <Override PartName="/word/header173.xml" ContentType="application/vnd.openxmlformats-officedocument.wordprocessingml.header+xml"/>
  <Override PartName="/word/header179.xml" ContentType="application/vnd.openxmlformats-officedocument.wordprocessingml.header+xml"/>
  <Override PartName="/word/footer178.xml" ContentType="application/vnd.openxmlformats-officedocument.wordprocessingml.footer+xml"/>
  <Override PartName="/word/footer179.xml" ContentType="application/vnd.openxmlformats-officedocument.wordprocessingml.footer+xml"/>
  <Override PartName="/word/header180.xml" ContentType="application/vnd.openxmlformats-officedocument.wordprocessingml.header+xml"/>
  <Override PartName="/word/footer180.xml" ContentType="application/vnd.openxmlformats-officedocument.wordprocessingml.footer+xml"/>
  <Override PartName="/word/header181.xml" ContentType="application/vnd.openxmlformats-officedocument.wordprocessingml.header+xml"/>
  <Override PartName="/word/header182.xml" ContentType="application/vnd.openxmlformats-officedocument.wordprocessingml.header+xml"/>
  <Override PartName="/word/footer181.xml" ContentType="application/vnd.openxmlformats-officedocument.wordprocessingml.footer+xml"/>
  <Override PartName="/word/footer182.xml" ContentType="application/vnd.openxmlformats-officedocument.wordprocessingml.footer+xml"/>
  <Override PartName="/word/header178.xml" ContentType="application/vnd.openxmlformats-officedocument.wordprocessingml.header+xml"/>
  <Override PartName="/word/footer177.xml" ContentType="application/vnd.openxmlformats-officedocument.wordprocessingml.footer+xml"/>
  <Override PartName="/word/header177.xml" ContentType="application/vnd.openxmlformats-officedocument.wordprocessingml.header+xml"/>
  <Override PartName="/word/footer172.xml" ContentType="application/vnd.openxmlformats-officedocument.wordprocessingml.footer+xml"/>
  <Override PartName="/word/footer173.xml" ContentType="application/vnd.openxmlformats-officedocument.wordprocessingml.footer+xml"/>
  <Override PartName="/word/header174.xml" ContentType="application/vnd.openxmlformats-officedocument.wordprocessingml.header+xml"/>
  <Override PartName="/word/footer174.xml" ContentType="application/vnd.openxmlformats-officedocument.wordprocessingml.footer+xml"/>
  <Override PartName="/word/header175.xml" ContentType="application/vnd.openxmlformats-officedocument.wordprocessingml.header+xml"/>
  <Override PartName="/word/header176.xml" ContentType="application/vnd.openxmlformats-officedocument.wordprocessingml.header+xml"/>
  <Override PartName="/word/footer175.xml" ContentType="application/vnd.openxmlformats-officedocument.wordprocessingml.footer+xml"/>
  <Override PartName="/word/footer176.xml" ContentType="application/vnd.openxmlformats-officedocument.wordprocessingml.footer+xml"/>
  <Override PartName="/word/footer160.xml" ContentType="application/vnd.openxmlformats-officedocument.wordprocessingml.footer+xml"/>
  <Override PartName="/word/header161.xml" ContentType="application/vnd.openxmlformats-officedocument.wordprocessingml.header+xml"/>
  <Override PartName="/word/header160.xml" ContentType="application/vnd.openxmlformats-officedocument.wordprocessingml.header+xml"/>
  <Override PartName="/word/header144.xml" ContentType="application/vnd.openxmlformats-officedocument.wordprocessingml.header+xml"/>
  <Override PartName="/word/footer144.xml" ContentType="application/vnd.openxmlformats-officedocument.wordprocessingml.footer+xml"/>
  <Override PartName="/word/header145.xml" ContentType="application/vnd.openxmlformats-officedocument.wordprocessingml.header+xml"/>
  <Override PartName="/word/header146.xml" ContentType="application/vnd.openxmlformats-officedocument.wordprocessingml.header+xml"/>
  <Override PartName="/word/footer145.xml" ContentType="application/vnd.openxmlformats-officedocument.wordprocessingml.footer+xml"/>
  <Override PartName="/word/footer146.xml" ContentType="application/vnd.openxmlformats-officedocument.wordprocessingml.footer+xml"/>
  <Override PartName="/word/header147.xml" ContentType="application/vnd.openxmlformats-officedocument.wordprocessingml.header+xml"/>
  <Override PartName="/word/footer147.xml" ContentType="application/vnd.openxmlformats-officedocument.wordprocessingml.footer+xml"/>
  <Override PartName="/word/header148.xml" ContentType="application/vnd.openxmlformats-officedocument.wordprocessingml.header+xml"/>
  <Override PartName="/word/footer143.xml" ContentType="application/vnd.openxmlformats-officedocument.wordprocessingml.footer+xml"/>
  <Override PartName="/word/footer142.xml" ContentType="application/vnd.openxmlformats-officedocument.wordprocessingml.footer+xml"/>
  <Override PartName="/word/header143.xml" ContentType="application/vnd.openxmlformats-officedocument.wordprocessingml.header+xml"/>
  <Override PartName="/word/footer138.xml" ContentType="application/vnd.openxmlformats-officedocument.wordprocessingml.footer+xml"/>
  <Override PartName="/word/header139.xml" ContentType="application/vnd.openxmlformats-officedocument.wordprocessingml.header+xml"/>
  <Override PartName="/word/header140.xml" ContentType="application/vnd.openxmlformats-officedocument.wordprocessingml.header+xml"/>
  <Override PartName="/word/footer139.xml" ContentType="application/vnd.openxmlformats-officedocument.wordprocessingml.footer+xml"/>
  <Override PartName="/word/footer140.xml" ContentType="application/vnd.openxmlformats-officedocument.wordprocessingml.footer+xml"/>
  <Override PartName="/word/header141.xml" ContentType="application/vnd.openxmlformats-officedocument.wordprocessingml.header+xml"/>
  <Override PartName="/word/footer141.xml" ContentType="application/vnd.openxmlformats-officedocument.wordprocessingml.footer+xml"/>
  <Override PartName="/word/header142.xml" ContentType="application/vnd.openxmlformats-officedocument.wordprocessingml.header+xml"/>
  <Override PartName="/word/header149.xml" ContentType="application/vnd.openxmlformats-officedocument.wordprocessingml.header+xml"/>
  <Override PartName="/word/footer148.xml" ContentType="application/vnd.openxmlformats-officedocument.wordprocessingml.footer+xml"/>
  <Override PartName="/word/footer149.xml" ContentType="application/vnd.openxmlformats-officedocument.wordprocessingml.footer+xml"/>
  <Override PartName="/word/footer155.xml" ContentType="application/vnd.openxmlformats-officedocument.wordprocessingml.footer+xml"/>
  <Override PartName="/word/header156.xml" ContentType="application/vnd.openxmlformats-officedocument.wordprocessingml.header+xml"/>
  <Override PartName="/word/footer156.xml" ContentType="application/vnd.openxmlformats-officedocument.wordprocessingml.footer+xml"/>
  <Override PartName="/word/header157.xml" ContentType="application/vnd.openxmlformats-officedocument.wordprocessingml.header+xml"/>
  <Override PartName="/word/header158.xml" ContentType="application/vnd.openxmlformats-officedocument.wordprocessingml.header+xml"/>
  <Override PartName="/word/footer157.xml" ContentType="application/vnd.openxmlformats-officedocument.wordprocessingml.footer+xml"/>
  <Override PartName="/word/footer158.xml" ContentType="application/vnd.openxmlformats-officedocument.wordprocessingml.footer+xml"/>
  <Override PartName="/word/header159.xml" ContentType="application/vnd.openxmlformats-officedocument.wordprocessingml.header+xml"/>
  <Override PartName="/word/footer159.xml" ContentType="application/vnd.openxmlformats-officedocument.wordprocessingml.footer+xml"/>
  <Override PartName="/word/footer154.xml" ContentType="application/vnd.openxmlformats-officedocument.wordprocessingml.footer+xml"/>
  <Override PartName="/word/header155.xml" ContentType="application/vnd.openxmlformats-officedocument.wordprocessingml.header+xml"/>
  <Override PartName="/word/header154.xml" ContentType="application/vnd.openxmlformats-officedocument.wordprocessingml.header+xml"/>
  <Override PartName="/word/header150.xml" ContentType="application/vnd.openxmlformats-officedocument.wordprocessingml.header+xml"/>
  <Override PartName="/word/footer150.xml" ContentType="application/vnd.openxmlformats-officedocument.wordprocessingml.footer+xml"/>
  <Override PartName="/word/header151.xml" ContentType="application/vnd.openxmlformats-officedocument.wordprocessingml.header+xml"/>
  <Override PartName="/word/header152.xml" ContentType="application/vnd.openxmlformats-officedocument.wordprocessingml.header+xml"/>
  <Override PartName="/word/footer151.xml" ContentType="application/vnd.openxmlformats-officedocument.wordprocessingml.footer+xml"/>
  <Override PartName="/word/footer152.xml" ContentType="application/vnd.openxmlformats-officedocument.wordprocessingml.footer+xml"/>
  <Override PartName="/word/header153.xml" ContentType="application/vnd.openxmlformats-officedocument.wordprocessingml.header+xml"/>
  <Override PartName="/word/footer153.xml" ContentType="application/vnd.openxmlformats-officedocument.wordprocessingml.footer+xml"/>
  <Override PartName="/word/footer183.xml" ContentType="application/vnd.openxmlformats-officedocument.wordprocessingml.footer+xml"/>
  <Override PartName="/word/header92.xml" ContentType="application/vnd.openxmlformats-officedocument.wordprocessingml.header+xml"/>
  <Override PartName="/word/footer90.xml" ContentType="application/vnd.openxmlformats-officedocument.wordprocessingml.foot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8.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39.xml" ContentType="application/vnd.openxmlformats-officedocument.wordprocessingml.footer+xml"/>
  <Override PartName="/word/header39.xml" ContentType="application/vnd.openxmlformats-officedocument.wordprocessingml.header+xml"/>
  <Override PartName="/word/footer38.xml" ContentType="application/vnd.openxmlformats-officedocument.wordprocessingml.foot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header23.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header17.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footer74.xml" ContentType="application/vnd.openxmlformats-officedocument.wordprocessingml.footer+xml"/>
  <Override PartName="/word/header75.xml" ContentType="application/vnd.openxmlformats-officedocument.wordprocessingml.header+xml"/>
  <Override PartName="/word/footer75.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8.xml" ContentType="application/vnd.openxmlformats-officedocument.wordprocessingml.header+xml"/>
  <Override PartName="/word/footer78.xml" ContentType="application/vnd.openxmlformats-officedocument.wordprocessingml.footer+xml"/>
  <Override PartName="/word/footer73.xml" ContentType="application/vnd.openxmlformats-officedocument.wordprocessingml.footer+xml"/>
  <Override PartName="/word/header74.xml" ContentType="application/vnd.openxmlformats-officedocument.wordprocessingml.header+xml"/>
  <Override PartName="/word/header73.xml" ContentType="application/vnd.openxmlformats-officedocument.wordprocessingml.header+xml"/>
  <Override PartName="/word/header6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2.xml" ContentType="application/vnd.openxmlformats-officedocument.wordprocessingml.header+xml"/>
  <Override PartName="/word/footer72.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79.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header87.xml" ContentType="application/vnd.openxmlformats-officedocument.wordprocessingml.header+xml"/>
  <Override PartName="/word/footer87.xml" ContentType="application/vnd.openxmlformats-officedocument.wordprocessingml.footer+xml"/>
  <Override PartName="/word/header88.xml" ContentType="application/vnd.openxmlformats-officedocument.wordprocessingml.header+xml"/>
  <Override PartName="/word/header89.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90.xml" ContentType="application/vnd.openxmlformats-officedocument.wordprocessingml.header+xml"/>
  <Override PartName="/word/header86.xml" ContentType="application/vnd.openxmlformats-officedocument.wordprocessingml.header+xml"/>
  <Override PartName="/word/header85.xml" ContentType="application/vnd.openxmlformats-officedocument.wordprocessingml.header+xml"/>
  <Override PartName="/word/footer84.xml" ContentType="application/vnd.openxmlformats-officedocument.wordprocessingml.footer+xml"/>
  <Override PartName="/word/footer80.xml" ContentType="application/vnd.openxmlformats-officedocument.wordprocessingml.footer+xml"/>
  <Override PartName="/word/header81.xml" ContentType="application/vnd.openxmlformats-officedocument.wordprocessingml.header+xml"/>
  <Override PartName="/word/footer81.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header84.xml" ContentType="application/vnd.openxmlformats-officedocument.wordprocessingml.header+xml"/>
  <Override PartName="/word/footer68.xml" ContentType="application/vnd.openxmlformats-officedocument.wordprocessingml.footer+xml"/>
  <Override PartName="/word/footer67.xml" ContentType="application/vnd.openxmlformats-officedocument.wordprocessingml.footer+xml"/>
  <Override PartName="/word/header68.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header51.xml" ContentType="application/vnd.openxmlformats-officedocument.wordprocessingml.header+xml"/>
  <Override PartName="/word/footer50.xml" ContentType="application/vnd.openxmlformats-officedocument.wordprocessingml.footer+xml"/>
  <Override PartName="/word/footer49.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header91.xml" ContentType="application/vnd.openxmlformats-officedocument.wordprocessingml.header+xml"/>
  <Override PartName="/word/footer62.xml" ContentType="application/vnd.openxmlformats-officedocument.wordprocessingml.footer+xml"/>
  <Override PartName="/word/header62.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61.xml" ContentType="application/vnd.openxmlformats-officedocument.wordprocessingml.footer+xml"/>
  <Override PartName="/word/footer58.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footer59.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70D" w:rsidRDefault="0025470D" w:rsidP="0025470D"/>
    <w:p w:rsidR="0025470D" w:rsidRDefault="0025470D" w:rsidP="0025470D">
      <w:pPr>
        <w:sectPr w:rsidR="0025470D">
          <w:headerReference w:type="even" r:id="rId7"/>
          <w:headerReference w:type="default" r:id="rId8"/>
          <w:footerReference w:type="even" r:id="rId9"/>
          <w:footerReference w:type="default" r:id="rId10"/>
          <w:headerReference w:type="first" r:id="rId11"/>
          <w:footerReference w:type="first" r:id="rId12"/>
          <w:pgSz w:w="11906" w:h="16838"/>
          <w:pgMar w:top="1483" w:right="1703" w:bottom="1445" w:left="1800" w:header="720" w:footer="723" w:gutter="0"/>
          <w:pgNumType w:start="1"/>
          <w:cols w:space="720"/>
        </w:sectPr>
      </w:pPr>
    </w:p>
    <w:p w:rsidR="0025470D" w:rsidRDefault="0025470D" w:rsidP="0025470D">
      <w:pPr>
        <w:spacing w:after="9" w:line="259" w:lineRule="auto"/>
        <w:ind w:left="10" w:right="54" w:hanging="10"/>
        <w:jc w:val="right"/>
      </w:pPr>
      <w:r>
        <w:rPr>
          <w:b/>
        </w:rPr>
        <w:lastRenderedPageBreak/>
        <w:t xml:space="preserve">Annex 2A </w:t>
      </w:r>
    </w:p>
    <w:p w:rsidR="0025470D" w:rsidRDefault="0025470D" w:rsidP="0025470D">
      <w:pPr>
        <w:spacing w:after="68" w:line="259" w:lineRule="auto"/>
        <w:ind w:left="0" w:firstLine="0"/>
        <w:jc w:val="left"/>
      </w:pPr>
      <w:r>
        <w:rPr>
          <w:b/>
        </w:rPr>
        <w:t xml:space="preserve"> </w:t>
      </w:r>
    </w:p>
    <w:p w:rsidR="0025470D" w:rsidRDefault="0025470D" w:rsidP="0025470D">
      <w:pPr>
        <w:pStyle w:val="Heading4"/>
        <w:spacing w:after="54"/>
        <w:ind w:left="180" w:right="237"/>
        <w:jc w:val="center"/>
      </w:pPr>
      <w:r>
        <w:t xml:space="preserve">The Equal Opportunities Commission, Privacy Commissioner for Personal Data, and The Ombudsman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The Equal Opportunities Commission</w:t>
      </w:r>
      <w:r>
        <w:rPr>
          <w:u w:color="000000"/>
        </w:rPr>
        <w:t xml:space="preserve"> </w:t>
      </w:r>
    </w:p>
    <w:p w:rsidR="0025470D" w:rsidRDefault="0025470D" w:rsidP="0025470D">
      <w:pPr>
        <w:spacing w:after="59" w:line="259" w:lineRule="auto"/>
        <w:ind w:left="0" w:firstLine="0"/>
        <w:jc w:val="left"/>
      </w:pPr>
      <w:r>
        <w:rPr>
          <w:b/>
        </w:rPr>
        <w:t xml:space="preserve"> </w:t>
      </w:r>
    </w:p>
    <w:p w:rsidR="0025470D" w:rsidRDefault="0025470D" w:rsidP="0025470D">
      <w:pPr>
        <w:numPr>
          <w:ilvl w:val="0"/>
          <w:numId w:val="4"/>
        </w:numPr>
        <w:ind w:right="82"/>
      </w:pPr>
      <w:r>
        <w:t xml:space="preserve">The EOC is an independent statutory body established under the Sex Discrimination Ordinance (Cap. 480) (SDO).  Its functions include working towards the elimination of discrimination, promoting equality of opportunity and harmony, working towards the elimination of harassment and vilification, handling complaints, assisting persons aggrieved by discrimination by way of conciliation and other assistance, and issuing and revising codes of practice under the four existing antidiscrimination ordinances in the areas of sex, disability, family status and race.  During 2010-2017, legal assistance has been granted to a total of 149 cases.  A detailed account of the EOC’s latest work is provided in paragraphs 54 to 55 and 91 to 100 of the HKSAR Common Core Document.  </w:t>
      </w:r>
    </w:p>
    <w:p w:rsidR="0025470D" w:rsidRDefault="0025470D" w:rsidP="0025470D">
      <w:pPr>
        <w:spacing w:after="64" w:line="259" w:lineRule="auto"/>
        <w:ind w:left="0" w:firstLine="0"/>
        <w:jc w:val="left"/>
      </w:pPr>
      <w:r>
        <w:t xml:space="preserve"> </w:t>
      </w:r>
    </w:p>
    <w:p w:rsidR="0025470D" w:rsidRDefault="0025470D" w:rsidP="0025470D">
      <w:pPr>
        <w:numPr>
          <w:ilvl w:val="0"/>
          <w:numId w:val="4"/>
        </w:numPr>
        <w:ind w:right="82"/>
      </w:pPr>
      <w:r>
        <w:t xml:space="preserve">In 2014, the EOC initiated a review of its organisational structure to enhance its operational efficiency and governance.  As a result, the EOC reinstated the post of Chief Operations Officer in December 2015, which would focus on internal management, specifically driving performance improvement and strengthening governance. </w:t>
      </w:r>
    </w:p>
    <w:p w:rsidR="0025470D" w:rsidRDefault="0025470D" w:rsidP="0025470D">
      <w:pPr>
        <w:spacing w:after="64" w:line="259" w:lineRule="auto"/>
        <w:ind w:left="0" w:firstLine="0"/>
        <w:jc w:val="left"/>
      </w:pPr>
      <w:r>
        <w:t xml:space="preserve"> </w:t>
      </w:r>
    </w:p>
    <w:p w:rsidR="0025470D" w:rsidRDefault="0025470D" w:rsidP="0025470D">
      <w:pPr>
        <w:numPr>
          <w:ilvl w:val="0"/>
          <w:numId w:val="4"/>
        </w:numPr>
        <w:spacing w:after="42"/>
        <w:ind w:right="82"/>
      </w:pPr>
      <w:r>
        <w:t xml:space="preserve">In the same year, the HKSAR Government took forward the Statute Law (Miscellaneous Provisions) Ordinance 2014 to, among others,  </w:t>
      </w:r>
    </w:p>
    <w:p w:rsidR="0025470D" w:rsidRDefault="0025470D" w:rsidP="0025470D">
      <w:pPr>
        <w:spacing w:after="9" w:line="259" w:lineRule="auto"/>
        <w:ind w:left="0" w:firstLine="0"/>
        <w:jc w:val="left"/>
      </w:pPr>
      <w:r>
        <w:t xml:space="preserve"> </w:t>
      </w:r>
    </w:p>
    <w:p w:rsidR="0025470D" w:rsidRDefault="0025470D" w:rsidP="0025470D">
      <w:pPr>
        <w:numPr>
          <w:ilvl w:val="1"/>
          <w:numId w:val="4"/>
        </w:numPr>
        <w:ind w:right="82" w:hanging="720"/>
      </w:pPr>
      <w:r>
        <w:t xml:space="preserve">provide protection to members and staff of the EOC against liability when acting in good faith in the performance or purported performance of any of the EOC’s functions under the Disability Discrimination Ordinance (Cap. 487) (DDO) and Family Status Discrimination Ordinance (Cap. 527) (FSDO) in alignment with the protection provided in the SDO and Race Discrimination Ordinance (Cap. 602) (RDO); and </w:t>
      </w:r>
    </w:p>
    <w:p w:rsidR="0025470D" w:rsidRDefault="0025470D" w:rsidP="0025470D">
      <w:pPr>
        <w:spacing w:after="0" w:line="259" w:lineRule="auto"/>
        <w:ind w:left="720" w:firstLine="0"/>
        <w:jc w:val="left"/>
      </w:pPr>
      <w:r>
        <w:t xml:space="preserve"> </w:t>
      </w:r>
    </w:p>
    <w:p w:rsidR="0025470D" w:rsidRDefault="0025470D" w:rsidP="0025470D">
      <w:pPr>
        <w:numPr>
          <w:ilvl w:val="1"/>
          <w:numId w:val="4"/>
        </w:numPr>
        <w:ind w:right="82" w:hanging="720"/>
      </w:pPr>
      <w:r>
        <w:lastRenderedPageBreak/>
        <w:t xml:space="preserve">enable enforcement notices to be served on persons by the EOC for discriminatory practices under the DDO. </w:t>
      </w:r>
    </w:p>
    <w:p w:rsidR="0025470D" w:rsidRDefault="0025470D" w:rsidP="0025470D">
      <w:pPr>
        <w:spacing w:after="64" w:line="259" w:lineRule="auto"/>
        <w:ind w:left="0" w:firstLine="0"/>
        <w:jc w:val="left"/>
      </w:pPr>
      <w:r>
        <w:t xml:space="preserve"> </w:t>
      </w:r>
    </w:p>
    <w:p w:rsidR="0025470D" w:rsidRDefault="0025470D" w:rsidP="0025470D">
      <w:pPr>
        <w:numPr>
          <w:ilvl w:val="0"/>
          <w:numId w:val="4"/>
        </w:numPr>
        <w:ind w:right="82"/>
      </w:pPr>
      <w:r>
        <w:t xml:space="preserve">Starting from 2014-15, the HKSAR Government provided a recurrent funding of $4.69 million to the EOC to establish a dedicated Ethnic Minorities Unit (as elaborated at </w:t>
      </w:r>
      <w:r>
        <w:rPr>
          <w:b/>
        </w:rPr>
        <w:t>Annex 27D</w:t>
      </w:r>
      <w:r>
        <w:t xml:space="preserve">) with a view to enhancing the EOC’s efforts in advancing the equal opportunities of ethnic minorities. </w:t>
      </w:r>
    </w:p>
    <w:p w:rsidR="0025470D" w:rsidRDefault="0025470D" w:rsidP="0025470D">
      <w:pPr>
        <w:spacing w:after="64" w:line="259" w:lineRule="auto"/>
        <w:ind w:left="0" w:firstLine="0"/>
        <w:jc w:val="left"/>
      </w:pPr>
      <w:r>
        <w:t xml:space="preserve"> </w:t>
      </w:r>
    </w:p>
    <w:p w:rsidR="0025470D" w:rsidRDefault="0025470D" w:rsidP="0025470D">
      <w:pPr>
        <w:pStyle w:val="Heading5"/>
        <w:ind w:left="-5"/>
      </w:pPr>
      <w:r>
        <w:t>Privacy Commissioner for Personal Data</w:t>
      </w:r>
      <w:r>
        <w:rPr>
          <w:u w:color="000000"/>
        </w:rPr>
        <w:t xml:space="preserve"> </w:t>
      </w:r>
    </w:p>
    <w:p w:rsidR="0025470D" w:rsidRDefault="0025470D" w:rsidP="0025470D">
      <w:pPr>
        <w:spacing w:after="59" w:line="259" w:lineRule="auto"/>
        <w:ind w:left="0" w:firstLine="0"/>
        <w:jc w:val="left"/>
      </w:pPr>
      <w:r>
        <w:rPr>
          <w:b/>
        </w:rPr>
        <w:t xml:space="preserve"> </w:t>
      </w:r>
    </w:p>
    <w:p w:rsidR="0025470D" w:rsidRDefault="0025470D" w:rsidP="0025470D">
      <w:pPr>
        <w:ind w:left="19" w:right="82"/>
      </w:pPr>
      <w:r>
        <w:t xml:space="preserve">5. The PCPD is an independent statutory authority established in 1996 and has the key functions and powers to, among others, monitor and supervise compliance with the provisions of the Personal Data (Privacy) Ordinance (Cap. 486) (PDPO), carry out inspections of personal data systems, including those of government departments and statutory bodies; and upon receipt of complaints from data subjects or on its own initiative, investigate suspected breaches of the requirements of the PDPO.  The PDPO was amended in 2012 to empower the Privacy Commissioner to provide legal assistance to a person who intends to institute proceedings to seek compensation from data users under PDPO.  PCPD introduced the Legal Assistance Scheme on 1 April 2013.  Such assistance includes arranging for legal advice and legal representation, including legal assistance in the steps preliminary or incidental to any proceedings, or in arriving at or giving effect to a compromise to avoid or bring to an end any proceedings.  Since 1 April 2013, PCPD has received 57 legal assistance applications of which 7 were accepted, 33 were rejected, 13 were withdrawn by the applicants and 4 are under consideration.  Further details on the various aspects of the work of the PCPD are set out at </w:t>
      </w:r>
      <w:r>
        <w:rPr>
          <w:b/>
        </w:rPr>
        <w:t>Annex 17B</w:t>
      </w:r>
      <w:r>
        <w:t xml:space="preserve">. </w:t>
      </w:r>
    </w:p>
    <w:p w:rsidR="0025470D" w:rsidRDefault="0025470D" w:rsidP="0025470D">
      <w:pPr>
        <w:spacing w:after="62" w:line="259" w:lineRule="auto"/>
        <w:ind w:left="0" w:firstLine="0"/>
        <w:jc w:val="left"/>
      </w:pPr>
      <w:r>
        <w:t xml:space="preserve"> </w:t>
      </w:r>
    </w:p>
    <w:p w:rsidR="0025470D" w:rsidRDefault="0025470D" w:rsidP="0025470D">
      <w:pPr>
        <w:pStyle w:val="Heading5"/>
        <w:ind w:left="-5"/>
      </w:pPr>
      <w:r>
        <w:t>The Ombudsman</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5"/>
        </w:numPr>
        <w:spacing w:after="25"/>
        <w:ind w:right="82"/>
      </w:pPr>
      <w:r>
        <w:t xml:space="preserve">The Ombudsman is an independent statutory authority established by The Ombudsman Ordinance (Cap. 397).  The functions of The Ombudsman are set out in paragraphs 49 to 53 of the HKSAR Common Core Document. </w:t>
      </w:r>
    </w:p>
    <w:p w:rsidR="0025470D" w:rsidRDefault="0025470D" w:rsidP="0025470D">
      <w:pPr>
        <w:spacing w:after="0" w:line="259" w:lineRule="auto"/>
        <w:ind w:left="0" w:firstLine="0"/>
        <w:jc w:val="left"/>
      </w:pPr>
      <w:r>
        <w:lastRenderedPageBreak/>
        <w:t xml:space="preserve"> </w:t>
      </w:r>
    </w:p>
    <w:p w:rsidR="0025470D" w:rsidRDefault="0025470D" w:rsidP="0025470D">
      <w:pPr>
        <w:numPr>
          <w:ilvl w:val="0"/>
          <w:numId w:val="5"/>
        </w:numPr>
        <w:spacing w:after="48"/>
        <w:ind w:right="82"/>
      </w:pPr>
      <w:r>
        <w:t xml:space="preserve">The HKSAR Government has continued to put more public bodies under the jurisdiction of The Ombudsman.  Since the previous report, the Competition Commission, the Property Management Services Authority and the Insurance Authority have been placed under the purview of the Ombudsman.  The Ombudsman’s jurisdiction now covers 26 public bodies.  In addition, the HKSAR Government plans to put other proposed public bodies under the purview of The Ombudsman upon their establishment, such as the Independent Insurance Authority.   </w:t>
      </w:r>
    </w:p>
    <w:p w:rsidR="0025470D" w:rsidRDefault="0025470D" w:rsidP="0025470D">
      <w:pPr>
        <w:numPr>
          <w:ilvl w:val="0"/>
          <w:numId w:val="5"/>
        </w:numPr>
        <w:ind w:right="82"/>
      </w:pPr>
      <w:r>
        <w:t xml:space="preserve">The number of enquiries and complaints received by The Ombudsman during the period from 2010-11 to 2016-17 remained steady at about 12 000 and 5 000 per year respectively, with some slight fluctuations between years.  Among the complaints concluded, about 60% were handled by way of inquiry, full investigation or mediation.  The rest were dismissed for lack of jurisdiction or on other legal grounds.  Since 2014-15, The Ombudsman has made more efforts to promote resolution of complaints by way of mediation, with very encouraging results.  In 2014-15 and 2016-17, the number of complaints resolved by mediation has been standing at a level of some 130 cases per year, a sharp increase as compared to a single digit in 2010-11.  The Ombudsman has also conducted more direct investigations on its own volition in recent years.  The number of direct investigations completed jumped from 7 in 2010-11 to 11 in 2016-17.  Over the years, The Ombudsman has made thousands of recommendations to redress grievances and improve public administration on completion of full investigations and direct investigations.  For other complaints concluded by inquiry, The Ombudsman has also suggested remedial action and improvement measures where appropriate.  The Government has accepted and acted on almost all of The Ombudsman’s recommendations.  The practices to ensure transparency remain as explained in paragraph 39 of Part II of the initial report.  </w:t>
      </w:r>
    </w:p>
    <w:p w:rsidR="0025470D" w:rsidRDefault="0025470D" w:rsidP="0025470D">
      <w:pPr>
        <w:spacing w:after="64" w:line="259" w:lineRule="auto"/>
        <w:ind w:left="0" w:firstLine="0"/>
        <w:jc w:val="left"/>
      </w:pPr>
      <w:r>
        <w:t xml:space="preserve"> </w:t>
      </w:r>
    </w:p>
    <w:p w:rsidR="0025470D" w:rsidRDefault="0025470D" w:rsidP="0025470D">
      <w:pPr>
        <w:numPr>
          <w:ilvl w:val="0"/>
          <w:numId w:val="5"/>
        </w:numPr>
        <w:ind w:right="82"/>
      </w:pPr>
      <w:r>
        <w:t xml:space="preserve">To enhance the public’s understanding of their right to information kept by Government departments and specified public bodies, The Ombudsman launched on the official website in 2015 a new section on </w:t>
      </w:r>
      <w:r>
        <w:lastRenderedPageBreak/>
        <w:t xml:space="preserve">“selected cases relating to the Code on Access to Information”.  Government departments and public bodies can refer to these cases when handling future requests for information from the public. </w:t>
      </w:r>
    </w:p>
    <w:p w:rsidR="0025470D" w:rsidRDefault="0025470D" w:rsidP="0025470D">
      <w:pPr>
        <w:numPr>
          <w:ilvl w:val="0"/>
          <w:numId w:val="5"/>
        </w:numPr>
        <w:ind w:right="82"/>
      </w:pPr>
      <w:r>
        <w:t>In the Annual Report 2013, The Ombudsman encouraged public officers to apologise to complainants for any injustice that they had sustained and further urged the Government to initiate a study and discussion on legislation in this area with a view to formulating laws for the protection of parties making apologies.  After consulting the public on the enactment of apology legislation in Hong Kong, the Government introduced the Apology Bill which was passed in July 2017.</w:t>
      </w:r>
      <w:r>
        <w:rPr>
          <w:b/>
        </w:rPr>
        <w:t xml:space="preserve"> </w:t>
      </w:r>
    </w:p>
    <w:p w:rsidR="0025470D" w:rsidRDefault="0025470D" w:rsidP="0025470D">
      <w:pPr>
        <w:sectPr w:rsidR="0025470D">
          <w:headerReference w:type="even" r:id="rId13"/>
          <w:headerReference w:type="default" r:id="rId14"/>
          <w:footerReference w:type="even" r:id="rId15"/>
          <w:footerReference w:type="default" r:id="rId16"/>
          <w:headerReference w:type="first" r:id="rId17"/>
          <w:footerReference w:type="first" r:id="rId18"/>
          <w:pgSz w:w="11906" w:h="16838"/>
          <w:pgMar w:top="1483" w:right="1734" w:bottom="1722" w:left="1800" w:header="720" w:footer="723" w:gutter="0"/>
          <w:pgNumType w:start="1"/>
          <w:cols w:space="720"/>
        </w:sectPr>
      </w:pPr>
    </w:p>
    <w:p w:rsidR="0025470D" w:rsidRDefault="0025470D" w:rsidP="0025470D">
      <w:pPr>
        <w:spacing w:after="9" w:line="259" w:lineRule="auto"/>
        <w:ind w:left="10" w:right="54" w:hanging="10"/>
        <w:jc w:val="right"/>
      </w:pPr>
      <w:r>
        <w:rPr>
          <w:b/>
        </w:rPr>
        <w:lastRenderedPageBreak/>
        <w:t xml:space="preserve">Annex 2B </w:t>
      </w:r>
    </w:p>
    <w:p w:rsidR="0025470D" w:rsidRDefault="0025470D" w:rsidP="0025470D">
      <w:pPr>
        <w:spacing w:after="67" w:line="259" w:lineRule="auto"/>
        <w:ind w:left="0" w:firstLine="0"/>
        <w:jc w:val="right"/>
      </w:pPr>
      <w:r>
        <w:rPr>
          <w:b/>
        </w:rPr>
        <w:t xml:space="preserve"> </w:t>
      </w:r>
    </w:p>
    <w:p w:rsidR="0025470D" w:rsidRDefault="0025470D" w:rsidP="0025470D">
      <w:pPr>
        <w:pStyle w:val="Heading4"/>
        <w:spacing w:after="6" w:line="259" w:lineRule="auto"/>
        <w:ind w:left="180" w:right="240"/>
        <w:jc w:val="center"/>
      </w:pPr>
      <w:r>
        <w:t xml:space="preserve">Human Rights Education </w:t>
      </w:r>
    </w:p>
    <w:p w:rsidR="0025470D" w:rsidRDefault="0025470D" w:rsidP="0025470D">
      <w:pPr>
        <w:spacing w:after="58" w:line="259" w:lineRule="auto"/>
        <w:ind w:left="0" w:right="3" w:firstLine="0"/>
        <w:jc w:val="center"/>
      </w:pPr>
      <w:r>
        <w:rPr>
          <w:b/>
        </w:rPr>
        <w:t xml:space="preserve"> </w:t>
      </w:r>
    </w:p>
    <w:p w:rsidR="0025470D" w:rsidRDefault="0025470D" w:rsidP="0025470D">
      <w:pPr>
        <w:pStyle w:val="Heading5"/>
        <w:ind w:left="-5"/>
      </w:pPr>
      <w:r>
        <w:t>Human rights education in schools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6"/>
        </w:numPr>
        <w:ind w:right="82" w:hanging="1440"/>
      </w:pPr>
      <w:r>
        <w:t xml:space="preserve">The core subject of Liberal Studies implemented at senior secondary level comprises areas of study which represent broad human and societal concerns, and provides opportunities to engage students in indepth enquiry and reflection on issues related to human rights. Through the exploration of human rights-related issues, Liberal Studies helps students develop values and attitudes such as self-esteem, equity, respect for others, human rights and responsibilities, respect for the rule of law, justice and plurality. </w:t>
      </w:r>
    </w:p>
    <w:p w:rsidR="0025470D" w:rsidRDefault="0025470D" w:rsidP="0025470D">
      <w:pPr>
        <w:spacing w:after="64" w:line="259" w:lineRule="auto"/>
        <w:ind w:left="0" w:firstLine="0"/>
        <w:jc w:val="left"/>
      </w:pPr>
      <w:r>
        <w:t xml:space="preserve"> </w:t>
      </w:r>
    </w:p>
    <w:p w:rsidR="0025470D" w:rsidRDefault="0025470D" w:rsidP="0025470D">
      <w:pPr>
        <w:numPr>
          <w:ilvl w:val="0"/>
          <w:numId w:val="6"/>
        </w:numPr>
        <w:ind w:right="82" w:hanging="1440"/>
      </w:pPr>
      <w:r>
        <w:t xml:space="preserve">Ethics and Religious Studies, a senior secondary elective </w:t>
      </w:r>
    </w:p>
    <w:p w:rsidR="0025470D" w:rsidRDefault="0025470D" w:rsidP="0025470D">
      <w:pPr>
        <w:ind w:left="19" w:right="5"/>
      </w:pPr>
      <w:r>
        <w:t xml:space="preserve">subject, covers important concepts in human rights such as inherent dignity, civil and political rights, economic, social and cultural rights, and prevention of discrimination. </w:t>
      </w:r>
    </w:p>
    <w:p w:rsidR="0025470D" w:rsidRDefault="0025470D" w:rsidP="0025470D">
      <w:pPr>
        <w:spacing w:after="64" w:line="259" w:lineRule="auto"/>
        <w:ind w:left="0" w:firstLine="0"/>
        <w:jc w:val="left"/>
      </w:pPr>
      <w:r>
        <w:t xml:space="preserve"> </w:t>
      </w:r>
    </w:p>
    <w:p w:rsidR="0025470D" w:rsidRDefault="0025470D" w:rsidP="0025470D">
      <w:pPr>
        <w:numPr>
          <w:ilvl w:val="0"/>
          <w:numId w:val="6"/>
        </w:numPr>
        <w:ind w:right="82" w:hanging="1440"/>
      </w:pPr>
      <w:r>
        <w:t xml:space="preserve">The Life and Society (Secondary 1 - 3) curriculum comprises areas of foundation knowledge in personal and social development, local, national and global economy and socio-political system.  A broad range of human rights-related topics are included in the curriculum, such as strategies to tackle bullying; respect for diversified classes, cultural background and values; protection of the rights of Hong Kong residents by the rule of law; international humanitarian relief work, etc., with the aim of nurturing students’ positive values and attitudes such as freedom, social justice, equal opportunities and plurality.  Diversified learning and teaching strategies are suggested to enhance students’ enquiries of social issues including human rights-related issues, with the aim of helping students make </w:t>
      </w:r>
      <w:r>
        <w:lastRenderedPageBreak/>
        <w:t xml:space="preserve">reasoned judgements, make responsible and informed decisions, and contribute to a better world. </w:t>
      </w:r>
    </w:p>
    <w:p w:rsidR="0025470D" w:rsidRDefault="0025470D" w:rsidP="0025470D">
      <w:pPr>
        <w:spacing w:after="64" w:line="259" w:lineRule="auto"/>
        <w:ind w:left="0" w:firstLine="0"/>
        <w:jc w:val="left"/>
      </w:pPr>
      <w:r>
        <w:t xml:space="preserve"> </w:t>
      </w:r>
    </w:p>
    <w:p w:rsidR="0025470D" w:rsidRDefault="0025470D" w:rsidP="0025470D">
      <w:pPr>
        <w:numPr>
          <w:ilvl w:val="0"/>
          <w:numId w:val="6"/>
        </w:numPr>
        <w:ind w:right="82" w:hanging="1440"/>
      </w:pPr>
      <w:r>
        <w:t xml:space="preserve">Students may also get acquainted with the concepts and values of human rights through various school-based programmes, such as class periods, assemblies, talks, as well as other learning experiences, such as discussion forums, debates, services and visits.  </w:t>
      </w:r>
    </w:p>
    <w:p w:rsidR="0025470D" w:rsidRDefault="0025470D" w:rsidP="0025470D">
      <w:pPr>
        <w:numPr>
          <w:ilvl w:val="0"/>
          <w:numId w:val="6"/>
        </w:numPr>
        <w:ind w:right="82" w:hanging="1440"/>
      </w:pPr>
      <w:r>
        <w:t xml:space="preserve">The Education Bureau (EDB) has been organising human rights-related civic education seminars for teachers to empower their competency in teaching related concepts and values.  The themes of these seminars include “non-discrimination”, “freedom”, “human rights and the Basic Law”, “freedom of press and the media”, “equality and social harmony”, and “rights and responsibilities” . </w:t>
      </w:r>
    </w:p>
    <w:p w:rsidR="0025470D" w:rsidRDefault="0025470D" w:rsidP="0025470D">
      <w:pPr>
        <w:spacing w:after="64" w:line="259" w:lineRule="auto"/>
        <w:ind w:left="0" w:firstLine="0"/>
        <w:jc w:val="left"/>
      </w:pPr>
      <w:r>
        <w:t xml:space="preserve"> </w:t>
      </w:r>
    </w:p>
    <w:p w:rsidR="0025470D" w:rsidRDefault="0025470D" w:rsidP="0025470D">
      <w:pPr>
        <w:numPr>
          <w:ilvl w:val="0"/>
          <w:numId w:val="6"/>
        </w:numPr>
        <w:ind w:right="82" w:hanging="1440"/>
      </w:pPr>
      <w:r>
        <w:t xml:space="preserve">Resource materials, including web-based resources, in support of the promotion of human rights education, have been produced for reference and use by schools.  The Government has also produced bilingual booklets and leaflets on the human rights treaties with illustrations of the principal provisions and in language which is easy to understand. </w:t>
      </w:r>
    </w:p>
    <w:p w:rsidR="0025470D" w:rsidRDefault="0025470D" w:rsidP="0025470D">
      <w:pPr>
        <w:spacing w:after="64" w:line="259" w:lineRule="auto"/>
        <w:ind w:left="0" w:firstLine="0"/>
        <w:jc w:val="left"/>
      </w:pPr>
      <w:r>
        <w:t xml:space="preserve"> </w:t>
      </w:r>
    </w:p>
    <w:p w:rsidR="0025470D" w:rsidRDefault="0025470D" w:rsidP="0025470D">
      <w:pPr>
        <w:numPr>
          <w:ilvl w:val="0"/>
          <w:numId w:val="6"/>
        </w:numPr>
        <w:ind w:right="82" w:hanging="1440"/>
      </w:pPr>
      <w:r>
        <w:t xml:space="preserve">We have continued to raise public awareness and understanding of human’s rights through various means, including producing television advertisement and providing financial support for community organisations to carry out educational projects. </w:t>
      </w:r>
    </w:p>
    <w:p w:rsidR="0025470D" w:rsidRDefault="0025470D" w:rsidP="0025470D">
      <w:pPr>
        <w:spacing w:after="64" w:line="259" w:lineRule="auto"/>
        <w:ind w:left="0" w:firstLine="0"/>
        <w:jc w:val="left"/>
      </w:pPr>
      <w:r>
        <w:t xml:space="preserve"> </w:t>
      </w:r>
    </w:p>
    <w:p w:rsidR="0025470D" w:rsidRDefault="0025470D" w:rsidP="0025470D">
      <w:pPr>
        <w:pStyle w:val="Heading5"/>
        <w:ind w:left="-5"/>
      </w:pPr>
      <w:r>
        <w:t>Human rights training provided to Government officers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ind w:left="19" w:right="82"/>
      </w:pPr>
      <w:r>
        <w:t xml:space="preserve">8. The Civil Service Bureau provides training and education to Government officers at different ranks on the Basic Law, equal opportunities and other areas of human rights.  Details are elaborated in paragraphs 66 to 68 of the HKSAR Common Core Document.  </w:t>
      </w:r>
    </w:p>
    <w:p w:rsidR="0025470D" w:rsidRDefault="0025470D" w:rsidP="0025470D">
      <w:pPr>
        <w:spacing w:after="63" w:line="259" w:lineRule="auto"/>
        <w:ind w:left="0" w:firstLine="0"/>
        <w:jc w:val="left"/>
      </w:pPr>
      <w:r>
        <w:lastRenderedPageBreak/>
        <w:t xml:space="preserve"> </w:t>
      </w:r>
    </w:p>
    <w:p w:rsidR="0025470D" w:rsidRDefault="0025470D" w:rsidP="0025470D">
      <w:pPr>
        <w:pStyle w:val="Heading5"/>
        <w:ind w:left="-5"/>
      </w:pPr>
      <w:r>
        <w:t>Human rights education to Government counsel</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7"/>
        </w:numPr>
        <w:ind w:right="82"/>
      </w:pPr>
      <w:r>
        <w:t xml:space="preserve">The Prosecutions Division of the DoJ has been organising “Prosecution Week” as an annual event since 2012 to reach out to the society and to enhance community’s understanding of criminal justice and the operation of the Division.  It has also been running a “Meet the Community” Programme since 2014 whereby prosecutors visit schools and other community institutions to give talks on diversified topics, including how prosecutors carry out their duties.  A number of seminars and training programmes have also been organised to provide continuing legal education to its prosecution counsel, including those on human trafficking, human rights considerations in prosecuting public order event offences, and the handling of vulnerable witnesses in domestic violence and sexual abuse cases. </w:t>
      </w:r>
    </w:p>
    <w:p w:rsidR="0025470D" w:rsidRDefault="0025470D" w:rsidP="0025470D">
      <w:pPr>
        <w:spacing w:after="64" w:line="259" w:lineRule="auto"/>
        <w:ind w:left="0" w:firstLine="0"/>
        <w:jc w:val="left"/>
      </w:pPr>
      <w:r>
        <w:t xml:space="preserve"> </w:t>
      </w:r>
    </w:p>
    <w:p w:rsidR="0025470D" w:rsidRDefault="0025470D" w:rsidP="0025470D">
      <w:pPr>
        <w:numPr>
          <w:ilvl w:val="0"/>
          <w:numId w:val="7"/>
        </w:numPr>
        <w:ind w:right="82"/>
      </w:pPr>
      <w:r>
        <w:t xml:space="preserve">The Law Drafting Division of the DoJ regularly organises inhouse talks and workshops for its law drafting counsel, covering a wide range of topics, including human rights, international law and the offencecreating provisions.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Operational staff of disciplined forces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ind w:left="19" w:right="82"/>
      </w:pPr>
      <w:r>
        <w:t>11. Training of disciplined services invariably includes reference to human rights.  Details are elaborated in paragraphs 70 to 71 of the HKSAR Common Core Document.</w:t>
      </w:r>
      <w:r>
        <w:rPr>
          <w:b/>
        </w:rPr>
        <w:t xml:space="preserve"> </w:t>
      </w:r>
    </w:p>
    <w:p w:rsidR="0025470D" w:rsidRDefault="0025470D" w:rsidP="0025470D">
      <w:pPr>
        <w:sectPr w:rsidR="0025470D">
          <w:headerReference w:type="even" r:id="rId19"/>
          <w:headerReference w:type="default" r:id="rId20"/>
          <w:footerReference w:type="even" r:id="rId21"/>
          <w:footerReference w:type="default" r:id="rId22"/>
          <w:headerReference w:type="first" r:id="rId23"/>
          <w:footerReference w:type="first" r:id="rId24"/>
          <w:pgSz w:w="11906" w:h="16838"/>
          <w:pgMar w:top="1538" w:right="1728" w:bottom="1722" w:left="1800" w:header="720" w:footer="723" w:gutter="0"/>
          <w:pgNumType w:start="1"/>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20" w:footer="5" w:gutter="0"/>
          <w:cols w:space="720"/>
        </w:sectPr>
      </w:pPr>
    </w:p>
    <w:p w:rsidR="0025470D" w:rsidRDefault="0025470D" w:rsidP="0025470D">
      <w:pPr>
        <w:spacing w:after="9" w:line="259" w:lineRule="auto"/>
        <w:ind w:left="10" w:right="54" w:hanging="10"/>
        <w:jc w:val="right"/>
      </w:pPr>
      <w:r>
        <w:rPr>
          <w:b/>
        </w:rPr>
        <w:lastRenderedPageBreak/>
        <w:t xml:space="preserve">Annex 3A </w:t>
      </w:r>
    </w:p>
    <w:p w:rsidR="0025470D" w:rsidRDefault="0025470D" w:rsidP="0025470D">
      <w:pPr>
        <w:spacing w:after="68" w:line="259" w:lineRule="auto"/>
        <w:ind w:left="0" w:firstLine="0"/>
        <w:jc w:val="right"/>
      </w:pPr>
      <w:r>
        <w:rPr>
          <w:b/>
        </w:rPr>
        <w:t xml:space="preserve"> </w:t>
      </w:r>
    </w:p>
    <w:p w:rsidR="0025470D" w:rsidRDefault="0025470D" w:rsidP="0025470D">
      <w:pPr>
        <w:pStyle w:val="Heading4"/>
        <w:spacing w:after="6" w:line="259" w:lineRule="auto"/>
        <w:ind w:left="180" w:right="242"/>
        <w:jc w:val="center"/>
      </w:pPr>
      <w:r>
        <w:t xml:space="preserve">Equal pay for work of equal value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8"/>
        </w:numPr>
        <w:ind w:right="82" w:hanging="10"/>
      </w:pPr>
      <w:r>
        <w:t xml:space="preserve">Since EOC’s establishment in 1996, it has worked steadily to advance the principle of EPEV by first including it in the Code of Practice on Employment issued under the Sex Discrimination Ordinance; and commissioning the </w:t>
      </w:r>
      <w:r>
        <w:rPr>
          <w:i/>
        </w:rPr>
        <w:t xml:space="preserve">Feasibility Study on Equal Pay for Work of Equal Value </w:t>
      </w:r>
      <w:r>
        <w:t>and the</w:t>
      </w:r>
      <w:r>
        <w:rPr>
          <w:i/>
        </w:rPr>
        <w:t xml:space="preserve"> Consultancy Study on Equal Pay for Work of Equal Value in the Public Sector.  </w:t>
      </w:r>
      <w:r>
        <w:t xml:space="preserve">In light of the findings of these studies, EOC issued the </w:t>
      </w:r>
      <w:r>
        <w:rPr>
          <w:i/>
        </w:rPr>
        <w:t>Guide to Employers on Equal Pay between Men and Women under the Sex Discrimination Ordinance</w:t>
      </w:r>
      <w:r>
        <w:t xml:space="preserve">, which covers a wide range of practical guidelines to facilitate the implementation of EPEV in the workplace, and to explain the circumstances in which EPEV complaints can be lodged in order to help the employers set up salary practices without gender bias. </w:t>
      </w:r>
    </w:p>
    <w:p w:rsidR="0025470D" w:rsidRDefault="0025470D" w:rsidP="0025470D">
      <w:pPr>
        <w:spacing w:after="64" w:line="259" w:lineRule="auto"/>
        <w:ind w:left="0" w:firstLine="0"/>
        <w:jc w:val="left"/>
      </w:pPr>
      <w:r>
        <w:t xml:space="preserve"> </w:t>
      </w:r>
    </w:p>
    <w:p w:rsidR="0025470D" w:rsidRDefault="0025470D" w:rsidP="0025470D">
      <w:pPr>
        <w:numPr>
          <w:ilvl w:val="0"/>
          <w:numId w:val="8"/>
        </w:numPr>
        <w:spacing w:after="4" w:line="266" w:lineRule="auto"/>
        <w:ind w:right="82" w:hanging="10"/>
      </w:pPr>
      <w:r>
        <w:t>The EOC also produced three supplementary informative booklets to provide other practical information on equal pay issues.  The booklets are: (i)</w:t>
      </w:r>
      <w:r>
        <w:rPr>
          <w:i/>
        </w:rPr>
        <w:t xml:space="preserve"> An Illustration on Developing an Analytical Job Evaluation System Free of Sex Bias;</w:t>
      </w:r>
      <w:r>
        <w:t xml:space="preserve"> (ii)</w:t>
      </w:r>
      <w:r>
        <w:rPr>
          <w:i/>
        </w:rPr>
        <w:t xml:space="preserve"> A Systematic Approach to Pay Determination Free of Sex Bias</w:t>
      </w:r>
      <w:r>
        <w:t>;</w:t>
      </w:r>
      <w:r>
        <w:rPr>
          <w:i/>
        </w:rPr>
        <w:t xml:space="preserve"> </w:t>
      </w:r>
      <w:r>
        <w:t>and (iii)</w:t>
      </w:r>
      <w:r>
        <w:rPr>
          <w:i/>
        </w:rPr>
        <w:t xml:space="preserve"> Equal Pay Self-audit Kit: A Proactive Approach for Employers to Achieve Equal Pay</w:t>
      </w:r>
      <w: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8"/>
        </w:numPr>
        <w:ind w:right="82" w:hanging="10"/>
      </w:pPr>
      <w:r>
        <w:t xml:space="preserve">In addition, the EOC has arranged talks and workshops for employers, women’s groups and other stakeholders.  The principles and best practices of EPEV are included in the training programs for different stakeholders and members of the public. </w:t>
      </w:r>
    </w:p>
    <w:p w:rsidR="0025470D" w:rsidRDefault="0025470D" w:rsidP="0025470D">
      <w:pPr>
        <w:spacing w:after="64" w:line="259" w:lineRule="auto"/>
        <w:ind w:left="0" w:firstLine="0"/>
        <w:jc w:val="left"/>
      </w:pPr>
      <w:r>
        <w:t xml:space="preserve"> </w:t>
      </w:r>
    </w:p>
    <w:p w:rsidR="0025470D" w:rsidRDefault="0025470D" w:rsidP="0025470D">
      <w:pPr>
        <w:numPr>
          <w:ilvl w:val="0"/>
          <w:numId w:val="8"/>
        </w:numPr>
        <w:ind w:right="82" w:hanging="10"/>
      </w:pPr>
      <w:r>
        <w:t>Efforts of EOC in promoting the concept of EPEV include conducting studies, preparing consultation reports, organising conferences, drawing up and producing the guidelines of EPEV.  The EOC has not received any complaints in relation to EPEV since the previous report in 2011.</w:t>
      </w:r>
      <w:r>
        <w:rPr>
          <w:b/>
        </w:rPr>
        <w:t xml:space="preserve"> </w:t>
      </w:r>
    </w:p>
    <w:p w:rsidR="0025470D" w:rsidRDefault="0025470D" w:rsidP="0025470D">
      <w:pPr>
        <w:sectPr w:rsidR="0025470D">
          <w:headerReference w:type="even" r:id="rId31"/>
          <w:headerReference w:type="default" r:id="rId32"/>
          <w:footerReference w:type="even" r:id="rId33"/>
          <w:footerReference w:type="default" r:id="rId34"/>
          <w:headerReference w:type="first" r:id="rId35"/>
          <w:footerReference w:type="first" r:id="rId36"/>
          <w:pgSz w:w="11906" w:h="16838"/>
          <w:pgMar w:top="1440" w:right="1728" w:bottom="1440" w:left="1800" w:header="720" w:footer="723"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20" w:footer="5" w:gutter="0"/>
          <w:cols w:space="720"/>
        </w:sectPr>
      </w:pPr>
    </w:p>
    <w:p w:rsidR="0025470D" w:rsidRDefault="0025470D" w:rsidP="0025470D">
      <w:pPr>
        <w:spacing w:after="427" w:line="259" w:lineRule="auto"/>
        <w:ind w:left="10" w:right="54" w:hanging="10"/>
        <w:jc w:val="right"/>
      </w:pPr>
      <w:r>
        <w:rPr>
          <w:b/>
        </w:rPr>
        <w:lastRenderedPageBreak/>
        <w:t>Annex 3B</w:t>
      </w:r>
    </w:p>
    <w:p w:rsidR="0025470D" w:rsidRDefault="0025470D" w:rsidP="0025470D">
      <w:pPr>
        <w:pStyle w:val="Heading4"/>
        <w:spacing w:after="6" w:line="259" w:lineRule="auto"/>
        <w:ind w:left="180" w:right="172"/>
        <w:jc w:val="center"/>
      </w:pPr>
      <w:r>
        <w:t xml:space="preserve">Women’s Commission </w:t>
      </w:r>
    </w:p>
    <w:p w:rsidR="0025470D" w:rsidRDefault="0025470D" w:rsidP="0025470D">
      <w:pPr>
        <w:spacing w:after="59" w:line="259" w:lineRule="auto"/>
        <w:ind w:left="65" w:firstLine="0"/>
        <w:jc w:val="center"/>
      </w:pPr>
      <w:r>
        <w:rPr>
          <w:b/>
        </w:rPr>
        <w:t xml:space="preserve"> </w:t>
      </w:r>
    </w:p>
    <w:p w:rsidR="0025470D" w:rsidRDefault="0025470D" w:rsidP="0025470D">
      <w:pPr>
        <w:numPr>
          <w:ilvl w:val="0"/>
          <w:numId w:val="9"/>
        </w:numPr>
        <w:ind w:right="2"/>
      </w:pPr>
      <w:r>
        <w:t xml:space="preserve">In discharging its duties, the WoC has been active in advising the Government on the development of appropriate policies and initiatives, identifying priority areas for action, engaging in surveys and research studies and maintaining close ties with local and international women’s groups and service agencies, etc.  </w:t>
      </w:r>
    </w:p>
    <w:p w:rsidR="0025470D" w:rsidRDefault="0025470D" w:rsidP="0025470D">
      <w:pPr>
        <w:spacing w:after="64" w:line="259" w:lineRule="auto"/>
        <w:ind w:left="0" w:firstLine="0"/>
        <w:jc w:val="left"/>
      </w:pPr>
      <w:r>
        <w:t xml:space="preserve"> </w:t>
      </w:r>
    </w:p>
    <w:p w:rsidR="0025470D" w:rsidRDefault="0025470D" w:rsidP="0025470D">
      <w:pPr>
        <w:numPr>
          <w:ilvl w:val="0"/>
          <w:numId w:val="9"/>
        </w:numPr>
        <w:ind w:right="2"/>
      </w:pPr>
      <w:r>
        <w:t xml:space="preserve">To facilitate the application of gender mainstreaming, WoC has developed a Gender Mainstreaming Checklist, and promotes gender mainstreaming to the Government, District Councils, NGOs in the social welfare sector, listed companies and the public from time to time.  Starting from 2015-16, all Government bureaux and departments are required to refer to the Checklist and apply gender mainstreaming when formulating major government policies and initiatives.  WoC also published in 2015 a guidebook entitled “Gender Mainstreaming” to facilitate public officers to apply gender mainstreaming at work, so that public policies and services can take proper account of the needs and concerns of both women and men. </w:t>
      </w:r>
    </w:p>
    <w:p w:rsidR="0025470D" w:rsidRDefault="0025470D" w:rsidP="0025470D">
      <w:pPr>
        <w:sectPr w:rsidR="0025470D">
          <w:headerReference w:type="even" r:id="rId43"/>
          <w:headerReference w:type="default" r:id="rId44"/>
          <w:footerReference w:type="even" r:id="rId45"/>
          <w:footerReference w:type="default" r:id="rId46"/>
          <w:headerReference w:type="first" r:id="rId47"/>
          <w:footerReference w:type="first" r:id="rId48"/>
          <w:pgSz w:w="11906" w:h="16838"/>
          <w:pgMar w:top="1440" w:right="1796" w:bottom="1440" w:left="1800" w:header="720" w:footer="723"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49"/>
          <w:headerReference w:type="default" r:id="rId50"/>
          <w:footerReference w:type="even" r:id="rId51"/>
          <w:footerReference w:type="default" r:id="rId52"/>
          <w:headerReference w:type="first" r:id="rId53"/>
          <w:footerReference w:type="first" r:id="rId54"/>
          <w:pgSz w:w="11906" w:h="16838"/>
          <w:pgMar w:top="1440" w:right="1440" w:bottom="1440" w:left="1440" w:header="720" w:footer="5" w:gutter="0"/>
          <w:cols w:space="720"/>
        </w:sectPr>
      </w:pPr>
    </w:p>
    <w:p w:rsidR="0025470D" w:rsidRDefault="0025470D" w:rsidP="0025470D">
      <w:pPr>
        <w:spacing w:after="369" w:line="259" w:lineRule="auto"/>
        <w:ind w:left="10" w:right="54" w:hanging="10"/>
        <w:jc w:val="right"/>
      </w:pPr>
      <w:r>
        <w:rPr>
          <w:b/>
        </w:rPr>
        <w:lastRenderedPageBreak/>
        <w:t>Annex 6A</w:t>
      </w:r>
    </w:p>
    <w:p w:rsidR="0025470D" w:rsidRDefault="0025470D" w:rsidP="0025470D">
      <w:pPr>
        <w:pStyle w:val="Heading4"/>
        <w:ind w:left="180" w:right="247"/>
        <w:jc w:val="center"/>
      </w:pPr>
      <w:r>
        <w:t xml:space="preserve">Deaths in custody of the Police, the Correctional Services Department, the Customs and Excise Department, the Immigration Department and the Independent Commission Against Corruption </w:t>
      </w:r>
    </w:p>
    <w:p w:rsidR="0025470D" w:rsidRDefault="0025470D" w:rsidP="0025470D">
      <w:pPr>
        <w:spacing w:after="4" w:line="259" w:lineRule="auto"/>
        <w:ind w:left="0" w:firstLine="0"/>
        <w:jc w:val="center"/>
      </w:pPr>
      <w:r>
        <w:rPr>
          <w:b/>
        </w:rPr>
        <w:t xml:space="preserve"> </w:t>
      </w:r>
    </w:p>
    <w:p w:rsidR="0025470D" w:rsidRDefault="0025470D" w:rsidP="0025470D">
      <w:pPr>
        <w:pStyle w:val="Heading5"/>
        <w:ind w:left="-5"/>
      </w:pPr>
      <w:r>
        <w:t>Deaths in Police custody</w:t>
      </w:r>
      <w:r>
        <w:rPr>
          <w:u w:color="000000"/>
        </w:rPr>
        <w:t xml:space="preserve"> </w:t>
      </w:r>
    </w:p>
    <w:p w:rsidR="0025470D" w:rsidRDefault="0025470D" w:rsidP="0025470D">
      <w:pPr>
        <w:spacing w:after="4" w:line="259" w:lineRule="auto"/>
        <w:ind w:left="0" w:firstLine="0"/>
        <w:jc w:val="left"/>
      </w:pPr>
      <w:r>
        <w:rPr>
          <w:b/>
        </w:rPr>
        <w:t xml:space="preserve"> </w:t>
      </w:r>
    </w:p>
    <w:p w:rsidR="0025470D" w:rsidRDefault="0025470D" w:rsidP="0025470D">
      <w:pPr>
        <w:tabs>
          <w:tab w:val="right" w:pos="8376"/>
        </w:tabs>
        <w:ind w:left="0" w:firstLine="0"/>
        <w:jc w:val="left"/>
      </w:pPr>
      <w:r>
        <w:t xml:space="preserve">1. </w:t>
      </w:r>
      <w:r>
        <w:tab/>
        <w:t xml:space="preserve">During the last seven years between 1 July 2010 and </w:t>
      </w:r>
    </w:p>
    <w:p w:rsidR="0025470D" w:rsidRDefault="0025470D" w:rsidP="0025470D">
      <w:pPr>
        <w:spacing w:after="41"/>
        <w:ind w:left="19" w:right="82"/>
      </w:pPr>
      <w:r>
        <w:t xml:space="preserve">30 June 2017, 16 persons died in the custody of the Police.  The Coroner has examined 13 cases so far while the remaining cases are pending the </w:t>
      </w:r>
    </w:p>
    <w:p w:rsidR="0025470D" w:rsidRDefault="0025470D" w:rsidP="0025470D">
      <w:pPr>
        <w:ind w:left="19" w:right="82"/>
      </w:pPr>
      <w:r>
        <w:t xml:space="preserve">Coroner’s inquest.  For the 13 cases examined, none of them was found to be caused by unlawful killing.  Four of the deceased were found to have committed suicide, six to have died by natural causes, two by accident, and the remaining one was concluded by the Coroner as an open verdict case. </w:t>
      </w:r>
    </w:p>
    <w:p w:rsidR="0025470D" w:rsidRDefault="0025470D" w:rsidP="0025470D">
      <w:pPr>
        <w:spacing w:after="9" w:line="259" w:lineRule="auto"/>
        <w:ind w:left="0" w:firstLine="0"/>
        <w:jc w:val="left"/>
      </w:pPr>
      <w:r>
        <w:t xml:space="preserve"> </w:t>
      </w:r>
    </w:p>
    <w:p w:rsidR="0025470D" w:rsidRDefault="0025470D" w:rsidP="0025470D">
      <w:pPr>
        <w:numPr>
          <w:ilvl w:val="0"/>
          <w:numId w:val="10"/>
        </w:numPr>
        <w:ind w:right="82" w:hanging="1440"/>
      </w:pPr>
      <w:r>
        <w:t xml:space="preserve">Having studied the recommendations by the Coroner, the </w:t>
      </w:r>
    </w:p>
    <w:p w:rsidR="0025470D" w:rsidRDefault="0025470D" w:rsidP="0025470D">
      <w:pPr>
        <w:ind w:left="19" w:right="82"/>
      </w:pPr>
      <w:r>
        <w:t xml:space="preserve">Police have implemented the following measures: (i) arranging contractors to regularly inspect the imaging system and video-recording function of closed-circuit television (CCTV); (ii) ensuring the availability of designated screens for continuous display of the passage and exits / entrances of detention cells; and (iii) improving the image quality of CCTV for monitoring the passage of detention cells. </w:t>
      </w:r>
    </w:p>
    <w:p w:rsidR="0025470D" w:rsidRDefault="0025470D" w:rsidP="0025470D">
      <w:pPr>
        <w:spacing w:after="9" w:line="259" w:lineRule="auto"/>
        <w:ind w:left="0" w:firstLine="0"/>
        <w:jc w:val="left"/>
      </w:pPr>
      <w:r>
        <w:t xml:space="preserve"> </w:t>
      </w:r>
    </w:p>
    <w:p w:rsidR="0025470D" w:rsidRDefault="0025470D" w:rsidP="0025470D">
      <w:pPr>
        <w:numPr>
          <w:ilvl w:val="0"/>
          <w:numId w:val="10"/>
        </w:numPr>
        <w:ind w:right="82" w:hanging="1440"/>
      </w:pPr>
      <w:r>
        <w:t xml:space="preserve">In addition, the Police are actively following up on the recommendation to increase the number of CCTVs in detention facilities or adjust their angles for monitoring the situation in detention facilities.  To such end, the Police have made reference to the practices adopted by overseas law enforcement authorities, looked into the implications of the practices on detained persons’ privacy, and studied the implementation details.  The Police are of the view that implementation of the practices can help prevent detained persons from harming themselves at an early stage, and provide full footage of the detention for the purpose of handling complaints, investigations and coroner’s inquests.  The Police will continue to work out the implementation details and consult the stakeholders when appropriate. </w:t>
      </w:r>
    </w:p>
    <w:p w:rsidR="0025470D" w:rsidRDefault="0025470D" w:rsidP="0025470D">
      <w:pPr>
        <w:spacing w:after="9" w:line="259" w:lineRule="auto"/>
        <w:ind w:left="0" w:firstLine="0"/>
        <w:jc w:val="left"/>
      </w:pPr>
      <w:r>
        <w:rPr>
          <w:b/>
        </w:rPr>
        <w:t xml:space="preserve"> </w:t>
      </w:r>
    </w:p>
    <w:p w:rsidR="0025470D" w:rsidRDefault="0025470D" w:rsidP="0025470D">
      <w:pPr>
        <w:spacing w:after="0" w:line="259" w:lineRule="auto"/>
        <w:ind w:left="0" w:firstLine="0"/>
        <w:jc w:val="left"/>
      </w:pPr>
      <w:r>
        <w:rPr>
          <w:b/>
        </w:rPr>
        <w:lastRenderedPageBreak/>
        <w:t xml:space="preserve"> </w:t>
      </w:r>
    </w:p>
    <w:p w:rsidR="0025470D" w:rsidRDefault="0025470D" w:rsidP="0025470D">
      <w:pPr>
        <w:pStyle w:val="Heading5"/>
        <w:ind w:left="-5"/>
      </w:pPr>
      <w:r>
        <w:t>Deaths in custody of the Correctional Services Department</w:t>
      </w:r>
      <w:r>
        <w:rPr>
          <w:u w:color="000000"/>
        </w:rPr>
        <w:t xml:space="preserve"> </w:t>
      </w:r>
    </w:p>
    <w:p w:rsidR="0025470D" w:rsidRDefault="0025470D" w:rsidP="0025470D">
      <w:pPr>
        <w:spacing w:after="9" w:line="259" w:lineRule="auto"/>
        <w:ind w:left="0" w:firstLine="0"/>
        <w:jc w:val="left"/>
      </w:pPr>
      <w:r>
        <w:t xml:space="preserve"> </w:t>
      </w:r>
    </w:p>
    <w:p w:rsidR="0025470D" w:rsidRDefault="0025470D" w:rsidP="0025470D">
      <w:pPr>
        <w:numPr>
          <w:ilvl w:val="0"/>
          <w:numId w:val="11"/>
        </w:numPr>
        <w:ind w:right="3"/>
      </w:pPr>
      <w:r>
        <w:t xml:space="preserve">Between 1 July 2010 and 31 July 2017, 91 persons died in the custody of the CSD.  As at 8 September 2017, the Coroner has examined 72 cases, and the other 19 cases are pending the Coroner’s inquest.  For the 72 cases examined, six of the deceased were found to have committed suicide, 63 to have died by natural causes, one to have died of misadventure, one to have died accidentally and one was concluded by the Coroner as an open verdict case due to insufficient evidence. </w:t>
      </w:r>
    </w:p>
    <w:p w:rsidR="0025470D" w:rsidRDefault="0025470D" w:rsidP="0025470D">
      <w:pPr>
        <w:spacing w:after="9" w:line="259" w:lineRule="auto"/>
        <w:ind w:left="0" w:firstLine="0"/>
        <w:jc w:val="left"/>
      </w:pPr>
      <w:r>
        <w:t xml:space="preserve"> </w:t>
      </w:r>
    </w:p>
    <w:p w:rsidR="0025470D" w:rsidRDefault="0025470D" w:rsidP="0025470D">
      <w:pPr>
        <w:numPr>
          <w:ilvl w:val="0"/>
          <w:numId w:val="11"/>
        </w:numPr>
        <w:spacing w:after="48"/>
        <w:ind w:right="3"/>
      </w:pPr>
      <w:r>
        <w:t xml:space="preserve">The CSD is committed to ensuring a secure, safe, humane, decent and healthy custodial environment.  Various measures have been put in place, including regular monitoring of inmates with a view to identifying those who need special attention, installation of CCTV systems, modifications of cells and building structure, and provision of training to </w:t>
      </w:r>
    </w:p>
    <w:p w:rsidR="0025470D" w:rsidRDefault="0025470D" w:rsidP="0025470D">
      <w:pPr>
        <w:ind w:left="19" w:right="82"/>
      </w:pPr>
      <w:r>
        <w:t xml:space="preserve">CSD’s staff regularly. </w:t>
      </w:r>
    </w:p>
    <w:p w:rsidR="0025470D" w:rsidRDefault="0025470D" w:rsidP="0025470D">
      <w:pPr>
        <w:spacing w:after="9" w:line="259" w:lineRule="auto"/>
        <w:ind w:left="0" w:firstLine="0"/>
        <w:jc w:val="left"/>
      </w:pPr>
      <w:r>
        <w:t xml:space="preserve"> </w:t>
      </w:r>
    </w:p>
    <w:p w:rsidR="0025470D" w:rsidRDefault="0025470D" w:rsidP="0025470D">
      <w:pPr>
        <w:pStyle w:val="Heading5"/>
        <w:ind w:left="-5"/>
      </w:pPr>
      <w:r>
        <w:t>Deaths in custody of the Customs and Excise Department</w:t>
      </w:r>
      <w:r>
        <w:rPr>
          <w:i/>
          <w:u w:color="000000"/>
        </w:rPr>
        <w:t xml:space="preserve"> </w:t>
      </w:r>
    </w:p>
    <w:p w:rsidR="0025470D" w:rsidRDefault="0025470D" w:rsidP="0025470D">
      <w:pPr>
        <w:spacing w:after="9" w:line="259" w:lineRule="auto"/>
        <w:ind w:left="0" w:firstLine="0"/>
        <w:jc w:val="left"/>
      </w:pPr>
      <w:r>
        <w:t xml:space="preserve"> </w:t>
      </w:r>
    </w:p>
    <w:p w:rsidR="0025470D" w:rsidRDefault="0025470D" w:rsidP="0025470D">
      <w:pPr>
        <w:ind w:left="19" w:right="82"/>
      </w:pPr>
      <w:r>
        <w:t xml:space="preserve">6. Between 1 July 2010 and 30 June 2017, there was no death of person under the custody of the C&amp;ED.  The C&amp;ED has laid down a set of internal guidelines strictly governing customs officers in handling persons under their custody.  Due regard is particularly given to the safe and proper treatment of arrested and detained persons.  Structured training is organised regularly to officers with a view to enhancing their awareness of the rights of arrested and detained persons. </w:t>
      </w:r>
    </w:p>
    <w:p w:rsidR="0025470D" w:rsidRDefault="0025470D" w:rsidP="0025470D">
      <w:pPr>
        <w:spacing w:after="9" w:line="259" w:lineRule="auto"/>
        <w:ind w:left="0" w:firstLine="0"/>
        <w:jc w:val="left"/>
      </w:pPr>
      <w:r>
        <w:t xml:space="preserve"> </w:t>
      </w:r>
    </w:p>
    <w:p w:rsidR="0025470D" w:rsidRDefault="0025470D" w:rsidP="0025470D">
      <w:pPr>
        <w:pStyle w:val="Heading5"/>
        <w:ind w:left="-5"/>
      </w:pPr>
      <w:r>
        <w:t>Deaths in custody of the Immigration Department</w:t>
      </w:r>
      <w:r>
        <w:rPr>
          <w:u w:color="000000"/>
        </w:rPr>
        <w:t xml:space="preserve"> </w:t>
      </w:r>
    </w:p>
    <w:p w:rsidR="0025470D" w:rsidRDefault="0025470D" w:rsidP="0025470D">
      <w:pPr>
        <w:spacing w:after="4" w:line="259" w:lineRule="auto"/>
        <w:ind w:left="0" w:firstLine="0"/>
        <w:jc w:val="left"/>
      </w:pPr>
      <w:r>
        <w:rPr>
          <w:b/>
        </w:rPr>
        <w:t xml:space="preserve"> </w:t>
      </w:r>
    </w:p>
    <w:p w:rsidR="0025470D" w:rsidRDefault="0025470D" w:rsidP="0025470D">
      <w:pPr>
        <w:ind w:left="19" w:right="82"/>
      </w:pPr>
      <w:r>
        <w:t xml:space="preserve">7. Between 1 July 2010 and 31 December 2017, there was no death of person under the custody of the ImmD. </w:t>
      </w:r>
    </w:p>
    <w:p w:rsidR="0025470D" w:rsidRDefault="0025470D" w:rsidP="0025470D">
      <w:pPr>
        <w:spacing w:after="9" w:line="259" w:lineRule="auto"/>
        <w:ind w:left="0" w:firstLine="0"/>
        <w:jc w:val="left"/>
      </w:pPr>
      <w:r>
        <w:t xml:space="preserve"> </w:t>
      </w:r>
    </w:p>
    <w:p w:rsidR="0025470D" w:rsidRDefault="0025470D" w:rsidP="0025470D">
      <w:pPr>
        <w:pStyle w:val="Heading5"/>
        <w:ind w:left="-5"/>
      </w:pPr>
      <w:r>
        <w:t>Deaths in custody of the Independent Commission Against Corruption</w:t>
      </w:r>
      <w:r>
        <w:rPr>
          <w:u w:color="000000"/>
        </w:rPr>
        <w:t xml:space="preserve"> </w:t>
      </w:r>
    </w:p>
    <w:p w:rsidR="0025470D" w:rsidRDefault="0025470D" w:rsidP="0025470D">
      <w:pPr>
        <w:spacing w:after="9" w:line="259" w:lineRule="auto"/>
        <w:ind w:left="0" w:firstLine="0"/>
        <w:jc w:val="left"/>
      </w:pPr>
      <w:r>
        <w:t xml:space="preserve"> </w:t>
      </w:r>
    </w:p>
    <w:p w:rsidR="0025470D" w:rsidRDefault="0025470D" w:rsidP="0025470D">
      <w:pPr>
        <w:ind w:left="19" w:right="82"/>
      </w:pPr>
      <w:r>
        <w:t xml:space="preserve">8. There was no death of person in the custody of the ICAC in the period between 1 July 2010 and 30 June 2017. </w:t>
      </w:r>
    </w:p>
    <w:p w:rsidR="0025470D" w:rsidRDefault="0025470D" w:rsidP="0025470D">
      <w:pPr>
        <w:spacing w:after="9" w:line="259" w:lineRule="auto"/>
        <w:ind w:left="0" w:firstLine="0"/>
        <w:jc w:val="left"/>
      </w:pPr>
      <w:r>
        <w:t xml:space="preserve"> </w:t>
      </w:r>
    </w:p>
    <w:p w:rsidR="0025470D" w:rsidRDefault="0025470D" w:rsidP="0025470D">
      <w:pPr>
        <w:spacing w:after="657" w:line="259" w:lineRule="auto"/>
        <w:ind w:left="0" w:firstLine="0"/>
        <w:jc w:val="left"/>
      </w:pPr>
      <w:r>
        <w:t xml:space="preserve"> </w:t>
      </w:r>
    </w:p>
    <w:p w:rsidR="0025470D" w:rsidRDefault="0025470D" w:rsidP="0025470D">
      <w:pPr>
        <w:spacing w:after="219" w:line="259" w:lineRule="auto"/>
        <w:ind w:left="10" w:right="71" w:hanging="10"/>
        <w:jc w:val="center"/>
      </w:pPr>
      <w:r>
        <w:rPr>
          <w:sz w:val="24"/>
        </w:rPr>
        <w:lastRenderedPageBreak/>
        <w:t xml:space="preserve">2 </w:t>
      </w:r>
    </w:p>
    <w:p w:rsidR="0025470D" w:rsidRDefault="0025470D" w:rsidP="0025470D">
      <w:pPr>
        <w:spacing w:after="427" w:line="259" w:lineRule="auto"/>
        <w:ind w:left="10" w:right="54" w:hanging="10"/>
        <w:jc w:val="right"/>
      </w:pPr>
      <w:r>
        <w:rPr>
          <w:b/>
        </w:rPr>
        <w:t>Annex 6B</w:t>
      </w:r>
    </w:p>
    <w:p w:rsidR="0025470D" w:rsidRDefault="0025470D" w:rsidP="0025470D">
      <w:pPr>
        <w:pStyle w:val="Heading4"/>
        <w:spacing w:after="6" w:line="259" w:lineRule="auto"/>
        <w:ind w:left="180" w:right="239"/>
        <w:jc w:val="center"/>
      </w:pPr>
      <w:r>
        <w:t xml:space="preserve">Child Fatality </w:t>
      </w:r>
    </w:p>
    <w:p w:rsidR="0025470D" w:rsidRDefault="0025470D" w:rsidP="0025470D">
      <w:pPr>
        <w:spacing w:after="59" w:line="259" w:lineRule="auto"/>
        <w:ind w:left="0" w:firstLine="0"/>
        <w:jc w:val="center"/>
      </w:pPr>
      <w:r>
        <w:rPr>
          <w:b/>
        </w:rPr>
        <w:t xml:space="preserve"> </w:t>
      </w:r>
    </w:p>
    <w:p w:rsidR="0025470D" w:rsidRDefault="0025470D" w:rsidP="0025470D">
      <w:pPr>
        <w:numPr>
          <w:ilvl w:val="0"/>
          <w:numId w:val="12"/>
        </w:numPr>
        <w:ind w:right="82"/>
      </w:pPr>
      <w:r>
        <w:t xml:space="preserve">The SWD has launched the Pilot Project on Child Fatality Review in February 2008 and set up a Review Panel.  The Review Panel aims to identify patterns and trends for formulation of prevention strategies and promoting multi-disciplinary and inter-agency cooperation in the prevention of child death.  The Review Panel comprises medical doctors, clinical psychologists, academics, social workers and parents.  Chaired by a person who is not a public official, the Review Panel conducts its reviews independently of the Government.  Upon the evaluation of the Pilot Project in 2010, the value and worth of child fatality review in facilitating the improvement of social service systems to enhance child welfare was confirmed.  This led to the setting up of the standing child fatality review mechanism in June 2011.  Currently, the Review Panel comprises 17 members all of whom are not public officials, and four subgroups have been formed according to the members’ expertise to look into cases of different nature. </w:t>
      </w:r>
    </w:p>
    <w:p w:rsidR="0025470D" w:rsidRDefault="0025470D" w:rsidP="0025470D">
      <w:pPr>
        <w:spacing w:after="64" w:line="259" w:lineRule="auto"/>
        <w:ind w:left="0" w:firstLine="0"/>
        <w:jc w:val="left"/>
      </w:pPr>
      <w:r>
        <w:t xml:space="preserve"> </w:t>
      </w:r>
    </w:p>
    <w:p w:rsidR="0025470D" w:rsidRDefault="0025470D" w:rsidP="0025470D">
      <w:pPr>
        <w:numPr>
          <w:ilvl w:val="0"/>
          <w:numId w:val="12"/>
        </w:numPr>
        <w:ind w:right="82"/>
      </w:pPr>
      <w:r>
        <w:t>Since its formation in June 2011, the Review Panel has completed the review of child death cases from 2008 to 2013 and published its First Report in May 2013 with 21 recommendations, Second Report in July 2015 with 47 recommendations and Third Report in August 2017 with 45 recommendations.</w:t>
      </w:r>
      <w:r>
        <w:rPr>
          <w:b/>
        </w:rPr>
        <w:t xml:space="preserve"> </w:t>
      </w:r>
    </w:p>
    <w:p w:rsidR="0025470D" w:rsidRDefault="0025470D" w:rsidP="0025470D">
      <w:pPr>
        <w:sectPr w:rsidR="0025470D">
          <w:headerReference w:type="even" r:id="rId55"/>
          <w:headerReference w:type="default" r:id="rId56"/>
          <w:footerReference w:type="even" r:id="rId57"/>
          <w:footerReference w:type="default" r:id="rId58"/>
          <w:headerReference w:type="first" r:id="rId59"/>
          <w:footerReference w:type="first" r:id="rId60"/>
          <w:pgSz w:w="11906" w:h="16838"/>
          <w:pgMar w:top="1483" w:right="1730" w:bottom="723" w:left="1800" w:header="720" w:footer="5"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61"/>
          <w:headerReference w:type="default" r:id="rId62"/>
          <w:footerReference w:type="even" r:id="rId63"/>
          <w:footerReference w:type="default" r:id="rId64"/>
          <w:headerReference w:type="first" r:id="rId65"/>
          <w:footerReference w:type="first" r:id="rId66"/>
          <w:pgSz w:w="11906" w:h="16838"/>
          <w:pgMar w:top="1440" w:right="1440" w:bottom="1440" w:left="1440" w:header="720" w:footer="5" w:gutter="0"/>
          <w:cols w:space="720"/>
        </w:sectPr>
      </w:pPr>
    </w:p>
    <w:p w:rsidR="0025470D" w:rsidRDefault="0025470D" w:rsidP="0025470D">
      <w:pPr>
        <w:spacing w:after="4" w:line="259" w:lineRule="auto"/>
        <w:ind w:left="10" w:right="54" w:hanging="10"/>
        <w:jc w:val="right"/>
      </w:pPr>
      <w:r>
        <w:rPr>
          <w:b/>
        </w:rPr>
        <w:lastRenderedPageBreak/>
        <w:t xml:space="preserve">Annex 7A </w:t>
      </w:r>
    </w:p>
    <w:p w:rsidR="0025470D" w:rsidRDefault="0025470D" w:rsidP="0025470D">
      <w:pPr>
        <w:spacing w:after="72" w:line="259" w:lineRule="auto"/>
        <w:ind w:left="0" w:firstLine="0"/>
        <w:jc w:val="right"/>
      </w:pPr>
      <w:r>
        <w:t xml:space="preserve"> </w:t>
      </w:r>
    </w:p>
    <w:p w:rsidR="0025470D" w:rsidRDefault="0025470D" w:rsidP="0025470D">
      <w:pPr>
        <w:pStyle w:val="Heading4"/>
        <w:spacing w:after="6" w:line="259" w:lineRule="auto"/>
        <w:ind w:left="180" w:right="244"/>
        <w:jc w:val="center"/>
      </w:pPr>
      <w:r>
        <w:t xml:space="preserve">Training of the Police and the ICAC </w:t>
      </w:r>
    </w:p>
    <w:p w:rsidR="0025470D" w:rsidRDefault="0025470D" w:rsidP="0025470D">
      <w:pPr>
        <w:spacing w:after="54" w:line="259" w:lineRule="auto"/>
        <w:ind w:left="0" w:right="3" w:firstLine="0"/>
        <w:jc w:val="center"/>
      </w:pPr>
      <w:r>
        <w:rPr>
          <w:b/>
        </w:rPr>
        <w:t xml:space="preserve"> </w:t>
      </w:r>
    </w:p>
    <w:p w:rsidR="0025470D" w:rsidRDefault="0025470D" w:rsidP="0025470D">
      <w:pPr>
        <w:pStyle w:val="Heading5"/>
        <w:ind w:left="-5"/>
      </w:pPr>
      <w:r>
        <w:t>Police</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ind w:left="19" w:right="82"/>
      </w:pPr>
      <w:r>
        <w:t>1. All police officers are trained – in their basic training and in subsequent courses – to treat all persons as individuals with humanity and to respect and act within the law at all times.  A major purpose of these courses is to ensure the proper treatment of arrested and detained persons.  They cover the procedures governing the questioning of suspects, as well as the relevant requirements</w:t>
      </w:r>
      <w:r>
        <w:rPr>
          <w:color w:val="0000FF"/>
        </w:rPr>
        <w:t xml:space="preserve"> </w:t>
      </w:r>
      <w:r>
        <w:t xml:space="preserve">as stipulated in the Police Force Ordinance (Cap. 232), Police General Orders and Headquarter Orders.  All police officers are made aware that an infringement of a person’s legal rights may in some circumstances constitute a criminal offence.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Independent Commission Against Corruption</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13"/>
        </w:numPr>
        <w:ind w:right="82" w:hanging="1440"/>
      </w:pPr>
      <w:r>
        <w:t xml:space="preserve">The ICAC provides training and issues orders to all investigating officers to ensure that victims, witnesses and suspects are treated in accordance with the Basic Law, the HKBORO and the statutory requirements. </w:t>
      </w:r>
    </w:p>
    <w:p w:rsidR="0025470D" w:rsidRDefault="0025470D" w:rsidP="0025470D">
      <w:pPr>
        <w:spacing w:after="64" w:line="259" w:lineRule="auto"/>
        <w:ind w:left="0" w:firstLine="0"/>
        <w:jc w:val="left"/>
      </w:pPr>
      <w:r>
        <w:t xml:space="preserve"> </w:t>
      </w:r>
    </w:p>
    <w:p w:rsidR="0025470D" w:rsidRDefault="0025470D" w:rsidP="0025470D">
      <w:pPr>
        <w:numPr>
          <w:ilvl w:val="0"/>
          <w:numId w:val="13"/>
        </w:numPr>
        <w:ind w:right="82" w:hanging="1440"/>
      </w:pPr>
      <w:r>
        <w:t xml:space="preserve">To this end, the ICAC provides training to officers on voluntariness of admissions and confessions and the “Rules and Directions for the Questioning of Suspects and the Taking of Statements” issued by the Secretary for Security to ensure that there is no oppression, violence or threats in conducting interviews with suspects.  The HKBORO is taught as an individual subject and particular attention is paid to Article 3 (prohibition of torture and ill-treatment) and Article 6 (rights of persons deprived of their liberty) of the Hong Kong Bill of Rights.  </w:t>
      </w:r>
    </w:p>
    <w:p w:rsidR="0025470D" w:rsidRDefault="0025470D" w:rsidP="0025470D">
      <w:pPr>
        <w:spacing w:after="64" w:line="259" w:lineRule="auto"/>
        <w:ind w:left="0" w:firstLine="0"/>
        <w:jc w:val="left"/>
      </w:pPr>
      <w:r>
        <w:t xml:space="preserve"> </w:t>
      </w:r>
    </w:p>
    <w:p w:rsidR="0025470D" w:rsidRDefault="0025470D" w:rsidP="0025470D">
      <w:pPr>
        <w:numPr>
          <w:ilvl w:val="0"/>
          <w:numId w:val="13"/>
        </w:numPr>
        <w:ind w:right="82" w:hanging="1440"/>
      </w:pPr>
      <w:r>
        <w:t xml:space="preserve">The ICAC is bound by: (i) the ICAC (Treatment of Detained </w:t>
      </w:r>
    </w:p>
    <w:p w:rsidR="0025470D" w:rsidRDefault="0025470D" w:rsidP="0025470D">
      <w:pPr>
        <w:ind w:left="19" w:right="82"/>
      </w:pPr>
      <w:r>
        <w:t xml:space="preserve">Persons) Order (Cap. 204, sub. leg. A) that imposes statutory duties on the ICAC in respect of the rights, treatment and well-being of all persons </w:t>
      </w:r>
      <w:r>
        <w:lastRenderedPageBreak/>
        <w:t xml:space="preserve">arrested and detained by the ICAC; (ii) the Victims of Crime Charter which sets out the rights and duties of victims of crime; (iii) the Interception of </w:t>
      </w:r>
    </w:p>
    <w:p w:rsidR="0025470D" w:rsidRDefault="0025470D" w:rsidP="0025470D">
      <w:pPr>
        <w:spacing w:after="0" w:line="277" w:lineRule="auto"/>
        <w:ind w:left="-5" w:hanging="10"/>
        <w:jc w:val="left"/>
      </w:pPr>
      <w:r>
        <w:t xml:space="preserve">Communications and Surveillance Ordinance (Cap. 589) which regulates the conduct of interception of communications and covert surveillance by law enforcement officers; (iv) the Code on Access to Information; and (v) the PDPO.  Training is provided to officers in these regards.  </w:t>
      </w:r>
    </w:p>
    <w:p w:rsidR="0025470D" w:rsidRDefault="0025470D" w:rsidP="0025470D">
      <w:pPr>
        <w:spacing w:after="64" w:line="259" w:lineRule="auto"/>
        <w:ind w:left="0" w:firstLine="0"/>
        <w:jc w:val="left"/>
      </w:pPr>
      <w:r>
        <w:t xml:space="preserve"> </w:t>
      </w:r>
    </w:p>
    <w:p w:rsidR="0025470D" w:rsidRDefault="0025470D" w:rsidP="0025470D">
      <w:pPr>
        <w:numPr>
          <w:ilvl w:val="0"/>
          <w:numId w:val="13"/>
        </w:numPr>
        <w:spacing w:after="11800"/>
        <w:ind w:right="82" w:hanging="1440"/>
      </w:pPr>
      <w:r>
        <w:t xml:space="preserve">The ICAC has also promulgated Standing Orders that deal with the treatment of witnesses, victims and suspects as well as on the use of force and firearms. </w:t>
      </w:r>
    </w:p>
    <w:p w:rsidR="0025470D" w:rsidRDefault="0025470D" w:rsidP="0025470D">
      <w:pPr>
        <w:spacing w:after="219" w:line="259" w:lineRule="auto"/>
        <w:ind w:left="10" w:right="73" w:hanging="10"/>
        <w:jc w:val="center"/>
      </w:pPr>
      <w:r>
        <w:rPr>
          <w:sz w:val="24"/>
        </w:rPr>
        <w:lastRenderedPageBreak/>
        <w:t xml:space="preserve">2 </w:t>
      </w:r>
    </w:p>
    <w:p w:rsidR="0025470D" w:rsidRDefault="0025470D" w:rsidP="0025470D">
      <w:pPr>
        <w:spacing w:after="4" w:line="259" w:lineRule="auto"/>
        <w:ind w:left="10" w:right="54" w:hanging="10"/>
        <w:jc w:val="right"/>
      </w:pPr>
      <w:r>
        <w:rPr>
          <w:b/>
        </w:rPr>
        <w:t>Annex 7B</w:t>
      </w:r>
    </w:p>
    <w:p w:rsidR="0025470D" w:rsidRDefault="0025470D" w:rsidP="0025470D">
      <w:pPr>
        <w:spacing w:after="73" w:line="259" w:lineRule="auto"/>
        <w:ind w:left="0" w:firstLine="0"/>
        <w:jc w:val="right"/>
      </w:pPr>
      <w:r>
        <w:t xml:space="preserve"> </w:t>
      </w:r>
    </w:p>
    <w:p w:rsidR="0025470D" w:rsidRDefault="0025470D" w:rsidP="0025470D">
      <w:pPr>
        <w:pStyle w:val="Heading4"/>
        <w:spacing w:after="6" w:line="259" w:lineRule="auto"/>
        <w:ind w:left="180" w:right="242"/>
        <w:jc w:val="center"/>
      </w:pPr>
      <w:r>
        <w:t xml:space="preserve">Screening of Claims For Non-refoulement Protection </w:t>
      </w:r>
    </w:p>
    <w:p w:rsidR="0025470D" w:rsidRDefault="0025470D" w:rsidP="0025470D">
      <w:pPr>
        <w:spacing w:after="63" w:line="259" w:lineRule="auto"/>
        <w:ind w:left="0" w:firstLine="0"/>
        <w:jc w:val="right"/>
      </w:pPr>
      <w:r>
        <w:t xml:space="preserve"> </w:t>
      </w:r>
    </w:p>
    <w:p w:rsidR="0025470D" w:rsidRDefault="0025470D" w:rsidP="0025470D">
      <w:pPr>
        <w:pStyle w:val="Heading5"/>
        <w:ind w:left="-5"/>
      </w:pPr>
      <w:r>
        <w:t>Humanitarian Assistance</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tabs>
          <w:tab w:val="right" w:pos="8378"/>
        </w:tabs>
        <w:ind w:left="0" w:firstLine="0"/>
        <w:jc w:val="left"/>
      </w:pPr>
      <w:r>
        <w:t xml:space="preserve">1. </w:t>
      </w:r>
      <w:r>
        <w:tab/>
        <w:t>Since 2006, the SWD has been providing, through a non-</w:t>
      </w:r>
    </w:p>
    <w:p w:rsidR="0025470D" w:rsidRDefault="0025470D" w:rsidP="0025470D">
      <w:pPr>
        <w:ind w:left="19" w:right="82"/>
      </w:pPr>
      <w:r>
        <w:t xml:space="preserve">governmental organisation, humanitarian assistance meeting basic needs (including temporary accommodation, basic utilities allowance, food, clothing, basic necessities, appropriate transportation allowance and counselling service) to claimants during their presence in the HKSAR to prevent them from becoming destitute.  At the same time, we need to ensure that such humanitarian assistance will not create a magnet effect which may have serious implications for the sustainability of our current support systems and for our immigration control. </w:t>
      </w:r>
    </w:p>
    <w:p w:rsidR="0025470D" w:rsidRDefault="0025470D" w:rsidP="0025470D">
      <w:pPr>
        <w:spacing w:after="61" w:line="259" w:lineRule="auto"/>
        <w:ind w:left="0" w:firstLine="0"/>
        <w:jc w:val="left"/>
      </w:pPr>
      <w:r>
        <w:t xml:space="preserve"> </w:t>
      </w:r>
    </w:p>
    <w:p w:rsidR="0025470D" w:rsidRDefault="0025470D" w:rsidP="0025470D">
      <w:pPr>
        <w:pStyle w:val="Heading5"/>
        <w:ind w:left="-5"/>
      </w:pPr>
      <w:r>
        <w:t>Caseload</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14"/>
        </w:numPr>
        <w:ind w:right="82"/>
      </w:pPr>
      <w:r>
        <w:t xml:space="preserve">Since 2014, the number of non-ethnic Chinese illegal immigrants (NECIIs) and overstaying visitors resisting removal to another country by making non-refoulement claims has increased sharply (NECIIs up by 270%; overstayers up by 40%).  The number of non-refoulement claimants pending screening by ImmD has increased from around 6 700 in March 2014 to the peak of 11 200 in March 2016. </w:t>
      </w:r>
    </w:p>
    <w:p w:rsidR="0025470D" w:rsidRDefault="0025470D" w:rsidP="0025470D">
      <w:pPr>
        <w:spacing w:after="64" w:line="259" w:lineRule="auto"/>
        <w:ind w:left="0" w:firstLine="0"/>
        <w:jc w:val="left"/>
      </w:pPr>
      <w:r>
        <w:t xml:space="preserve"> </w:t>
      </w:r>
    </w:p>
    <w:p w:rsidR="0025470D" w:rsidRDefault="0025470D" w:rsidP="0025470D">
      <w:pPr>
        <w:numPr>
          <w:ilvl w:val="0"/>
          <w:numId w:val="14"/>
        </w:numPr>
        <w:spacing w:after="39"/>
        <w:ind w:right="82"/>
      </w:pPr>
      <w:r>
        <w:t xml:space="preserve">Key features of claimants (as at 31 December 2017) are as follows –  </w:t>
      </w:r>
    </w:p>
    <w:p w:rsidR="0025470D" w:rsidRDefault="0025470D" w:rsidP="0025470D">
      <w:pPr>
        <w:spacing w:after="65" w:line="259" w:lineRule="auto"/>
        <w:ind w:left="0" w:firstLine="0"/>
        <w:jc w:val="left"/>
      </w:pPr>
      <w:r>
        <w:t xml:space="preserve"> </w:t>
      </w:r>
    </w:p>
    <w:p w:rsidR="0025470D" w:rsidRDefault="0025470D" w:rsidP="0025470D">
      <w:pPr>
        <w:numPr>
          <w:ilvl w:val="1"/>
          <w:numId w:val="14"/>
        </w:numPr>
        <w:spacing w:after="48"/>
        <w:ind w:right="82" w:hanging="720"/>
      </w:pPr>
      <w:r>
        <w:t xml:space="preserve">Over 90% came from South or Southeast Asia, with India (22%), Pakistan (21%), Bangladesh (14%), Indonesia (11%), Vietnam (8%), the Philippines (7%), Nepal (4%) and Sri </w:t>
      </w:r>
    </w:p>
    <w:p w:rsidR="0025470D" w:rsidRDefault="0025470D" w:rsidP="0025470D">
      <w:pPr>
        <w:ind w:left="1448" w:right="82"/>
      </w:pPr>
      <w:r>
        <w:t xml:space="preserve">Lanka (3%) ranking the top; </w:t>
      </w:r>
    </w:p>
    <w:p w:rsidR="0025470D" w:rsidRDefault="0025470D" w:rsidP="0025470D">
      <w:pPr>
        <w:spacing w:after="65" w:line="259" w:lineRule="auto"/>
        <w:ind w:left="720" w:firstLine="0"/>
        <w:jc w:val="left"/>
      </w:pPr>
      <w:r>
        <w:t xml:space="preserve"> </w:t>
      </w:r>
    </w:p>
    <w:p w:rsidR="0025470D" w:rsidRDefault="0025470D" w:rsidP="0025470D">
      <w:pPr>
        <w:numPr>
          <w:ilvl w:val="1"/>
          <w:numId w:val="14"/>
        </w:numPr>
        <w:ind w:right="82" w:hanging="720"/>
      </w:pPr>
      <w:r>
        <w:t xml:space="preserve">44% entered the HKSAR illegally.  Another 54% are visitors who overstayed their limit of stay or refused permission to land upon arrival; </w:t>
      </w:r>
    </w:p>
    <w:p w:rsidR="0025470D" w:rsidRDefault="0025470D" w:rsidP="0025470D">
      <w:pPr>
        <w:spacing w:after="0" w:line="259" w:lineRule="auto"/>
        <w:ind w:left="720" w:firstLine="0"/>
        <w:jc w:val="left"/>
      </w:pPr>
      <w:r>
        <w:t xml:space="preserve"> </w:t>
      </w:r>
    </w:p>
    <w:p w:rsidR="0025470D" w:rsidRDefault="0025470D" w:rsidP="0025470D">
      <w:pPr>
        <w:numPr>
          <w:ilvl w:val="1"/>
          <w:numId w:val="14"/>
        </w:numPr>
        <w:ind w:right="82" w:hanging="720"/>
      </w:pPr>
      <w:r>
        <w:lastRenderedPageBreak/>
        <w:t xml:space="preserve">70% did not seek to lodge a claim to resist being removed until they were intercepted or arrested by the Police or ImmD.  Overall, claimants had remained in the HKSAR for 12 months on average before lodging a claim.  For overstayers, the average is 18 months; and </w:t>
      </w:r>
    </w:p>
    <w:p w:rsidR="0025470D" w:rsidRDefault="0025470D" w:rsidP="0025470D">
      <w:pPr>
        <w:spacing w:after="65" w:line="259" w:lineRule="auto"/>
        <w:ind w:left="720" w:firstLine="0"/>
        <w:jc w:val="left"/>
      </w:pPr>
      <w:r>
        <w:t xml:space="preserve"> </w:t>
      </w:r>
    </w:p>
    <w:p w:rsidR="0025470D" w:rsidRDefault="0025470D" w:rsidP="0025470D">
      <w:pPr>
        <w:numPr>
          <w:ilvl w:val="1"/>
          <w:numId w:val="14"/>
        </w:numPr>
        <w:spacing w:after="37"/>
        <w:ind w:right="82" w:hanging="720"/>
      </w:pPr>
      <w:r>
        <w:t xml:space="preserve">74% of claimants are male and 96% are adults above the age of 18. </w:t>
      </w:r>
    </w:p>
    <w:p w:rsidR="0025470D" w:rsidRDefault="0025470D" w:rsidP="0025470D">
      <w:pPr>
        <w:spacing w:after="64" w:line="259" w:lineRule="auto"/>
        <w:ind w:left="720" w:firstLine="0"/>
        <w:jc w:val="left"/>
      </w:pPr>
      <w:r>
        <w:t xml:space="preserve"> </w:t>
      </w:r>
    </w:p>
    <w:p w:rsidR="0025470D" w:rsidRDefault="0025470D" w:rsidP="0025470D">
      <w:pPr>
        <w:numPr>
          <w:ilvl w:val="0"/>
          <w:numId w:val="14"/>
        </w:numPr>
        <w:ind w:right="82"/>
      </w:pPr>
      <w:r>
        <w:t xml:space="preserve">The Government’s estimated expenditure arising from the screening of non-refoulement claims and provision of various support to claimants amounts to $1.43 billion in 2017-18 (an increase of 165% since 2014-15).  Since the implementation of USM to 31 December 2017, 10 565 claims have been finally determined, amongst which 86 were substantiated (including 24 on appeal).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Comprehensive review</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spacing w:after="4240"/>
        <w:ind w:left="19" w:right="82"/>
      </w:pPr>
      <w:r>
        <w:t xml:space="preserve">5. To address the influx of NECIIs and the significant increase of non-refoulement claimants since 2014, the Government launched a comprehensive review of the strategy of handling non-refoulement claims under the USM in early 2016.  The review addresses matters on arrival prevention, screening procedures, detention, enforcement and removal.  We will also put forward proposals for further amending the Immigration Ordinance (Cap. 115) to improve the screening procedures for nonrefoulement claims and related matters.  References will be drawn as appropriate from the operational experience under USM, and relevant overseas laws and practices. </w:t>
      </w:r>
    </w:p>
    <w:p w:rsidR="0025470D" w:rsidRDefault="0025470D" w:rsidP="0025470D">
      <w:pPr>
        <w:spacing w:after="219" w:line="259" w:lineRule="auto"/>
        <w:ind w:left="10" w:right="73" w:hanging="10"/>
        <w:jc w:val="center"/>
      </w:pPr>
      <w:r>
        <w:rPr>
          <w:sz w:val="24"/>
        </w:rPr>
        <w:lastRenderedPageBreak/>
        <w:t>2</w:t>
      </w:r>
    </w:p>
    <w:p w:rsidR="0025470D" w:rsidRDefault="0025470D" w:rsidP="0025470D">
      <w:pPr>
        <w:spacing w:after="427" w:line="259" w:lineRule="auto"/>
        <w:ind w:left="10" w:right="54" w:hanging="10"/>
        <w:jc w:val="right"/>
      </w:pPr>
      <w:r>
        <w:rPr>
          <w:b/>
        </w:rPr>
        <w:t>Annex 8A</w:t>
      </w:r>
    </w:p>
    <w:p w:rsidR="0025470D" w:rsidRDefault="0025470D" w:rsidP="0025470D">
      <w:pPr>
        <w:pStyle w:val="Heading4"/>
        <w:spacing w:after="6" w:line="259" w:lineRule="auto"/>
        <w:ind w:left="180" w:right="244"/>
        <w:jc w:val="center"/>
      </w:pPr>
      <w:r>
        <w:t xml:space="preserve">Regulation of Employment Agencies (EAs) </w:t>
      </w:r>
    </w:p>
    <w:p w:rsidR="0025470D" w:rsidRDefault="0025470D" w:rsidP="0025470D">
      <w:pPr>
        <w:spacing w:after="64" w:line="259" w:lineRule="auto"/>
        <w:ind w:left="0" w:firstLine="0"/>
        <w:jc w:val="left"/>
      </w:pPr>
      <w:r>
        <w:t xml:space="preserve"> </w:t>
      </w:r>
    </w:p>
    <w:p w:rsidR="0025470D" w:rsidRDefault="0025470D" w:rsidP="0025470D">
      <w:pPr>
        <w:tabs>
          <w:tab w:val="right" w:pos="8378"/>
        </w:tabs>
        <w:ind w:left="0" w:firstLine="0"/>
        <w:jc w:val="left"/>
      </w:pPr>
      <w:r>
        <w:t xml:space="preserve"> </w:t>
      </w:r>
      <w:r>
        <w:tab/>
        <w:t xml:space="preserve">The regulation of EAs has been substantially strengthened.  </w:t>
      </w:r>
    </w:p>
    <w:p w:rsidR="0025470D" w:rsidRDefault="0025470D" w:rsidP="0025470D">
      <w:pPr>
        <w:ind w:left="19" w:right="82"/>
      </w:pPr>
      <w:r>
        <w:t xml:space="preserve">A Code of Practice for Employment Agencies was promulgated in January 2017 to enhance the professional standard and service quality of the industry.  The Government introduced the Employment (Amendment) (No. 2) Bill 2017 into the LegCo, proposing to substantially increase the penalties on EAs overcharging job-seekers or operating without a licence and to provide the Code with a statutory basis, and the Bill was passed by the LegCo and came into effect in February 2018.  Since 2014, LD has increased manpower for monitoring EAs.  The annual inspection target has been increased from 1 300 to 1 800.  LD also launched the Employment Agencies Portal </w:t>
      </w:r>
      <w:r>
        <w:rPr>
          <w:vertAlign w:val="superscript"/>
        </w:rPr>
        <w:footnoteReference w:id="2"/>
      </w:r>
      <w:r>
        <w:t xml:space="preserve">  (with the FDH Corner of the Portal available in FDHs’ mother languages including Tagalog, Indonesian and Thai) in January 2017 to help FDHs, job-seekers, employers and the public gain convenient access to information relating to the regulation of EAs.</w:t>
      </w:r>
      <w:r>
        <w:rPr>
          <w:b/>
        </w:rPr>
        <w:t xml:space="preserve"> </w:t>
      </w:r>
    </w:p>
    <w:p w:rsidR="0025470D" w:rsidRDefault="0025470D" w:rsidP="0025470D">
      <w:pPr>
        <w:sectPr w:rsidR="0025470D">
          <w:headerReference w:type="even" r:id="rId67"/>
          <w:headerReference w:type="default" r:id="rId68"/>
          <w:footerReference w:type="even" r:id="rId69"/>
          <w:footerReference w:type="default" r:id="rId70"/>
          <w:headerReference w:type="first" r:id="rId71"/>
          <w:footerReference w:type="first" r:id="rId72"/>
          <w:pgSz w:w="11906" w:h="16838"/>
          <w:pgMar w:top="1536" w:right="1728" w:bottom="723"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73"/>
          <w:headerReference w:type="default" r:id="rId74"/>
          <w:footerReference w:type="even" r:id="rId75"/>
          <w:footerReference w:type="default" r:id="rId76"/>
          <w:headerReference w:type="first" r:id="rId77"/>
          <w:footerReference w:type="first" r:id="rId78"/>
          <w:pgSz w:w="11906" w:h="16838"/>
          <w:pgMar w:top="1440" w:right="1440" w:bottom="1440" w:left="1440" w:header="720" w:footer="5" w:gutter="0"/>
          <w:cols w:space="720"/>
        </w:sectPr>
      </w:pPr>
    </w:p>
    <w:p w:rsidR="0025470D" w:rsidRDefault="0025470D" w:rsidP="0025470D">
      <w:pPr>
        <w:spacing w:after="427" w:line="259" w:lineRule="auto"/>
        <w:ind w:left="10" w:right="54" w:hanging="10"/>
        <w:jc w:val="right"/>
      </w:pPr>
      <w:r>
        <w:rPr>
          <w:b/>
        </w:rPr>
        <w:lastRenderedPageBreak/>
        <w:t>Annex 8B</w:t>
      </w:r>
    </w:p>
    <w:p w:rsidR="0025470D" w:rsidRDefault="0025470D" w:rsidP="0025470D">
      <w:pPr>
        <w:pStyle w:val="Heading4"/>
        <w:spacing w:after="6" w:line="259" w:lineRule="auto"/>
        <w:ind w:left="180" w:right="300"/>
        <w:jc w:val="center"/>
      </w:pPr>
      <w:r>
        <w:t xml:space="preserve">Protection of FDHs - Publicity and promotional efforts </w:t>
      </w:r>
    </w:p>
    <w:p w:rsidR="0025470D" w:rsidRDefault="0025470D" w:rsidP="0025470D">
      <w:pPr>
        <w:spacing w:after="64" w:line="259" w:lineRule="auto"/>
        <w:ind w:left="0" w:firstLine="0"/>
        <w:jc w:val="left"/>
      </w:pPr>
      <w:r>
        <w:t xml:space="preserve"> </w:t>
      </w:r>
    </w:p>
    <w:p w:rsidR="0025470D" w:rsidRDefault="0025470D" w:rsidP="0025470D">
      <w:pPr>
        <w:ind w:left="19"/>
      </w:pPr>
      <w:r>
        <w:t xml:space="preserve"> LD has made extensive efforts in promoting the rights of FDHs.  A regular liaison mechanism with Consulates General (CGs) of major FDH home countries has been put in place to enhance collaboration and coordination of publicity efforts, and to share views on FDH-related matters and intelligence on unscrupulous EAs.  LD also joins the Welcome Programmes organised by the CGs regularly for newly-arrived FDHs to brief them on their employment rights and channels for seeking redress.  Extensive publicity efforts and educational programmes have been launched to promote FDHs’ and employers’ awareness of their employment rights and obligations, such as launching a dedicated and multi-lingual (including Tagalog, Indonesian, Thai and Khmer) website</w:t>
      </w:r>
      <w:r>
        <w:rPr>
          <w:vertAlign w:val="superscript"/>
        </w:rPr>
        <w:footnoteReference w:id="3"/>
      </w:r>
      <w:r>
        <w:t xml:space="preserve"> in April 2016 to provide information related to the employment of FDHs; publishing in April 2016 an easy-to-understand leaflet on “Do’s and Don’ts” for FDHs, employers and EAs; organising seminars to brief employers and EAs on their legal rights and obligations; broadcasting television and radio APIs, placing publicity columns in newspapers and screening publicity videos on public transport to remind employers of their obligations in employing FDHs.</w:t>
      </w:r>
      <w:r>
        <w:rPr>
          <w:b/>
        </w:rPr>
        <w:t xml:space="preserve"> </w:t>
      </w:r>
    </w:p>
    <w:p w:rsidR="0025470D" w:rsidRDefault="0025470D" w:rsidP="0025470D">
      <w:pPr>
        <w:sectPr w:rsidR="0025470D">
          <w:headerReference w:type="even" r:id="rId79"/>
          <w:headerReference w:type="default" r:id="rId80"/>
          <w:footerReference w:type="even" r:id="rId81"/>
          <w:footerReference w:type="default" r:id="rId82"/>
          <w:headerReference w:type="first" r:id="rId83"/>
          <w:footerReference w:type="first" r:id="rId84"/>
          <w:pgSz w:w="11906" w:h="16838"/>
          <w:pgMar w:top="1440" w:right="1671" w:bottom="1440" w:left="1800" w:header="720" w:footer="723"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85"/>
          <w:headerReference w:type="default" r:id="rId86"/>
          <w:footerReference w:type="even" r:id="rId87"/>
          <w:footerReference w:type="default" r:id="rId88"/>
          <w:headerReference w:type="first" r:id="rId89"/>
          <w:footerReference w:type="first" r:id="rId90"/>
          <w:pgSz w:w="11906" w:h="16838"/>
          <w:pgMar w:top="1440" w:right="1440" w:bottom="1440" w:left="1440" w:header="720" w:footer="5" w:gutter="0"/>
          <w:cols w:space="720"/>
        </w:sectPr>
      </w:pPr>
    </w:p>
    <w:p w:rsidR="0025470D" w:rsidRDefault="0025470D" w:rsidP="0025470D">
      <w:pPr>
        <w:spacing w:after="427" w:line="259" w:lineRule="auto"/>
        <w:ind w:left="10" w:right="54" w:hanging="10"/>
        <w:jc w:val="right"/>
      </w:pPr>
      <w:r>
        <w:rPr>
          <w:b/>
        </w:rPr>
        <w:lastRenderedPageBreak/>
        <w:t>Annex 8C</w:t>
      </w:r>
    </w:p>
    <w:p w:rsidR="0025470D" w:rsidRDefault="0025470D" w:rsidP="0025470D">
      <w:pPr>
        <w:pStyle w:val="Heading4"/>
        <w:spacing w:after="6" w:line="259" w:lineRule="auto"/>
        <w:ind w:left="180" w:right="247"/>
        <w:jc w:val="center"/>
      </w:pPr>
      <w:r>
        <w:t xml:space="preserve">Protection for Victims </w:t>
      </w:r>
    </w:p>
    <w:p w:rsidR="0025470D" w:rsidRDefault="0025470D" w:rsidP="0025470D">
      <w:pPr>
        <w:spacing w:after="4" w:line="259" w:lineRule="auto"/>
        <w:ind w:left="0" w:firstLine="0"/>
        <w:jc w:val="right"/>
      </w:pPr>
      <w:r>
        <w:rPr>
          <w:b/>
        </w:rPr>
        <w:t xml:space="preserve"> </w:t>
      </w:r>
    </w:p>
    <w:p w:rsidR="0025470D" w:rsidRDefault="0025470D" w:rsidP="0025470D">
      <w:pPr>
        <w:ind w:left="19" w:right="82"/>
      </w:pPr>
      <w:r>
        <w:t xml:space="preserve">The Government already provides holistic and humane protection, support, and assistance to TIP victims, including </w:t>
      </w:r>
      <w:r>
        <w:rPr>
          <w:rFonts w:ascii="Calibri" w:eastAsia="Calibri" w:hAnsi="Calibri" w:cs="Calibri"/>
        </w:rPr>
        <w:t>–</w:t>
      </w:r>
      <w:r>
        <w:t xml:space="preserve"> </w:t>
      </w:r>
    </w:p>
    <w:p w:rsidR="0025470D" w:rsidRDefault="0025470D" w:rsidP="0025470D">
      <w:pPr>
        <w:spacing w:after="9" w:line="259" w:lineRule="auto"/>
        <w:ind w:left="0" w:firstLine="0"/>
        <w:jc w:val="right"/>
      </w:pPr>
      <w:r>
        <w:rPr>
          <w:b/>
        </w:rPr>
        <w:t xml:space="preserve"> </w:t>
      </w:r>
    </w:p>
    <w:p w:rsidR="0025470D" w:rsidRDefault="0025470D" w:rsidP="0025470D">
      <w:pPr>
        <w:numPr>
          <w:ilvl w:val="0"/>
          <w:numId w:val="15"/>
        </w:numPr>
        <w:ind w:right="82" w:hanging="720"/>
      </w:pPr>
      <w:r>
        <w:t xml:space="preserve">Witness protection programme – where circumstances warrant, the Police will activate its witness protection programme to protect the victims from further exploitation; they would also seek assistance from overseas LEAs for providing assistance and assurance to victims and families in their home country;  </w:t>
      </w:r>
    </w:p>
    <w:p w:rsidR="0025470D" w:rsidRDefault="0025470D" w:rsidP="0025470D">
      <w:pPr>
        <w:spacing w:after="13" w:line="259" w:lineRule="auto"/>
        <w:ind w:left="720" w:firstLine="0"/>
        <w:jc w:val="left"/>
      </w:pPr>
      <w:r>
        <w:t xml:space="preserve"> </w:t>
      </w:r>
    </w:p>
    <w:p w:rsidR="0025470D" w:rsidRDefault="0025470D" w:rsidP="0025470D">
      <w:pPr>
        <w:numPr>
          <w:ilvl w:val="0"/>
          <w:numId w:val="15"/>
        </w:numPr>
        <w:ind w:right="82" w:hanging="720"/>
      </w:pPr>
      <w:r>
        <w:t xml:space="preserve">Provision of welfare support and assistance – the victims will be provided with the necessary support and assistance in a timely manner, including the provision of shelter, medical services, psychological support, counselling and financial assistance, etc.  Where necessary, the SWD will assist to assess the welfare needs for the victims and provide them with the appropriate services; </w:t>
      </w:r>
    </w:p>
    <w:p w:rsidR="0025470D" w:rsidRDefault="0025470D" w:rsidP="0025470D">
      <w:pPr>
        <w:spacing w:after="13" w:line="259" w:lineRule="auto"/>
        <w:ind w:left="720" w:firstLine="0"/>
        <w:jc w:val="left"/>
      </w:pPr>
      <w:r>
        <w:t xml:space="preserve"> </w:t>
      </w:r>
    </w:p>
    <w:p w:rsidR="0025470D" w:rsidRDefault="0025470D" w:rsidP="0025470D">
      <w:pPr>
        <w:numPr>
          <w:ilvl w:val="0"/>
          <w:numId w:val="15"/>
        </w:numPr>
        <w:ind w:right="82" w:hanging="720"/>
      </w:pPr>
      <w:r>
        <w:t xml:space="preserve">Provision of financial assistance – where required, departments in charge of the case may consider providing financial assistance to victims residing overseas to enable them to return to the HKSAR to testify as witnesses.  The assistance covers expenses incurred during their stay in the HKSAR, including accommodation, passage, daily subsistence and visa processing fees, etc.;  </w:t>
      </w:r>
    </w:p>
    <w:p w:rsidR="0025470D" w:rsidRDefault="0025470D" w:rsidP="0025470D">
      <w:pPr>
        <w:spacing w:after="14" w:line="259" w:lineRule="auto"/>
        <w:ind w:left="720" w:firstLine="0"/>
        <w:jc w:val="left"/>
      </w:pPr>
      <w:r>
        <w:t xml:space="preserve"> </w:t>
      </w:r>
    </w:p>
    <w:p w:rsidR="0025470D" w:rsidRDefault="0025470D" w:rsidP="0025470D">
      <w:pPr>
        <w:numPr>
          <w:ilvl w:val="0"/>
          <w:numId w:val="15"/>
        </w:numPr>
        <w:ind w:right="82" w:hanging="720"/>
      </w:pPr>
      <w:r>
        <w:t xml:space="preserve">Consideration of proper arrangements during prosecution process – departments concerned would promptly bring TIP cases to the attention of the Prosecutions Division of DoJ, so that it can make a timely and proper assessment of the relevant legal issues, including the question of immunity; </w:t>
      </w:r>
    </w:p>
    <w:p w:rsidR="0025470D" w:rsidRDefault="0025470D" w:rsidP="0025470D">
      <w:pPr>
        <w:spacing w:after="13" w:line="259" w:lineRule="auto"/>
        <w:ind w:left="720" w:firstLine="0"/>
        <w:jc w:val="left"/>
      </w:pPr>
      <w:r>
        <w:t xml:space="preserve"> </w:t>
      </w:r>
    </w:p>
    <w:p w:rsidR="0025470D" w:rsidRDefault="0025470D" w:rsidP="0025470D">
      <w:pPr>
        <w:numPr>
          <w:ilvl w:val="0"/>
          <w:numId w:val="15"/>
        </w:numPr>
        <w:ind w:right="82" w:hanging="720"/>
      </w:pPr>
      <w:r>
        <w:t xml:space="preserve">Visa extension and fee waiver – ImmD may grant visa extension and waive visa fees for TIP victims who need to stay in the HKSAR to act as prosecution witnesses in legal proceedings instituted by the </w:t>
      </w:r>
    </w:p>
    <w:p w:rsidR="0025470D" w:rsidRDefault="0025470D" w:rsidP="0025470D">
      <w:pPr>
        <w:ind w:left="728" w:right="82"/>
      </w:pPr>
      <w:r>
        <w:lastRenderedPageBreak/>
        <w:t xml:space="preserve">Police, ImmD or the LD; and  </w:t>
      </w:r>
    </w:p>
    <w:p w:rsidR="0025470D" w:rsidRDefault="0025470D" w:rsidP="0025470D">
      <w:pPr>
        <w:spacing w:after="0" w:line="259" w:lineRule="auto"/>
        <w:ind w:left="720" w:firstLine="0"/>
        <w:jc w:val="left"/>
      </w:pPr>
      <w:r>
        <w:t xml:space="preserve"> </w:t>
      </w:r>
    </w:p>
    <w:p w:rsidR="0025470D" w:rsidRDefault="0025470D" w:rsidP="0025470D">
      <w:pPr>
        <w:numPr>
          <w:ilvl w:val="0"/>
          <w:numId w:val="15"/>
        </w:numPr>
        <w:ind w:right="82" w:hanging="720"/>
      </w:pPr>
      <w:r>
        <w:t xml:space="preserve">Exceptional approval for FDHs to change employers in the HKSAR – ImmD may also consider granting exceptional approval for FDHs to change employers when there is evidence suggesting that they are being exploited or abused by their employers. </w:t>
      </w:r>
      <w:r>
        <w:br w:type="page"/>
      </w:r>
    </w:p>
    <w:p w:rsidR="0025470D" w:rsidRDefault="0025470D" w:rsidP="0025470D">
      <w:pPr>
        <w:spacing w:after="427" w:line="259" w:lineRule="auto"/>
        <w:ind w:left="10" w:right="54" w:hanging="10"/>
        <w:jc w:val="right"/>
      </w:pPr>
      <w:r>
        <w:rPr>
          <w:b/>
        </w:rPr>
        <w:t>Annex 9A</w:t>
      </w:r>
    </w:p>
    <w:p w:rsidR="0025470D" w:rsidRDefault="0025470D" w:rsidP="0025470D">
      <w:pPr>
        <w:pStyle w:val="Heading4"/>
        <w:spacing w:after="6" w:line="259" w:lineRule="auto"/>
        <w:ind w:left="180" w:right="244"/>
        <w:jc w:val="center"/>
      </w:pPr>
      <w:r>
        <w:t xml:space="preserve">Immigration detention in respect of foreign illegal migrants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16"/>
        </w:numPr>
        <w:ind w:right="82"/>
      </w:pPr>
      <w:r>
        <w:t xml:space="preserve">The legal position on the liberty and security of persons who are detained pending removal from the HKSAR was clarified by the CFA in a judicial review case in 2014. </w:t>
      </w:r>
    </w:p>
    <w:p w:rsidR="0025470D" w:rsidRDefault="0025470D" w:rsidP="0025470D">
      <w:pPr>
        <w:spacing w:after="63" w:line="259" w:lineRule="auto"/>
        <w:ind w:left="0" w:firstLine="0"/>
        <w:jc w:val="left"/>
      </w:pPr>
      <w:r>
        <w:t xml:space="preserve"> </w:t>
      </w:r>
    </w:p>
    <w:p w:rsidR="0025470D" w:rsidRDefault="0025470D" w:rsidP="0025470D">
      <w:pPr>
        <w:numPr>
          <w:ilvl w:val="0"/>
          <w:numId w:val="16"/>
        </w:numPr>
        <w:ind w:right="82"/>
      </w:pPr>
      <w:r>
        <w:t xml:space="preserve">In </w:t>
      </w:r>
      <w:r>
        <w:rPr>
          <w:i/>
        </w:rPr>
        <w:t>Ghulam Rbani v Secretary for Justice</w:t>
      </w:r>
      <w:r>
        <w:t xml:space="preserve"> (2014) 17 HKCFAR 138, the CFA ruled that section 11 of the HKBORO (which implements the immigration reservation to the Covenant) precluded the applicant from relying on Article 28 of the Basic Law and Article 5(1) of the BOR to challenge the exercise of detention powers under section</w:t>
      </w:r>
      <w:r>
        <w:rPr>
          <w:rFonts w:ascii="Calibri" w:eastAsia="Calibri" w:hAnsi="Calibri" w:cs="Calibri"/>
        </w:rPr>
        <w:t xml:space="preserve"> </w:t>
      </w:r>
      <w:r>
        <w:t>32 of the Immigration Ordinance, (Cap. 115) (the case was specifically concerned with section 32(2A) which empowers ImmD to detain a person pending a decision as to whether or not a removal order should be made against such person).  Notwithstanding the above, the CFA re-affirmed that ImmD</w:t>
      </w:r>
      <w:r>
        <w:rPr>
          <w:rFonts w:ascii="Calibri" w:eastAsia="Calibri" w:hAnsi="Calibri" w:cs="Calibri"/>
        </w:rPr>
        <w:t>’</w:t>
      </w:r>
      <w:r>
        <w:t>s exercise of its power to detain a person pending removal is subject to the common law</w:t>
      </w:r>
      <w:r>
        <w:rPr>
          <w:i/>
        </w:rPr>
        <w:t xml:space="preserve"> Hardial Singh</w:t>
      </w:r>
      <w:r>
        <w:t xml:space="preserve"> principles, i.e., </w:t>
      </w:r>
    </w:p>
    <w:p w:rsidR="0025470D" w:rsidRDefault="0025470D" w:rsidP="0025470D">
      <w:pPr>
        <w:spacing w:after="65" w:line="259" w:lineRule="auto"/>
        <w:ind w:left="0" w:firstLine="0"/>
        <w:jc w:val="left"/>
      </w:pPr>
      <w:r>
        <w:t xml:space="preserve"> </w:t>
      </w:r>
    </w:p>
    <w:p w:rsidR="0025470D" w:rsidRDefault="0025470D" w:rsidP="0025470D">
      <w:pPr>
        <w:numPr>
          <w:ilvl w:val="1"/>
          <w:numId w:val="16"/>
        </w:numPr>
        <w:spacing w:after="41"/>
        <w:ind w:right="82" w:hanging="720"/>
      </w:pPr>
      <w:r>
        <w:t xml:space="preserve">ImmD must intend to remove the person and can only use the power to detain for that purpose; </w:t>
      </w:r>
    </w:p>
    <w:p w:rsidR="0025470D" w:rsidRDefault="0025470D" w:rsidP="0025470D">
      <w:pPr>
        <w:spacing w:after="65" w:line="259" w:lineRule="auto"/>
        <w:ind w:left="720" w:firstLine="0"/>
        <w:jc w:val="left"/>
      </w:pPr>
      <w:r>
        <w:t xml:space="preserve"> </w:t>
      </w:r>
    </w:p>
    <w:p w:rsidR="0025470D" w:rsidRDefault="0025470D" w:rsidP="0025470D">
      <w:pPr>
        <w:numPr>
          <w:ilvl w:val="1"/>
          <w:numId w:val="16"/>
        </w:numPr>
        <w:spacing w:after="41"/>
        <w:ind w:right="82" w:hanging="720"/>
      </w:pPr>
      <w:r>
        <w:t xml:space="preserve">the removee may only be detained for a period that is reasonable in all the circumstances; </w:t>
      </w:r>
    </w:p>
    <w:p w:rsidR="0025470D" w:rsidRDefault="0025470D" w:rsidP="0025470D">
      <w:pPr>
        <w:spacing w:after="65" w:line="259" w:lineRule="auto"/>
        <w:ind w:left="720" w:firstLine="0"/>
        <w:jc w:val="left"/>
      </w:pPr>
      <w:r>
        <w:t xml:space="preserve"> </w:t>
      </w:r>
    </w:p>
    <w:p w:rsidR="0025470D" w:rsidRDefault="0025470D" w:rsidP="0025470D">
      <w:pPr>
        <w:numPr>
          <w:ilvl w:val="1"/>
          <w:numId w:val="16"/>
        </w:numPr>
        <w:ind w:right="82" w:hanging="720"/>
      </w:pPr>
      <w:r>
        <w:t xml:space="preserve">if, before the expiry of the reasonable period, it becomes apparent that ImmD will not be able to effect removal within that reasonable period, he should not seek to exercise the power of detention; and </w:t>
      </w:r>
    </w:p>
    <w:p w:rsidR="0025470D" w:rsidRDefault="0025470D" w:rsidP="0025470D">
      <w:pPr>
        <w:spacing w:after="65" w:line="259" w:lineRule="auto"/>
        <w:ind w:left="720" w:firstLine="0"/>
        <w:jc w:val="left"/>
      </w:pPr>
      <w:r>
        <w:t xml:space="preserve"> </w:t>
      </w:r>
    </w:p>
    <w:p w:rsidR="0025470D" w:rsidRDefault="0025470D" w:rsidP="0025470D">
      <w:pPr>
        <w:numPr>
          <w:ilvl w:val="1"/>
          <w:numId w:val="16"/>
        </w:numPr>
        <w:spacing w:after="40"/>
        <w:ind w:right="82" w:hanging="720"/>
      </w:pPr>
      <w:r>
        <w:t xml:space="preserve">ImmD should act with reasonable diligence and expedition to effect removal. </w:t>
      </w:r>
    </w:p>
    <w:p w:rsidR="0025470D" w:rsidRDefault="0025470D" w:rsidP="0025470D">
      <w:pPr>
        <w:spacing w:after="64" w:line="259" w:lineRule="auto"/>
        <w:ind w:left="0" w:firstLine="0"/>
        <w:jc w:val="left"/>
      </w:pPr>
      <w:r>
        <w:t xml:space="preserve"> </w:t>
      </w:r>
    </w:p>
    <w:p w:rsidR="0025470D" w:rsidRDefault="0025470D" w:rsidP="0025470D">
      <w:pPr>
        <w:numPr>
          <w:ilvl w:val="0"/>
          <w:numId w:val="16"/>
        </w:numPr>
        <w:ind w:right="82"/>
      </w:pPr>
      <w:r>
        <w:lastRenderedPageBreak/>
        <w:t>To ensure that every decision to detain a person pending removal complies with the above ruling, ImmD has implemented a number of measures, including making and publishing at its departmental website detention policies which set out factors that ImmD may consider in determining whether a person should be detained, and reviewing each detention case regularly and when there are particular changes in the circumstances of the case to decide whether to continue with detention.  If ImmD decides to detain or continue to detain a person, reasons will be provided to him in writing.</w:t>
      </w:r>
      <w:r>
        <w:rPr>
          <w:b/>
        </w:rPr>
        <w:t xml:space="preserve"> </w:t>
      </w:r>
      <w:r>
        <w:br w:type="page"/>
      </w:r>
    </w:p>
    <w:p w:rsidR="0025470D" w:rsidRDefault="0025470D" w:rsidP="0025470D">
      <w:pPr>
        <w:spacing w:after="427" w:line="259" w:lineRule="auto"/>
        <w:ind w:left="10" w:right="54" w:hanging="10"/>
        <w:jc w:val="right"/>
      </w:pPr>
      <w:r>
        <w:rPr>
          <w:b/>
        </w:rPr>
        <w:t>Annex 10A</w:t>
      </w:r>
    </w:p>
    <w:p w:rsidR="0025470D" w:rsidRDefault="0025470D" w:rsidP="0025470D">
      <w:pPr>
        <w:pStyle w:val="Heading4"/>
        <w:spacing w:after="6" w:line="259" w:lineRule="auto"/>
        <w:ind w:left="180" w:right="244"/>
        <w:jc w:val="center"/>
      </w:pPr>
      <w:r>
        <w:t xml:space="preserve">The rights of persons in custody </w:t>
      </w:r>
    </w:p>
    <w:p w:rsidR="0025470D" w:rsidRDefault="0025470D" w:rsidP="0025470D">
      <w:pPr>
        <w:spacing w:after="58" w:line="259" w:lineRule="auto"/>
        <w:ind w:left="0" w:right="3" w:firstLine="0"/>
        <w:jc w:val="center"/>
      </w:pPr>
      <w:r>
        <w:rPr>
          <w:b/>
        </w:rPr>
        <w:t xml:space="preserve"> </w:t>
      </w:r>
    </w:p>
    <w:p w:rsidR="0025470D" w:rsidRDefault="0025470D" w:rsidP="0025470D">
      <w:pPr>
        <w:pStyle w:val="Heading5"/>
        <w:ind w:left="-5"/>
      </w:pPr>
      <w:r>
        <w:t>Avenues for complaints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17"/>
        </w:numPr>
        <w:ind w:right="82" w:hanging="1440"/>
      </w:pPr>
      <w:r>
        <w:t xml:space="preserve">The CSD reviews and fine-tunes its complaint handling </w:t>
      </w:r>
    </w:p>
    <w:p w:rsidR="0025470D" w:rsidRDefault="0025470D" w:rsidP="0025470D">
      <w:pPr>
        <w:ind w:left="19" w:right="82"/>
      </w:pPr>
      <w:r>
        <w:t xml:space="preserve">mechanism from time to time to enhance its transparency and credibility.  To further improve the mechanism, the CSD established the CSD Complaints Appeal Board in 2016 as an appeal channel for complainants dissatisfied with the outcome of investigation by CSD’s Complaints Investigation Unit.  </w:t>
      </w:r>
    </w:p>
    <w:p w:rsidR="0025470D" w:rsidRDefault="0025470D" w:rsidP="0025470D">
      <w:pPr>
        <w:spacing w:after="105" w:line="259" w:lineRule="auto"/>
        <w:ind w:left="0" w:firstLine="0"/>
        <w:jc w:val="left"/>
      </w:pPr>
      <w:r>
        <w:rPr>
          <w:sz w:val="24"/>
        </w:rPr>
        <w:t xml:space="preserve"> </w:t>
      </w:r>
    </w:p>
    <w:p w:rsidR="0025470D" w:rsidRDefault="0025470D" w:rsidP="0025470D">
      <w:pPr>
        <w:numPr>
          <w:ilvl w:val="0"/>
          <w:numId w:val="17"/>
        </w:numPr>
        <w:spacing w:after="41"/>
        <w:ind w:right="82" w:hanging="1440"/>
      </w:pPr>
      <w:r>
        <w:t xml:space="preserve">The complaint mechanism is explained in paragraph 59 of the HKSAR Common Core Document.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Justices of the Peace Visit Programme</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18"/>
        </w:numPr>
        <w:spacing w:after="41"/>
        <w:ind w:right="82"/>
      </w:pPr>
      <w:r>
        <w:t xml:space="preserve">The JPs Visit Programme is an independent monitoring system that safeguards the rights and interests of persons in custody.  </w:t>
      </w:r>
    </w:p>
    <w:p w:rsidR="0025470D" w:rsidRDefault="0025470D" w:rsidP="0025470D">
      <w:pPr>
        <w:spacing w:after="64" w:line="259" w:lineRule="auto"/>
        <w:ind w:left="0" w:firstLine="0"/>
        <w:jc w:val="left"/>
      </w:pPr>
      <w:r>
        <w:t xml:space="preserve"> </w:t>
      </w:r>
    </w:p>
    <w:p w:rsidR="0025470D" w:rsidRDefault="0025470D" w:rsidP="0025470D">
      <w:pPr>
        <w:numPr>
          <w:ilvl w:val="0"/>
          <w:numId w:val="18"/>
        </w:numPr>
        <w:ind w:right="82"/>
      </w:pPr>
      <w:r>
        <w:t xml:space="preserve">Regular JP visits to custodial institutions are conducted in accordance with provisions of the Prison Rules (Cap. 234, sub. leg. A).  All JP visits are unannounced and the institutions concerned will not be notified in advance of the exact date and time of the visit.  JPs may request to pay additional visits to the institutions concerned outside their tour of duty to follow up on or look into specific complaints.  During their visits, JPs may speak to individual persons in custody and request private meetings with such persons out of hearing of CSD staff.  They may initiate investigative actions by making personal inquiries into the complaints they receive from persons in custody (e.g. by seeking background information from staff of the institutions and examining relevant records) or refer the complaints to the institutions concerned, the management of CSD, the Complaints Investigation Unit of CSD, The Ombudsman or the Police for investigation, having regard to the nature </w:t>
      </w:r>
      <w:r>
        <w:lastRenderedPageBreak/>
        <w:t xml:space="preserve">and seriousness of the complaints.  The relevant bodies will look into the complaints, and the JPs will be informed of the investigation outcomes in writing.  If the JPs are not satisfied with the investigation results and / or follow-up actions taken by the relevant bodies, they may request a review of the case or refer the case to other suitable authorities for investigation.   </w:t>
      </w:r>
    </w:p>
    <w:p w:rsidR="0025470D" w:rsidRDefault="0025470D" w:rsidP="0025470D">
      <w:pPr>
        <w:spacing w:after="64" w:line="259" w:lineRule="auto"/>
        <w:ind w:left="0" w:firstLine="0"/>
        <w:jc w:val="left"/>
      </w:pPr>
      <w:r>
        <w:t xml:space="preserve"> </w:t>
      </w:r>
    </w:p>
    <w:p w:rsidR="0025470D" w:rsidRDefault="0025470D" w:rsidP="0025470D">
      <w:pPr>
        <w:numPr>
          <w:ilvl w:val="0"/>
          <w:numId w:val="18"/>
        </w:numPr>
        <w:ind w:right="82"/>
      </w:pPr>
      <w:r>
        <w:t xml:space="preserve">Visiting JPs are required to ensure that all abuses in connection with the correctional institution which come to their knowledge are brought to the notice of the Commissioner of Correctional Services immediately; visiting JPs are also required to attend to all reports of injuries to persons in custody caused by discipline or treatment, and communicate their opinion to the Chief Executive of the HKSAR.  All correctional institutions have on-premises hospitals where basic medical care is provided to persons in custody by Medical Officers seconded from the Department of Health.  Where necessary, Medical Officers may conduct physical examination on persons in custody and provide medical evidence in relation to any allegation of injuries.  Besides, an “Annual Report on Justices of Peace Visits” is also published to summarise the follow-up actions taken in respect of complaints, requests and enquiries made by persons in custody to the JPs.  Paragraph 16 of the Immigration (Treatment of Detainees) Order (Cap. 115, sub. leg. E) provides for similar visit arrangement by JPs in relation to immigration detention facilities operated by the ImmD. </w:t>
      </w:r>
    </w:p>
    <w:p w:rsidR="0025470D" w:rsidRDefault="0025470D" w:rsidP="0025470D">
      <w:pPr>
        <w:spacing w:after="64" w:line="259" w:lineRule="auto"/>
        <w:ind w:left="0" w:firstLine="0"/>
        <w:jc w:val="left"/>
      </w:pPr>
      <w:r>
        <w:t xml:space="preserve"> </w:t>
      </w:r>
    </w:p>
    <w:p w:rsidR="0025470D" w:rsidRDefault="0025470D" w:rsidP="0025470D">
      <w:pPr>
        <w:numPr>
          <w:ilvl w:val="0"/>
          <w:numId w:val="18"/>
        </w:numPr>
        <w:ind w:right="82"/>
      </w:pPr>
      <w:r>
        <w:t xml:space="preserve">The JP Visit Programme provides an effective independent channel for monitoring and improving the penal system.  The comments and suggestions put forward by the visiting JPs are carefully considered and, where appropriate, put into action.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Complaints to The Ombudsman</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tabs>
          <w:tab w:val="right" w:pos="8378"/>
        </w:tabs>
        <w:spacing w:after="57"/>
        <w:ind w:left="0" w:firstLine="0"/>
        <w:jc w:val="left"/>
      </w:pPr>
      <w:r>
        <w:t xml:space="preserve">7. </w:t>
      </w:r>
      <w:r>
        <w:tab/>
        <w:t xml:space="preserve">The position is essentially as explained in paragraphs 204 and </w:t>
      </w:r>
    </w:p>
    <w:p w:rsidR="0025470D" w:rsidRDefault="0025470D" w:rsidP="0025470D">
      <w:pPr>
        <w:ind w:left="19" w:right="82"/>
      </w:pPr>
      <w:r>
        <w:t xml:space="preserve">205 of Part II of the initial report.  </w:t>
      </w:r>
    </w:p>
    <w:p w:rsidR="0025470D" w:rsidRDefault="0025470D" w:rsidP="0025470D">
      <w:pPr>
        <w:spacing w:after="64" w:line="259" w:lineRule="auto"/>
        <w:ind w:left="0" w:firstLine="0"/>
        <w:jc w:val="left"/>
      </w:pPr>
      <w:r>
        <w:t xml:space="preserve"> </w:t>
      </w:r>
    </w:p>
    <w:p w:rsidR="0025470D" w:rsidRDefault="0025470D" w:rsidP="0025470D">
      <w:pPr>
        <w:numPr>
          <w:ilvl w:val="0"/>
          <w:numId w:val="19"/>
        </w:numPr>
        <w:spacing w:after="57"/>
        <w:ind w:right="82" w:hanging="1440"/>
      </w:pPr>
      <w:r>
        <w:t xml:space="preserve">Between 1 July 2010 and 30 June 2017, The Ombudsman </w:t>
      </w:r>
    </w:p>
    <w:p w:rsidR="0025470D" w:rsidRDefault="0025470D" w:rsidP="0025470D">
      <w:pPr>
        <w:ind w:left="19" w:right="82"/>
      </w:pPr>
      <w:r>
        <w:t xml:space="preserve">received a total of 613 complaints against the CSD – </w:t>
      </w:r>
    </w:p>
    <w:p w:rsidR="0025470D" w:rsidRDefault="0025470D" w:rsidP="0025470D">
      <w:pPr>
        <w:spacing w:after="0" w:line="259" w:lineRule="auto"/>
        <w:ind w:left="0" w:firstLine="0"/>
        <w:jc w:val="left"/>
      </w:pPr>
      <w:r>
        <w:lastRenderedPageBreak/>
        <w:t xml:space="preserve"> </w:t>
      </w:r>
      <w:r>
        <w:tab/>
        <w:t xml:space="preserve"> </w:t>
      </w:r>
    </w:p>
    <w:p w:rsidR="0025470D" w:rsidRDefault="0025470D" w:rsidP="0025470D">
      <w:pPr>
        <w:sectPr w:rsidR="0025470D">
          <w:headerReference w:type="even" r:id="rId91"/>
          <w:headerReference w:type="default" r:id="rId92"/>
          <w:footerReference w:type="even" r:id="rId93"/>
          <w:footerReference w:type="default" r:id="rId94"/>
          <w:headerReference w:type="first" r:id="rId95"/>
          <w:footerReference w:type="first" r:id="rId96"/>
          <w:pgSz w:w="11906" w:h="16838"/>
          <w:pgMar w:top="1483" w:right="1728" w:bottom="1722" w:left="1800" w:header="720" w:footer="723" w:gutter="0"/>
          <w:cols w:space="720"/>
        </w:sectPr>
      </w:pPr>
    </w:p>
    <w:tbl>
      <w:tblPr>
        <w:tblStyle w:val="TableGrid0"/>
        <w:tblW w:w="6729" w:type="dxa"/>
        <w:tblInd w:w="1553" w:type="dxa"/>
        <w:tblCellMar>
          <w:top w:w="92" w:type="dxa"/>
          <w:left w:w="115" w:type="dxa"/>
          <w:bottom w:w="6" w:type="dxa"/>
          <w:right w:w="115" w:type="dxa"/>
        </w:tblCellMar>
        <w:tblLook w:val="04A0" w:firstRow="1" w:lastRow="0" w:firstColumn="1" w:lastColumn="0" w:noHBand="0" w:noVBand="1"/>
      </w:tblPr>
      <w:tblGrid>
        <w:gridCol w:w="3308"/>
        <w:gridCol w:w="3421"/>
      </w:tblGrid>
      <w:tr w:rsidR="0025470D" w:rsidTr="00463700">
        <w:trPr>
          <w:trHeight w:val="372"/>
        </w:trPr>
        <w:tc>
          <w:tcPr>
            <w:tcW w:w="3308" w:type="dxa"/>
            <w:tcBorders>
              <w:top w:val="single" w:sz="6" w:space="0" w:color="000000"/>
              <w:left w:val="single" w:sz="4" w:space="0" w:color="000000"/>
              <w:bottom w:val="single" w:sz="4" w:space="0" w:color="000000"/>
              <w:right w:val="single" w:sz="4" w:space="0" w:color="000000"/>
            </w:tcBorders>
            <w:vAlign w:val="bottom"/>
          </w:tcPr>
          <w:p w:rsidR="0025470D" w:rsidRDefault="0025470D" w:rsidP="00463700">
            <w:pPr>
              <w:spacing w:after="0" w:line="259" w:lineRule="auto"/>
              <w:ind w:left="0" w:firstLine="0"/>
              <w:jc w:val="center"/>
            </w:pPr>
            <w:r>
              <w:rPr>
                <w:rFonts w:ascii="Times New Roman" w:hAnsi="Times New Roman" w:cs="Times New Roman"/>
                <w:b/>
              </w:rPr>
              <w:lastRenderedPageBreak/>
              <w:t>Year</w:t>
            </w:r>
            <w:r>
              <w:t xml:space="preserve"> </w:t>
            </w:r>
          </w:p>
        </w:tc>
        <w:tc>
          <w:tcPr>
            <w:tcW w:w="3421" w:type="dxa"/>
            <w:tcBorders>
              <w:top w:val="single" w:sz="6" w:space="0" w:color="000000"/>
              <w:left w:val="single" w:sz="4" w:space="0" w:color="000000"/>
              <w:bottom w:val="single" w:sz="4" w:space="0" w:color="000000"/>
              <w:right w:val="single" w:sz="4" w:space="0" w:color="000000"/>
            </w:tcBorders>
            <w:vAlign w:val="bottom"/>
          </w:tcPr>
          <w:p w:rsidR="0025470D" w:rsidRDefault="0025470D" w:rsidP="00463700">
            <w:pPr>
              <w:spacing w:after="0" w:line="259" w:lineRule="auto"/>
              <w:ind w:left="0" w:firstLine="0"/>
              <w:jc w:val="center"/>
            </w:pPr>
            <w:r>
              <w:rPr>
                <w:rFonts w:ascii="Times New Roman" w:hAnsi="Times New Roman" w:cs="Times New Roman"/>
                <w:b/>
              </w:rPr>
              <w:t>Number of complaints</w:t>
            </w:r>
            <w:r>
              <w:t xml:space="preserve"> </w:t>
            </w:r>
          </w:p>
        </w:tc>
      </w:tr>
      <w:tr w:rsidR="0025470D" w:rsidTr="00463700">
        <w:trPr>
          <w:trHeight w:val="370"/>
        </w:trPr>
        <w:tc>
          <w:tcPr>
            <w:tcW w:w="3308"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right="2" w:firstLine="0"/>
              <w:jc w:val="center"/>
            </w:pPr>
            <w:r>
              <w:t xml:space="preserve">2010 (from 1 July) </w:t>
            </w:r>
          </w:p>
        </w:tc>
        <w:tc>
          <w:tcPr>
            <w:tcW w:w="3421"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1" w:firstLine="0"/>
              <w:jc w:val="center"/>
            </w:pPr>
            <w:r>
              <w:t xml:space="preserve">76 </w:t>
            </w:r>
          </w:p>
        </w:tc>
      </w:tr>
      <w:tr w:rsidR="0025470D" w:rsidTr="00463700">
        <w:trPr>
          <w:trHeight w:val="372"/>
        </w:trPr>
        <w:tc>
          <w:tcPr>
            <w:tcW w:w="3308"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right="1" w:firstLine="0"/>
              <w:jc w:val="center"/>
            </w:pPr>
            <w:r>
              <w:t xml:space="preserve">2011 </w:t>
            </w:r>
          </w:p>
        </w:tc>
        <w:tc>
          <w:tcPr>
            <w:tcW w:w="3421"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1" w:firstLine="0"/>
              <w:jc w:val="center"/>
            </w:pPr>
            <w:r>
              <w:t xml:space="preserve">93 </w:t>
            </w:r>
          </w:p>
        </w:tc>
      </w:tr>
      <w:tr w:rsidR="0025470D" w:rsidTr="00463700">
        <w:trPr>
          <w:trHeight w:val="370"/>
        </w:trPr>
        <w:tc>
          <w:tcPr>
            <w:tcW w:w="3308"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right="1" w:firstLine="0"/>
              <w:jc w:val="center"/>
            </w:pPr>
            <w:r>
              <w:t xml:space="preserve">2012 </w:t>
            </w:r>
          </w:p>
        </w:tc>
        <w:tc>
          <w:tcPr>
            <w:tcW w:w="3421"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1" w:firstLine="0"/>
              <w:jc w:val="center"/>
            </w:pPr>
            <w:r>
              <w:t xml:space="preserve">83 </w:t>
            </w:r>
          </w:p>
        </w:tc>
      </w:tr>
      <w:tr w:rsidR="0025470D" w:rsidTr="00463700">
        <w:trPr>
          <w:trHeight w:val="370"/>
        </w:trPr>
        <w:tc>
          <w:tcPr>
            <w:tcW w:w="3308"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right="1" w:firstLine="0"/>
              <w:jc w:val="center"/>
            </w:pPr>
            <w:r>
              <w:t xml:space="preserve">2013 </w:t>
            </w:r>
          </w:p>
        </w:tc>
        <w:tc>
          <w:tcPr>
            <w:tcW w:w="3421"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1" w:firstLine="0"/>
              <w:jc w:val="center"/>
            </w:pPr>
            <w:r>
              <w:t xml:space="preserve">97 </w:t>
            </w:r>
          </w:p>
        </w:tc>
      </w:tr>
      <w:tr w:rsidR="0025470D" w:rsidTr="00463700">
        <w:trPr>
          <w:trHeight w:val="370"/>
        </w:trPr>
        <w:tc>
          <w:tcPr>
            <w:tcW w:w="3308"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right="1" w:firstLine="0"/>
              <w:jc w:val="center"/>
            </w:pPr>
            <w:r>
              <w:t xml:space="preserve">2014 </w:t>
            </w:r>
          </w:p>
        </w:tc>
        <w:tc>
          <w:tcPr>
            <w:tcW w:w="3421"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1" w:firstLine="0"/>
              <w:jc w:val="center"/>
            </w:pPr>
            <w:r>
              <w:t xml:space="preserve">92 </w:t>
            </w:r>
          </w:p>
        </w:tc>
      </w:tr>
      <w:tr w:rsidR="0025470D" w:rsidTr="00463700">
        <w:trPr>
          <w:trHeight w:val="370"/>
        </w:trPr>
        <w:tc>
          <w:tcPr>
            <w:tcW w:w="3308"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right="1" w:firstLine="0"/>
              <w:jc w:val="center"/>
            </w:pPr>
            <w:r>
              <w:t xml:space="preserve">2015 </w:t>
            </w:r>
          </w:p>
        </w:tc>
        <w:tc>
          <w:tcPr>
            <w:tcW w:w="3421"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1" w:firstLine="0"/>
              <w:jc w:val="center"/>
            </w:pPr>
            <w:r>
              <w:t xml:space="preserve">81 </w:t>
            </w:r>
          </w:p>
        </w:tc>
      </w:tr>
      <w:tr w:rsidR="0025470D" w:rsidTr="00463700">
        <w:trPr>
          <w:trHeight w:val="370"/>
        </w:trPr>
        <w:tc>
          <w:tcPr>
            <w:tcW w:w="3308"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right="1" w:firstLine="0"/>
              <w:jc w:val="center"/>
            </w:pPr>
            <w:r>
              <w:t xml:space="preserve">2016 </w:t>
            </w:r>
          </w:p>
        </w:tc>
        <w:tc>
          <w:tcPr>
            <w:tcW w:w="3421"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1" w:firstLine="0"/>
              <w:jc w:val="center"/>
            </w:pPr>
            <w:r>
              <w:t xml:space="preserve">54 </w:t>
            </w:r>
          </w:p>
        </w:tc>
      </w:tr>
      <w:tr w:rsidR="0025470D" w:rsidTr="00463700">
        <w:trPr>
          <w:trHeight w:val="372"/>
        </w:trPr>
        <w:tc>
          <w:tcPr>
            <w:tcW w:w="3308"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firstLine="0"/>
              <w:jc w:val="center"/>
            </w:pPr>
            <w:r>
              <w:t xml:space="preserve">2017 (as at 30 June) </w:t>
            </w:r>
          </w:p>
        </w:tc>
        <w:tc>
          <w:tcPr>
            <w:tcW w:w="3421"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1" w:firstLine="0"/>
              <w:jc w:val="center"/>
            </w:pPr>
            <w:r>
              <w:t xml:space="preserve">37 </w:t>
            </w:r>
          </w:p>
        </w:tc>
      </w:tr>
      <w:tr w:rsidR="0025470D" w:rsidTr="00463700">
        <w:trPr>
          <w:trHeight w:val="372"/>
        </w:trPr>
        <w:tc>
          <w:tcPr>
            <w:tcW w:w="3308" w:type="dxa"/>
            <w:tcBorders>
              <w:top w:val="single" w:sz="4" w:space="0" w:color="000000"/>
              <w:left w:val="single" w:sz="4" w:space="0" w:color="000000"/>
              <w:bottom w:val="single" w:sz="6" w:space="0" w:color="000000"/>
              <w:right w:val="single" w:sz="4" w:space="0" w:color="000000"/>
            </w:tcBorders>
          </w:tcPr>
          <w:p w:rsidR="0025470D" w:rsidRDefault="0025470D" w:rsidP="00463700">
            <w:pPr>
              <w:spacing w:after="0" w:line="259" w:lineRule="auto"/>
              <w:ind w:left="0" w:right="1" w:firstLine="0"/>
              <w:jc w:val="center"/>
            </w:pPr>
            <w:r>
              <w:rPr>
                <w:rFonts w:ascii="Times New Roman" w:hAnsi="Times New Roman" w:cs="Times New Roman"/>
                <w:b/>
              </w:rPr>
              <w:t>Total</w:t>
            </w:r>
            <w:r>
              <w:t xml:space="preserve"> </w:t>
            </w:r>
          </w:p>
        </w:tc>
        <w:tc>
          <w:tcPr>
            <w:tcW w:w="3421" w:type="dxa"/>
            <w:tcBorders>
              <w:top w:val="single" w:sz="4" w:space="0" w:color="000000"/>
              <w:left w:val="single" w:sz="4" w:space="0" w:color="000000"/>
              <w:bottom w:val="single" w:sz="6" w:space="0" w:color="000000"/>
              <w:right w:val="single" w:sz="4" w:space="0" w:color="000000"/>
            </w:tcBorders>
          </w:tcPr>
          <w:p w:rsidR="0025470D" w:rsidRDefault="0025470D" w:rsidP="00463700">
            <w:pPr>
              <w:spacing w:after="0" w:line="259" w:lineRule="auto"/>
              <w:ind w:left="0" w:firstLine="0"/>
              <w:jc w:val="center"/>
            </w:pPr>
            <w:r>
              <w:rPr>
                <w:rFonts w:ascii="Times New Roman" w:hAnsi="Times New Roman" w:cs="Times New Roman"/>
                <w:b/>
              </w:rPr>
              <w:t>613</w:t>
            </w:r>
            <w:r>
              <w:t xml:space="preserve"> </w:t>
            </w:r>
          </w:p>
        </w:tc>
      </w:tr>
    </w:tbl>
    <w:p w:rsidR="0025470D" w:rsidRDefault="0025470D" w:rsidP="0025470D">
      <w:pPr>
        <w:spacing w:after="64" w:line="259" w:lineRule="auto"/>
        <w:ind w:left="0" w:firstLine="0"/>
        <w:jc w:val="left"/>
      </w:pPr>
      <w:r>
        <w:t xml:space="preserve"> </w:t>
      </w:r>
    </w:p>
    <w:p w:rsidR="0025470D" w:rsidRDefault="0025470D" w:rsidP="0025470D">
      <w:pPr>
        <w:numPr>
          <w:ilvl w:val="0"/>
          <w:numId w:val="19"/>
        </w:numPr>
        <w:spacing w:after="47"/>
        <w:ind w:right="82" w:hanging="1440"/>
      </w:pPr>
      <w:r>
        <w:t xml:space="preserve">Among those complaints, inadequacies or deficiencies on the part of CSD were found in eight complaints. </w:t>
      </w:r>
    </w:p>
    <w:p w:rsidR="0025470D" w:rsidRDefault="0025470D" w:rsidP="0025470D">
      <w:pPr>
        <w:spacing w:after="64" w:line="259" w:lineRule="auto"/>
        <w:ind w:left="0" w:firstLine="0"/>
        <w:jc w:val="left"/>
      </w:pPr>
      <w:r>
        <w:t xml:space="preserve"> </w:t>
      </w:r>
    </w:p>
    <w:p w:rsidR="0025470D" w:rsidRDefault="0025470D" w:rsidP="0025470D">
      <w:pPr>
        <w:numPr>
          <w:ilvl w:val="0"/>
          <w:numId w:val="19"/>
        </w:numPr>
        <w:ind w:right="82" w:hanging="1440"/>
      </w:pPr>
      <w:r>
        <w:t xml:space="preserve">Some commentators have expressed concern that prisoners may be subject to unfair treatment when they complain against abuse by CSD officers.  The Ombudsman pays special attention to the following matters in handling complaints from prisoners: </w:t>
      </w:r>
    </w:p>
    <w:p w:rsidR="0025470D" w:rsidRDefault="0025470D" w:rsidP="0025470D">
      <w:pPr>
        <w:spacing w:after="64" w:line="259" w:lineRule="auto"/>
        <w:ind w:left="0" w:firstLine="0"/>
        <w:jc w:val="left"/>
      </w:pPr>
      <w:r>
        <w:t xml:space="preserve"> </w:t>
      </w:r>
    </w:p>
    <w:p w:rsidR="0025470D" w:rsidRDefault="0025470D" w:rsidP="0025470D">
      <w:pPr>
        <w:numPr>
          <w:ilvl w:val="1"/>
          <w:numId w:val="19"/>
        </w:numPr>
        <w:ind w:right="82" w:hanging="720"/>
      </w:pPr>
      <w:r>
        <w:t xml:space="preserve">prisoners’ lack of access to treatment and medication; </w:t>
      </w:r>
    </w:p>
    <w:p w:rsidR="0025470D" w:rsidRDefault="0025470D" w:rsidP="0025470D">
      <w:pPr>
        <w:spacing w:after="61" w:line="259" w:lineRule="auto"/>
        <w:ind w:left="720" w:firstLine="0"/>
        <w:jc w:val="left"/>
      </w:pPr>
      <w:r>
        <w:t xml:space="preserve"> </w:t>
      </w:r>
    </w:p>
    <w:p w:rsidR="0025470D" w:rsidRDefault="0025470D" w:rsidP="0025470D">
      <w:pPr>
        <w:numPr>
          <w:ilvl w:val="1"/>
          <w:numId w:val="19"/>
        </w:numPr>
        <w:ind w:right="82" w:hanging="720"/>
      </w:pPr>
      <w:r>
        <w:t xml:space="preserve">victimization by prison staff; </w:t>
      </w:r>
    </w:p>
    <w:p w:rsidR="0025470D" w:rsidRDefault="0025470D" w:rsidP="0025470D">
      <w:pPr>
        <w:spacing w:after="62" w:line="259" w:lineRule="auto"/>
        <w:ind w:left="720" w:firstLine="0"/>
        <w:jc w:val="left"/>
      </w:pPr>
      <w:r>
        <w:t xml:space="preserve"> </w:t>
      </w:r>
    </w:p>
    <w:p w:rsidR="0025470D" w:rsidRDefault="0025470D" w:rsidP="0025470D">
      <w:pPr>
        <w:numPr>
          <w:ilvl w:val="1"/>
          <w:numId w:val="19"/>
        </w:numPr>
        <w:ind w:right="82" w:hanging="720"/>
      </w:pPr>
      <w:r>
        <w:t xml:space="preserve">denial of right to outside contact; </w:t>
      </w:r>
    </w:p>
    <w:p w:rsidR="0025470D" w:rsidRDefault="0025470D" w:rsidP="0025470D">
      <w:pPr>
        <w:spacing w:after="61" w:line="259" w:lineRule="auto"/>
        <w:ind w:left="720" w:firstLine="0"/>
        <w:jc w:val="left"/>
      </w:pPr>
      <w:r>
        <w:t xml:space="preserve"> </w:t>
      </w:r>
    </w:p>
    <w:p w:rsidR="0025470D" w:rsidRDefault="0025470D" w:rsidP="0025470D">
      <w:pPr>
        <w:numPr>
          <w:ilvl w:val="1"/>
          <w:numId w:val="19"/>
        </w:numPr>
        <w:ind w:right="82" w:hanging="720"/>
      </w:pPr>
      <w:r>
        <w:t xml:space="preserve">threats to personal safety; and  </w:t>
      </w:r>
    </w:p>
    <w:p w:rsidR="0025470D" w:rsidRDefault="0025470D" w:rsidP="0025470D">
      <w:pPr>
        <w:spacing w:after="66" w:line="259" w:lineRule="auto"/>
        <w:ind w:left="720" w:firstLine="0"/>
        <w:jc w:val="left"/>
      </w:pPr>
      <w:r>
        <w:t xml:space="preserve"> </w:t>
      </w:r>
    </w:p>
    <w:p w:rsidR="0025470D" w:rsidRDefault="0025470D" w:rsidP="0025470D">
      <w:pPr>
        <w:numPr>
          <w:ilvl w:val="1"/>
          <w:numId w:val="19"/>
        </w:numPr>
        <w:spacing w:after="41"/>
        <w:ind w:right="82" w:hanging="720"/>
      </w:pPr>
      <w:r>
        <w:t xml:space="preserve">encroachment on the right to observe religious rites and participate in religious activities. </w:t>
      </w:r>
    </w:p>
    <w:p w:rsidR="0025470D" w:rsidRDefault="0025470D" w:rsidP="0025470D">
      <w:pPr>
        <w:spacing w:after="64" w:line="259" w:lineRule="auto"/>
        <w:ind w:left="720" w:firstLine="0"/>
        <w:jc w:val="left"/>
      </w:pPr>
      <w:r>
        <w:t xml:space="preserve"> </w:t>
      </w:r>
    </w:p>
    <w:p w:rsidR="0025470D" w:rsidRDefault="0025470D" w:rsidP="0025470D">
      <w:pPr>
        <w:numPr>
          <w:ilvl w:val="0"/>
          <w:numId w:val="19"/>
        </w:numPr>
        <w:spacing w:after="521"/>
        <w:ind w:right="82" w:hanging="1440"/>
      </w:pPr>
      <w:r>
        <w:t xml:space="preserve">Some commentators are also worried that there may not be CCTV recordings to assist The Ombudsman’s investigation </w:t>
      </w:r>
      <w:r>
        <w:lastRenderedPageBreak/>
        <w:t>of prisoners’ complaints.  Currently, the majority of CSD’s prisons keep their CCTV recordings for 31 days.  However, in the event of an untoward incident or special occurrence or upon request from The Ombudsman, the relevant CCTV recordings will be retained as evidence until the case is concluded.  The CSD is planning to enhance its CCTV systems by phases to cover more locations in its prisons.</w:t>
      </w:r>
      <w:r>
        <w:rPr>
          <w:b/>
        </w:rPr>
        <w:t xml:space="preserve"> </w:t>
      </w:r>
    </w:p>
    <w:p w:rsidR="0025470D" w:rsidRDefault="0025470D" w:rsidP="0025470D">
      <w:pPr>
        <w:spacing w:after="219" w:line="259" w:lineRule="auto"/>
        <w:ind w:left="10" w:right="24" w:hanging="10"/>
        <w:jc w:val="center"/>
      </w:pPr>
      <w:r>
        <w:rPr>
          <w:sz w:val="24"/>
        </w:rPr>
        <w:t>3</w:t>
      </w:r>
    </w:p>
    <w:p w:rsidR="0025470D" w:rsidRDefault="0025470D" w:rsidP="0025470D">
      <w:pPr>
        <w:sectPr w:rsidR="0025470D">
          <w:headerReference w:type="even" r:id="rId97"/>
          <w:headerReference w:type="default" r:id="rId98"/>
          <w:footerReference w:type="even" r:id="rId99"/>
          <w:footerReference w:type="default" r:id="rId100"/>
          <w:headerReference w:type="first" r:id="rId101"/>
          <w:footerReference w:type="first" r:id="rId102"/>
          <w:pgSz w:w="11906" w:h="16838"/>
          <w:pgMar w:top="1440" w:right="1776" w:bottom="1440"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103"/>
          <w:headerReference w:type="default" r:id="rId104"/>
          <w:footerReference w:type="even" r:id="rId105"/>
          <w:footerReference w:type="default" r:id="rId106"/>
          <w:headerReference w:type="first" r:id="rId107"/>
          <w:footerReference w:type="first" r:id="rId108"/>
          <w:pgSz w:w="11906" w:h="16838"/>
          <w:pgMar w:top="1440" w:right="1440" w:bottom="1440" w:left="1440" w:header="720" w:footer="5" w:gutter="0"/>
          <w:cols w:space="720"/>
        </w:sectPr>
      </w:pPr>
    </w:p>
    <w:p w:rsidR="0025470D" w:rsidRDefault="0025470D" w:rsidP="0025470D">
      <w:pPr>
        <w:spacing w:after="427" w:line="259" w:lineRule="auto"/>
        <w:ind w:left="10" w:right="54" w:hanging="10"/>
        <w:jc w:val="right"/>
      </w:pPr>
      <w:r>
        <w:rPr>
          <w:b/>
        </w:rPr>
        <w:lastRenderedPageBreak/>
        <w:t>Annex 10B</w:t>
      </w:r>
    </w:p>
    <w:p w:rsidR="0025470D" w:rsidRDefault="0025470D" w:rsidP="0025470D">
      <w:pPr>
        <w:pStyle w:val="Heading4"/>
        <w:spacing w:after="6" w:line="259" w:lineRule="auto"/>
        <w:ind w:left="180" w:right="244"/>
        <w:jc w:val="center"/>
      </w:pPr>
      <w:r>
        <w:t xml:space="preserve">Regulation and management of penal establishments </w:t>
      </w:r>
    </w:p>
    <w:p w:rsidR="0025470D" w:rsidRDefault="0025470D" w:rsidP="0025470D">
      <w:pPr>
        <w:spacing w:after="57" w:line="259" w:lineRule="auto"/>
        <w:ind w:left="0" w:right="3" w:firstLine="0"/>
        <w:jc w:val="center"/>
      </w:pPr>
      <w:r>
        <w:rPr>
          <w:b/>
        </w:rPr>
        <w:t xml:space="preserve"> </w:t>
      </w:r>
    </w:p>
    <w:p w:rsidR="0025470D" w:rsidRDefault="0025470D" w:rsidP="0025470D">
      <w:pPr>
        <w:pStyle w:val="Heading5"/>
        <w:ind w:left="-5"/>
      </w:pPr>
      <w:r>
        <w:t>Prison population</w:t>
      </w:r>
      <w:r>
        <w:rPr>
          <w:u w:color="000000"/>
        </w:rPr>
        <w:t xml:space="preserve"> </w:t>
      </w:r>
    </w:p>
    <w:p w:rsidR="0025470D" w:rsidRDefault="0025470D" w:rsidP="0025470D">
      <w:pPr>
        <w:spacing w:after="63" w:line="259" w:lineRule="auto"/>
        <w:ind w:left="0" w:firstLine="0"/>
        <w:jc w:val="left"/>
      </w:pPr>
      <w:r>
        <w:t xml:space="preserve"> </w:t>
      </w:r>
    </w:p>
    <w:p w:rsidR="0025470D" w:rsidRDefault="0025470D" w:rsidP="0025470D">
      <w:pPr>
        <w:ind w:left="19" w:right="82"/>
      </w:pPr>
      <w:r>
        <w:t xml:space="preserve">1. As at 31 July 2017, there were 8 482 persons under the custody of CSD and the overall occupancy of all penal institutions was about 75% of the certified capacity.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Ethnic minority prisoners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20"/>
        </w:numPr>
        <w:ind w:right="82"/>
      </w:pPr>
      <w:r>
        <w:t>The CSD is committed to providing fair and equal treatment to all prisoners, irrespective of their race, religion and nationality.  As at 31 July 2017, there were 1 679 persons in custody of “other nationality” (a statistical classification) in Hong Kong prisons.  The treatment of ethnic minority prisoners is essentially as explained in paragraph 120 of Part II of the second report, except that Hong Kong now has arrangements with 13 countries</w:t>
      </w:r>
      <w:r>
        <w:rPr>
          <w:vertAlign w:val="superscript"/>
        </w:rPr>
        <w:footnoteReference w:id="4"/>
      </w:r>
      <w:r>
        <w:t xml:space="preserve">, whereby we would inform their consulates in accordance with the relevant provisions of the consular agreements if their nationals are taken into custody.  For other nationals, we will do so upon request by the national in question in accordance with the Vienna Convention on Consular Relations. </w:t>
      </w:r>
    </w:p>
    <w:p w:rsidR="0025470D" w:rsidRDefault="0025470D" w:rsidP="0025470D">
      <w:pPr>
        <w:spacing w:after="64" w:line="259" w:lineRule="auto"/>
        <w:ind w:left="0" w:firstLine="0"/>
        <w:jc w:val="left"/>
      </w:pPr>
      <w:r>
        <w:t xml:space="preserve"> </w:t>
      </w:r>
    </w:p>
    <w:p w:rsidR="0025470D" w:rsidRDefault="0025470D" w:rsidP="0025470D">
      <w:pPr>
        <w:numPr>
          <w:ilvl w:val="0"/>
          <w:numId w:val="20"/>
        </w:numPr>
        <w:ind w:right="82"/>
      </w:pPr>
      <w:r>
        <w:t xml:space="preserve">The CSD has put in place measures to facilitate communication with ethnic minority groups in prisons.  CSD provides interpretation services (sometimes in collaboration with NGOs) to prisoners when required, especially during admission and disciplinary proceedings.  A Prisoner’s Information Booklet, which contains information on various important matters such as procedures for instituting legal proceedings before the courts, legal aid, conduct and discipline in prisons, channels for making complaints, is issued to every prisoner upon admission.  This Booklet is available in 27 languages catering for the needs of most ethnic minority groups in prisons. </w:t>
      </w:r>
    </w:p>
    <w:p w:rsidR="0025470D" w:rsidRDefault="0025470D" w:rsidP="0025470D">
      <w:pPr>
        <w:spacing w:after="0" w:line="259" w:lineRule="auto"/>
        <w:ind w:left="0" w:firstLine="0"/>
        <w:jc w:val="right"/>
      </w:pPr>
      <w:r>
        <w:rPr>
          <w:b/>
        </w:rPr>
        <w:t xml:space="preserve"> </w:t>
      </w:r>
    </w:p>
    <w:p w:rsidR="0025470D" w:rsidRDefault="0025470D" w:rsidP="0025470D">
      <w:pPr>
        <w:sectPr w:rsidR="0025470D">
          <w:headerReference w:type="even" r:id="rId109"/>
          <w:headerReference w:type="default" r:id="rId110"/>
          <w:footerReference w:type="even" r:id="rId111"/>
          <w:footerReference w:type="default" r:id="rId112"/>
          <w:headerReference w:type="first" r:id="rId113"/>
          <w:footerReference w:type="first" r:id="rId114"/>
          <w:pgSz w:w="11906" w:h="16838"/>
          <w:pgMar w:top="1440" w:right="1728" w:bottom="1440" w:left="1800" w:header="720" w:footer="723"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115"/>
          <w:headerReference w:type="default" r:id="rId116"/>
          <w:footerReference w:type="even" r:id="rId117"/>
          <w:footerReference w:type="default" r:id="rId118"/>
          <w:headerReference w:type="first" r:id="rId119"/>
          <w:footerReference w:type="first" r:id="rId120"/>
          <w:pgSz w:w="11906" w:h="16838"/>
          <w:pgMar w:top="1440" w:right="1440" w:bottom="1440" w:left="1440" w:header="720" w:footer="5" w:gutter="0"/>
          <w:cols w:space="720"/>
        </w:sectPr>
      </w:pPr>
    </w:p>
    <w:p w:rsidR="0025470D" w:rsidRDefault="0025470D" w:rsidP="0025470D">
      <w:pPr>
        <w:spacing w:after="427" w:line="259" w:lineRule="auto"/>
        <w:ind w:left="10" w:right="54" w:hanging="10"/>
        <w:jc w:val="right"/>
      </w:pPr>
      <w:r>
        <w:rPr>
          <w:b/>
        </w:rPr>
        <w:lastRenderedPageBreak/>
        <w:t>Annex 10C</w:t>
      </w:r>
    </w:p>
    <w:p w:rsidR="0025470D" w:rsidRDefault="0025470D" w:rsidP="0025470D">
      <w:pPr>
        <w:pStyle w:val="Heading4"/>
        <w:spacing w:after="6" w:line="259" w:lineRule="auto"/>
        <w:ind w:left="180" w:right="238"/>
        <w:jc w:val="center"/>
      </w:pPr>
      <w:r>
        <w:t xml:space="preserve">Rehabilitation of juvenile offenders and other offenders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Rehabilitation of offenders</w:t>
      </w:r>
      <w:r>
        <w:rPr>
          <w:b/>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21"/>
        </w:numPr>
        <w:ind w:right="82"/>
      </w:pPr>
      <w:r>
        <w:t xml:space="preserve">The position regarding the rehabilitation of offenders remains largely the same as explained in paragraphs 134 to 139 of the previous report. </w:t>
      </w:r>
    </w:p>
    <w:p w:rsidR="0025470D" w:rsidRDefault="0025470D" w:rsidP="0025470D">
      <w:pPr>
        <w:spacing w:after="64" w:line="259" w:lineRule="auto"/>
        <w:ind w:left="0" w:firstLine="0"/>
        <w:jc w:val="left"/>
      </w:pPr>
      <w:r>
        <w:t xml:space="preserve"> </w:t>
      </w:r>
    </w:p>
    <w:p w:rsidR="0025470D" w:rsidRDefault="0025470D" w:rsidP="0025470D">
      <w:pPr>
        <w:numPr>
          <w:ilvl w:val="0"/>
          <w:numId w:val="21"/>
        </w:numPr>
        <w:ind w:right="82"/>
      </w:pPr>
      <w:r>
        <w:t xml:space="preserve">The “Risks and Needs Assessment and Management Protocol for Offenders” applies to all young offenders, inmates of Drug Addiction Treatment Centres and adult prisoners sentenced to 12 months or above.  As at 31 July 2017, over 37 600 offenders have benefited from the relevant assessment, and more than 67 500 group sessions of rehabilitative programmes have been organised as a result.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Rehabilitation of juvenile offenders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22"/>
        </w:numPr>
        <w:spacing w:after="41"/>
        <w:ind w:right="82"/>
      </w:pPr>
      <w:r>
        <w:t xml:space="preserve">The position is as explained in paragraphs 103, and 105 to 108 of Part II of the second report.  </w:t>
      </w:r>
    </w:p>
    <w:p w:rsidR="0025470D" w:rsidRDefault="0025470D" w:rsidP="0025470D">
      <w:pPr>
        <w:spacing w:after="64" w:line="259" w:lineRule="auto"/>
        <w:ind w:left="0" w:firstLine="0"/>
        <w:jc w:val="left"/>
      </w:pPr>
      <w:r>
        <w:t xml:space="preserve"> </w:t>
      </w:r>
    </w:p>
    <w:p w:rsidR="0025470D" w:rsidRDefault="0025470D" w:rsidP="0025470D">
      <w:pPr>
        <w:numPr>
          <w:ilvl w:val="0"/>
          <w:numId w:val="22"/>
        </w:numPr>
        <w:ind w:right="82"/>
      </w:pPr>
      <w:r>
        <w:t xml:space="preserve">The SWD adopts a social work approach in executing its statutory duties and provides community-based supervision and counselling services for offenders.  The SWD has since July 2007 colocated its six correctional / residential homes into one purpose-built correctional home with modernised facilities to provide a safe and healthy living environment for the residents.  The SWD offers personalised training programmes for individual residents, with a view to improving their family relationships and facilitating ongoing contact and interaction with the community.  </w:t>
      </w:r>
    </w:p>
    <w:p w:rsidR="0025470D" w:rsidRDefault="0025470D" w:rsidP="0025470D">
      <w:pPr>
        <w:spacing w:after="64" w:line="259" w:lineRule="auto"/>
        <w:ind w:left="0" w:firstLine="0"/>
        <w:jc w:val="left"/>
      </w:pPr>
      <w:r>
        <w:t xml:space="preserve"> </w:t>
      </w:r>
    </w:p>
    <w:p w:rsidR="0025470D" w:rsidRDefault="0025470D" w:rsidP="0025470D">
      <w:pPr>
        <w:numPr>
          <w:ilvl w:val="0"/>
          <w:numId w:val="22"/>
        </w:numPr>
        <w:spacing w:after="13549"/>
        <w:ind w:right="82"/>
      </w:pPr>
      <w:r>
        <w:t xml:space="preserve">Since July 2012, the SWD has implemented the integrated community-based services for offenders by integrating the previous probation offices, community service orders office and Community Support Service Scheme into seven probation and community service orders offices (PCSOs) to serve their respective magistrates’ courts across the territory.  Children and juvenile offenders placed on probation </w:t>
      </w:r>
      <w:r>
        <w:lastRenderedPageBreak/>
        <w:t>orders or community service orders receive services from the PCSO serving their respective place of residence.</w:t>
      </w:r>
      <w:r>
        <w:rPr>
          <w:b/>
        </w:rPr>
        <w:t xml:space="preserve"> </w:t>
      </w:r>
    </w:p>
    <w:p w:rsidR="0025470D" w:rsidRDefault="0025470D" w:rsidP="0025470D">
      <w:pPr>
        <w:spacing w:after="219" w:line="259" w:lineRule="auto"/>
        <w:ind w:left="10" w:right="67" w:hanging="10"/>
        <w:jc w:val="center"/>
      </w:pPr>
      <w:r>
        <w:rPr>
          <w:sz w:val="24"/>
        </w:rPr>
        <w:lastRenderedPageBreak/>
        <w:t>2</w:t>
      </w:r>
    </w:p>
    <w:p w:rsidR="0025470D" w:rsidRDefault="0025470D" w:rsidP="0025470D">
      <w:pPr>
        <w:spacing w:after="427" w:line="259" w:lineRule="auto"/>
        <w:ind w:left="10" w:right="54" w:hanging="10"/>
        <w:jc w:val="right"/>
      </w:pPr>
      <w:r>
        <w:rPr>
          <w:b/>
        </w:rPr>
        <w:t>Annex 10D</w:t>
      </w:r>
    </w:p>
    <w:p w:rsidR="0025470D" w:rsidRDefault="0025470D" w:rsidP="0025470D">
      <w:pPr>
        <w:pStyle w:val="Heading4"/>
        <w:spacing w:after="54"/>
        <w:ind w:left="2643" w:right="1238" w:hanging="1165"/>
      </w:pPr>
      <w:r>
        <w:t xml:space="preserve">Assistance for Hong Kong residents detained in the Mainland of China </w:t>
      </w:r>
    </w:p>
    <w:p w:rsidR="0025470D" w:rsidRDefault="0025470D" w:rsidP="0025470D">
      <w:pPr>
        <w:spacing w:after="59" w:line="259" w:lineRule="auto"/>
        <w:ind w:left="3" w:firstLine="0"/>
        <w:jc w:val="center"/>
      </w:pPr>
      <w:r>
        <w:rPr>
          <w:b/>
        </w:rPr>
        <w:t xml:space="preserve"> </w:t>
      </w:r>
    </w:p>
    <w:p w:rsidR="0025470D" w:rsidRDefault="0025470D" w:rsidP="0025470D">
      <w:pPr>
        <w:numPr>
          <w:ilvl w:val="0"/>
          <w:numId w:val="23"/>
        </w:numPr>
        <w:ind w:right="82"/>
      </w:pPr>
      <w:r>
        <w:t xml:space="preserve">Under the principle of “one country, two systems”, the Government does not interfere with the law enforcement and judicial process in the Mainland.  On the other hand, the Government will provide practicable assistance to Hong Kong residents detained in the Mainland and their families. </w:t>
      </w:r>
    </w:p>
    <w:p w:rsidR="0025470D" w:rsidRDefault="0025470D" w:rsidP="0025470D">
      <w:pPr>
        <w:spacing w:after="64" w:line="259" w:lineRule="auto"/>
        <w:ind w:left="0" w:firstLine="0"/>
        <w:jc w:val="left"/>
      </w:pPr>
      <w:r>
        <w:t xml:space="preserve"> </w:t>
      </w:r>
    </w:p>
    <w:p w:rsidR="0025470D" w:rsidRDefault="0025470D" w:rsidP="0025470D">
      <w:pPr>
        <w:numPr>
          <w:ilvl w:val="0"/>
          <w:numId w:val="23"/>
        </w:numPr>
        <w:ind w:right="82"/>
      </w:pPr>
      <w:r>
        <w:t xml:space="preserve">In 2001, a reciprocal notification mechanism was introduced under which both the Mainland authorities and the Government would notify the other party of any criminal prosecution of, or the imposition of criminal compulsory measures on, suspected offenders, and unnatural deaths of residents of the other party.  The reciprocal notification mechanism is an administrative arrangement to be implemented on the basis of mutual respect for the relevant laws of both parties.  It will under no circumstances affect the legal rights and obligations of the person against whom a criminal compulsory measure is imposed or criminal prosecution is instituted or those of his or her family.  The mechanism aims to facilitate prompt notifications to family members of the subject involved.  Since the introduction of the mechanism, the Mainland authorities have made more than 15 100 notifications to the Government by 30 November 2017.  Upon notification from Mainland authorities, the Government will inform the families of the persons in question, who can seek assistance from the ImmD of the HKSAR.  The assistance may include: </w:t>
      </w:r>
    </w:p>
    <w:p w:rsidR="0025470D" w:rsidRDefault="0025470D" w:rsidP="0025470D">
      <w:pPr>
        <w:spacing w:after="64" w:line="259" w:lineRule="auto"/>
        <w:ind w:left="0" w:firstLine="0"/>
        <w:jc w:val="left"/>
      </w:pPr>
      <w:r>
        <w:t xml:space="preserve"> </w:t>
      </w:r>
    </w:p>
    <w:p w:rsidR="0025470D" w:rsidRDefault="0025470D" w:rsidP="0025470D">
      <w:pPr>
        <w:numPr>
          <w:ilvl w:val="1"/>
          <w:numId w:val="23"/>
        </w:numPr>
        <w:spacing w:after="40"/>
        <w:ind w:right="82" w:hanging="720"/>
      </w:pPr>
      <w:r>
        <w:t xml:space="preserve">provision of information on ways to seek the service of Mainland lawyers; </w:t>
      </w:r>
    </w:p>
    <w:p w:rsidR="0025470D" w:rsidRDefault="0025470D" w:rsidP="0025470D">
      <w:pPr>
        <w:spacing w:after="105" w:line="259" w:lineRule="auto"/>
        <w:ind w:left="720" w:firstLine="0"/>
        <w:jc w:val="left"/>
      </w:pPr>
      <w:r>
        <w:rPr>
          <w:sz w:val="24"/>
        </w:rPr>
        <w:t xml:space="preserve"> </w:t>
      </w:r>
    </w:p>
    <w:p w:rsidR="0025470D" w:rsidRDefault="0025470D" w:rsidP="0025470D">
      <w:pPr>
        <w:numPr>
          <w:ilvl w:val="1"/>
          <w:numId w:val="23"/>
        </w:numPr>
        <w:ind w:right="82" w:hanging="720"/>
      </w:pPr>
      <w:r>
        <w:t xml:space="preserve">conveying assistance seekers’ requests to visit the detainees or other requests to the Mainland authorities through the relevant Office(s) of the Government in the Mainland; and </w:t>
      </w:r>
    </w:p>
    <w:p w:rsidR="0025470D" w:rsidRDefault="0025470D" w:rsidP="0025470D">
      <w:pPr>
        <w:spacing w:after="105" w:line="259" w:lineRule="auto"/>
        <w:ind w:left="720" w:firstLine="0"/>
        <w:jc w:val="left"/>
      </w:pPr>
      <w:r>
        <w:rPr>
          <w:sz w:val="24"/>
        </w:rPr>
        <w:t xml:space="preserve"> </w:t>
      </w:r>
    </w:p>
    <w:p w:rsidR="0025470D" w:rsidRDefault="0025470D" w:rsidP="0025470D">
      <w:pPr>
        <w:numPr>
          <w:ilvl w:val="1"/>
          <w:numId w:val="23"/>
        </w:numPr>
        <w:spacing w:after="40"/>
        <w:ind w:right="82" w:hanging="720"/>
      </w:pPr>
      <w:r>
        <w:lastRenderedPageBreak/>
        <w:t xml:space="preserve">referral of individual enquiry to relevant authorities for follow-up action. </w:t>
      </w:r>
    </w:p>
    <w:p w:rsidR="0025470D" w:rsidRDefault="0025470D" w:rsidP="0025470D">
      <w:pPr>
        <w:numPr>
          <w:ilvl w:val="0"/>
          <w:numId w:val="23"/>
        </w:numPr>
        <w:spacing w:after="7121"/>
        <w:ind w:right="82"/>
      </w:pPr>
      <w:r>
        <w:t>In June 2016, with a view to improving the notification time frame and its transparency, and to better safeguard the legal rights of residents of both sides, the Mainland authorities and the Government commenced discussion to review the arrangements under the reciprocal notification mechanism.  Upon reaching consensus with the Mainland authorities on improvements in various areas including the notification time frame, content, scope and channel, the new arrangements were signed in December 2017.  Under the new arrangements, a notification time frame which ranges from 7 to 30 working days depending on the nature and complexity of the cases has been set for the first time.  Both sides will also respond within 30 working days upon receipt of any enquiry.  In addition, the contents of notification of the two sides will be standardised.  As regards the scope of notification, the new arrangements expressly require all Mainland agencies which are authorised to impose criminal compulsory measures on Hong Kong residents according to the laws of the Mainland to make notifications.  To enhance the efficiency of notification, in addition to notifications made through the Mainland notification unit, designated Mainland local authorities will make direct notifications to the Hong Kong notification unit.  The new arrangements took effect on 1 February 2018.</w:t>
      </w:r>
      <w:r>
        <w:rPr>
          <w:b/>
        </w:rPr>
        <w:t xml:space="preserve"> </w:t>
      </w:r>
    </w:p>
    <w:p w:rsidR="0025470D" w:rsidRDefault="0025470D" w:rsidP="0025470D">
      <w:pPr>
        <w:spacing w:after="219" w:line="259" w:lineRule="auto"/>
        <w:ind w:left="10" w:right="67" w:hanging="10"/>
        <w:jc w:val="center"/>
      </w:pPr>
      <w:r>
        <w:rPr>
          <w:sz w:val="24"/>
        </w:rPr>
        <w:lastRenderedPageBreak/>
        <w:t>2</w:t>
      </w:r>
    </w:p>
    <w:p w:rsidR="0025470D" w:rsidRDefault="0025470D" w:rsidP="0025470D">
      <w:pPr>
        <w:pStyle w:val="Heading4"/>
        <w:spacing w:line="442" w:lineRule="auto"/>
        <w:ind w:left="1618" w:firstLine="5360"/>
      </w:pPr>
      <w:r>
        <w:t xml:space="preserve">Annex 12A Travel documents for permanent residents and non-permanent residents </w:t>
      </w:r>
    </w:p>
    <w:p w:rsidR="0025470D" w:rsidRDefault="0025470D" w:rsidP="0025470D">
      <w:pPr>
        <w:spacing w:after="59" w:line="259" w:lineRule="auto"/>
        <w:ind w:left="3" w:firstLine="0"/>
        <w:jc w:val="center"/>
      </w:pPr>
      <w:r>
        <w:rPr>
          <w:b/>
        </w:rPr>
        <w:t xml:space="preserve"> </w:t>
      </w:r>
    </w:p>
    <w:p w:rsidR="0025470D" w:rsidRDefault="0025470D" w:rsidP="0025470D">
      <w:pPr>
        <w:numPr>
          <w:ilvl w:val="0"/>
          <w:numId w:val="24"/>
        </w:numPr>
        <w:ind w:right="82"/>
      </w:pPr>
      <w:r>
        <w:t xml:space="preserve">Under Article 154 of the Basic Law, the Government is authorised to issue HKSAR passports to all Chinese citizens who hold Hong Kong permanent identity cards (persons who hold such cards have the right of abode in Hong Kong).  The ImmD is the sole authority for the issue of HKSAR passports.   </w:t>
      </w:r>
    </w:p>
    <w:p w:rsidR="0025470D" w:rsidRDefault="0025470D" w:rsidP="0025470D">
      <w:pPr>
        <w:spacing w:after="64" w:line="259" w:lineRule="auto"/>
        <w:ind w:left="0" w:firstLine="0"/>
        <w:jc w:val="left"/>
      </w:pPr>
      <w:r>
        <w:t xml:space="preserve"> </w:t>
      </w:r>
    </w:p>
    <w:p w:rsidR="0025470D" w:rsidRDefault="0025470D" w:rsidP="0025470D">
      <w:pPr>
        <w:numPr>
          <w:ilvl w:val="0"/>
          <w:numId w:val="24"/>
        </w:numPr>
        <w:ind w:right="82"/>
      </w:pPr>
      <w:r>
        <w:t xml:space="preserve">Normally, it takes 10 working days to process a passport application and urgent applications can be “fast-tracked”. As at 30 November 2017, the ImmD had issued about 10.92 million HKSAR passports.  The passport continues to be well regarded internationally: as at 30 November 2017, 159 countries / territories have granted visa-free access or visa-on-arrival to its holders.  </w:t>
      </w:r>
    </w:p>
    <w:p w:rsidR="0025470D" w:rsidRDefault="0025470D" w:rsidP="0025470D">
      <w:pPr>
        <w:spacing w:after="64" w:line="259" w:lineRule="auto"/>
        <w:ind w:left="0" w:firstLine="0"/>
        <w:jc w:val="left"/>
      </w:pPr>
      <w:r>
        <w:rPr>
          <w:i/>
        </w:rPr>
        <w:t xml:space="preserve"> </w:t>
      </w:r>
    </w:p>
    <w:p w:rsidR="0025470D" w:rsidRDefault="0025470D" w:rsidP="0025470D">
      <w:pPr>
        <w:numPr>
          <w:ilvl w:val="0"/>
          <w:numId w:val="24"/>
        </w:numPr>
        <w:ind w:right="82"/>
      </w:pPr>
      <w:r>
        <w:t xml:space="preserve">The Government is also authorised to issue travel documents “to all other persons lawfully residing in the Region” under Article 154 of the Basic Law.  Hong Kong non-permanent residents or permanent residents not of Chinese nationality who do not have any other travel document may apply for the HKSAR’s Document of Identity for Visa Purposes.  The document is issued by the Director of Immigration under the Immigration Regulations (Cap. 115, sub. leg. A).  They are valid for seven years and normally have an endorsement stating that “the holder of this document may return to Hong Kong during its validity without a visa”. </w:t>
      </w:r>
    </w:p>
    <w:p w:rsidR="0025470D" w:rsidRDefault="0025470D" w:rsidP="0025470D">
      <w:pPr>
        <w:spacing w:after="64" w:line="259" w:lineRule="auto"/>
        <w:ind w:left="0" w:firstLine="0"/>
        <w:jc w:val="left"/>
      </w:pPr>
      <w:r>
        <w:t xml:space="preserve"> </w:t>
      </w:r>
    </w:p>
    <w:p w:rsidR="0025470D" w:rsidRDefault="0025470D" w:rsidP="0025470D">
      <w:pPr>
        <w:numPr>
          <w:ilvl w:val="0"/>
          <w:numId w:val="24"/>
        </w:numPr>
        <w:ind w:right="82"/>
      </w:pPr>
      <w:r>
        <w:t xml:space="preserve">Some commentators were concerned with the cases of denial of entry of some Hong Kong residents by other jurisdictions, and the policy and measures of the Government in dealing with these cases.  The Government attaches importance to the legal right enjoyed by Hong Kong residents outside Hong Kong and will provide practicable assistance to them when necessary.  At the same time, we respect the immigration control imposed by other places in accordance with their </w:t>
      </w:r>
      <w:r>
        <w:lastRenderedPageBreak/>
        <w:t>laws and policies.  We do not seek to interfere with the decisions made on individual cases by other immigration authorities.</w:t>
      </w:r>
      <w:r>
        <w:rPr>
          <w:b/>
        </w:rPr>
        <w:t xml:space="preserve"> </w:t>
      </w:r>
    </w:p>
    <w:p w:rsidR="0025470D" w:rsidRDefault="0025470D" w:rsidP="0025470D">
      <w:pPr>
        <w:sectPr w:rsidR="0025470D">
          <w:headerReference w:type="even" r:id="rId121"/>
          <w:headerReference w:type="default" r:id="rId122"/>
          <w:footerReference w:type="even" r:id="rId123"/>
          <w:footerReference w:type="default" r:id="rId124"/>
          <w:headerReference w:type="first" r:id="rId125"/>
          <w:footerReference w:type="first" r:id="rId126"/>
          <w:pgSz w:w="11906" w:h="16838"/>
          <w:pgMar w:top="1538" w:right="1734" w:bottom="723"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127"/>
          <w:headerReference w:type="default" r:id="rId128"/>
          <w:footerReference w:type="even" r:id="rId129"/>
          <w:footerReference w:type="default" r:id="rId130"/>
          <w:headerReference w:type="first" r:id="rId131"/>
          <w:footerReference w:type="first" r:id="rId132"/>
          <w:pgSz w:w="11906" w:h="16838"/>
          <w:pgMar w:top="1440" w:right="1440" w:bottom="1440" w:left="1440" w:header="720" w:footer="5" w:gutter="0"/>
          <w:cols w:space="720"/>
        </w:sectPr>
      </w:pPr>
    </w:p>
    <w:p w:rsidR="0025470D" w:rsidRDefault="0025470D" w:rsidP="0025470D">
      <w:pPr>
        <w:spacing w:after="427" w:line="259" w:lineRule="auto"/>
        <w:ind w:left="10" w:right="54" w:hanging="10"/>
        <w:jc w:val="right"/>
      </w:pPr>
      <w:r>
        <w:rPr>
          <w:b/>
        </w:rPr>
        <w:lastRenderedPageBreak/>
        <w:t>Annex 12B</w:t>
      </w:r>
    </w:p>
    <w:p w:rsidR="0025470D" w:rsidRDefault="0025470D" w:rsidP="0025470D">
      <w:pPr>
        <w:pStyle w:val="Heading4"/>
        <w:spacing w:after="6" w:line="259" w:lineRule="auto"/>
        <w:ind w:left="180" w:right="180"/>
        <w:jc w:val="center"/>
      </w:pPr>
      <w:r>
        <w:t xml:space="preserve">Immigration control on entry into Hong Kong by visitors </w:t>
      </w:r>
    </w:p>
    <w:p w:rsidR="0025470D" w:rsidRDefault="0025470D" w:rsidP="0025470D">
      <w:pPr>
        <w:spacing w:after="59" w:line="259" w:lineRule="auto"/>
        <w:ind w:left="65" w:firstLine="0"/>
        <w:jc w:val="center"/>
      </w:pPr>
      <w:r>
        <w:rPr>
          <w:b/>
        </w:rPr>
        <w:t xml:space="preserve"> </w:t>
      </w:r>
    </w:p>
    <w:p w:rsidR="0025470D" w:rsidRDefault="0025470D" w:rsidP="0025470D">
      <w:pPr>
        <w:numPr>
          <w:ilvl w:val="0"/>
          <w:numId w:val="25"/>
        </w:numPr>
        <w:ind w:right="1"/>
      </w:pPr>
      <w:r>
        <w:t xml:space="preserve">Hong Kong continues to adopt a liberal visa policy where nationals of about 170 countries and territories may visit Hong Kong visafree for periods from 7 to 180 days.  The ImmD handles applications from visitors who need a visa to visit Hong Kong. </w:t>
      </w:r>
    </w:p>
    <w:p w:rsidR="0025470D" w:rsidRDefault="0025470D" w:rsidP="0025470D">
      <w:pPr>
        <w:spacing w:after="64" w:line="259" w:lineRule="auto"/>
        <w:ind w:left="0" w:firstLine="0"/>
        <w:jc w:val="left"/>
      </w:pPr>
      <w:r>
        <w:t xml:space="preserve"> </w:t>
      </w:r>
    </w:p>
    <w:p w:rsidR="0025470D" w:rsidRDefault="0025470D" w:rsidP="0025470D">
      <w:pPr>
        <w:numPr>
          <w:ilvl w:val="0"/>
          <w:numId w:val="25"/>
        </w:numPr>
        <w:ind w:right="1"/>
      </w:pPr>
      <w:r>
        <w:t xml:space="preserve">In response to the comments of the Committee that the entry of certain persons into Hong Kong were reported to be subjected to more stringent screening process, we should point out that the ImmD, like other immigration authorities around the world, has the responsibility to uphold effective immigration control and is empowered by law to discharge such responsibility, including the examination of any visitor on his arrival in Hong Kong.  In processing an application for entry, immigration officers take into account the law, the prevailing policy and other relevant circumstances and factors pertaining to each application.  Each entry application is determined on its individual merits.  </w:t>
      </w:r>
    </w:p>
    <w:p w:rsidR="0025470D" w:rsidRDefault="0025470D" w:rsidP="0025470D">
      <w:pPr>
        <w:spacing w:after="64" w:line="259" w:lineRule="auto"/>
        <w:ind w:left="0" w:firstLine="0"/>
        <w:jc w:val="left"/>
      </w:pPr>
      <w:r>
        <w:t xml:space="preserve"> </w:t>
      </w:r>
    </w:p>
    <w:p w:rsidR="0025470D" w:rsidRDefault="0025470D" w:rsidP="0025470D">
      <w:pPr>
        <w:numPr>
          <w:ilvl w:val="0"/>
          <w:numId w:val="25"/>
        </w:numPr>
        <w:ind w:right="1"/>
      </w:pPr>
      <w:r>
        <w:t>There is a statutory appeal channel for any person who is dissatisfied with the decision of an immigration officer.</w:t>
      </w:r>
      <w:r>
        <w:rPr>
          <w:rFonts w:ascii="Calibri" w:eastAsia="Calibri" w:hAnsi="Calibri" w:cs="Calibri"/>
          <w:sz w:val="24"/>
        </w:rPr>
        <w:t xml:space="preserve"> </w:t>
      </w:r>
    </w:p>
    <w:p w:rsidR="0025470D" w:rsidRDefault="0025470D" w:rsidP="0025470D">
      <w:pPr>
        <w:sectPr w:rsidR="0025470D">
          <w:headerReference w:type="even" r:id="rId133"/>
          <w:headerReference w:type="default" r:id="rId134"/>
          <w:footerReference w:type="even" r:id="rId135"/>
          <w:footerReference w:type="default" r:id="rId136"/>
          <w:headerReference w:type="first" r:id="rId137"/>
          <w:footerReference w:type="first" r:id="rId138"/>
          <w:pgSz w:w="11906" w:h="16838"/>
          <w:pgMar w:top="1440" w:right="1796" w:bottom="1440" w:left="1800" w:header="720" w:footer="723"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139"/>
          <w:headerReference w:type="default" r:id="rId140"/>
          <w:footerReference w:type="even" r:id="rId141"/>
          <w:footerReference w:type="default" r:id="rId142"/>
          <w:headerReference w:type="first" r:id="rId143"/>
          <w:footerReference w:type="first" r:id="rId144"/>
          <w:pgSz w:w="11906" w:h="16838"/>
          <w:pgMar w:top="1440" w:right="1440" w:bottom="1440" w:left="1440" w:header="720" w:footer="5" w:gutter="0"/>
          <w:cols w:space="720"/>
        </w:sectPr>
      </w:pPr>
    </w:p>
    <w:p w:rsidR="0025470D" w:rsidRDefault="0025470D" w:rsidP="0025470D">
      <w:pPr>
        <w:spacing w:after="4" w:line="259" w:lineRule="auto"/>
        <w:ind w:left="10" w:right="54" w:hanging="10"/>
        <w:jc w:val="right"/>
      </w:pPr>
      <w:r>
        <w:rPr>
          <w:b/>
        </w:rPr>
        <w:lastRenderedPageBreak/>
        <w:t>Annex 13A</w:t>
      </w:r>
    </w:p>
    <w:p w:rsidR="0025470D" w:rsidRDefault="0025470D" w:rsidP="0025470D">
      <w:pPr>
        <w:spacing w:after="73" w:line="259" w:lineRule="auto"/>
        <w:ind w:left="0" w:firstLine="0"/>
        <w:jc w:val="left"/>
      </w:pPr>
      <w:r>
        <w:t xml:space="preserve"> </w:t>
      </w:r>
    </w:p>
    <w:p w:rsidR="0025470D" w:rsidRDefault="0025470D" w:rsidP="0025470D">
      <w:pPr>
        <w:pStyle w:val="Heading4"/>
        <w:spacing w:after="6" w:line="259" w:lineRule="auto"/>
        <w:ind w:left="180" w:right="173"/>
        <w:jc w:val="center"/>
      </w:pPr>
      <w:r>
        <w:t xml:space="preserve">Deportation, Removal and Immigration Tribunal </w:t>
      </w:r>
    </w:p>
    <w:p w:rsidR="0025470D" w:rsidRDefault="0025470D" w:rsidP="0025470D">
      <w:pPr>
        <w:spacing w:after="61" w:line="259" w:lineRule="auto"/>
        <w:ind w:left="0" w:firstLine="0"/>
        <w:jc w:val="left"/>
      </w:pPr>
      <w:r>
        <w:t xml:space="preserve"> </w:t>
      </w:r>
    </w:p>
    <w:p w:rsidR="0025470D" w:rsidRDefault="0025470D" w:rsidP="0025470D">
      <w:pPr>
        <w:pStyle w:val="Heading5"/>
        <w:ind w:left="-5"/>
      </w:pPr>
      <w:r>
        <w:t>Deportation</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ind w:left="19" w:right="4"/>
      </w:pPr>
      <w:r>
        <w:t xml:space="preserve">1. A breakdown of the deportation orders issued since the preparation of the previous report by year and up to end November 2017 is set out below.  In all of these cases, deportation orders were made after the immigrants concerned had been found guilty of offences punishable with imprisonment for not less than two years.  No deportation order has been made on the alternative ground that the deportation is deemed to be conducive to the public good. </w:t>
      </w:r>
    </w:p>
    <w:p w:rsidR="0025470D" w:rsidRDefault="0025470D" w:rsidP="0025470D">
      <w:pPr>
        <w:spacing w:after="0" w:line="259" w:lineRule="auto"/>
        <w:ind w:left="0" w:firstLine="0"/>
        <w:jc w:val="left"/>
      </w:pPr>
      <w:r>
        <w:rPr>
          <w:sz w:val="24"/>
        </w:rPr>
        <w:t xml:space="preserve"> </w:t>
      </w:r>
    </w:p>
    <w:tbl>
      <w:tblPr>
        <w:tblStyle w:val="TableGrid0"/>
        <w:tblW w:w="8132" w:type="dxa"/>
        <w:tblInd w:w="113" w:type="dxa"/>
        <w:tblCellMar>
          <w:top w:w="0" w:type="dxa"/>
          <w:left w:w="0" w:type="dxa"/>
          <w:bottom w:w="7" w:type="dxa"/>
          <w:right w:w="0" w:type="dxa"/>
        </w:tblCellMar>
        <w:tblLook w:val="04A0" w:firstRow="1" w:lastRow="0" w:firstColumn="1" w:lastColumn="0" w:noHBand="0" w:noVBand="1"/>
      </w:tblPr>
      <w:tblGrid>
        <w:gridCol w:w="3930"/>
        <w:gridCol w:w="2655"/>
        <w:gridCol w:w="1547"/>
      </w:tblGrid>
      <w:tr w:rsidR="0025470D" w:rsidTr="00463700">
        <w:trPr>
          <w:trHeight w:val="2202"/>
        </w:trPr>
        <w:tc>
          <w:tcPr>
            <w:tcW w:w="3929" w:type="dxa"/>
            <w:tcBorders>
              <w:top w:val="nil"/>
              <w:left w:val="nil"/>
              <w:bottom w:val="nil"/>
              <w:right w:val="nil"/>
            </w:tcBorders>
            <w:vAlign w:val="bottom"/>
          </w:tcPr>
          <w:p w:rsidR="0025470D" w:rsidRDefault="0025470D" w:rsidP="00463700">
            <w:pPr>
              <w:spacing w:after="6" w:line="280" w:lineRule="auto"/>
              <w:ind w:left="922" w:firstLine="0"/>
              <w:jc w:val="center"/>
            </w:pPr>
            <w:r>
              <w:rPr>
                <w:rFonts w:ascii="Times New Roman" w:hAnsi="Times New Roman" w:cs="Times New Roman"/>
                <w:b/>
              </w:rPr>
              <w:t xml:space="preserve">Number of  </w:t>
            </w:r>
            <w:r>
              <w:rPr>
                <w:rFonts w:ascii="Times New Roman" w:hAnsi="Times New Roman" w:cs="Times New Roman"/>
                <w:b/>
              </w:rPr>
              <w:tab/>
              <w:t xml:space="preserve">deportation </w:t>
            </w:r>
          </w:p>
          <w:p w:rsidR="0025470D" w:rsidRDefault="0025470D" w:rsidP="00463700">
            <w:pPr>
              <w:tabs>
                <w:tab w:val="center" w:pos="921"/>
                <w:tab w:val="center" w:pos="2857"/>
              </w:tabs>
              <w:spacing w:after="0" w:line="259" w:lineRule="auto"/>
              <w:ind w:left="0" w:firstLine="0"/>
              <w:jc w:val="left"/>
            </w:pPr>
            <w:r>
              <w:rPr>
                <w:rFonts w:ascii="Calibri" w:eastAsia="Calibri" w:hAnsi="Calibri" w:cs="Calibri"/>
                <w:sz w:val="22"/>
              </w:rPr>
              <w:tab/>
            </w:r>
            <w:r>
              <w:rPr>
                <w:rFonts w:ascii="Times New Roman" w:hAnsi="Times New Roman" w:cs="Times New Roman"/>
                <w:b/>
                <w:u w:val="single" w:color="000000"/>
              </w:rPr>
              <w:t>Year</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u w:val="single" w:color="000000"/>
              </w:rPr>
              <w:t>orders issued</w:t>
            </w:r>
            <w:r>
              <w:rPr>
                <w:rFonts w:ascii="Times New Roman" w:hAnsi="Times New Roman" w:cs="Times New Roman"/>
                <w:b/>
              </w:rPr>
              <w:t xml:space="preserve"> </w:t>
            </w:r>
          </w:p>
        </w:tc>
        <w:tc>
          <w:tcPr>
            <w:tcW w:w="2655" w:type="dxa"/>
            <w:tcBorders>
              <w:top w:val="nil"/>
              <w:left w:val="nil"/>
              <w:bottom w:val="nil"/>
              <w:right w:val="nil"/>
            </w:tcBorders>
          </w:tcPr>
          <w:p w:rsidR="0025470D" w:rsidRDefault="0025470D" w:rsidP="00463700">
            <w:pPr>
              <w:spacing w:after="0" w:line="237" w:lineRule="auto"/>
              <w:ind w:left="0" w:firstLine="46"/>
              <w:jc w:val="center"/>
            </w:pPr>
            <w:r>
              <w:rPr>
                <w:rFonts w:ascii="Times New Roman" w:hAnsi="Times New Roman" w:cs="Times New Roman"/>
                <w:b/>
              </w:rPr>
              <w:t xml:space="preserve">Number of petitions/objections against deportation </w:t>
            </w:r>
          </w:p>
          <w:p w:rsidR="0025470D" w:rsidRDefault="0025470D" w:rsidP="00463700">
            <w:pPr>
              <w:spacing w:after="0" w:line="259" w:lineRule="auto"/>
              <w:ind w:left="55" w:hanging="55"/>
              <w:jc w:val="left"/>
            </w:pPr>
            <w:r>
              <w:rPr>
                <w:rFonts w:ascii="Times New Roman" w:hAnsi="Times New Roman" w:cs="Times New Roman"/>
                <w:b/>
              </w:rPr>
              <w:t xml:space="preserve">orders and requests for rescission or suspension of </w:t>
            </w:r>
            <w:r>
              <w:rPr>
                <w:rFonts w:ascii="Times New Roman" w:hAnsi="Times New Roman" w:cs="Times New Roman"/>
                <w:b/>
                <w:u w:val="single" w:color="000000"/>
              </w:rPr>
              <w:t>deportation orders</w:t>
            </w:r>
            <w:r>
              <w:rPr>
                <w:rFonts w:ascii="Times New Roman" w:hAnsi="Times New Roman" w:cs="Times New Roman"/>
                <w:b/>
              </w:rPr>
              <w:t xml:space="preserve"> </w:t>
            </w:r>
          </w:p>
        </w:tc>
        <w:tc>
          <w:tcPr>
            <w:tcW w:w="1547" w:type="dxa"/>
            <w:tcBorders>
              <w:top w:val="nil"/>
              <w:left w:val="nil"/>
              <w:bottom w:val="nil"/>
              <w:right w:val="nil"/>
            </w:tcBorders>
            <w:vAlign w:val="bottom"/>
          </w:tcPr>
          <w:p w:rsidR="0025470D" w:rsidRDefault="0025470D" w:rsidP="00463700">
            <w:pPr>
              <w:spacing w:after="0" w:line="259" w:lineRule="auto"/>
              <w:ind w:left="2" w:firstLine="0"/>
              <w:jc w:val="center"/>
            </w:pPr>
            <w:r>
              <w:rPr>
                <w:rFonts w:ascii="Times New Roman" w:hAnsi="Times New Roman" w:cs="Times New Roman"/>
                <w:b/>
              </w:rPr>
              <w:t xml:space="preserve"> </w:t>
            </w:r>
          </w:p>
          <w:p w:rsidR="0025470D" w:rsidRDefault="0025470D" w:rsidP="00463700">
            <w:pPr>
              <w:spacing w:after="0" w:line="238" w:lineRule="auto"/>
              <w:ind w:left="38" w:firstLine="55"/>
              <w:jc w:val="left"/>
            </w:pPr>
            <w:r>
              <w:rPr>
                <w:rFonts w:ascii="Times New Roman" w:hAnsi="Times New Roman" w:cs="Times New Roman"/>
                <w:b/>
              </w:rPr>
              <w:t xml:space="preserve">Number of deportation orders </w:t>
            </w:r>
          </w:p>
          <w:p w:rsidR="0025470D" w:rsidRDefault="0025470D" w:rsidP="00463700">
            <w:pPr>
              <w:spacing w:after="0" w:line="259" w:lineRule="auto"/>
              <w:ind w:left="118" w:hanging="118"/>
              <w:jc w:val="left"/>
            </w:pPr>
            <w:r>
              <w:rPr>
                <w:rFonts w:ascii="Times New Roman" w:hAnsi="Times New Roman" w:cs="Times New Roman"/>
                <w:b/>
              </w:rPr>
              <w:t xml:space="preserve">rescinded or </w:t>
            </w:r>
            <w:r>
              <w:rPr>
                <w:rFonts w:ascii="Times New Roman" w:hAnsi="Times New Roman" w:cs="Times New Roman"/>
                <w:b/>
                <w:u w:val="single" w:color="000000"/>
              </w:rPr>
              <w:t>suspended</w:t>
            </w:r>
            <w:r>
              <w:rPr>
                <w:rFonts w:ascii="Times New Roman" w:hAnsi="Times New Roman" w:cs="Times New Roman"/>
                <w:b/>
              </w:rPr>
              <w:t xml:space="preserve"> </w:t>
            </w:r>
          </w:p>
        </w:tc>
      </w:tr>
      <w:tr w:rsidR="0025470D" w:rsidTr="00463700">
        <w:trPr>
          <w:trHeight w:val="365"/>
        </w:trPr>
        <w:tc>
          <w:tcPr>
            <w:tcW w:w="3929" w:type="dxa"/>
            <w:tcBorders>
              <w:top w:val="nil"/>
              <w:left w:val="nil"/>
              <w:bottom w:val="nil"/>
              <w:right w:val="nil"/>
            </w:tcBorders>
          </w:tcPr>
          <w:p w:rsidR="0025470D" w:rsidRDefault="0025470D" w:rsidP="00463700">
            <w:pPr>
              <w:tabs>
                <w:tab w:val="center" w:pos="2856"/>
              </w:tabs>
              <w:spacing w:after="0" w:line="259" w:lineRule="auto"/>
              <w:ind w:left="0" w:firstLine="0"/>
              <w:jc w:val="left"/>
            </w:pPr>
            <w:r>
              <w:t xml:space="preserve">Nov </w:t>
            </w:r>
            <w:r>
              <w:rPr>
                <w:rFonts w:ascii="Calibri" w:eastAsia="Calibri" w:hAnsi="Calibri" w:cs="Calibri"/>
              </w:rPr>
              <w:t>–</w:t>
            </w:r>
            <w:r>
              <w:t xml:space="preserve"> Dec 2010 </w:t>
            </w:r>
            <w:r>
              <w:tab/>
              <w:t xml:space="preserve">82 </w:t>
            </w:r>
          </w:p>
        </w:tc>
        <w:tc>
          <w:tcPr>
            <w:tcW w:w="2655" w:type="dxa"/>
            <w:tcBorders>
              <w:top w:val="nil"/>
              <w:left w:val="nil"/>
              <w:bottom w:val="nil"/>
              <w:right w:val="nil"/>
            </w:tcBorders>
          </w:tcPr>
          <w:p w:rsidR="0025470D" w:rsidRDefault="0025470D" w:rsidP="00463700">
            <w:pPr>
              <w:spacing w:after="0" w:line="259" w:lineRule="auto"/>
              <w:ind w:left="0" w:right="296" w:firstLine="0"/>
              <w:jc w:val="center"/>
            </w:pPr>
            <w:r>
              <w:t xml:space="preserve">5 </w:t>
            </w:r>
          </w:p>
        </w:tc>
        <w:tc>
          <w:tcPr>
            <w:tcW w:w="1547" w:type="dxa"/>
            <w:tcBorders>
              <w:top w:val="nil"/>
              <w:left w:val="nil"/>
              <w:bottom w:val="nil"/>
              <w:right w:val="nil"/>
            </w:tcBorders>
          </w:tcPr>
          <w:p w:rsidR="0025470D" w:rsidRDefault="0025470D" w:rsidP="00463700">
            <w:pPr>
              <w:spacing w:after="0" w:line="259" w:lineRule="auto"/>
              <w:ind w:left="0" w:right="139" w:firstLine="0"/>
              <w:jc w:val="center"/>
            </w:pPr>
            <w:r>
              <w:t xml:space="preserve">1 </w:t>
            </w:r>
          </w:p>
        </w:tc>
      </w:tr>
      <w:tr w:rsidR="0025470D" w:rsidTr="00463700">
        <w:trPr>
          <w:trHeight w:val="356"/>
        </w:trPr>
        <w:tc>
          <w:tcPr>
            <w:tcW w:w="3929" w:type="dxa"/>
            <w:tcBorders>
              <w:top w:val="nil"/>
              <w:left w:val="nil"/>
              <w:bottom w:val="nil"/>
              <w:right w:val="nil"/>
            </w:tcBorders>
          </w:tcPr>
          <w:p w:rsidR="0025470D" w:rsidRDefault="0025470D" w:rsidP="00463700">
            <w:pPr>
              <w:tabs>
                <w:tab w:val="center" w:pos="921"/>
                <w:tab w:val="center" w:pos="2856"/>
              </w:tabs>
              <w:spacing w:after="0" w:line="259" w:lineRule="auto"/>
              <w:ind w:left="0" w:firstLine="0"/>
              <w:jc w:val="left"/>
            </w:pPr>
            <w:r>
              <w:rPr>
                <w:rFonts w:ascii="Calibri" w:eastAsia="Calibri" w:hAnsi="Calibri" w:cs="Calibri"/>
                <w:sz w:val="22"/>
              </w:rPr>
              <w:tab/>
            </w:r>
            <w:r>
              <w:t xml:space="preserve">2011 </w:t>
            </w:r>
            <w:r>
              <w:tab/>
              <w:t xml:space="preserve">537 </w:t>
            </w:r>
          </w:p>
        </w:tc>
        <w:tc>
          <w:tcPr>
            <w:tcW w:w="2655" w:type="dxa"/>
            <w:tcBorders>
              <w:top w:val="nil"/>
              <w:left w:val="nil"/>
              <w:bottom w:val="nil"/>
              <w:right w:val="nil"/>
            </w:tcBorders>
          </w:tcPr>
          <w:p w:rsidR="0025470D" w:rsidRDefault="0025470D" w:rsidP="00463700">
            <w:pPr>
              <w:spacing w:after="0" w:line="259" w:lineRule="auto"/>
              <w:ind w:left="0" w:right="294" w:firstLine="0"/>
              <w:jc w:val="center"/>
            </w:pPr>
            <w:r>
              <w:t xml:space="preserve">28 </w:t>
            </w:r>
          </w:p>
        </w:tc>
        <w:tc>
          <w:tcPr>
            <w:tcW w:w="1547" w:type="dxa"/>
            <w:tcBorders>
              <w:top w:val="nil"/>
              <w:left w:val="nil"/>
              <w:bottom w:val="nil"/>
              <w:right w:val="nil"/>
            </w:tcBorders>
          </w:tcPr>
          <w:p w:rsidR="0025470D" w:rsidRDefault="0025470D" w:rsidP="00463700">
            <w:pPr>
              <w:spacing w:after="0" w:line="259" w:lineRule="auto"/>
              <w:ind w:left="0" w:right="136" w:firstLine="0"/>
              <w:jc w:val="center"/>
            </w:pPr>
            <w:r>
              <w:t xml:space="preserve">18 </w:t>
            </w:r>
          </w:p>
        </w:tc>
      </w:tr>
      <w:tr w:rsidR="0025470D" w:rsidTr="00463700">
        <w:trPr>
          <w:trHeight w:val="360"/>
        </w:trPr>
        <w:tc>
          <w:tcPr>
            <w:tcW w:w="3929" w:type="dxa"/>
            <w:tcBorders>
              <w:top w:val="nil"/>
              <w:left w:val="nil"/>
              <w:bottom w:val="nil"/>
              <w:right w:val="nil"/>
            </w:tcBorders>
          </w:tcPr>
          <w:p w:rsidR="0025470D" w:rsidRDefault="0025470D" w:rsidP="00463700">
            <w:pPr>
              <w:tabs>
                <w:tab w:val="center" w:pos="921"/>
                <w:tab w:val="center" w:pos="2856"/>
              </w:tabs>
              <w:spacing w:after="0" w:line="259" w:lineRule="auto"/>
              <w:ind w:left="0" w:firstLine="0"/>
              <w:jc w:val="left"/>
            </w:pPr>
            <w:r>
              <w:rPr>
                <w:rFonts w:ascii="Calibri" w:eastAsia="Calibri" w:hAnsi="Calibri" w:cs="Calibri"/>
                <w:sz w:val="22"/>
              </w:rPr>
              <w:tab/>
            </w:r>
            <w:r>
              <w:t xml:space="preserve">2012 </w:t>
            </w:r>
            <w:r>
              <w:tab/>
              <w:t xml:space="preserve">584 </w:t>
            </w:r>
          </w:p>
        </w:tc>
        <w:tc>
          <w:tcPr>
            <w:tcW w:w="2655" w:type="dxa"/>
            <w:tcBorders>
              <w:top w:val="nil"/>
              <w:left w:val="nil"/>
              <w:bottom w:val="nil"/>
              <w:right w:val="nil"/>
            </w:tcBorders>
          </w:tcPr>
          <w:p w:rsidR="0025470D" w:rsidRDefault="0025470D" w:rsidP="00463700">
            <w:pPr>
              <w:spacing w:after="0" w:line="259" w:lineRule="auto"/>
              <w:ind w:left="0" w:right="294" w:firstLine="0"/>
              <w:jc w:val="center"/>
            </w:pPr>
            <w:r>
              <w:t xml:space="preserve">43 </w:t>
            </w:r>
          </w:p>
        </w:tc>
        <w:tc>
          <w:tcPr>
            <w:tcW w:w="1547" w:type="dxa"/>
            <w:tcBorders>
              <w:top w:val="nil"/>
              <w:left w:val="nil"/>
              <w:bottom w:val="nil"/>
              <w:right w:val="nil"/>
            </w:tcBorders>
          </w:tcPr>
          <w:p w:rsidR="0025470D" w:rsidRDefault="0025470D" w:rsidP="00463700">
            <w:pPr>
              <w:spacing w:after="0" w:line="259" w:lineRule="auto"/>
              <w:ind w:left="0" w:right="136" w:firstLine="0"/>
              <w:jc w:val="center"/>
            </w:pPr>
            <w:r>
              <w:t xml:space="preserve">21 </w:t>
            </w:r>
          </w:p>
        </w:tc>
      </w:tr>
      <w:tr w:rsidR="0025470D" w:rsidTr="00463700">
        <w:trPr>
          <w:trHeight w:val="360"/>
        </w:trPr>
        <w:tc>
          <w:tcPr>
            <w:tcW w:w="3929" w:type="dxa"/>
            <w:tcBorders>
              <w:top w:val="nil"/>
              <w:left w:val="nil"/>
              <w:bottom w:val="nil"/>
              <w:right w:val="nil"/>
            </w:tcBorders>
          </w:tcPr>
          <w:p w:rsidR="0025470D" w:rsidRDefault="0025470D" w:rsidP="00463700">
            <w:pPr>
              <w:tabs>
                <w:tab w:val="center" w:pos="921"/>
                <w:tab w:val="center" w:pos="2856"/>
              </w:tabs>
              <w:spacing w:after="0" w:line="259" w:lineRule="auto"/>
              <w:ind w:left="0" w:firstLine="0"/>
              <w:jc w:val="left"/>
            </w:pPr>
            <w:r>
              <w:rPr>
                <w:rFonts w:ascii="Calibri" w:eastAsia="Calibri" w:hAnsi="Calibri" w:cs="Calibri"/>
                <w:sz w:val="22"/>
              </w:rPr>
              <w:tab/>
            </w:r>
            <w:r>
              <w:t xml:space="preserve">2013 </w:t>
            </w:r>
            <w:r>
              <w:tab/>
              <w:t xml:space="preserve">535 </w:t>
            </w:r>
          </w:p>
        </w:tc>
        <w:tc>
          <w:tcPr>
            <w:tcW w:w="2655" w:type="dxa"/>
            <w:tcBorders>
              <w:top w:val="nil"/>
              <w:left w:val="nil"/>
              <w:bottom w:val="nil"/>
              <w:right w:val="nil"/>
            </w:tcBorders>
          </w:tcPr>
          <w:p w:rsidR="0025470D" w:rsidRDefault="0025470D" w:rsidP="00463700">
            <w:pPr>
              <w:spacing w:after="0" w:line="259" w:lineRule="auto"/>
              <w:ind w:left="0" w:right="294" w:firstLine="0"/>
              <w:jc w:val="center"/>
            </w:pPr>
            <w:r>
              <w:t xml:space="preserve">41 </w:t>
            </w:r>
          </w:p>
        </w:tc>
        <w:tc>
          <w:tcPr>
            <w:tcW w:w="1547" w:type="dxa"/>
            <w:tcBorders>
              <w:top w:val="nil"/>
              <w:left w:val="nil"/>
              <w:bottom w:val="nil"/>
              <w:right w:val="nil"/>
            </w:tcBorders>
          </w:tcPr>
          <w:p w:rsidR="0025470D" w:rsidRDefault="0025470D" w:rsidP="00463700">
            <w:pPr>
              <w:spacing w:after="0" w:line="259" w:lineRule="auto"/>
              <w:ind w:left="0" w:right="136" w:firstLine="0"/>
              <w:jc w:val="center"/>
            </w:pPr>
            <w:r>
              <w:t xml:space="preserve">29 </w:t>
            </w:r>
          </w:p>
        </w:tc>
      </w:tr>
      <w:tr w:rsidR="0025470D" w:rsidTr="00463700">
        <w:trPr>
          <w:trHeight w:val="360"/>
        </w:trPr>
        <w:tc>
          <w:tcPr>
            <w:tcW w:w="3929" w:type="dxa"/>
            <w:tcBorders>
              <w:top w:val="nil"/>
              <w:left w:val="nil"/>
              <w:bottom w:val="nil"/>
              <w:right w:val="nil"/>
            </w:tcBorders>
          </w:tcPr>
          <w:p w:rsidR="0025470D" w:rsidRDefault="0025470D" w:rsidP="00463700">
            <w:pPr>
              <w:tabs>
                <w:tab w:val="center" w:pos="921"/>
                <w:tab w:val="center" w:pos="2856"/>
              </w:tabs>
              <w:spacing w:after="0" w:line="259" w:lineRule="auto"/>
              <w:ind w:left="0" w:firstLine="0"/>
              <w:jc w:val="left"/>
            </w:pPr>
            <w:r>
              <w:rPr>
                <w:rFonts w:ascii="Calibri" w:eastAsia="Calibri" w:hAnsi="Calibri" w:cs="Calibri"/>
                <w:sz w:val="22"/>
              </w:rPr>
              <w:tab/>
            </w:r>
            <w:r>
              <w:t xml:space="preserve">2014 </w:t>
            </w:r>
            <w:r>
              <w:tab/>
              <w:t xml:space="preserve">337 </w:t>
            </w:r>
          </w:p>
        </w:tc>
        <w:tc>
          <w:tcPr>
            <w:tcW w:w="2655" w:type="dxa"/>
            <w:tcBorders>
              <w:top w:val="nil"/>
              <w:left w:val="nil"/>
              <w:bottom w:val="nil"/>
              <w:right w:val="nil"/>
            </w:tcBorders>
          </w:tcPr>
          <w:p w:rsidR="0025470D" w:rsidRDefault="0025470D" w:rsidP="00463700">
            <w:pPr>
              <w:spacing w:after="0" w:line="259" w:lineRule="auto"/>
              <w:ind w:left="0" w:right="294" w:firstLine="0"/>
              <w:jc w:val="center"/>
            </w:pPr>
            <w:r>
              <w:t xml:space="preserve">37 </w:t>
            </w:r>
          </w:p>
        </w:tc>
        <w:tc>
          <w:tcPr>
            <w:tcW w:w="1547" w:type="dxa"/>
            <w:tcBorders>
              <w:top w:val="nil"/>
              <w:left w:val="nil"/>
              <w:bottom w:val="nil"/>
              <w:right w:val="nil"/>
            </w:tcBorders>
          </w:tcPr>
          <w:p w:rsidR="0025470D" w:rsidRDefault="0025470D" w:rsidP="00463700">
            <w:pPr>
              <w:spacing w:after="0" w:line="259" w:lineRule="auto"/>
              <w:ind w:left="0" w:right="136" w:firstLine="0"/>
              <w:jc w:val="center"/>
            </w:pPr>
            <w:r>
              <w:t xml:space="preserve">19 </w:t>
            </w:r>
          </w:p>
        </w:tc>
      </w:tr>
      <w:tr w:rsidR="0025470D" w:rsidTr="00463700">
        <w:trPr>
          <w:trHeight w:val="360"/>
        </w:trPr>
        <w:tc>
          <w:tcPr>
            <w:tcW w:w="3929" w:type="dxa"/>
            <w:tcBorders>
              <w:top w:val="nil"/>
              <w:left w:val="nil"/>
              <w:bottom w:val="nil"/>
              <w:right w:val="nil"/>
            </w:tcBorders>
          </w:tcPr>
          <w:p w:rsidR="0025470D" w:rsidRDefault="0025470D" w:rsidP="00463700">
            <w:pPr>
              <w:tabs>
                <w:tab w:val="center" w:pos="921"/>
                <w:tab w:val="center" w:pos="2856"/>
              </w:tabs>
              <w:spacing w:after="0" w:line="259" w:lineRule="auto"/>
              <w:ind w:left="0" w:firstLine="0"/>
              <w:jc w:val="left"/>
            </w:pPr>
            <w:r>
              <w:rPr>
                <w:rFonts w:ascii="Calibri" w:eastAsia="Calibri" w:hAnsi="Calibri" w:cs="Calibri"/>
                <w:sz w:val="22"/>
              </w:rPr>
              <w:tab/>
            </w:r>
            <w:r>
              <w:t xml:space="preserve">2015 </w:t>
            </w:r>
            <w:r>
              <w:tab/>
              <w:t xml:space="preserve">346 </w:t>
            </w:r>
          </w:p>
        </w:tc>
        <w:tc>
          <w:tcPr>
            <w:tcW w:w="2655" w:type="dxa"/>
            <w:tcBorders>
              <w:top w:val="nil"/>
              <w:left w:val="nil"/>
              <w:bottom w:val="nil"/>
              <w:right w:val="nil"/>
            </w:tcBorders>
          </w:tcPr>
          <w:p w:rsidR="0025470D" w:rsidRDefault="0025470D" w:rsidP="00463700">
            <w:pPr>
              <w:spacing w:after="0" w:line="259" w:lineRule="auto"/>
              <w:ind w:left="0" w:right="294" w:firstLine="0"/>
              <w:jc w:val="center"/>
            </w:pPr>
            <w:r>
              <w:t xml:space="preserve">30 </w:t>
            </w:r>
          </w:p>
        </w:tc>
        <w:tc>
          <w:tcPr>
            <w:tcW w:w="1547" w:type="dxa"/>
            <w:tcBorders>
              <w:top w:val="nil"/>
              <w:left w:val="nil"/>
              <w:bottom w:val="nil"/>
              <w:right w:val="nil"/>
            </w:tcBorders>
          </w:tcPr>
          <w:p w:rsidR="0025470D" w:rsidRDefault="0025470D" w:rsidP="00463700">
            <w:pPr>
              <w:spacing w:after="0" w:line="259" w:lineRule="auto"/>
              <w:ind w:left="0" w:right="136" w:firstLine="0"/>
              <w:jc w:val="center"/>
            </w:pPr>
            <w:r>
              <w:t xml:space="preserve">26 </w:t>
            </w:r>
          </w:p>
        </w:tc>
      </w:tr>
      <w:tr w:rsidR="0025470D" w:rsidTr="00463700">
        <w:trPr>
          <w:trHeight w:val="357"/>
        </w:trPr>
        <w:tc>
          <w:tcPr>
            <w:tcW w:w="3929" w:type="dxa"/>
            <w:tcBorders>
              <w:top w:val="nil"/>
              <w:left w:val="nil"/>
              <w:bottom w:val="nil"/>
              <w:right w:val="nil"/>
            </w:tcBorders>
          </w:tcPr>
          <w:p w:rsidR="0025470D" w:rsidRDefault="0025470D" w:rsidP="00463700">
            <w:pPr>
              <w:tabs>
                <w:tab w:val="center" w:pos="921"/>
                <w:tab w:val="center" w:pos="2856"/>
              </w:tabs>
              <w:spacing w:after="0" w:line="259" w:lineRule="auto"/>
              <w:ind w:left="0" w:firstLine="0"/>
              <w:jc w:val="left"/>
            </w:pPr>
            <w:r>
              <w:rPr>
                <w:rFonts w:ascii="Calibri" w:eastAsia="Calibri" w:hAnsi="Calibri" w:cs="Calibri"/>
                <w:sz w:val="22"/>
              </w:rPr>
              <w:tab/>
            </w:r>
            <w:r>
              <w:t xml:space="preserve">2016 </w:t>
            </w:r>
            <w:r>
              <w:tab/>
              <w:t xml:space="preserve">421 </w:t>
            </w:r>
          </w:p>
        </w:tc>
        <w:tc>
          <w:tcPr>
            <w:tcW w:w="2655" w:type="dxa"/>
            <w:tcBorders>
              <w:top w:val="nil"/>
              <w:left w:val="nil"/>
              <w:bottom w:val="nil"/>
              <w:right w:val="nil"/>
            </w:tcBorders>
          </w:tcPr>
          <w:p w:rsidR="0025470D" w:rsidRDefault="0025470D" w:rsidP="00463700">
            <w:pPr>
              <w:spacing w:after="0" w:line="259" w:lineRule="auto"/>
              <w:ind w:left="0" w:right="294" w:firstLine="0"/>
              <w:jc w:val="center"/>
            </w:pPr>
            <w:r>
              <w:t xml:space="preserve">34 </w:t>
            </w:r>
          </w:p>
        </w:tc>
        <w:tc>
          <w:tcPr>
            <w:tcW w:w="1547" w:type="dxa"/>
            <w:tcBorders>
              <w:top w:val="nil"/>
              <w:left w:val="nil"/>
              <w:bottom w:val="nil"/>
              <w:right w:val="nil"/>
            </w:tcBorders>
          </w:tcPr>
          <w:p w:rsidR="0025470D" w:rsidRDefault="0025470D" w:rsidP="00463700">
            <w:pPr>
              <w:spacing w:after="0" w:line="259" w:lineRule="auto"/>
              <w:ind w:left="0" w:right="136" w:firstLine="0"/>
              <w:jc w:val="center"/>
            </w:pPr>
            <w:r>
              <w:t xml:space="preserve">22 </w:t>
            </w:r>
          </w:p>
        </w:tc>
      </w:tr>
      <w:tr w:rsidR="0025470D" w:rsidTr="00463700">
        <w:trPr>
          <w:trHeight w:val="347"/>
        </w:trPr>
        <w:tc>
          <w:tcPr>
            <w:tcW w:w="3929" w:type="dxa"/>
            <w:tcBorders>
              <w:top w:val="nil"/>
              <w:left w:val="nil"/>
              <w:bottom w:val="nil"/>
              <w:right w:val="nil"/>
            </w:tcBorders>
          </w:tcPr>
          <w:p w:rsidR="0025470D" w:rsidRDefault="0025470D" w:rsidP="00463700">
            <w:pPr>
              <w:tabs>
                <w:tab w:val="center" w:pos="2856"/>
              </w:tabs>
              <w:spacing w:after="0" w:line="259" w:lineRule="auto"/>
              <w:ind w:left="0" w:firstLine="0"/>
              <w:jc w:val="left"/>
            </w:pPr>
            <w:r>
              <w:t xml:space="preserve">Jan </w:t>
            </w:r>
            <w:r>
              <w:rPr>
                <w:rFonts w:ascii="Calibri" w:eastAsia="Calibri" w:hAnsi="Calibri" w:cs="Calibri"/>
              </w:rPr>
              <w:t>–</w:t>
            </w:r>
            <w:r>
              <w:t xml:space="preserve"> Nov 2017 </w:t>
            </w:r>
            <w:r>
              <w:tab/>
              <w:t xml:space="preserve">449 </w:t>
            </w:r>
          </w:p>
        </w:tc>
        <w:tc>
          <w:tcPr>
            <w:tcW w:w="2655" w:type="dxa"/>
            <w:tcBorders>
              <w:top w:val="nil"/>
              <w:left w:val="nil"/>
              <w:bottom w:val="nil"/>
              <w:right w:val="nil"/>
            </w:tcBorders>
          </w:tcPr>
          <w:p w:rsidR="0025470D" w:rsidRDefault="0025470D" w:rsidP="00463700">
            <w:pPr>
              <w:spacing w:after="0" w:line="259" w:lineRule="auto"/>
              <w:ind w:left="0" w:right="294" w:firstLine="0"/>
              <w:jc w:val="center"/>
            </w:pPr>
            <w:r>
              <w:t xml:space="preserve">23 </w:t>
            </w:r>
          </w:p>
        </w:tc>
        <w:tc>
          <w:tcPr>
            <w:tcW w:w="1547" w:type="dxa"/>
            <w:tcBorders>
              <w:top w:val="nil"/>
              <w:left w:val="nil"/>
              <w:bottom w:val="nil"/>
              <w:right w:val="nil"/>
            </w:tcBorders>
          </w:tcPr>
          <w:p w:rsidR="0025470D" w:rsidRDefault="0025470D" w:rsidP="00463700">
            <w:pPr>
              <w:spacing w:after="0" w:line="259" w:lineRule="auto"/>
              <w:ind w:left="0" w:right="136" w:firstLine="0"/>
              <w:jc w:val="center"/>
            </w:pPr>
            <w:r>
              <w:t xml:space="preserve">18 </w:t>
            </w:r>
          </w:p>
        </w:tc>
      </w:tr>
    </w:tbl>
    <w:p w:rsidR="0025470D" w:rsidRDefault="0025470D" w:rsidP="0025470D">
      <w:pPr>
        <w:spacing w:after="56" w:line="259" w:lineRule="auto"/>
        <w:ind w:left="0" w:firstLine="0"/>
        <w:jc w:val="left"/>
      </w:pPr>
      <w:r>
        <w:rPr>
          <w:b/>
        </w:rPr>
        <w:t xml:space="preserve"> </w:t>
      </w:r>
    </w:p>
    <w:p w:rsidR="0025470D" w:rsidRDefault="0025470D" w:rsidP="0025470D">
      <w:pPr>
        <w:pStyle w:val="Heading5"/>
        <w:ind w:left="-5"/>
      </w:pPr>
      <w:r>
        <w:t>Removal</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ind w:left="19" w:right="4"/>
      </w:pPr>
      <w:r>
        <w:t xml:space="preserve">2. The table below provides a breakdown of the removal orders issued since the preparation of the previous report by year and up to end November 2017. </w:t>
      </w:r>
    </w:p>
    <w:p w:rsidR="0025470D" w:rsidRDefault="0025470D" w:rsidP="0025470D">
      <w:pPr>
        <w:spacing w:after="9" w:line="259" w:lineRule="auto"/>
        <w:ind w:left="0" w:firstLine="0"/>
        <w:jc w:val="left"/>
      </w:pPr>
      <w:r>
        <w:t xml:space="preserve"> </w:t>
      </w:r>
    </w:p>
    <w:p w:rsidR="0025470D" w:rsidRDefault="0025470D" w:rsidP="0025470D">
      <w:pPr>
        <w:spacing w:after="9" w:line="259" w:lineRule="auto"/>
        <w:ind w:left="0" w:firstLine="0"/>
        <w:jc w:val="left"/>
      </w:pPr>
      <w:r>
        <w:t xml:space="preserve"> </w:t>
      </w:r>
    </w:p>
    <w:p w:rsidR="0025470D" w:rsidRDefault="0025470D" w:rsidP="0025470D">
      <w:pPr>
        <w:spacing w:after="9" w:line="259" w:lineRule="auto"/>
        <w:ind w:left="0" w:firstLine="0"/>
        <w:jc w:val="left"/>
      </w:pPr>
      <w:r>
        <w:t xml:space="preserve"> </w:t>
      </w:r>
    </w:p>
    <w:p w:rsidR="0025470D" w:rsidRDefault="0025470D" w:rsidP="0025470D">
      <w:pPr>
        <w:spacing w:after="0" w:line="259" w:lineRule="auto"/>
        <w:ind w:left="0" w:firstLine="0"/>
        <w:jc w:val="left"/>
      </w:pPr>
      <w:r>
        <w:lastRenderedPageBreak/>
        <w:t xml:space="preserve"> </w:t>
      </w:r>
    </w:p>
    <w:p w:rsidR="0025470D" w:rsidRDefault="0025470D" w:rsidP="0025470D">
      <w:pPr>
        <w:sectPr w:rsidR="0025470D">
          <w:headerReference w:type="even" r:id="rId145"/>
          <w:headerReference w:type="default" r:id="rId146"/>
          <w:footerReference w:type="even" r:id="rId147"/>
          <w:footerReference w:type="default" r:id="rId148"/>
          <w:headerReference w:type="first" r:id="rId149"/>
          <w:footerReference w:type="first" r:id="rId150"/>
          <w:pgSz w:w="11906" w:h="16838"/>
          <w:pgMar w:top="1440" w:right="1796" w:bottom="1440" w:left="1800" w:header="720" w:footer="5" w:gutter="0"/>
          <w:cols w:space="720"/>
        </w:sectPr>
      </w:pPr>
    </w:p>
    <w:p w:rsidR="0025470D" w:rsidRDefault="0025470D" w:rsidP="0025470D">
      <w:pPr>
        <w:spacing w:after="13" w:line="259" w:lineRule="auto"/>
        <w:ind w:left="0" w:firstLine="0"/>
        <w:jc w:val="left"/>
      </w:pPr>
      <w:r>
        <w:t xml:space="preserve"> </w:t>
      </w:r>
    </w:p>
    <w:p w:rsidR="0025470D" w:rsidRDefault="0025470D" w:rsidP="0025470D">
      <w:pPr>
        <w:spacing w:after="9" w:line="259" w:lineRule="auto"/>
        <w:ind w:left="256" w:firstLine="0"/>
        <w:jc w:val="center"/>
      </w:pPr>
      <w:r>
        <w:rPr>
          <w:b/>
        </w:rPr>
        <w:t xml:space="preserve"> </w:t>
      </w:r>
    </w:p>
    <w:p w:rsidR="0025470D" w:rsidRDefault="0025470D" w:rsidP="0025470D">
      <w:pPr>
        <w:spacing w:after="62" w:line="259" w:lineRule="auto"/>
        <w:ind w:left="256" w:firstLine="0"/>
        <w:jc w:val="center"/>
      </w:pPr>
      <w:r>
        <w:rPr>
          <w:b/>
        </w:rPr>
        <w:t xml:space="preserve"> </w:t>
      </w:r>
    </w:p>
    <w:p w:rsidR="0025470D" w:rsidRDefault="0025470D" w:rsidP="0025470D">
      <w:pPr>
        <w:spacing w:after="38" w:line="270" w:lineRule="auto"/>
        <w:ind w:left="267" w:right="70" w:hanging="10"/>
        <w:jc w:val="center"/>
      </w:pPr>
      <w:r>
        <w:rPr>
          <w:b/>
          <w:u w:val="single" w:color="000000"/>
        </w:rPr>
        <w:t>Year</w:t>
      </w:r>
      <w:r>
        <w:rPr>
          <w:b/>
        </w:rPr>
        <w:t xml:space="preserve"> </w:t>
      </w:r>
      <w:r>
        <w:t xml:space="preserve">Nov </w:t>
      </w:r>
      <w:r>
        <w:rPr>
          <w:rFonts w:ascii="Calibri" w:eastAsia="Calibri" w:hAnsi="Calibri" w:cs="Calibri"/>
        </w:rPr>
        <w:t>–</w:t>
      </w:r>
      <w:r>
        <w:t xml:space="preserve"> Dec 2010 </w:t>
      </w:r>
    </w:p>
    <w:p w:rsidR="0025470D" w:rsidRDefault="0025470D" w:rsidP="0025470D">
      <w:pPr>
        <w:spacing w:after="38" w:line="270" w:lineRule="auto"/>
        <w:ind w:left="635" w:right="366" w:hanging="10"/>
        <w:jc w:val="center"/>
      </w:pPr>
      <w:r>
        <w:t xml:space="preserve">2011 2012 </w:t>
      </w:r>
    </w:p>
    <w:p w:rsidR="0025470D" w:rsidRDefault="0025470D" w:rsidP="0025470D">
      <w:pPr>
        <w:spacing w:after="38" w:line="270" w:lineRule="auto"/>
        <w:ind w:left="635" w:right="435" w:hanging="10"/>
        <w:jc w:val="center"/>
      </w:pPr>
      <w:r>
        <w:t xml:space="preserve">2013 </w:t>
      </w:r>
    </w:p>
    <w:p w:rsidR="0025470D" w:rsidRDefault="0025470D" w:rsidP="0025470D">
      <w:pPr>
        <w:spacing w:after="38" w:line="270" w:lineRule="auto"/>
        <w:ind w:left="635" w:right="435" w:hanging="10"/>
        <w:jc w:val="center"/>
      </w:pPr>
      <w:r>
        <w:t xml:space="preserve">2014 </w:t>
      </w:r>
    </w:p>
    <w:p w:rsidR="0025470D" w:rsidRDefault="0025470D" w:rsidP="0025470D">
      <w:pPr>
        <w:spacing w:after="38" w:line="270" w:lineRule="auto"/>
        <w:ind w:left="635" w:right="435" w:hanging="10"/>
        <w:jc w:val="center"/>
      </w:pPr>
      <w:r>
        <w:t xml:space="preserve">2015 </w:t>
      </w:r>
    </w:p>
    <w:p w:rsidR="0025470D" w:rsidRDefault="0025470D" w:rsidP="0025470D">
      <w:pPr>
        <w:spacing w:after="38" w:line="270" w:lineRule="auto"/>
        <w:ind w:left="635" w:right="435" w:hanging="10"/>
        <w:jc w:val="center"/>
      </w:pPr>
      <w:r>
        <w:t xml:space="preserve">2016 </w:t>
      </w:r>
    </w:p>
    <w:p w:rsidR="0025470D" w:rsidRDefault="0025470D" w:rsidP="0025470D">
      <w:pPr>
        <w:spacing w:after="75" w:line="259" w:lineRule="auto"/>
        <w:ind w:left="10" w:right="54" w:hanging="10"/>
        <w:jc w:val="right"/>
      </w:pPr>
      <w:r>
        <w:t xml:space="preserve">Jan </w:t>
      </w:r>
      <w:r>
        <w:rPr>
          <w:rFonts w:ascii="Calibri" w:eastAsia="Calibri" w:hAnsi="Calibri" w:cs="Calibri"/>
        </w:rPr>
        <w:t>–</w:t>
      </w:r>
      <w:r>
        <w:t xml:space="preserve"> Nov 2017 </w:t>
      </w:r>
      <w:r>
        <w:rPr>
          <w:b/>
        </w:rPr>
        <w:t xml:space="preserve"> </w:t>
      </w:r>
      <w:r>
        <w:rPr>
          <w:b/>
        </w:rPr>
        <w:tab/>
        <w:t xml:space="preserve">Number of statutory </w:t>
      </w:r>
    </w:p>
    <w:p w:rsidR="0025470D" w:rsidRDefault="0025470D" w:rsidP="0025470D">
      <w:pPr>
        <w:pStyle w:val="Heading4"/>
        <w:spacing w:after="60"/>
        <w:ind w:left="364" w:hanging="379"/>
      </w:pPr>
      <w:r>
        <w:t xml:space="preserve">Number of removal </w:t>
      </w:r>
      <w:r>
        <w:tab/>
        <w:t xml:space="preserve">appeals received  </w:t>
      </w:r>
      <w:r>
        <w:rPr>
          <w:u w:val="single" w:color="000000"/>
        </w:rPr>
        <w:t>orders issued</w:t>
      </w:r>
      <w:r>
        <w:t xml:space="preserve"> </w:t>
      </w:r>
      <w:r>
        <w:tab/>
      </w:r>
      <w:r>
        <w:rPr>
          <w:u w:val="single" w:color="000000"/>
        </w:rPr>
        <w:t>against removal orders</w:t>
      </w:r>
      <w:r>
        <w:t xml:space="preserve"> </w:t>
      </w:r>
    </w:p>
    <w:p w:rsidR="0025470D" w:rsidRDefault="0025470D" w:rsidP="0025470D">
      <w:pPr>
        <w:tabs>
          <w:tab w:val="center" w:pos="1170"/>
          <w:tab w:val="center" w:pos="4178"/>
        </w:tabs>
        <w:spacing w:after="38" w:line="270" w:lineRule="auto"/>
        <w:ind w:left="0" w:firstLine="0"/>
        <w:jc w:val="left"/>
      </w:pPr>
      <w:r>
        <w:rPr>
          <w:rFonts w:ascii="Calibri" w:eastAsia="Calibri" w:hAnsi="Calibri" w:cs="Calibri"/>
          <w:sz w:val="22"/>
        </w:rPr>
        <w:tab/>
      </w:r>
      <w:r>
        <w:t xml:space="preserve">266 </w:t>
      </w:r>
      <w:r>
        <w:tab/>
        <w:t xml:space="preserve">143 </w:t>
      </w:r>
    </w:p>
    <w:p w:rsidR="0025470D" w:rsidRDefault="0025470D" w:rsidP="0025470D">
      <w:pPr>
        <w:numPr>
          <w:ilvl w:val="0"/>
          <w:numId w:val="26"/>
        </w:numPr>
        <w:spacing w:after="51"/>
        <w:ind w:left="1065" w:right="82" w:hanging="211"/>
      </w:pPr>
      <w:r>
        <w:t xml:space="preserve">974 </w:t>
      </w:r>
      <w:r>
        <w:tab/>
        <w:t xml:space="preserve">649 </w:t>
      </w:r>
    </w:p>
    <w:p w:rsidR="0025470D" w:rsidRDefault="0025470D" w:rsidP="0025470D">
      <w:pPr>
        <w:numPr>
          <w:ilvl w:val="0"/>
          <w:numId w:val="26"/>
        </w:numPr>
        <w:spacing w:after="51"/>
        <w:ind w:left="1065" w:right="82" w:hanging="211"/>
      </w:pPr>
      <w:r>
        <w:t xml:space="preserve">134 </w:t>
      </w:r>
      <w:r>
        <w:tab/>
        <w:t xml:space="preserve">926 </w:t>
      </w:r>
    </w:p>
    <w:p w:rsidR="0025470D" w:rsidRDefault="0025470D" w:rsidP="0025470D">
      <w:pPr>
        <w:tabs>
          <w:tab w:val="center" w:pos="1170"/>
          <w:tab w:val="center" w:pos="4178"/>
        </w:tabs>
        <w:spacing w:after="51"/>
        <w:ind w:left="0" w:firstLine="0"/>
        <w:jc w:val="left"/>
      </w:pPr>
      <w:r>
        <w:rPr>
          <w:rFonts w:ascii="Calibri" w:eastAsia="Calibri" w:hAnsi="Calibri" w:cs="Calibri"/>
          <w:sz w:val="22"/>
        </w:rPr>
        <w:tab/>
      </w:r>
      <w:r>
        <w:t xml:space="preserve">2 152 </w:t>
      </w:r>
      <w:r>
        <w:tab/>
        <w:t xml:space="preserve">826 </w:t>
      </w:r>
    </w:p>
    <w:p w:rsidR="0025470D" w:rsidRDefault="0025470D" w:rsidP="0025470D">
      <w:pPr>
        <w:tabs>
          <w:tab w:val="center" w:pos="1170"/>
          <w:tab w:val="center" w:pos="4178"/>
        </w:tabs>
        <w:spacing w:after="52"/>
        <w:ind w:left="0" w:firstLine="0"/>
        <w:jc w:val="left"/>
      </w:pPr>
      <w:r>
        <w:rPr>
          <w:rFonts w:ascii="Calibri" w:eastAsia="Calibri" w:hAnsi="Calibri" w:cs="Calibri"/>
          <w:sz w:val="22"/>
        </w:rPr>
        <w:tab/>
      </w:r>
      <w:r>
        <w:t xml:space="preserve">2 226 </w:t>
      </w:r>
      <w:r>
        <w:tab/>
        <w:t xml:space="preserve">215 </w:t>
      </w:r>
    </w:p>
    <w:p w:rsidR="0025470D" w:rsidRDefault="0025470D" w:rsidP="0025470D">
      <w:pPr>
        <w:tabs>
          <w:tab w:val="center" w:pos="1170"/>
          <w:tab w:val="center" w:pos="4178"/>
        </w:tabs>
        <w:spacing w:after="51"/>
        <w:ind w:left="0" w:firstLine="0"/>
        <w:jc w:val="left"/>
      </w:pPr>
      <w:r>
        <w:rPr>
          <w:rFonts w:ascii="Calibri" w:eastAsia="Calibri" w:hAnsi="Calibri" w:cs="Calibri"/>
          <w:sz w:val="22"/>
        </w:rPr>
        <w:tab/>
      </w:r>
      <w:r>
        <w:t xml:space="preserve">2 220 </w:t>
      </w:r>
      <w:r>
        <w:tab/>
        <w:t xml:space="preserve">452 </w:t>
      </w:r>
    </w:p>
    <w:p w:rsidR="0025470D" w:rsidRDefault="0025470D" w:rsidP="0025470D">
      <w:pPr>
        <w:tabs>
          <w:tab w:val="center" w:pos="1170"/>
          <w:tab w:val="center" w:pos="4178"/>
        </w:tabs>
        <w:spacing w:after="51"/>
        <w:ind w:left="0" w:firstLine="0"/>
        <w:jc w:val="left"/>
      </w:pPr>
      <w:r>
        <w:rPr>
          <w:rFonts w:ascii="Calibri" w:eastAsia="Calibri" w:hAnsi="Calibri" w:cs="Calibri"/>
          <w:sz w:val="22"/>
        </w:rPr>
        <w:tab/>
      </w:r>
      <w:r>
        <w:t xml:space="preserve">2 343 </w:t>
      </w:r>
      <w:r>
        <w:tab/>
        <w:t xml:space="preserve">758 </w:t>
      </w:r>
    </w:p>
    <w:p w:rsidR="0025470D" w:rsidRDefault="0025470D" w:rsidP="0025470D">
      <w:pPr>
        <w:tabs>
          <w:tab w:val="center" w:pos="1170"/>
          <w:tab w:val="center" w:pos="4178"/>
        </w:tabs>
        <w:ind w:left="0" w:firstLine="0"/>
        <w:jc w:val="left"/>
      </w:pPr>
      <w:r>
        <w:rPr>
          <w:rFonts w:ascii="Calibri" w:eastAsia="Calibri" w:hAnsi="Calibri" w:cs="Calibri"/>
          <w:sz w:val="22"/>
        </w:rPr>
        <w:tab/>
      </w:r>
      <w:r>
        <w:t xml:space="preserve">2 304 </w:t>
      </w:r>
      <w:r>
        <w:tab/>
        <w:t xml:space="preserve">503 </w:t>
      </w:r>
    </w:p>
    <w:p w:rsidR="0025470D" w:rsidRDefault="0025470D" w:rsidP="0025470D">
      <w:pPr>
        <w:sectPr w:rsidR="0025470D">
          <w:type w:val="continuous"/>
          <w:pgSz w:w="11906" w:h="16838"/>
          <w:pgMar w:top="1440" w:right="1884" w:bottom="1440" w:left="1800" w:header="720" w:footer="720" w:gutter="0"/>
          <w:cols w:num="2" w:space="720" w:equalWidth="0">
            <w:col w:w="1958" w:space="513"/>
            <w:col w:w="5752"/>
          </w:cols>
        </w:sectPr>
      </w:pPr>
    </w:p>
    <w:p w:rsidR="0025470D" w:rsidRDefault="0025470D" w:rsidP="0025470D">
      <w:pPr>
        <w:spacing w:after="58" w:line="259" w:lineRule="auto"/>
        <w:ind w:left="0" w:firstLine="0"/>
        <w:jc w:val="left"/>
      </w:pPr>
      <w:r>
        <w:rPr>
          <w:b/>
        </w:rPr>
        <w:t xml:space="preserve"> </w:t>
      </w:r>
    </w:p>
    <w:p w:rsidR="0025470D" w:rsidRDefault="0025470D" w:rsidP="0025470D">
      <w:pPr>
        <w:pStyle w:val="Heading5"/>
        <w:ind w:left="-5"/>
      </w:pPr>
      <w:r>
        <w:t>Immigration Tribunal</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spacing w:after="7121"/>
        <w:ind w:left="19" w:right="82"/>
      </w:pPr>
      <w:r>
        <w:t xml:space="preserve">3. The position remains largely as explained in paragraphs 255 and 256 of Part II of the initial report.  In the period since the preparation of the previous report up to end November 2017, there was no appeal against removal order that was considered meritorious by the Immigration Tribunal. </w:t>
      </w:r>
    </w:p>
    <w:p w:rsidR="0025470D" w:rsidRDefault="0025470D" w:rsidP="0025470D">
      <w:pPr>
        <w:spacing w:after="219" w:line="259" w:lineRule="auto"/>
        <w:ind w:left="10" w:right="73" w:hanging="10"/>
        <w:jc w:val="center"/>
      </w:pPr>
      <w:r>
        <w:rPr>
          <w:sz w:val="24"/>
        </w:rPr>
        <w:lastRenderedPageBreak/>
        <w:t xml:space="preserve">2 </w:t>
      </w:r>
    </w:p>
    <w:p w:rsidR="0025470D" w:rsidRDefault="0025470D" w:rsidP="0025470D">
      <w:pPr>
        <w:spacing w:after="563" w:line="259" w:lineRule="auto"/>
        <w:ind w:left="0" w:firstLine="0"/>
        <w:jc w:val="left"/>
      </w:pPr>
      <w:r>
        <w:rPr>
          <w:rFonts w:ascii="Calibri" w:eastAsia="Calibri" w:hAnsi="Calibri" w:cs="Calibri"/>
          <w:sz w:val="20"/>
        </w:rPr>
        <w:t xml:space="preserve"> </w:t>
      </w:r>
    </w:p>
    <w:p w:rsidR="0025470D" w:rsidRDefault="0025470D" w:rsidP="0025470D">
      <w:pPr>
        <w:spacing w:after="9" w:line="259" w:lineRule="auto"/>
        <w:ind w:left="10" w:right="54" w:hanging="10"/>
        <w:jc w:val="right"/>
      </w:pPr>
      <w:r>
        <w:rPr>
          <w:b/>
        </w:rPr>
        <w:t>Annex 14A</w:t>
      </w:r>
    </w:p>
    <w:p w:rsidR="0025470D" w:rsidRDefault="0025470D" w:rsidP="0025470D">
      <w:pPr>
        <w:spacing w:after="67" w:line="259" w:lineRule="auto"/>
        <w:ind w:left="0" w:firstLine="0"/>
        <w:jc w:val="right"/>
      </w:pPr>
      <w:r>
        <w:rPr>
          <w:b/>
        </w:rPr>
        <w:t xml:space="preserve"> </w:t>
      </w:r>
    </w:p>
    <w:p w:rsidR="0025470D" w:rsidRDefault="0025470D" w:rsidP="0025470D">
      <w:pPr>
        <w:pStyle w:val="Heading4"/>
        <w:spacing w:after="6" w:line="259" w:lineRule="auto"/>
        <w:ind w:left="180" w:right="241"/>
        <w:jc w:val="center"/>
      </w:pPr>
      <w:r>
        <w:t xml:space="preserve">Right of Access to Courts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27"/>
        </w:numPr>
        <w:ind w:right="82" w:hanging="1440"/>
      </w:pPr>
      <w:r>
        <w:t xml:space="preserve">LASC carried out another review on the issue of </w:t>
      </w:r>
    </w:p>
    <w:p w:rsidR="0025470D" w:rsidRDefault="0025470D" w:rsidP="0025470D">
      <w:pPr>
        <w:ind w:left="19" w:right="82"/>
      </w:pPr>
      <w:r>
        <w:t xml:space="preserve">independence of the legal aid system and made recommendations in 2013.  In this review, LASC considered that there was no immediate need to establish an independent legal aid authority though it would be worthwhile to revisit the independence issue from time to time.  LASC acknowledged that sufficient safeguards in statute and in practice were in place to ensure the independent administration of the legal aid service.  LASC considered that the degree of independence upheld and exercised by the Legal Aid Department (LAD) was sufficient.  Any suspicion about the lack of independence was more of a perception issue, which could be addressed by introducing improvement measures to the legal aid administration framework without the need to change LAD’s institutional structure itself. </w:t>
      </w:r>
    </w:p>
    <w:p w:rsidR="0025470D" w:rsidRDefault="0025470D" w:rsidP="0025470D">
      <w:pPr>
        <w:spacing w:after="64" w:line="259" w:lineRule="auto"/>
        <w:ind w:left="0" w:firstLine="0"/>
        <w:jc w:val="left"/>
      </w:pPr>
      <w:r>
        <w:t xml:space="preserve"> </w:t>
      </w:r>
    </w:p>
    <w:p w:rsidR="0025470D" w:rsidRDefault="0025470D" w:rsidP="0025470D">
      <w:pPr>
        <w:numPr>
          <w:ilvl w:val="0"/>
          <w:numId w:val="27"/>
        </w:numPr>
        <w:ind w:right="82" w:hanging="1440"/>
      </w:pPr>
      <w:r>
        <w:t>LASC recommended, among other things, that LAD should be re-positioned and made directly accountable to the Chief Secretary for Administration.  The Chief Executive announced in October 2017 that the Government would implement LASC’s recommendation to transfer the responsibilities for formulating legal aid policy and housekeeping LAD from the Home Affairs Bureau to Chief Secretary for Administration’s Office.</w:t>
      </w:r>
      <w:r>
        <w:rPr>
          <w:b/>
        </w:rPr>
        <w:t xml:space="preserve"> </w:t>
      </w:r>
    </w:p>
    <w:p w:rsidR="0025470D" w:rsidRDefault="0025470D" w:rsidP="0025470D">
      <w:pPr>
        <w:sectPr w:rsidR="0025470D">
          <w:type w:val="continuous"/>
          <w:pgSz w:w="11906" w:h="16838"/>
          <w:pgMar w:top="763" w:right="1728" w:bottom="723"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151"/>
          <w:headerReference w:type="default" r:id="rId152"/>
          <w:footerReference w:type="even" r:id="rId153"/>
          <w:footerReference w:type="default" r:id="rId154"/>
          <w:headerReference w:type="first" r:id="rId155"/>
          <w:footerReference w:type="first" r:id="rId156"/>
          <w:pgSz w:w="11906" w:h="16838"/>
          <w:pgMar w:top="1440" w:right="1440" w:bottom="1440" w:left="1440" w:header="720" w:footer="5" w:gutter="0"/>
          <w:cols w:space="720"/>
        </w:sectPr>
      </w:pPr>
    </w:p>
    <w:p w:rsidR="0025470D" w:rsidRDefault="0025470D" w:rsidP="0025470D">
      <w:pPr>
        <w:spacing w:after="9" w:line="259" w:lineRule="auto"/>
        <w:ind w:left="10" w:right="54" w:hanging="10"/>
        <w:jc w:val="right"/>
      </w:pPr>
      <w:r>
        <w:rPr>
          <w:b/>
        </w:rPr>
        <w:lastRenderedPageBreak/>
        <w:t>Annex 17A</w:t>
      </w:r>
    </w:p>
    <w:p w:rsidR="0025470D" w:rsidRDefault="0025470D" w:rsidP="0025470D">
      <w:pPr>
        <w:spacing w:after="9" w:line="259" w:lineRule="auto"/>
        <w:ind w:left="0" w:firstLine="0"/>
        <w:jc w:val="right"/>
      </w:pPr>
      <w:r>
        <w:rPr>
          <w:b/>
        </w:rPr>
        <w:t xml:space="preserve"> </w:t>
      </w:r>
    </w:p>
    <w:p w:rsidR="0025470D" w:rsidRDefault="0025470D" w:rsidP="0025470D">
      <w:pPr>
        <w:pStyle w:val="Heading4"/>
        <w:spacing w:after="54" w:line="259" w:lineRule="auto"/>
        <w:ind w:left="180" w:right="178"/>
        <w:jc w:val="center"/>
      </w:pPr>
      <w:r>
        <w:t xml:space="preserve">Interception of Communications and Surveillance Ordinance (Cap. 589)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28"/>
        </w:numPr>
        <w:ind w:right="82"/>
      </w:pPr>
      <w:r>
        <w:t xml:space="preserve">Under the ICSO, prior to carrying out interception of communications or covert surveillance, a LEA must obtain a “prescribed authorization” from the relevant authority.  An application for authorisation must meet the criteria that the operation is necessary for the purpose of prevention or detection of serious crime or protection of public security.  The authorising authority must be satisfied that the necessity and proportionality tests are met before issuing the authorisation.  For interception of communications and the more intrusive type of covert surveillance, the authorising authority is one of the panel judges, who must be judges of the Court of First Instance.  Less intrusive covert surveillance are authorised by designated senior officers of LEAs.  </w:t>
      </w:r>
    </w:p>
    <w:p w:rsidR="0025470D" w:rsidRDefault="0025470D" w:rsidP="0025470D">
      <w:pPr>
        <w:spacing w:after="64" w:line="259" w:lineRule="auto"/>
        <w:ind w:left="0" w:firstLine="0"/>
        <w:jc w:val="left"/>
      </w:pPr>
      <w:r>
        <w:t xml:space="preserve"> </w:t>
      </w:r>
    </w:p>
    <w:p w:rsidR="0025470D" w:rsidRDefault="0025470D" w:rsidP="0025470D">
      <w:pPr>
        <w:numPr>
          <w:ilvl w:val="0"/>
          <w:numId w:val="28"/>
        </w:numPr>
        <w:ind w:right="82"/>
      </w:pPr>
      <w:r>
        <w:t xml:space="preserve">The ICSO provides for a Commissioner on Interception of Communications and Surveillance (the Commissioner), who is an independent oversight authority and must be an “eligible judge”.  If any person suspects that covert operations have been conducted on him by any of the four designated LEAs, he may apply to the Commissioner for an examination under the ICSO.  With the enactment of the Interception of Communications and Surveillance (Amendment) Ordinance 2016, the Commissioner is provided with an express power to require the production of interception and surveillance products obtained by the LEAs under the ICSO, thereby facilitating the Commissioner’s oversight of the LEAs’ compliance with the relevant requirements.  All interception and surveillance products are required to be destroyed as soon as their retention is not necessary for the relevant purpose of the authorisation, unless it is to be or has been provided to the Commissioner pursuant to the exercise of his oversight powers. </w:t>
      </w:r>
    </w:p>
    <w:p w:rsidR="0025470D" w:rsidRDefault="0025470D" w:rsidP="0025470D">
      <w:pPr>
        <w:spacing w:after="64" w:line="259" w:lineRule="auto"/>
        <w:ind w:left="0" w:firstLine="0"/>
        <w:jc w:val="left"/>
      </w:pPr>
      <w:r>
        <w:t xml:space="preserve"> </w:t>
      </w:r>
    </w:p>
    <w:p w:rsidR="0025470D" w:rsidRDefault="0025470D" w:rsidP="0025470D">
      <w:pPr>
        <w:numPr>
          <w:ilvl w:val="0"/>
          <w:numId w:val="28"/>
        </w:numPr>
        <w:ind w:right="82"/>
      </w:pPr>
      <w:r>
        <w:t xml:space="preserve">The above legislative amendment exercise serves to enhance the effectiveness of the regime and the clarity of a number of provisions in ICSO. </w:t>
      </w:r>
    </w:p>
    <w:p w:rsidR="0025470D" w:rsidRDefault="0025470D" w:rsidP="0025470D">
      <w:pPr>
        <w:spacing w:after="0" w:line="259" w:lineRule="auto"/>
        <w:ind w:left="0" w:firstLine="0"/>
        <w:jc w:val="left"/>
      </w:pPr>
      <w:r>
        <w:t xml:space="preserve"> </w:t>
      </w:r>
    </w:p>
    <w:p w:rsidR="0025470D" w:rsidRDefault="0025470D" w:rsidP="0025470D">
      <w:pPr>
        <w:numPr>
          <w:ilvl w:val="0"/>
          <w:numId w:val="28"/>
        </w:numPr>
        <w:spacing w:after="11802"/>
        <w:ind w:right="82"/>
      </w:pPr>
      <w:r>
        <w:lastRenderedPageBreak/>
        <w:t xml:space="preserve">Over the years, the Commissioners have indicated in the annual reports that they were satisfied with the compliance of the LEAs with the requirements under the ICSO.  Since its inception in August 2006, the ICSO regime has been operating smoothly to strike a balance between the need for prevention and detection of serious crimes and the protection of public security on the one hand and the need for safeguarding the privacy and other rights of individuals on the other. </w:t>
      </w:r>
    </w:p>
    <w:p w:rsidR="0025470D" w:rsidRDefault="0025470D" w:rsidP="0025470D">
      <w:pPr>
        <w:spacing w:after="219" w:line="259" w:lineRule="auto"/>
        <w:ind w:left="10" w:right="73" w:hanging="10"/>
        <w:jc w:val="center"/>
      </w:pPr>
      <w:r>
        <w:rPr>
          <w:sz w:val="24"/>
        </w:rPr>
        <w:lastRenderedPageBreak/>
        <w:t>2</w:t>
      </w:r>
    </w:p>
    <w:p w:rsidR="0025470D" w:rsidRDefault="0025470D" w:rsidP="0025470D">
      <w:pPr>
        <w:spacing w:after="9" w:line="259" w:lineRule="auto"/>
        <w:ind w:left="10" w:right="54" w:hanging="10"/>
        <w:jc w:val="right"/>
      </w:pPr>
      <w:r>
        <w:rPr>
          <w:b/>
        </w:rPr>
        <w:t>Annex 17B</w:t>
      </w:r>
    </w:p>
    <w:p w:rsidR="0025470D" w:rsidRDefault="0025470D" w:rsidP="0025470D">
      <w:pPr>
        <w:spacing w:after="67" w:line="259" w:lineRule="auto"/>
        <w:ind w:left="0" w:right="3" w:firstLine="0"/>
        <w:jc w:val="center"/>
      </w:pPr>
      <w:r>
        <w:rPr>
          <w:b/>
        </w:rPr>
        <w:t xml:space="preserve"> </w:t>
      </w:r>
    </w:p>
    <w:p w:rsidR="0025470D" w:rsidRDefault="0025470D" w:rsidP="0025470D">
      <w:pPr>
        <w:pStyle w:val="Heading4"/>
        <w:spacing w:after="6" w:line="259" w:lineRule="auto"/>
        <w:ind w:left="180" w:right="242"/>
        <w:jc w:val="center"/>
      </w:pPr>
      <w:r>
        <w:t xml:space="preserve">Protection of data privacy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29"/>
        </w:numPr>
        <w:ind w:right="82" w:hanging="1440"/>
      </w:pPr>
      <w:r>
        <w:t xml:space="preserve">As at 31 July 2017, the Privacy Commissioner for Personal </w:t>
      </w:r>
    </w:p>
    <w:p w:rsidR="0025470D" w:rsidRDefault="0025470D" w:rsidP="0025470D">
      <w:pPr>
        <w:ind w:left="19" w:right="82"/>
      </w:pPr>
      <w:r>
        <w:t xml:space="preserve">Data was supported by 76 staff members.  Between April 2010 and July 2017, the PCPD received 13 737 complaints and 136 703 enquiries.  In the same period, the PCPD issued 198 warnings, 210 enforcement notices and referred 234 cases of suspected offences to the Police for investigation and consideration of prosecution.   </w:t>
      </w:r>
    </w:p>
    <w:p w:rsidR="0025470D" w:rsidRDefault="0025470D" w:rsidP="0025470D">
      <w:pPr>
        <w:spacing w:after="64" w:line="259" w:lineRule="auto"/>
        <w:ind w:left="994" w:firstLine="0"/>
        <w:jc w:val="left"/>
      </w:pPr>
      <w:r>
        <w:t xml:space="preserve"> </w:t>
      </w:r>
    </w:p>
    <w:p w:rsidR="0025470D" w:rsidRDefault="0025470D" w:rsidP="0025470D">
      <w:pPr>
        <w:numPr>
          <w:ilvl w:val="0"/>
          <w:numId w:val="29"/>
        </w:numPr>
        <w:ind w:right="82" w:hanging="1440"/>
      </w:pPr>
      <w:r>
        <w:t xml:space="preserve">Since the commencement of the PDPO in December 1996, the PCPD has issued three codes of practice </w:t>
      </w:r>
      <w:r>
        <w:rPr>
          <w:vertAlign w:val="superscript"/>
        </w:rPr>
        <w:footnoteReference w:id="5"/>
      </w:r>
      <w:r>
        <w:t xml:space="preserve"> , one set of guidelines, 21 guidance notes, 18 information leaflets, 16 leaflets / booklets, six books and eight infographics, that provide practical guidance for compliance with requirements of the PDPO, including recommendations on good practices.  Practical information and tips on various areas with respect to the protection and respect of personal data are also provided.   </w:t>
      </w:r>
    </w:p>
    <w:p w:rsidR="0025470D" w:rsidRDefault="0025470D" w:rsidP="0025470D">
      <w:pPr>
        <w:spacing w:after="64" w:line="259" w:lineRule="auto"/>
        <w:ind w:left="994" w:firstLine="0"/>
        <w:jc w:val="left"/>
      </w:pPr>
      <w:r>
        <w:t xml:space="preserve"> </w:t>
      </w:r>
    </w:p>
    <w:p w:rsidR="0025470D" w:rsidRDefault="0025470D" w:rsidP="0025470D">
      <w:pPr>
        <w:numPr>
          <w:ilvl w:val="0"/>
          <w:numId w:val="29"/>
        </w:numPr>
        <w:ind w:right="82" w:hanging="1440"/>
      </w:pPr>
      <w:r>
        <w:t xml:space="preserve">Some commentators noted that there have been instances of leakage of personal data with the development of information technology, and asked the Government to provide more resources to the PCPD for it to better discharge its duties.  To ensure that the PCPD has the necessary resources to effectively discharge its functions, the subvention allocated to the PCPD by the Government has increased from about $48.6 million in 2010-11 to about $76.0 million in 2017-18, an increase of more than 50%.   </w:t>
      </w:r>
    </w:p>
    <w:p w:rsidR="0025470D" w:rsidRDefault="0025470D" w:rsidP="0025470D">
      <w:pPr>
        <w:spacing w:after="63" w:line="259" w:lineRule="auto"/>
        <w:ind w:left="994" w:firstLine="0"/>
        <w:jc w:val="left"/>
      </w:pPr>
      <w:r>
        <w:t xml:space="preserve"> </w:t>
      </w:r>
    </w:p>
    <w:p w:rsidR="0025470D" w:rsidRDefault="0025470D" w:rsidP="0025470D">
      <w:pPr>
        <w:pStyle w:val="Heading5"/>
        <w:ind w:left="-5"/>
      </w:pPr>
      <w:r>
        <w:t>Amendments to the PDPO</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ind w:left="19" w:right="82"/>
      </w:pPr>
      <w:r>
        <w:lastRenderedPageBreak/>
        <w:t xml:space="preserve">4. In the light of social development and technological advancement, and also the rising public concern about protection of personal data privacy, the Constitutional and Mainland Affairs Bureau (CMAB) conducted a comprehensive review of PDPO with the support of PCPD.  In June 2012, the Personal Data (Privacy) (Amendment) Ordinance 2012, was passed by the LegCo.  The Amendment Ordinance introduced amendments to PDPO, among others, to make provisions for regulating the use or provision of personal data in direct marketing; to create a new offence for disclosure of personal data obtained without consent from data users; to empower the Privacy Commissioner to provide legal assistance to aggrieved data subjects in bringing proceedings to seek compensation from data users under PDPO; and to impose a heavier penalty for repeated contravention of enforcement notices, etc.   </w:t>
      </w:r>
    </w:p>
    <w:p w:rsidR="0025470D" w:rsidRDefault="0025470D" w:rsidP="0025470D">
      <w:pPr>
        <w:spacing w:after="64" w:line="259" w:lineRule="auto"/>
        <w:ind w:left="0" w:firstLine="0"/>
        <w:jc w:val="left"/>
      </w:pPr>
      <w:r>
        <w:t xml:space="preserve"> </w:t>
      </w:r>
    </w:p>
    <w:p w:rsidR="0025470D" w:rsidRDefault="0025470D" w:rsidP="0025470D">
      <w:pPr>
        <w:pStyle w:val="Heading5"/>
        <w:ind w:left="-5"/>
      </w:pPr>
      <w:r>
        <w:t>The potential personal data privacy risks of electronic devices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30"/>
        </w:numPr>
        <w:ind w:right="82"/>
      </w:pPr>
      <w:r>
        <w:t xml:space="preserve">The use of Internet of Things technologies has become increasingly common nowadays.  An individual’s whereabouts, data or behaviour may be tracked or monitored directly or indirectly by electronic devices carried or installed at his/her home or workplace.  In view of this, PCPD issued an infographic “Protect, Respect Personal Data – Smart Use of Internet of Things” and an information leaflet “Physical Tracking and Monitoring Through Electronic Devices” to explain the possible risks of personal data privacy associated with these tracking and monitoring, and to recommend different privacy protection measures. </w:t>
      </w:r>
    </w:p>
    <w:p w:rsidR="0025470D" w:rsidRDefault="0025470D" w:rsidP="0025470D">
      <w:pPr>
        <w:spacing w:after="64" w:line="259" w:lineRule="auto"/>
        <w:ind w:left="0" w:firstLine="0"/>
        <w:jc w:val="left"/>
      </w:pPr>
      <w:r>
        <w:t xml:space="preserve"> </w:t>
      </w:r>
    </w:p>
    <w:p w:rsidR="0025470D" w:rsidRDefault="0025470D" w:rsidP="0025470D">
      <w:pPr>
        <w:numPr>
          <w:ilvl w:val="0"/>
          <w:numId w:val="30"/>
        </w:numPr>
        <w:ind w:right="82"/>
      </w:pPr>
      <w:r>
        <w:t xml:space="preserve">Besides, using smart devices has become an integral part of daily life of the public and the mobile applications downloaded by users also bring about potential privacy risks.  Recent major incidents involving the collection of personal data by mobile applications include, (i) a location-based augmented reality game application which requires users to activate their location function and the device camera for incorporating game playing in the actual environment with the augmented reality technology, and this may involve collection and use of personal data; (ii) an instant messaging application changed its service terms and privacy policy, with intention to share users’ information with its parent company; and (iii) three “call-blocking” mobile applications collected and integrated users’ personal data for their databases.  The PCPD has </w:t>
      </w:r>
      <w:r>
        <w:lastRenderedPageBreak/>
        <w:t xml:space="preserve">taken follow-up actions to address the privacy concerns arising from these incidents.  Publicity videos and leaflets have also been made available to the public to provide recommendations on protection of personal data during the use of mobile applications.  </w:t>
      </w:r>
    </w:p>
    <w:p w:rsidR="0025470D" w:rsidRDefault="0025470D" w:rsidP="0025470D">
      <w:pPr>
        <w:spacing w:after="1017" w:line="259" w:lineRule="auto"/>
        <w:ind w:left="0" w:firstLine="0"/>
        <w:jc w:val="left"/>
      </w:pPr>
      <w:r>
        <w:t xml:space="preserve"> </w:t>
      </w:r>
    </w:p>
    <w:p w:rsidR="0025470D" w:rsidRDefault="0025470D" w:rsidP="0025470D">
      <w:pPr>
        <w:spacing w:after="219" w:line="259" w:lineRule="auto"/>
        <w:ind w:left="10" w:right="73" w:hanging="10"/>
        <w:jc w:val="center"/>
      </w:pPr>
      <w:r>
        <w:rPr>
          <w:sz w:val="24"/>
        </w:rPr>
        <w:t>2</w:t>
      </w:r>
    </w:p>
    <w:p w:rsidR="0025470D" w:rsidRDefault="0025470D" w:rsidP="0025470D">
      <w:pPr>
        <w:sectPr w:rsidR="0025470D">
          <w:headerReference w:type="even" r:id="rId157"/>
          <w:headerReference w:type="default" r:id="rId158"/>
          <w:footerReference w:type="even" r:id="rId159"/>
          <w:footerReference w:type="default" r:id="rId160"/>
          <w:headerReference w:type="first" r:id="rId161"/>
          <w:footerReference w:type="first" r:id="rId162"/>
          <w:pgSz w:w="11906" w:h="16838"/>
          <w:pgMar w:top="1538" w:right="1728" w:bottom="723" w:left="1800" w:header="720" w:footer="720" w:gutter="0"/>
          <w:cols w:space="720"/>
        </w:sectPr>
      </w:pPr>
    </w:p>
    <w:p w:rsidR="0025470D" w:rsidRDefault="0025470D" w:rsidP="0025470D">
      <w:pPr>
        <w:pStyle w:val="Heading5"/>
        <w:ind w:left="-5"/>
      </w:pPr>
      <w:r>
        <w:lastRenderedPageBreak/>
        <w:t>Webcams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ind w:left="19" w:right="82"/>
      </w:pPr>
      <w:r>
        <w:t xml:space="preserve">7. Webcams are increasingly being used by organisations and households for surveillance, so is the installation of recording devices on public transport.  Relevant personal data privacy issues have aroused public concerns.  In August 2016, images of Hong Kong residents captured from webcams in Hong Kong were featured in an exhibition at an art gallery in London, the United Kingdom, by an overseas artist for display and sale.  The PCPD contacted the data protection authority in the United Kingdom for follow-up actions.  Eventually, the artist agreed to obscure the faces of the people in the images and stopped selling prints of those images.  The PCPD also provided tips for webcam users on adopting adequate safety measures, so as to prevent captured videos or images being browsed or captured by others.  Besides, in view of the privacy concerns arising from the installation of cameras in taxis, the PCPD issued relevant guidelines in 2015, with a view to offering advice to the taxi trade and relevant data users on whether CCTV should be used and how to use it responsibly. </w:t>
      </w:r>
    </w:p>
    <w:p w:rsidR="0025470D" w:rsidRDefault="0025470D" w:rsidP="0025470D">
      <w:pPr>
        <w:spacing w:after="9" w:line="259" w:lineRule="auto"/>
        <w:ind w:left="0" w:firstLine="0"/>
        <w:jc w:val="left"/>
      </w:pPr>
      <w:r>
        <w:t xml:space="preserve"> </w:t>
      </w:r>
    </w:p>
    <w:p w:rsidR="0025470D" w:rsidRDefault="0025470D" w:rsidP="0025470D">
      <w:pPr>
        <w:pStyle w:val="Heading5"/>
        <w:spacing w:after="50"/>
        <w:ind w:left="-5"/>
      </w:pPr>
      <w:r>
        <w:t>Loss of notebook computers of the Registration and Electoral Office (REO)</w:t>
      </w:r>
      <w:r>
        <w:rPr>
          <w:u w:color="000000"/>
        </w:rPr>
        <w:t xml:space="preserve"> </w:t>
      </w:r>
      <w:r>
        <w:t>containing personal data</w:t>
      </w:r>
      <w:r>
        <w:rPr>
          <w:u w:color="000000"/>
        </w:rPr>
        <w:t xml:space="preserve"> </w:t>
      </w:r>
    </w:p>
    <w:p w:rsidR="0025470D" w:rsidRDefault="0025470D" w:rsidP="0025470D">
      <w:pPr>
        <w:spacing w:after="64" w:line="259" w:lineRule="auto"/>
        <w:ind w:left="0" w:firstLine="0"/>
        <w:jc w:val="left"/>
      </w:pPr>
      <w:r>
        <w:rPr>
          <w:color w:val="0000FF"/>
        </w:rPr>
        <w:t xml:space="preserve"> </w:t>
      </w:r>
    </w:p>
    <w:p w:rsidR="0025470D" w:rsidRDefault="0025470D" w:rsidP="0025470D">
      <w:pPr>
        <w:numPr>
          <w:ilvl w:val="0"/>
          <w:numId w:val="31"/>
        </w:numPr>
        <w:ind w:right="80" w:hanging="10"/>
      </w:pPr>
      <w:r>
        <w:t xml:space="preserve">In March 2017, the REO found two notebook computers missing on the day following the 2017 Chief Executive Election.  One of the notebook computers contained encrypted personal data of about 3.78 million Geographical Constituencies Electors, including their names, addresses and Hong Kong Identity Card numbers.  Although the data was protected by multiple layers of protection and there has been no evidence suggesting any data leakage, the incident attracted public concerns on personal data privacy in public elections.  The PCPD and a task force established by the CMAB respectively conducted investigations into the incident, and made a series of recommendations to prevent similar incidents from happening in the future.  The REO has accepted the recommendations and has implemented most of them as at January 2018.   </w:t>
      </w:r>
    </w:p>
    <w:p w:rsidR="0025470D" w:rsidRDefault="0025470D" w:rsidP="0025470D">
      <w:pPr>
        <w:spacing w:after="63" w:line="259" w:lineRule="auto"/>
        <w:ind w:left="0" w:firstLine="0"/>
        <w:jc w:val="left"/>
      </w:pPr>
      <w:r>
        <w:t xml:space="preserve"> </w:t>
      </w:r>
    </w:p>
    <w:p w:rsidR="0025470D" w:rsidRDefault="0025470D" w:rsidP="0025470D">
      <w:pPr>
        <w:numPr>
          <w:ilvl w:val="0"/>
          <w:numId w:val="31"/>
        </w:numPr>
        <w:spacing w:after="4" w:line="266" w:lineRule="auto"/>
        <w:ind w:right="80" w:hanging="10"/>
      </w:pPr>
      <w:r>
        <w:t xml:space="preserve">In addition, the PCPD issued a </w:t>
      </w:r>
      <w:r>
        <w:rPr>
          <w:i/>
        </w:rPr>
        <w:t xml:space="preserve">Guidance on Election Activities for Candidates, Government Departments, Public Opinion </w:t>
      </w:r>
    </w:p>
    <w:p w:rsidR="0025470D" w:rsidRDefault="0025470D" w:rsidP="0025470D">
      <w:pPr>
        <w:spacing w:after="648" w:line="266" w:lineRule="auto"/>
        <w:ind w:left="-5" w:right="77" w:hanging="10"/>
      </w:pPr>
      <w:r>
        <w:rPr>
          <w:i/>
        </w:rPr>
        <w:t>Research Organisations and Members of the Public</w:t>
      </w:r>
      <w:r>
        <w:t xml:space="preserve"> in January 2018, to </w:t>
      </w:r>
    </w:p>
    <w:p w:rsidR="0025470D" w:rsidRDefault="0025470D" w:rsidP="0025470D">
      <w:pPr>
        <w:spacing w:after="219" w:line="259" w:lineRule="auto"/>
        <w:ind w:left="10" w:right="99" w:hanging="10"/>
        <w:jc w:val="center"/>
      </w:pPr>
      <w:r>
        <w:rPr>
          <w:sz w:val="24"/>
        </w:rPr>
        <w:lastRenderedPageBreak/>
        <w:t>3</w:t>
      </w:r>
    </w:p>
    <w:p w:rsidR="0025470D" w:rsidRDefault="0025470D" w:rsidP="0025470D">
      <w:pPr>
        <w:spacing w:after="39"/>
        <w:ind w:left="19" w:right="82"/>
      </w:pPr>
      <w:r>
        <w:t xml:space="preserve">further raise public awareness of protection of personal data in public elections. </w:t>
      </w:r>
    </w:p>
    <w:p w:rsidR="0025470D" w:rsidRDefault="0025470D" w:rsidP="0025470D">
      <w:pPr>
        <w:spacing w:after="64" w:line="259" w:lineRule="auto"/>
        <w:ind w:left="0" w:firstLine="0"/>
        <w:jc w:val="left"/>
      </w:pPr>
      <w:r>
        <w:t xml:space="preserve"> </w:t>
      </w:r>
    </w:p>
    <w:p w:rsidR="0025470D" w:rsidRDefault="0025470D" w:rsidP="0025470D">
      <w:pPr>
        <w:pStyle w:val="Heading5"/>
        <w:ind w:left="-5"/>
      </w:pPr>
      <w:r>
        <w:t xml:space="preserve">The Hong Kong Law Reform Commission (LRC) reports on privacy </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32"/>
        </w:numPr>
        <w:ind w:right="82"/>
      </w:pPr>
      <w:r>
        <w:t xml:space="preserve">The LRC published several reports relating to privacy, one of which is a report in relation to stalking.  That report proposed to make the pursuit of a course of conduct causing another person alarm or distress a criminal offence and a civil wrong.  The Government followed up LRC’s proposals by issuing a “Consultation Paper on Stalking” in December 2011, and the consultation ended in March 2012.  In the same year, the Government reported the views collected to the CA Panel.  </w:t>
      </w:r>
    </w:p>
    <w:p w:rsidR="0025470D" w:rsidRDefault="0025470D" w:rsidP="0025470D">
      <w:pPr>
        <w:spacing w:after="64" w:line="259" w:lineRule="auto"/>
        <w:ind w:left="0" w:firstLine="0"/>
        <w:jc w:val="left"/>
      </w:pPr>
      <w:r>
        <w:t xml:space="preserve"> </w:t>
      </w:r>
    </w:p>
    <w:p w:rsidR="0025470D" w:rsidRDefault="0025470D" w:rsidP="0025470D">
      <w:pPr>
        <w:numPr>
          <w:ilvl w:val="0"/>
          <w:numId w:val="32"/>
        </w:numPr>
        <w:ind w:right="82"/>
      </w:pPr>
      <w:r>
        <w:t xml:space="preserve">In 2013, the Government commissioned the Centre for Comparative and Public Law of the University of Hong Kong (the Consultant) to study the anti-stalking legislation of overseas jurisdictions, and subsequently sought stakeholders’ views on the Consultant’s research findings and recommendations.  At the CA Panel meeting in December 2013, some members expressed strong reservations on the introduction of anti-stalking legislation in Hong Kong, while some considered that the introduction of such legislation would interfere with news reporting activities and hamper press freedom, and therefore counter-proposed that a “specified relations” approach be further explored.  However, the “specified relations” approach would only provide legal protection for a few specified types of victims, but victims in other similar contexts would not be protected.  The overseas legislations studied by the Consultant also do not single out particular relationships for protection from stalking or harassment.  As the “specified relations” approach does not treat all victims of stalking on an equal basis, it was not supported by stakeholders including those from the legal sector.  In the end, none of the proposals (i.e. the LRC’s, the Consultant’s and the “specified relations” approach) received general support by the public.  </w:t>
      </w:r>
    </w:p>
    <w:p w:rsidR="0025470D" w:rsidRDefault="0025470D" w:rsidP="0025470D">
      <w:pPr>
        <w:spacing w:after="64" w:line="259" w:lineRule="auto"/>
        <w:ind w:left="0" w:firstLine="0"/>
        <w:jc w:val="left"/>
      </w:pPr>
      <w:r>
        <w:t xml:space="preserve"> </w:t>
      </w:r>
    </w:p>
    <w:p w:rsidR="0025470D" w:rsidRDefault="0025470D" w:rsidP="0025470D">
      <w:pPr>
        <w:numPr>
          <w:ilvl w:val="0"/>
          <w:numId w:val="32"/>
        </w:numPr>
        <w:spacing w:after="642"/>
        <w:ind w:right="82"/>
      </w:pPr>
      <w:r>
        <w:t xml:space="preserve">When the LRC formulated recommendations on stalking, the main public concern was individuals stalked or harassed by former or current spouses/cohabitants/lovers and family members, money lenders, </w:t>
      </w:r>
      <w:r>
        <w:lastRenderedPageBreak/>
        <w:t xml:space="preserve">landlords and reporters.  Since the publication of the LRC report a number of measures have been introduced to enhance the protection from </w:t>
      </w:r>
    </w:p>
    <w:p w:rsidR="0025470D" w:rsidRDefault="0025470D" w:rsidP="0025470D">
      <w:pPr>
        <w:spacing w:after="219" w:line="259" w:lineRule="auto"/>
        <w:ind w:left="10" w:right="99" w:hanging="10"/>
        <w:jc w:val="center"/>
      </w:pPr>
      <w:r>
        <w:rPr>
          <w:sz w:val="24"/>
        </w:rPr>
        <w:t>4</w:t>
      </w:r>
    </w:p>
    <w:p w:rsidR="0025470D" w:rsidRDefault="0025470D" w:rsidP="0025470D">
      <w:pPr>
        <w:ind w:left="19" w:right="82"/>
      </w:pPr>
      <w:r>
        <w:t xml:space="preserve">harassment, for example by expanding the scope of and increasing the penalties under the Domestic and Cohabitation Relationships Violence Ordinance (Cap. 189) and the Landlord and Tenant (Consolidation) Ordinance (Cap. 7).  To regulate debt collection practices, the Government has imposed new licensing conditions via administrative measures under the Money Lenders Ordinance (Cap. 163).  The press industry has also established the Hong Kong Press Council to enhance professional ethical standards and to deal with complaints about privacy intrusion by newspapers.  </w:t>
      </w:r>
    </w:p>
    <w:p w:rsidR="0025470D" w:rsidRDefault="0025470D" w:rsidP="0025470D">
      <w:pPr>
        <w:spacing w:after="18" w:line="259" w:lineRule="auto"/>
        <w:ind w:left="0" w:firstLine="0"/>
        <w:jc w:val="left"/>
      </w:pPr>
      <w:r>
        <w:t xml:space="preserve"> </w:t>
      </w:r>
    </w:p>
    <w:p w:rsidR="0025470D" w:rsidRDefault="0025470D" w:rsidP="0025470D">
      <w:pPr>
        <w:spacing w:after="10419" w:line="259" w:lineRule="auto"/>
        <w:ind w:left="0" w:firstLine="0"/>
        <w:jc w:val="left"/>
      </w:pPr>
      <w:r>
        <w:rPr>
          <w:sz w:val="24"/>
        </w:rPr>
        <w:t xml:space="preserve"> </w:t>
      </w:r>
    </w:p>
    <w:p w:rsidR="0025470D" w:rsidRDefault="0025470D" w:rsidP="0025470D">
      <w:pPr>
        <w:spacing w:after="219" w:line="259" w:lineRule="auto"/>
        <w:ind w:left="10" w:right="99" w:hanging="10"/>
        <w:jc w:val="center"/>
      </w:pPr>
      <w:r>
        <w:rPr>
          <w:sz w:val="24"/>
        </w:rPr>
        <w:lastRenderedPageBreak/>
        <w:t>5</w:t>
      </w:r>
    </w:p>
    <w:p w:rsidR="0025470D" w:rsidRDefault="0025470D" w:rsidP="0025470D">
      <w:pPr>
        <w:sectPr w:rsidR="0025470D">
          <w:headerReference w:type="even" r:id="rId163"/>
          <w:headerReference w:type="default" r:id="rId164"/>
          <w:footerReference w:type="even" r:id="rId165"/>
          <w:footerReference w:type="default" r:id="rId166"/>
          <w:headerReference w:type="first" r:id="rId167"/>
          <w:footerReference w:type="first" r:id="rId168"/>
          <w:pgSz w:w="11906" w:h="16838"/>
          <w:pgMar w:top="1535" w:right="1702" w:bottom="723"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169"/>
          <w:headerReference w:type="default" r:id="rId170"/>
          <w:footerReference w:type="even" r:id="rId171"/>
          <w:footerReference w:type="default" r:id="rId172"/>
          <w:headerReference w:type="first" r:id="rId173"/>
          <w:footerReference w:type="first" r:id="rId174"/>
          <w:pgSz w:w="11906" w:h="16838"/>
          <w:pgMar w:top="1440" w:right="1440" w:bottom="1440" w:left="1440" w:header="720" w:footer="5" w:gutter="0"/>
          <w:cols w:space="720"/>
        </w:sectPr>
      </w:pPr>
    </w:p>
    <w:p w:rsidR="0025470D" w:rsidRDefault="0025470D" w:rsidP="0025470D">
      <w:pPr>
        <w:spacing w:after="563" w:line="259" w:lineRule="auto"/>
        <w:ind w:left="0" w:firstLine="0"/>
        <w:jc w:val="left"/>
      </w:pPr>
      <w:r>
        <w:rPr>
          <w:rFonts w:ascii="Calibri" w:eastAsia="Calibri" w:hAnsi="Calibri" w:cs="Calibri"/>
          <w:sz w:val="20"/>
        </w:rPr>
        <w:lastRenderedPageBreak/>
        <w:t xml:space="preserve"> </w:t>
      </w:r>
    </w:p>
    <w:p w:rsidR="0025470D" w:rsidRDefault="0025470D" w:rsidP="0025470D">
      <w:pPr>
        <w:spacing w:after="9" w:line="259" w:lineRule="auto"/>
        <w:ind w:left="10" w:right="54" w:hanging="10"/>
        <w:jc w:val="right"/>
      </w:pPr>
      <w:r>
        <w:rPr>
          <w:b/>
        </w:rPr>
        <w:t>Annex 18A</w:t>
      </w:r>
    </w:p>
    <w:p w:rsidR="0025470D" w:rsidRDefault="0025470D" w:rsidP="0025470D">
      <w:pPr>
        <w:spacing w:after="67" w:line="259" w:lineRule="auto"/>
        <w:ind w:left="0" w:firstLine="0"/>
        <w:jc w:val="left"/>
      </w:pPr>
      <w:r>
        <w:rPr>
          <w:b/>
        </w:rPr>
        <w:t xml:space="preserve"> </w:t>
      </w:r>
    </w:p>
    <w:p w:rsidR="0025470D" w:rsidRDefault="0025470D" w:rsidP="0025470D">
      <w:pPr>
        <w:pStyle w:val="Heading4"/>
        <w:spacing w:after="6" w:line="259" w:lineRule="auto"/>
        <w:ind w:left="180" w:right="171"/>
        <w:jc w:val="center"/>
      </w:pPr>
      <w:r>
        <w:t xml:space="preserve">Freedom of Religious Belief </w:t>
      </w:r>
    </w:p>
    <w:p w:rsidR="0025470D" w:rsidRDefault="0025470D" w:rsidP="0025470D">
      <w:pPr>
        <w:spacing w:after="59" w:line="259" w:lineRule="auto"/>
        <w:ind w:left="64" w:firstLine="0"/>
        <w:jc w:val="center"/>
      </w:pPr>
      <w:r>
        <w:rPr>
          <w:b/>
        </w:rPr>
        <w:t xml:space="preserve"> </w:t>
      </w:r>
    </w:p>
    <w:p w:rsidR="0025470D" w:rsidRDefault="0025470D" w:rsidP="0025470D">
      <w:pPr>
        <w:numPr>
          <w:ilvl w:val="0"/>
          <w:numId w:val="33"/>
        </w:numPr>
        <w:ind w:right="6"/>
      </w:pPr>
      <w:r>
        <w:t xml:space="preserve">Various religions, such as Buddhism, Taoism, Confucianism, Catholicism, Christianity, Islam, Hinduism, Sikhism and Judaism, coexist in Hong Kong with a considerable number of adherents.  Apart from offering religious instructions, many major religious bodies establish schools, provide health, welfare and other social services and facilities.  </w:t>
      </w:r>
    </w:p>
    <w:p w:rsidR="0025470D" w:rsidRDefault="0025470D" w:rsidP="0025470D">
      <w:pPr>
        <w:spacing w:after="64" w:line="259" w:lineRule="auto"/>
        <w:ind w:left="0" w:firstLine="0"/>
        <w:jc w:val="left"/>
      </w:pPr>
      <w:r>
        <w:t xml:space="preserve"> </w:t>
      </w:r>
    </w:p>
    <w:p w:rsidR="0025470D" w:rsidRDefault="0025470D" w:rsidP="0025470D">
      <w:pPr>
        <w:numPr>
          <w:ilvl w:val="0"/>
          <w:numId w:val="33"/>
        </w:numPr>
        <w:ind w:right="6"/>
      </w:pPr>
      <w:r>
        <w:t xml:space="preserve">Information on religious education provided by schools with or without religious background is widely accessible to the public, for example, through the Schools Profile published by the Committee on Home-School Co-operation, to inform parents before they select schools for their children.  Parents can therefore make informed choices of sending their children to schools without religious education or with education of a particular religion. </w:t>
      </w:r>
    </w:p>
    <w:p w:rsidR="0025470D" w:rsidRDefault="0025470D" w:rsidP="0025470D">
      <w:pPr>
        <w:spacing w:after="64" w:line="259" w:lineRule="auto"/>
        <w:ind w:left="0" w:firstLine="0"/>
        <w:jc w:val="left"/>
      </w:pPr>
      <w:r>
        <w:t xml:space="preserve"> </w:t>
      </w:r>
    </w:p>
    <w:p w:rsidR="0025470D" w:rsidRDefault="0025470D" w:rsidP="0025470D">
      <w:pPr>
        <w:numPr>
          <w:ilvl w:val="0"/>
          <w:numId w:val="33"/>
        </w:numPr>
        <w:ind w:right="6"/>
      </w:pPr>
      <w:r>
        <w:t xml:space="preserve">In terms of staff appointment, general guidelines on personnel matters have been given to schools in the School Administration Guide.  Schools are required to refer to the relevant legislation in drawing up their personnel management policies and procedures, which includes, among others, the legislation on equal opportunities.  The Guide also sets out the principles of fairness and transparency in recruitment and selection of staff.  More specifically, vacancy information in the advertisement should be gender-neutral and discrimination-free.  In this respect, schools, irrespective of their religious background, should observe the fairness principle in personnel matters and hence avoid individual staff being discriminated on the basis of religious belief. </w:t>
      </w:r>
    </w:p>
    <w:p w:rsidR="0025470D" w:rsidRDefault="0025470D" w:rsidP="0025470D">
      <w:pPr>
        <w:spacing w:after="64" w:line="259" w:lineRule="auto"/>
        <w:ind w:left="0" w:firstLine="0"/>
        <w:jc w:val="left"/>
      </w:pPr>
      <w:r>
        <w:t xml:space="preserve"> </w:t>
      </w:r>
    </w:p>
    <w:p w:rsidR="0025470D" w:rsidRDefault="0025470D" w:rsidP="0025470D">
      <w:pPr>
        <w:numPr>
          <w:ilvl w:val="0"/>
          <w:numId w:val="33"/>
        </w:numPr>
        <w:spacing w:after="2086"/>
        <w:ind w:right="6"/>
      </w:pPr>
      <w:r>
        <w:t>School sponsoring bodies with religious background enjoy the freedom of provision of religious education programmes according to their faith traditions in Hong Kong.  Students are free to choose or not to choose any religion in all schools.</w:t>
      </w:r>
      <w:r>
        <w:rPr>
          <w:rFonts w:ascii="Calibri" w:eastAsia="Calibri" w:hAnsi="Calibri" w:cs="Calibri"/>
          <w:sz w:val="24"/>
        </w:rPr>
        <w:t xml:space="preserve"> </w:t>
      </w:r>
    </w:p>
    <w:p w:rsidR="0025470D" w:rsidRDefault="0025470D" w:rsidP="0025470D">
      <w:pPr>
        <w:spacing w:after="219" w:line="259" w:lineRule="auto"/>
        <w:ind w:left="10" w:right="6" w:hanging="10"/>
        <w:jc w:val="center"/>
      </w:pPr>
      <w:r>
        <w:rPr>
          <w:sz w:val="24"/>
        </w:rPr>
        <w:lastRenderedPageBreak/>
        <w:t>1</w:t>
      </w:r>
    </w:p>
    <w:p w:rsidR="0025470D" w:rsidRDefault="0025470D" w:rsidP="0025470D">
      <w:pPr>
        <w:sectPr w:rsidR="0025470D">
          <w:headerReference w:type="even" r:id="rId175"/>
          <w:headerReference w:type="default" r:id="rId176"/>
          <w:footerReference w:type="even" r:id="rId177"/>
          <w:footerReference w:type="default" r:id="rId178"/>
          <w:headerReference w:type="first" r:id="rId179"/>
          <w:footerReference w:type="first" r:id="rId180"/>
          <w:pgSz w:w="11906" w:h="16838"/>
          <w:pgMar w:top="1440" w:right="1795" w:bottom="1440"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181"/>
          <w:headerReference w:type="default" r:id="rId182"/>
          <w:footerReference w:type="even" r:id="rId183"/>
          <w:footerReference w:type="default" r:id="rId184"/>
          <w:headerReference w:type="first" r:id="rId185"/>
          <w:footerReference w:type="first" r:id="rId186"/>
          <w:pgSz w:w="11906" w:h="16838"/>
          <w:pgMar w:top="1440" w:right="1440" w:bottom="1440" w:left="1440" w:header="720" w:footer="5" w:gutter="0"/>
          <w:cols w:space="720"/>
        </w:sectPr>
      </w:pPr>
    </w:p>
    <w:p w:rsidR="0025470D" w:rsidRDefault="0025470D" w:rsidP="0025470D">
      <w:pPr>
        <w:spacing w:after="9" w:line="259" w:lineRule="auto"/>
        <w:ind w:left="10" w:right="54" w:hanging="10"/>
        <w:jc w:val="right"/>
      </w:pPr>
      <w:r>
        <w:rPr>
          <w:b/>
        </w:rPr>
        <w:lastRenderedPageBreak/>
        <w:t>Annex 19A</w:t>
      </w:r>
    </w:p>
    <w:p w:rsidR="0025470D" w:rsidRDefault="0025470D" w:rsidP="0025470D">
      <w:pPr>
        <w:spacing w:after="68" w:line="259" w:lineRule="auto"/>
        <w:ind w:left="0" w:firstLine="0"/>
        <w:jc w:val="right"/>
      </w:pPr>
      <w:r>
        <w:rPr>
          <w:b/>
        </w:rPr>
        <w:t xml:space="preserve"> </w:t>
      </w:r>
    </w:p>
    <w:p w:rsidR="0025470D" w:rsidRDefault="0025470D" w:rsidP="0025470D">
      <w:pPr>
        <w:pStyle w:val="Heading4"/>
        <w:spacing w:after="6" w:line="259" w:lineRule="auto"/>
        <w:ind w:left="180" w:right="240"/>
        <w:jc w:val="center"/>
      </w:pPr>
      <w:r>
        <w:t xml:space="preserve">Access to Government-held information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34"/>
        </w:numPr>
        <w:ind w:right="82"/>
      </w:pPr>
      <w:r>
        <w:t>Since its implementation in March 1995, the Code on Access to Information has provided an effective framework to allow the general public access to a wide range of information held by the Government.  Until the end of March 2017, Government bureaux and departments received a total of 56</w:t>
      </w:r>
      <w:r>
        <w:rPr>
          <w:rFonts w:ascii="Calibri" w:eastAsia="Calibri" w:hAnsi="Calibri" w:cs="Calibri"/>
        </w:rPr>
        <w:t xml:space="preserve"> </w:t>
      </w:r>
      <w:r>
        <w:t>799 requests for information under the Code.  Of these, 3</w:t>
      </w:r>
      <w:r>
        <w:rPr>
          <w:rFonts w:ascii="Calibri" w:eastAsia="Calibri" w:hAnsi="Calibri" w:cs="Calibri"/>
        </w:rPr>
        <w:t xml:space="preserve"> </w:t>
      </w:r>
      <w:r>
        <w:t>319 requests were subsequently withdrawn by the requestors, 2</w:t>
      </w:r>
      <w:r>
        <w:rPr>
          <w:rFonts w:ascii="Calibri" w:eastAsia="Calibri" w:hAnsi="Calibri" w:cs="Calibri"/>
        </w:rPr>
        <w:t xml:space="preserve"> </w:t>
      </w:r>
      <w:r>
        <w:t>684 requests covered cases in which the bureaux</w:t>
      </w:r>
      <w:r>
        <w:rPr>
          <w:rFonts w:ascii="Calibri" w:eastAsia="Calibri" w:hAnsi="Calibri" w:cs="Calibri"/>
        </w:rPr>
        <w:t xml:space="preserve"> </w:t>
      </w:r>
      <w:r>
        <w:t>/</w:t>
      </w:r>
      <w:r>
        <w:rPr>
          <w:rFonts w:ascii="Calibri" w:eastAsia="Calibri" w:hAnsi="Calibri" w:cs="Calibri"/>
        </w:rPr>
        <w:t xml:space="preserve"> </w:t>
      </w:r>
      <w:r>
        <w:t>departments concerned did not hold the requested information and 263 requests were being processed by bureaux and departments.  Among the 50</w:t>
      </w:r>
      <w:r>
        <w:rPr>
          <w:rFonts w:ascii="Calibri" w:eastAsia="Calibri" w:hAnsi="Calibri" w:cs="Calibri"/>
        </w:rPr>
        <w:t xml:space="preserve"> </w:t>
      </w:r>
      <w:r>
        <w:t>533 requests to which the bureaux and departments had responded, 49</w:t>
      </w:r>
      <w:r>
        <w:rPr>
          <w:rFonts w:ascii="Calibri" w:eastAsia="Calibri" w:hAnsi="Calibri" w:cs="Calibri"/>
        </w:rPr>
        <w:t xml:space="preserve"> </w:t>
      </w:r>
      <w:r>
        <w:t>348 requests (98%) were met, either in full (48</w:t>
      </w:r>
      <w:r>
        <w:rPr>
          <w:rFonts w:ascii="Calibri" w:eastAsia="Calibri" w:hAnsi="Calibri" w:cs="Calibri"/>
        </w:rPr>
        <w:t xml:space="preserve"> </w:t>
      </w:r>
      <w:r>
        <w:t>252 requests) or in part (1</w:t>
      </w:r>
      <w:r>
        <w:rPr>
          <w:rFonts w:ascii="Calibri" w:eastAsia="Calibri" w:hAnsi="Calibri" w:cs="Calibri"/>
        </w:rPr>
        <w:t xml:space="preserve"> </w:t>
      </w:r>
      <w:r>
        <w:t>096 requests).  1</w:t>
      </w:r>
      <w:r>
        <w:rPr>
          <w:rFonts w:ascii="Calibri" w:eastAsia="Calibri" w:hAnsi="Calibri" w:cs="Calibri"/>
        </w:rPr>
        <w:t xml:space="preserve"> </w:t>
      </w:r>
      <w:r>
        <w:t xml:space="preserve">185 requests (2%) were refused on the grounds that they concerned matters such as defence and security; law enforcement, legal proceedings and public safety; management and operation of the public service; third party information; or privacy of the individual. </w:t>
      </w:r>
    </w:p>
    <w:p w:rsidR="0025470D" w:rsidRDefault="0025470D" w:rsidP="0025470D">
      <w:pPr>
        <w:spacing w:after="64" w:line="259" w:lineRule="auto"/>
        <w:ind w:left="0" w:firstLine="0"/>
        <w:jc w:val="left"/>
      </w:pPr>
      <w:r>
        <w:t xml:space="preserve"> </w:t>
      </w:r>
    </w:p>
    <w:p w:rsidR="0025470D" w:rsidRDefault="0025470D" w:rsidP="0025470D">
      <w:pPr>
        <w:numPr>
          <w:ilvl w:val="0"/>
          <w:numId w:val="34"/>
        </w:numPr>
        <w:ind w:right="82"/>
      </w:pPr>
      <w:r>
        <w:t xml:space="preserve">Under the Code, if a person who had requested a bureau / department to provide information considers that the bureau / department has failed to comply with any provision of the Code, the person may ask the bureau / department to review the decision.  Apart from the review mechanism, the Code provides a complaint channel under which an applicant who considers that a bureau / department has failed to properly apply any provision of the Code may lodge a complaint to the Office of The Ombudsman which is a statutory body independent of the Government. </w:t>
      </w:r>
    </w:p>
    <w:p w:rsidR="0025470D" w:rsidRDefault="0025470D" w:rsidP="0025470D">
      <w:pPr>
        <w:spacing w:after="64" w:line="259" w:lineRule="auto"/>
        <w:ind w:left="0" w:firstLine="0"/>
        <w:jc w:val="left"/>
      </w:pPr>
      <w:r>
        <w:t xml:space="preserve"> </w:t>
      </w:r>
    </w:p>
    <w:p w:rsidR="0025470D" w:rsidRDefault="0025470D" w:rsidP="0025470D">
      <w:pPr>
        <w:numPr>
          <w:ilvl w:val="0"/>
          <w:numId w:val="34"/>
        </w:numPr>
        <w:spacing w:after="1723"/>
        <w:ind w:right="82"/>
      </w:pPr>
      <w:r>
        <w:t>Between March 1995 and March 2017, The Ombudsman received 537 complaints in this regard and completed investigations into 522 cases.  Of these 522 cases, 43 were substantiated, 35 partially substantiated, 28 unsubstantiated, 332 concluded and settled after preliminary inquiries by The Ombudsman, 84 not pursued by The Ombudsman or fell outside The Ombudsman</w:t>
      </w:r>
      <w:r>
        <w:rPr>
          <w:rFonts w:ascii="Calibri" w:eastAsia="Calibri" w:hAnsi="Calibri" w:cs="Calibri"/>
        </w:rPr>
        <w:t>’</w:t>
      </w:r>
      <w:r>
        <w:t xml:space="preserve">s jurisdiction. </w:t>
      </w:r>
    </w:p>
    <w:p w:rsidR="0025470D" w:rsidRDefault="0025470D" w:rsidP="0025470D">
      <w:pPr>
        <w:spacing w:after="219" w:line="259" w:lineRule="auto"/>
        <w:ind w:left="10" w:right="73" w:hanging="10"/>
        <w:jc w:val="center"/>
      </w:pPr>
      <w:r>
        <w:rPr>
          <w:sz w:val="24"/>
        </w:rPr>
        <w:lastRenderedPageBreak/>
        <w:t>1</w:t>
      </w:r>
    </w:p>
    <w:p w:rsidR="0025470D" w:rsidRDefault="0025470D" w:rsidP="0025470D">
      <w:pPr>
        <w:sectPr w:rsidR="0025470D">
          <w:headerReference w:type="even" r:id="rId187"/>
          <w:headerReference w:type="default" r:id="rId188"/>
          <w:footerReference w:type="even" r:id="rId189"/>
          <w:footerReference w:type="default" r:id="rId190"/>
          <w:headerReference w:type="first" r:id="rId191"/>
          <w:footerReference w:type="first" r:id="rId192"/>
          <w:pgSz w:w="11906" w:h="16838"/>
          <w:pgMar w:top="1440" w:right="1728" w:bottom="1440"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193"/>
          <w:headerReference w:type="default" r:id="rId194"/>
          <w:footerReference w:type="even" r:id="rId195"/>
          <w:footerReference w:type="default" r:id="rId196"/>
          <w:headerReference w:type="first" r:id="rId197"/>
          <w:footerReference w:type="first" r:id="rId198"/>
          <w:pgSz w:w="11906" w:h="16838"/>
          <w:pgMar w:top="1440" w:right="1440" w:bottom="1440" w:left="1440" w:header="720" w:footer="5" w:gutter="0"/>
          <w:cols w:space="720"/>
        </w:sectPr>
      </w:pPr>
    </w:p>
    <w:p w:rsidR="0025470D" w:rsidRDefault="0025470D" w:rsidP="0025470D">
      <w:pPr>
        <w:spacing w:after="9" w:line="259" w:lineRule="auto"/>
        <w:ind w:left="10" w:right="54" w:hanging="10"/>
        <w:jc w:val="right"/>
      </w:pPr>
      <w:r>
        <w:rPr>
          <w:b/>
        </w:rPr>
        <w:lastRenderedPageBreak/>
        <w:t>Annex 19B</w:t>
      </w:r>
    </w:p>
    <w:p w:rsidR="0025470D" w:rsidRDefault="0025470D" w:rsidP="0025470D">
      <w:pPr>
        <w:spacing w:after="9" w:line="259" w:lineRule="auto"/>
        <w:ind w:left="0" w:firstLine="0"/>
        <w:jc w:val="right"/>
      </w:pPr>
      <w:r>
        <w:rPr>
          <w:b/>
        </w:rPr>
        <w:t xml:space="preserve"> </w:t>
      </w:r>
    </w:p>
    <w:p w:rsidR="0025470D" w:rsidRDefault="0025470D" w:rsidP="0025470D">
      <w:pPr>
        <w:pStyle w:val="Heading4"/>
        <w:spacing w:after="6" w:line="259" w:lineRule="auto"/>
        <w:ind w:left="180" w:right="241"/>
        <w:jc w:val="center"/>
      </w:pPr>
      <w:r>
        <w:t xml:space="preserve">Regulation and Licensing of the Broadcast Media,  Radio Television Hong Kong, Film Classification System,  Appeals Against the Decision of the Film Censorship Authority and the censors, Regulation of Obscene and Indecent articles, and Management of Libraries and Museums </w:t>
      </w:r>
    </w:p>
    <w:p w:rsidR="0025470D" w:rsidRDefault="0025470D" w:rsidP="0025470D">
      <w:pPr>
        <w:spacing w:after="4" w:line="259" w:lineRule="auto"/>
        <w:ind w:left="0" w:firstLine="0"/>
        <w:jc w:val="right"/>
      </w:pPr>
      <w:r>
        <w:rPr>
          <w:b/>
        </w:rPr>
        <w:t xml:space="preserve"> </w:t>
      </w:r>
    </w:p>
    <w:p w:rsidR="0025470D" w:rsidRDefault="0025470D" w:rsidP="0025470D">
      <w:pPr>
        <w:pStyle w:val="Heading5"/>
        <w:ind w:left="-5"/>
      </w:pPr>
      <w:r>
        <w:t>Regulation and licensing of the broadcast media</w:t>
      </w:r>
      <w:r>
        <w:rPr>
          <w:u w:color="000000"/>
        </w:rPr>
        <w:t xml:space="preserve"> </w:t>
      </w:r>
    </w:p>
    <w:p w:rsidR="0025470D" w:rsidRDefault="0025470D" w:rsidP="0025470D">
      <w:pPr>
        <w:spacing w:after="9" w:line="259" w:lineRule="auto"/>
        <w:ind w:left="0" w:firstLine="0"/>
        <w:jc w:val="left"/>
      </w:pPr>
      <w:r>
        <w:t xml:space="preserve"> </w:t>
      </w:r>
    </w:p>
    <w:p w:rsidR="0025470D" w:rsidRDefault="0025470D" w:rsidP="0025470D">
      <w:pPr>
        <w:numPr>
          <w:ilvl w:val="0"/>
          <w:numId w:val="35"/>
        </w:numPr>
        <w:ind w:right="82"/>
      </w:pPr>
      <w:r>
        <w:t xml:space="preserve">Since the submission of the previous report, a domestic free television programme (free TV) service licensee has ceased operation in 2016, and two new free TV licences were granted in 2015 and 2016 respectively.  The entry of new television broadcasters has enhanced competition in the television industry, providing more diverse programme choices for the public.  In addition, RTHK, Hong Kong’s public service broadcaster (PSB), launched its own digital terrestrial television service in 2014.   </w:t>
      </w:r>
    </w:p>
    <w:p w:rsidR="0025470D" w:rsidRDefault="0025470D" w:rsidP="0025470D">
      <w:pPr>
        <w:spacing w:after="9" w:line="259" w:lineRule="auto"/>
        <w:ind w:left="0" w:firstLine="0"/>
        <w:jc w:val="left"/>
      </w:pPr>
      <w:r>
        <w:t xml:space="preserve"> </w:t>
      </w:r>
    </w:p>
    <w:p w:rsidR="0025470D" w:rsidRDefault="0025470D" w:rsidP="0025470D">
      <w:pPr>
        <w:numPr>
          <w:ilvl w:val="0"/>
          <w:numId w:val="35"/>
        </w:numPr>
        <w:ind w:right="82"/>
      </w:pPr>
      <w:r>
        <w:t xml:space="preserve">The three commercial television broadcasters are now providing eight digital free television channels and the simulcast of three digital channels on the analogue platform.  RTHK is providing three digital free television channels of which two are simulcast on the analogue platform. </w:t>
      </w:r>
    </w:p>
    <w:p w:rsidR="0025470D" w:rsidRDefault="0025470D" w:rsidP="0025470D">
      <w:pPr>
        <w:spacing w:after="9" w:line="259" w:lineRule="auto"/>
        <w:ind w:left="0" w:firstLine="0"/>
        <w:jc w:val="left"/>
      </w:pPr>
      <w:r>
        <w:t xml:space="preserve"> </w:t>
      </w:r>
    </w:p>
    <w:p w:rsidR="0025470D" w:rsidRDefault="0025470D" w:rsidP="0025470D">
      <w:pPr>
        <w:numPr>
          <w:ilvl w:val="0"/>
          <w:numId w:val="35"/>
        </w:numPr>
        <w:ind w:right="82"/>
      </w:pPr>
      <w:r>
        <w:t xml:space="preserve">As for sound broadcasting, the licences of the two commercial broadcasters have been renewed in 2016 for a term of 12 years.  Together with RTHK, they provide a total of 13 analogue radio channels. </w:t>
      </w:r>
    </w:p>
    <w:p w:rsidR="0025470D" w:rsidRDefault="0025470D" w:rsidP="0025470D">
      <w:pPr>
        <w:spacing w:after="9" w:line="259" w:lineRule="auto"/>
        <w:ind w:left="0" w:firstLine="0"/>
        <w:jc w:val="left"/>
      </w:pPr>
      <w:r>
        <w:t xml:space="preserve"> </w:t>
      </w:r>
    </w:p>
    <w:p w:rsidR="0025470D" w:rsidRDefault="0025470D" w:rsidP="0025470D">
      <w:pPr>
        <w:numPr>
          <w:ilvl w:val="0"/>
          <w:numId w:val="35"/>
        </w:numPr>
        <w:ind w:right="82"/>
      </w:pPr>
      <w:r>
        <w:t xml:space="preserve">The Government granted licences for digital audio broadcasting (DAB) in 2011 to three commercial operators.  RTHK also commenced its DAB services in 2012.  In 2015-16, all three commercial operators exited the market.  In view of this development, in March 2017, the Government, having completed a review of the development of the DAB market in Hong Kong, decided that all DAB services should be discontinued in Hong Kong. </w:t>
      </w:r>
    </w:p>
    <w:p w:rsidR="0025470D" w:rsidRDefault="0025470D" w:rsidP="0025470D">
      <w:pPr>
        <w:spacing w:after="0" w:line="259" w:lineRule="auto"/>
        <w:ind w:left="0" w:firstLine="0"/>
        <w:jc w:val="left"/>
      </w:pPr>
      <w:r>
        <w:t xml:space="preserve"> </w:t>
      </w:r>
    </w:p>
    <w:p w:rsidR="0025470D" w:rsidRDefault="0025470D" w:rsidP="0025470D">
      <w:pPr>
        <w:numPr>
          <w:ilvl w:val="0"/>
          <w:numId w:val="35"/>
        </w:numPr>
        <w:ind w:right="82"/>
      </w:pPr>
      <w:r>
        <w:lastRenderedPageBreak/>
        <w:t>Under the current regulatory regimes for television broadcasting and sound broadcasting, the Communications Authority</w:t>
      </w:r>
      <w:r>
        <w:rPr>
          <w:sz w:val="25"/>
          <w:vertAlign w:val="superscript"/>
        </w:rPr>
        <w:footnoteReference w:id="6"/>
      </w:r>
      <w:r>
        <w:t xml:space="preserve"> has published codes of practice for programming and advertising with which the licensees must comply.  There is no pre-censorship of broadcast material.  Broadcasters enjoy editorial independence in their operations and programming as long as they comply with the law and codes of practice.   </w:t>
      </w:r>
    </w:p>
    <w:p w:rsidR="0025470D" w:rsidRDefault="0025470D" w:rsidP="0025470D">
      <w:pPr>
        <w:spacing w:after="9" w:line="259" w:lineRule="auto"/>
        <w:ind w:left="0" w:firstLine="0"/>
        <w:jc w:val="left"/>
      </w:pPr>
      <w:r>
        <w:t xml:space="preserve"> </w:t>
      </w:r>
    </w:p>
    <w:p w:rsidR="0025470D" w:rsidRDefault="0025470D" w:rsidP="0025470D">
      <w:pPr>
        <w:numPr>
          <w:ilvl w:val="0"/>
          <w:numId w:val="35"/>
        </w:numPr>
        <w:ind w:right="82"/>
      </w:pPr>
      <w:r>
        <w:t xml:space="preserve">The regulatory regimes for television broadcasting and sound broadcasting are well established.  The Government is reviewing the regulatory regimes under the Broadcasting Ordinance and Telecommunications Ordinance with a view to dovetailing them with the rapidly changing broadcasting landscape and technologies. </w:t>
      </w:r>
    </w:p>
    <w:p w:rsidR="0025470D" w:rsidRDefault="0025470D" w:rsidP="0025470D">
      <w:pPr>
        <w:spacing w:after="4" w:line="259" w:lineRule="auto"/>
        <w:ind w:left="0" w:firstLine="0"/>
        <w:jc w:val="left"/>
      </w:pPr>
      <w:r>
        <w:rPr>
          <w:b/>
        </w:rPr>
        <w:t xml:space="preserve"> </w:t>
      </w:r>
    </w:p>
    <w:p w:rsidR="0025470D" w:rsidRDefault="0025470D" w:rsidP="0025470D">
      <w:pPr>
        <w:pStyle w:val="Heading5"/>
        <w:ind w:left="-5"/>
      </w:pPr>
      <w:r>
        <w:t>Radio Television Hong Kong</w:t>
      </w:r>
      <w:r>
        <w:rPr>
          <w:u w:color="000000"/>
        </w:rPr>
        <w:t xml:space="preserve"> </w:t>
      </w:r>
    </w:p>
    <w:p w:rsidR="0025470D" w:rsidRDefault="0025470D" w:rsidP="0025470D">
      <w:pPr>
        <w:spacing w:after="4" w:line="259" w:lineRule="auto"/>
        <w:ind w:left="0" w:firstLine="0"/>
        <w:jc w:val="left"/>
      </w:pPr>
      <w:r>
        <w:rPr>
          <w:b/>
        </w:rPr>
        <w:t xml:space="preserve"> </w:t>
      </w:r>
    </w:p>
    <w:p w:rsidR="0025470D" w:rsidRDefault="0025470D" w:rsidP="0025470D">
      <w:pPr>
        <w:numPr>
          <w:ilvl w:val="0"/>
          <w:numId w:val="36"/>
        </w:numPr>
        <w:ind w:right="82"/>
      </w:pPr>
      <w:r>
        <w:t xml:space="preserve">In paragraphs 220 and 221 of the previous report, we reported that the Government promulgated the RTHK Charter in 2010 in which it defines the role of RTHK as a PSB, sets out its public purposes and mission and enshrines the editorial independence of RTHK. </w:t>
      </w:r>
    </w:p>
    <w:p w:rsidR="0025470D" w:rsidRDefault="0025470D" w:rsidP="0025470D">
      <w:pPr>
        <w:spacing w:after="9" w:line="259" w:lineRule="auto"/>
        <w:ind w:left="0" w:firstLine="0"/>
        <w:jc w:val="left"/>
      </w:pPr>
      <w:r>
        <w:t xml:space="preserve"> </w:t>
      </w:r>
    </w:p>
    <w:p w:rsidR="0025470D" w:rsidRDefault="0025470D" w:rsidP="0025470D">
      <w:pPr>
        <w:numPr>
          <w:ilvl w:val="0"/>
          <w:numId w:val="36"/>
        </w:numPr>
        <w:ind w:right="82"/>
      </w:pPr>
      <w:r>
        <w:t>To fulfill its mission as the PSB of Hong Kong, RTHK has embarked on various initiatives including the launch of digital terrestrial television broadcasting and community involvement broadcasting service (CIBS).  The CIBS aims to encourage community and ethnic minority organisations and individuals to participate in broadcasting, and participants may seek support from the Community Involvement Broadcasting Fund.  The CIBS is now being broadcasted for 16 hours per week.</w:t>
      </w:r>
      <w:r>
        <w:rPr>
          <w:b/>
        </w:rPr>
        <w:t xml:space="preserve"> </w:t>
      </w:r>
    </w:p>
    <w:p w:rsidR="0025470D" w:rsidRDefault="0025470D" w:rsidP="0025470D">
      <w:pPr>
        <w:spacing w:after="4" w:line="259" w:lineRule="auto"/>
        <w:ind w:left="0" w:firstLine="0"/>
        <w:jc w:val="left"/>
      </w:pPr>
      <w:r>
        <w:rPr>
          <w:b/>
        </w:rPr>
        <w:t xml:space="preserve"> </w:t>
      </w:r>
    </w:p>
    <w:p w:rsidR="0025470D" w:rsidRDefault="0025470D" w:rsidP="0025470D">
      <w:pPr>
        <w:pStyle w:val="Heading5"/>
        <w:ind w:left="-5"/>
      </w:pPr>
      <w:r>
        <w:t>Film classification system</w:t>
      </w:r>
      <w:r>
        <w:rPr>
          <w:u w:color="000000"/>
        </w:rPr>
        <w:t xml:space="preserve"> </w:t>
      </w:r>
    </w:p>
    <w:p w:rsidR="0025470D" w:rsidRDefault="0025470D" w:rsidP="0025470D">
      <w:pPr>
        <w:spacing w:after="4" w:line="259" w:lineRule="auto"/>
        <w:ind w:left="0" w:firstLine="0"/>
        <w:jc w:val="left"/>
      </w:pPr>
      <w:r>
        <w:rPr>
          <w:b/>
        </w:rPr>
        <w:t xml:space="preserve"> </w:t>
      </w:r>
    </w:p>
    <w:p w:rsidR="0025470D" w:rsidRDefault="0025470D" w:rsidP="0025470D">
      <w:pPr>
        <w:ind w:left="19" w:right="82"/>
      </w:pPr>
      <w:r>
        <w:t xml:space="preserve">9. The position is essentially the same as reported in paragraphs 347 and 348 of Part II of the initial report, except that reference to the Commissioner for Television and Entertainment Licensing in paragraph </w:t>
      </w:r>
      <w:r>
        <w:lastRenderedPageBreak/>
        <w:t xml:space="preserve">347 is to be replaced by the Director of Film, Newspaper and Article Administration as a result of the Government’s re-organisation in 2012. </w:t>
      </w:r>
    </w:p>
    <w:p w:rsidR="0025470D" w:rsidRDefault="0025470D" w:rsidP="0025470D">
      <w:pPr>
        <w:spacing w:after="9" w:line="259" w:lineRule="auto"/>
        <w:ind w:left="0" w:firstLine="0"/>
        <w:jc w:val="left"/>
      </w:pPr>
      <w:r>
        <w:t xml:space="preserve"> </w:t>
      </w:r>
    </w:p>
    <w:p w:rsidR="0025470D" w:rsidRDefault="0025470D" w:rsidP="0025470D">
      <w:pPr>
        <w:pStyle w:val="Heading5"/>
        <w:ind w:left="-5"/>
      </w:pPr>
      <w:r>
        <w:t>Appeals against the decision of the Film Censorship Authority and the</w:t>
      </w:r>
      <w:r>
        <w:rPr>
          <w:u w:color="000000"/>
        </w:rPr>
        <w:t xml:space="preserve"> </w:t>
      </w:r>
      <w:r>
        <w:t>censors</w:t>
      </w:r>
      <w:r>
        <w:rPr>
          <w:u w:color="000000"/>
        </w:rPr>
        <w:t xml:space="preserve"> </w:t>
      </w:r>
    </w:p>
    <w:p w:rsidR="0025470D" w:rsidRDefault="0025470D" w:rsidP="0025470D">
      <w:pPr>
        <w:spacing w:after="9" w:line="259" w:lineRule="auto"/>
        <w:ind w:left="0" w:firstLine="0"/>
        <w:jc w:val="left"/>
      </w:pPr>
      <w:r>
        <w:t xml:space="preserve"> </w:t>
      </w:r>
    </w:p>
    <w:p w:rsidR="0025470D" w:rsidRDefault="0025470D" w:rsidP="0025470D">
      <w:pPr>
        <w:ind w:left="19" w:right="82"/>
      </w:pPr>
      <w:r>
        <w:t xml:space="preserve">10. The position is essentially as explained in paragraph 349 of Part II of the initial report and paragraph 225 of the previous report. </w:t>
      </w:r>
    </w:p>
    <w:p w:rsidR="0025470D" w:rsidRDefault="0025470D" w:rsidP="0025470D">
      <w:pPr>
        <w:spacing w:after="9" w:line="259" w:lineRule="auto"/>
        <w:ind w:left="0" w:firstLine="0"/>
        <w:jc w:val="left"/>
      </w:pPr>
      <w:r>
        <w:t xml:space="preserve"> </w:t>
      </w:r>
    </w:p>
    <w:p w:rsidR="0025470D" w:rsidRDefault="0025470D" w:rsidP="0025470D">
      <w:pPr>
        <w:pStyle w:val="Heading5"/>
        <w:ind w:left="-5"/>
      </w:pPr>
      <w:r>
        <w:t>Regulation of obscene and indecent articles</w:t>
      </w:r>
      <w:r>
        <w:rPr>
          <w:u w:color="000000"/>
        </w:rPr>
        <w:t xml:space="preserve"> </w:t>
      </w:r>
    </w:p>
    <w:p w:rsidR="0025470D" w:rsidRDefault="0025470D" w:rsidP="0025470D">
      <w:pPr>
        <w:spacing w:after="4" w:line="259" w:lineRule="auto"/>
        <w:ind w:left="0" w:firstLine="0"/>
        <w:jc w:val="left"/>
      </w:pPr>
      <w:r>
        <w:rPr>
          <w:b/>
        </w:rPr>
        <w:t xml:space="preserve"> </w:t>
      </w:r>
    </w:p>
    <w:p w:rsidR="0025470D" w:rsidRDefault="0025470D" w:rsidP="0025470D">
      <w:pPr>
        <w:ind w:left="19" w:right="82"/>
      </w:pPr>
      <w:r>
        <w:t xml:space="preserve">11. The position is essentially as explained in paragraphs 350 to 354 of Part II of the initial report and paragraph 226 of the previous report, except that reference to the Television and Entertainment Licensing Authority in paragraph 352 is to be replaced by the Office for Film, </w:t>
      </w:r>
    </w:p>
    <w:p w:rsidR="0025470D" w:rsidRDefault="0025470D" w:rsidP="0025470D">
      <w:pPr>
        <w:ind w:left="19" w:right="82"/>
      </w:pPr>
      <w:r>
        <w:t xml:space="preserve">Newspaper and Article Administration as a result of the Government’s reorganisation in 2012. </w:t>
      </w:r>
    </w:p>
    <w:p w:rsidR="0025470D" w:rsidRDefault="0025470D" w:rsidP="0025470D">
      <w:pPr>
        <w:spacing w:after="9" w:line="259" w:lineRule="auto"/>
        <w:ind w:left="0" w:firstLine="0"/>
        <w:jc w:val="left"/>
      </w:pPr>
      <w:r>
        <w:t xml:space="preserve"> </w:t>
      </w:r>
    </w:p>
    <w:p w:rsidR="0025470D" w:rsidRDefault="0025470D" w:rsidP="0025470D">
      <w:pPr>
        <w:pStyle w:val="Heading5"/>
        <w:ind w:left="-5"/>
      </w:pPr>
      <w:r>
        <w:t>Management of libraries and museums</w:t>
      </w:r>
      <w:r>
        <w:rPr>
          <w:u w:color="000000"/>
        </w:rPr>
        <w:t xml:space="preserve"> </w:t>
      </w:r>
    </w:p>
    <w:p w:rsidR="0025470D" w:rsidRDefault="0025470D" w:rsidP="0025470D">
      <w:pPr>
        <w:spacing w:after="4" w:line="259" w:lineRule="auto"/>
        <w:ind w:left="0" w:firstLine="0"/>
        <w:jc w:val="left"/>
      </w:pPr>
      <w:r>
        <w:rPr>
          <w:b/>
        </w:rPr>
        <w:t xml:space="preserve"> </w:t>
      </w:r>
    </w:p>
    <w:p w:rsidR="0025470D" w:rsidRDefault="0025470D" w:rsidP="0025470D">
      <w:pPr>
        <w:numPr>
          <w:ilvl w:val="0"/>
          <w:numId w:val="37"/>
        </w:numPr>
        <w:ind w:right="82"/>
      </w:pPr>
      <w:r>
        <w:t xml:space="preserve">Some commentators raised concerns about whether the criteria in selecting and purchasing library books with different political orientations comply with the UNESCO Public Library Manifesto.  The Hong Kong Public Libraries have been following the principles laid down in the UNESCO Public Library Manifesto in acquiring library materials for the provision of a balanced and diversified library collection to meet the needs of people of different ages and sectors for information, research, selflearning and leisure reading.  </w:t>
      </w:r>
    </w:p>
    <w:p w:rsidR="0025470D" w:rsidRDefault="0025470D" w:rsidP="0025470D">
      <w:pPr>
        <w:spacing w:after="9" w:line="259" w:lineRule="auto"/>
        <w:ind w:left="0" w:firstLine="0"/>
        <w:jc w:val="left"/>
      </w:pPr>
      <w:r>
        <w:t xml:space="preserve"> </w:t>
      </w:r>
    </w:p>
    <w:p w:rsidR="0025470D" w:rsidRDefault="0025470D" w:rsidP="0025470D">
      <w:pPr>
        <w:numPr>
          <w:ilvl w:val="0"/>
          <w:numId w:val="37"/>
        </w:numPr>
        <w:ind w:right="82"/>
      </w:pPr>
      <w:r>
        <w:t xml:space="preserve">In October 2010, the Government established three Museum Advisory Panels to enhance the management and operation of public museums so as to better cater for the needs of society, and to increase professional and community involvement in the promotion of the public museums.  The Government has put greater emphasis on developing holistic policies to tackle management and operational issues as well as devising strategic plans to follow up the initiatives on community involvement, museum branding and merchandising, museum volunteers scheme, promotion and delivery of public museum services at the </w:t>
      </w:r>
      <w:r>
        <w:lastRenderedPageBreak/>
        <w:t xml:space="preserve">corporate level etc.  In this regard, the new Museum Advisory Committee (MAC), supported by three standing sub-committees (namely Art Subcommittee, History Sub-committee and Science Sub-committee), has been established since October 2016 to succeed the former three Panels and continues to advise the Leisure and Cultural Services Department on the strategies for development, promotion and management of the respective streams of public museums.  Like the former Panels, MAC and its three standing sub-committees comprise individuals of different backgrounds with a great wealth of professional expertise and experiences relevant to the work of the museums in the respective streams.  They include professionals, academics, museum experts, artists, collectors, art promoters, entrepreneurs, marketing and public relations experts, and community leaders.  They help formulate strategies to pursue the missions of public museums and enhance their ability to fulfil them, further sharpen the identity and focus of museums, and enhance their educational role.  MAC and its three standing sub-committees also continue to inject new ideas into the work and operation of the museums and help formulate dynamic and creative plans to attract young visitors and widen the audience base. </w:t>
      </w:r>
      <w:r>
        <w:rPr>
          <w:rFonts w:ascii="Calibri" w:eastAsia="Calibri" w:hAnsi="Calibri" w:cs="Calibri"/>
          <w:sz w:val="24"/>
        </w:rPr>
        <w:t xml:space="preserve"> </w:t>
      </w:r>
    </w:p>
    <w:p w:rsidR="0025470D" w:rsidRDefault="0025470D" w:rsidP="0025470D">
      <w:pPr>
        <w:sectPr w:rsidR="0025470D">
          <w:headerReference w:type="even" r:id="rId199"/>
          <w:headerReference w:type="default" r:id="rId200"/>
          <w:footerReference w:type="even" r:id="rId201"/>
          <w:footerReference w:type="default" r:id="rId202"/>
          <w:headerReference w:type="first" r:id="rId203"/>
          <w:footerReference w:type="first" r:id="rId204"/>
          <w:pgSz w:w="11906" w:h="16838"/>
          <w:pgMar w:top="1483" w:right="1728" w:bottom="1445" w:left="1800" w:header="720" w:footer="723" w:gutter="0"/>
          <w:pgNumType w:start="1"/>
          <w:cols w:space="720"/>
          <w:titlePg/>
        </w:sectPr>
      </w:pPr>
    </w:p>
    <w:p w:rsidR="0025470D" w:rsidRDefault="0025470D" w:rsidP="0025470D">
      <w:pPr>
        <w:spacing w:after="620" w:line="259" w:lineRule="auto"/>
        <w:ind w:left="0" w:firstLine="0"/>
        <w:jc w:val="left"/>
      </w:pPr>
      <w:r>
        <w:rPr>
          <w:rFonts w:ascii="Calibri" w:eastAsia="Calibri" w:hAnsi="Calibri" w:cs="Calibri"/>
          <w:sz w:val="20"/>
        </w:rPr>
        <w:lastRenderedPageBreak/>
        <w:t xml:space="preserve"> </w:t>
      </w:r>
    </w:p>
    <w:p w:rsidR="0025470D" w:rsidRDefault="0025470D" w:rsidP="0025470D">
      <w:pPr>
        <w:spacing w:after="9" w:line="259" w:lineRule="auto"/>
        <w:ind w:left="10" w:right="54" w:hanging="10"/>
        <w:jc w:val="right"/>
      </w:pPr>
      <w:r>
        <w:rPr>
          <w:b/>
        </w:rPr>
        <w:t xml:space="preserve">Annex 21A </w:t>
      </w:r>
    </w:p>
    <w:p w:rsidR="0025470D" w:rsidRDefault="0025470D" w:rsidP="0025470D">
      <w:pPr>
        <w:spacing w:after="68" w:line="259" w:lineRule="auto"/>
        <w:ind w:left="0" w:firstLine="0"/>
        <w:jc w:val="right"/>
      </w:pPr>
      <w:r>
        <w:rPr>
          <w:b/>
        </w:rPr>
        <w:t xml:space="preserve"> </w:t>
      </w:r>
    </w:p>
    <w:p w:rsidR="0025470D" w:rsidRDefault="0025470D" w:rsidP="0025470D">
      <w:pPr>
        <w:pStyle w:val="Heading4"/>
        <w:spacing w:after="6" w:line="259" w:lineRule="auto"/>
        <w:ind w:left="180" w:right="246"/>
        <w:jc w:val="center"/>
      </w:pPr>
      <w:r>
        <w:t xml:space="preserve">Use of Body Worn Video Cameras by the Police </w:t>
      </w:r>
    </w:p>
    <w:p w:rsidR="0025470D" w:rsidRDefault="0025470D" w:rsidP="0025470D">
      <w:pPr>
        <w:spacing w:after="64" w:line="259" w:lineRule="auto"/>
        <w:ind w:left="0" w:firstLine="0"/>
        <w:jc w:val="left"/>
      </w:pPr>
      <w:r>
        <w:t xml:space="preserve"> </w:t>
      </w:r>
    </w:p>
    <w:p w:rsidR="0025470D" w:rsidRDefault="0025470D" w:rsidP="0025470D">
      <w:pPr>
        <w:numPr>
          <w:ilvl w:val="0"/>
          <w:numId w:val="38"/>
        </w:numPr>
        <w:ind w:right="82" w:hanging="1440"/>
      </w:pPr>
      <w:r>
        <w:t xml:space="preserve">At present, uniformed police officers will use body worn video cameras (BWVCs) for recording and collecting evidence in confrontational scenarios, or incidents where a breach of the peace has occurred or is likely to occur. </w:t>
      </w:r>
    </w:p>
    <w:p w:rsidR="0025470D" w:rsidRDefault="0025470D" w:rsidP="0025470D">
      <w:pPr>
        <w:spacing w:after="64" w:line="259" w:lineRule="auto"/>
        <w:ind w:left="0" w:firstLine="0"/>
        <w:jc w:val="left"/>
      </w:pPr>
      <w:r>
        <w:t xml:space="preserve"> </w:t>
      </w:r>
    </w:p>
    <w:p w:rsidR="0025470D" w:rsidRDefault="0025470D" w:rsidP="0025470D">
      <w:pPr>
        <w:numPr>
          <w:ilvl w:val="0"/>
          <w:numId w:val="38"/>
        </w:numPr>
        <w:ind w:right="82" w:hanging="1440"/>
      </w:pPr>
      <w:r>
        <w:t xml:space="preserve">The Police have clear and stringent internal guidelines to regulate the use of BWVCs, the handling of data and submission of recorded footages to the court as evidence, etc.  Such guidelines aim to ensure police officers’ compliance with the relevant requirements of the PDPO and the law of evidence while using BWVCs.   </w:t>
      </w:r>
    </w:p>
    <w:p w:rsidR="0025470D" w:rsidRDefault="0025470D" w:rsidP="0025470D">
      <w:pPr>
        <w:spacing w:after="64" w:line="259" w:lineRule="auto"/>
        <w:ind w:left="0" w:firstLine="0"/>
        <w:jc w:val="left"/>
      </w:pPr>
      <w:r>
        <w:t xml:space="preserve"> </w:t>
      </w:r>
    </w:p>
    <w:p w:rsidR="0025470D" w:rsidRDefault="0025470D" w:rsidP="0025470D">
      <w:pPr>
        <w:numPr>
          <w:ilvl w:val="0"/>
          <w:numId w:val="38"/>
        </w:numPr>
        <w:ind w:right="82" w:hanging="1440"/>
      </w:pPr>
      <w:r>
        <w:t xml:space="preserve">As required by the guidelines, only police officers who have undergone professional training on operating BWVCs are allowed to use BWVCs.  All officers using BWVCs have adequate understanding on the PDPO and various relevant ordinances as well as regulations. </w:t>
      </w:r>
    </w:p>
    <w:p w:rsidR="0025470D" w:rsidRDefault="0025470D" w:rsidP="0025470D">
      <w:pPr>
        <w:spacing w:after="64" w:line="259" w:lineRule="auto"/>
        <w:ind w:left="0" w:firstLine="0"/>
        <w:jc w:val="left"/>
      </w:pPr>
      <w:r>
        <w:t xml:space="preserve"> </w:t>
      </w:r>
    </w:p>
    <w:p w:rsidR="0025470D" w:rsidRDefault="0025470D" w:rsidP="0025470D">
      <w:pPr>
        <w:numPr>
          <w:ilvl w:val="0"/>
          <w:numId w:val="38"/>
        </w:numPr>
        <w:ind w:right="82" w:hanging="1440"/>
      </w:pPr>
      <w:r>
        <w:t xml:space="preserve">Any recording made by BWVCs must be incident-specific.  </w:t>
      </w:r>
    </w:p>
    <w:p w:rsidR="0025470D" w:rsidRDefault="0025470D" w:rsidP="0025470D">
      <w:pPr>
        <w:ind w:left="19" w:right="82"/>
      </w:pPr>
      <w:r>
        <w:t xml:space="preserve">Police officers using BWVCs have to overtly wear the cameras on their uniform, and where reasonably practicable, notify the subject prior to commencement of recording.  While recording, BWVCs will display a red indicating light.  BWVCs are also equipped with outward-facing screens, so that the subject would be aware that he or she is being videofilmed and can see the images being recorded at the same time.  Once the purpose of using BWVCs has been achieved, police officers should stop recording. </w:t>
      </w:r>
    </w:p>
    <w:p w:rsidR="0025470D" w:rsidRDefault="0025470D" w:rsidP="0025470D">
      <w:pPr>
        <w:spacing w:after="64" w:line="259" w:lineRule="auto"/>
        <w:ind w:left="0" w:firstLine="0"/>
        <w:jc w:val="left"/>
      </w:pPr>
      <w:r>
        <w:t xml:space="preserve"> </w:t>
      </w:r>
    </w:p>
    <w:p w:rsidR="0025470D" w:rsidRDefault="0025470D" w:rsidP="0025470D">
      <w:pPr>
        <w:numPr>
          <w:ilvl w:val="0"/>
          <w:numId w:val="38"/>
        </w:numPr>
        <w:spacing w:after="642"/>
        <w:ind w:right="82" w:hanging="1440"/>
      </w:pPr>
      <w:r>
        <w:t xml:space="preserve">Every time after using BWVCs, police officers are required to report to their supervisors.  The use of BWVCs would then be reviewed by the supervisors concerned.  The video footages will be handed over to another team of officers for </w:t>
      </w:r>
      <w:r>
        <w:lastRenderedPageBreak/>
        <w:t xml:space="preserve">saving and handling, and the hand-over and handling processes will be logged.  Digital storage media of BWVCs incorporate digital signature and feature specially coded security seals to prevent unauthorised handling.  All footages will be retained for at least 31 days from the date they were recorded.  Footages with no investigative </w:t>
      </w:r>
    </w:p>
    <w:p w:rsidR="0025470D" w:rsidRDefault="0025470D" w:rsidP="0025470D">
      <w:pPr>
        <w:spacing w:after="219" w:line="259" w:lineRule="auto"/>
        <w:ind w:left="10" w:right="73" w:hanging="10"/>
        <w:jc w:val="center"/>
      </w:pPr>
      <w:r>
        <w:rPr>
          <w:sz w:val="24"/>
        </w:rPr>
        <w:t>1</w:t>
      </w:r>
    </w:p>
    <w:p w:rsidR="0025470D" w:rsidRDefault="0025470D" w:rsidP="0025470D">
      <w:pPr>
        <w:spacing w:after="559" w:line="259" w:lineRule="auto"/>
        <w:ind w:left="0" w:firstLine="0"/>
        <w:jc w:val="left"/>
      </w:pPr>
      <w:r>
        <w:rPr>
          <w:rFonts w:ascii="Calibri" w:eastAsia="Calibri" w:hAnsi="Calibri" w:cs="Calibri"/>
          <w:sz w:val="20"/>
        </w:rPr>
        <w:t xml:space="preserve"> </w:t>
      </w:r>
    </w:p>
    <w:p w:rsidR="0025470D" w:rsidRDefault="0025470D" w:rsidP="0025470D">
      <w:pPr>
        <w:spacing w:after="10002"/>
        <w:ind w:left="19" w:right="82"/>
      </w:pPr>
      <w:r>
        <w:t xml:space="preserve">or evidential value, or are not suitable for training or review purposes, will be deleted after 31 days.  Footages with investigative or evidential value will be treated as case exhibit, retained for investigation and court proceedings, and then deleted once such process has been completed.  If a footage is to be retained for more than 31 days, written authorisation from a Senior Superintendent has to be obtained and such an authorisation has to be reviewed on a monthly basis by the authorising officer.  Operators and case investigators must also obtain the approval of supervisors before watching a footage.  On the other hand, if a footage is considered suitable for use for training or review purposes after strict scrutiny, the footage will be edited to ensure that it does not contain any identifiable personal particulars or case details before use. </w:t>
      </w:r>
    </w:p>
    <w:p w:rsidR="0025470D" w:rsidRDefault="0025470D" w:rsidP="0025470D">
      <w:pPr>
        <w:spacing w:after="219" w:line="259" w:lineRule="auto"/>
        <w:ind w:left="10" w:right="73" w:hanging="10"/>
        <w:jc w:val="center"/>
      </w:pPr>
      <w:r>
        <w:rPr>
          <w:sz w:val="24"/>
        </w:rPr>
        <w:lastRenderedPageBreak/>
        <w:t>2</w:t>
      </w:r>
    </w:p>
    <w:p w:rsidR="0025470D" w:rsidRDefault="0025470D" w:rsidP="0025470D">
      <w:pPr>
        <w:sectPr w:rsidR="0025470D">
          <w:headerReference w:type="even" r:id="rId205"/>
          <w:headerReference w:type="default" r:id="rId206"/>
          <w:footerReference w:type="even" r:id="rId207"/>
          <w:footerReference w:type="default" r:id="rId208"/>
          <w:headerReference w:type="first" r:id="rId209"/>
          <w:footerReference w:type="first" r:id="rId210"/>
          <w:pgSz w:w="11906" w:h="16838"/>
          <w:pgMar w:top="763" w:right="1728" w:bottom="723" w:left="1800" w:header="720" w:footer="720" w:gutter="0"/>
          <w:cols w:space="720"/>
        </w:sectPr>
      </w:pPr>
    </w:p>
    <w:p w:rsidR="0025470D" w:rsidRDefault="0025470D" w:rsidP="0025470D">
      <w:pPr>
        <w:spacing w:after="9" w:line="259" w:lineRule="auto"/>
        <w:ind w:left="10" w:right="54" w:hanging="10"/>
        <w:jc w:val="right"/>
      </w:pPr>
      <w:r>
        <w:rPr>
          <w:b/>
        </w:rPr>
        <w:lastRenderedPageBreak/>
        <w:t xml:space="preserve">Annex 21B </w:t>
      </w:r>
    </w:p>
    <w:p w:rsidR="0025470D" w:rsidRDefault="0025470D" w:rsidP="0025470D">
      <w:pPr>
        <w:spacing w:after="67" w:line="259" w:lineRule="auto"/>
        <w:ind w:left="0" w:firstLine="0"/>
        <w:jc w:val="right"/>
      </w:pPr>
      <w:r>
        <w:rPr>
          <w:b/>
        </w:rPr>
        <w:t xml:space="preserve"> </w:t>
      </w:r>
    </w:p>
    <w:p w:rsidR="0025470D" w:rsidRDefault="0025470D" w:rsidP="0025470D">
      <w:pPr>
        <w:pStyle w:val="Heading4"/>
        <w:spacing w:after="55" w:line="259" w:lineRule="auto"/>
        <w:ind w:left="180" w:right="246"/>
        <w:jc w:val="center"/>
      </w:pPr>
      <w:r>
        <w:t xml:space="preserve">Position with respect to  the Confiscation of Exhibits under Public Entertainment Laws;  Stalls for Fund Raising / Collecting Signatures during Processions; and Public Meetings Outside Central Government Offices </w:t>
      </w:r>
    </w:p>
    <w:p w:rsidR="0025470D" w:rsidRDefault="0025470D" w:rsidP="0025470D">
      <w:pPr>
        <w:spacing w:after="64" w:line="259" w:lineRule="auto"/>
        <w:ind w:left="0" w:firstLine="0"/>
        <w:jc w:val="right"/>
      </w:pPr>
      <w:r>
        <w:t xml:space="preserve"> </w:t>
      </w:r>
    </w:p>
    <w:p w:rsidR="0025470D" w:rsidRDefault="0025470D" w:rsidP="0025470D">
      <w:pPr>
        <w:pStyle w:val="Heading5"/>
        <w:ind w:left="-5"/>
      </w:pPr>
      <w:r>
        <w:t xml:space="preserve">The confiscation of exhibits under public entertainment laws </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spacing w:after="38"/>
        <w:ind w:left="19" w:right="82"/>
      </w:pPr>
      <w:r>
        <w:t xml:space="preserve">1. The position is as explained in paragraph 247 of the previous report.  </w:t>
      </w:r>
    </w:p>
    <w:p w:rsidR="0025470D" w:rsidRDefault="0025470D" w:rsidP="0025470D">
      <w:pPr>
        <w:spacing w:after="64" w:line="259" w:lineRule="auto"/>
        <w:ind w:left="0" w:firstLine="0"/>
        <w:jc w:val="left"/>
      </w:pPr>
      <w:r>
        <w:t xml:space="preserve"> </w:t>
      </w:r>
    </w:p>
    <w:p w:rsidR="0025470D" w:rsidRDefault="0025470D" w:rsidP="0025470D">
      <w:pPr>
        <w:pStyle w:val="Heading5"/>
        <w:ind w:left="-5"/>
      </w:pPr>
      <w:r>
        <w:t>Stalls for fund raising / collecting signatures during processions</w:t>
      </w:r>
      <w:r>
        <w:rPr>
          <w:u w:color="000000"/>
        </w:rPr>
        <w:t xml:space="preserve"> </w:t>
      </w:r>
    </w:p>
    <w:p w:rsidR="0025470D" w:rsidRDefault="0025470D" w:rsidP="0025470D">
      <w:pPr>
        <w:spacing w:after="59" w:line="259" w:lineRule="auto"/>
        <w:ind w:left="0" w:firstLine="0"/>
        <w:jc w:val="left"/>
      </w:pPr>
      <w:r>
        <w:rPr>
          <w:b/>
        </w:rPr>
        <w:t xml:space="preserve"> </w:t>
      </w:r>
    </w:p>
    <w:p w:rsidR="0025470D" w:rsidRDefault="0025470D" w:rsidP="0025470D">
      <w:pPr>
        <w:numPr>
          <w:ilvl w:val="0"/>
          <w:numId w:val="39"/>
        </w:numPr>
        <w:ind w:right="82"/>
      </w:pPr>
      <w:r>
        <w:t xml:space="preserve">Charitable/non-charitable organisations wishing to conduct fund-raising activities in public places by selling goods are required to apply for temporary hawker licences from the Food and Environmental Hygiene Department (FEHD).  Starting from 15 January 2018, all applications must be submitted at least 12 working days but not more than two months before the fund-raising activities.  In handling the applications, the FEHD will consult relevant departments.  Apart from checking whether the locations under application have already been allocated to other organisations, FEHD will also take into account environmental hygiene as well as public safety and order, such as whether setting up a stall in those locations would obstruct public passageways.  All applications are processed based on the same criteria.  In 2017, the FEHD issued a total of 106 temporary hawker licences, some of which have been issued in respect of stalls set up during processions.  During the same period, the FEHD refused 30 applications concerning the setting up of stalls during processions, with the major reasons being that the applications were not submitted to the FEHD at least 12 working days before the funding-raising activities, the locations under application had already been allocated to other organisations, and pedestrian flow control or road closure measures would be implemented by the Police at the locations concerned.  </w:t>
      </w:r>
      <w:r>
        <w:rPr>
          <w:b/>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39"/>
        </w:numPr>
        <w:ind w:right="82"/>
      </w:pPr>
      <w:r>
        <w:lastRenderedPageBreak/>
        <w:t xml:space="preserve">A person who wishes to organise any collection of money or sale of badges, tokens or similar articles in public places for non-charitable purposes should apply for a permit issued by the Secretary for Home Affairs.  The Home Affairs Bureau would consider the application in accordance with published administrative guidelines.  Relevant considerations include public safety, public order, and whether any charitable fund-raising activity will be held at the same time in its vicinity etc. </w:t>
      </w:r>
    </w:p>
    <w:p w:rsidR="0025470D" w:rsidRDefault="0025470D" w:rsidP="0025470D">
      <w:pPr>
        <w:spacing w:after="64" w:line="259" w:lineRule="auto"/>
        <w:ind w:left="0" w:firstLine="0"/>
        <w:jc w:val="left"/>
      </w:pPr>
      <w:r>
        <w:t xml:space="preserve"> </w:t>
      </w:r>
    </w:p>
    <w:p w:rsidR="0025470D" w:rsidRDefault="0025470D" w:rsidP="0025470D">
      <w:pPr>
        <w:numPr>
          <w:ilvl w:val="0"/>
          <w:numId w:val="39"/>
        </w:numPr>
        <w:ind w:right="82"/>
      </w:pPr>
      <w:r>
        <w:t xml:space="preserve">On receipt of an application for temporary occupation of government land from an organisation for miscellaneous purposes (e.g. street-counter for fund raising, etc.), Lands Department would check if the location is on unleased and unallocated Government land.  If so and the location is available for the period of time under application, concerned departments would normally be consulted.  If no adverse comments are received, approval may be given.  The organisation will also need to obtain all necessary licences, permits and approval for the proposed activity from other authorities as appropriate.  No fee will be charged for non-profit making ventures. </w:t>
      </w:r>
    </w:p>
    <w:p w:rsidR="0025470D" w:rsidRDefault="0025470D" w:rsidP="0025470D">
      <w:pPr>
        <w:spacing w:after="64" w:line="259" w:lineRule="auto"/>
        <w:ind w:left="0" w:firstLine="0"/>
        <w:jc w:val="left"/>
      </w:pPr>
      <w:r>
        <w:t xml:space="preserve"> </w:t>
      </w:r>
    </w:p>
    <w:p w:rsidR="0025470D" w:rsidRDefault="0025470D" w:rsidP="0025470D">
      <w:pPr>
        <w:numPr>
          <w:ilvl w:val="0"/>
          <w:numId w:val="39"/>
        </w:numPr>
        <w:ind w:right="82"/>
      </w:pPr>
      <w:r>
        <w:t xml:space="preserve">The relevant departments, upon receiving the relevant applications, may seek the Police’s comments.  If the fund-raising activity would be carried out during a procession, the Police will, in consideration of public safety and public order, assess whether the proposed location of the stalls would cause unreasonable obstruction to the movement of procession and constitute danger to participants or other road users. </w:t>
      </w:r>
    </w:p>
    <w:p w:rsidR="0025470D" w:rsidRDefault="0025470D" w:rsidP="0025470D">
      <w:pPr>
        <w:spacing w:after="73" w:line="259" w:lineRule="auto"/>
        <w:ind w:left="0" w:firstLine="0"/>
        <w:jc w:val="left"/>
      </w:pPr>
      <w:r>
        <w:t xml:space="preserve"> </w:t>
      </w:r>
    </w:p>
    <w:p w:rsidR="0025470D" w:rsidRDefault="0025470D" w:rsidP="0025470D">
      <w:pPr>
        <w:pStyle w:val="Heading4"/>
        <w:ind w:left="-5"/>
      </w:pPr>
      <w:r>
        <w:t xml:space="preserve">Public meetings outside Central Government Offices   </w:t>
      </w:r>
    </w:p>
    <w:p w:rsidR="0025470D" w:rsidRDefault="0025470D" w:rsidP="0025470D">
      <w:pPr>
        <w:spacing w:after="64" w:line="259" w:lineRule="auto"/>
        <w:ind w:left="0" w:firstLine="0"/>
        <w:jc w:val="left"/>
      </w:pPr>
      <w:r>
        <w:t xml:space="preserve"> </w:t>
      </w:r>
    </w:p>
    <w:p w:rsidR="0025470D" w:rsidRDefault="0025470D" w:rsidP="0025470D">
      <w:pPr>
        <w:tabs>
          <w:tab w:val="right" w:pos="8378"/>
        </w:tabs>
        <w:ind w:left="0" w:firstLine="0"/>
        <w:jc w:val="left"/>
      </w:pPr>
      <w:r>
        <w:t xml:space="preserve">6. </w:t>
      </w:r>
      <w:r>
        <w:tab/>
        <w:t xml:space="preserve">Since the new CGO came into operation in 2011, the </w:t>
      </w:r>
    </w:p>
    <w:p w:rsidR="0025470D" w:rsidRDefault="0025470D" w:rsidP="0025470D">
      <w:pPr>
        <w:ind w:left="19" w:right="82"/>
      </w:pPr>
      <w:r>
        <w:t xml:space="preserve">Government has put in place the following arrangements to facilitate members of the public to conduct public activities at the CGO provided that the activities neither compromise public order and safety nor affect the effective operation of the Government: </w:t>
      </w:r>
    </w:p>
    <w:p w:rsidR="0025470D" w:rsidRDefault="0025470D" w:rsidP="0025470D">
      <w:pPr>
        <w:spacing w:after="65" w:line="259" w:lineRule="auto"/>
        <w:ind w:left="0" w:firstLine="0"/>
        <w:jc w:val="left"/>
      </w:pPr>
      <w:r>
        <w:t xml:space="preserve"> </w:t>
      </w:r>
    </w:p>
    <w:p w:rsidR="0025470D" w:rsidRDefault="0025470D" w:rsidP="0025470D">
      <w:pPr>
        <w:numPr>
          <w:ilvl w:val="0"/>
          <w:numId w:val="40"/>
        </w:numPr>
        <w:ind w:right="82" w:hanging="720"/>
      </w:pPr>
      <w:r>
        <w:lastRenderedPageBreak/>
        <w:t xml:space="preserve">members of the public can hold public meetings and submit petition letters to the Government at the Designated Public Activity Area on the pavement of Tim Mei Avenue outside the East Wing Forecourt of CGO without prior approval, though such activities are subject to the relevant provisions of the </w:t>
      </w:r>
    </w:p>
    <w:p w:rsidR="0025470D" w:rsidRDefault="0025470D" w:rsidP="0025470D">
      <w:pPr>
        <w:spacing w:after="40"/>
        <w:ind w:left="1448" w:right="82"/>
      </w:pPr>
      <w:r>
        <w:t xml:space="preserve">Public Order Ordinance governing the holding of public meetings / processions; </w:t>
      </w:r>
    </w:p>
    <w:p w:rsidR="0025470D" w:rsidRDefault="0025470D" w:rsidP="0025470D">
      <w:pPr>
        <w:spacing w:after="65" w:line="259" w:lineRule="auto"/>
        <w:ind w:left="720" w:firstLine="0"/>
        <w:jc w:val="left"/>
      </w:pPr>
      <w:r>
        <w:t xml:space="preserve"> </w:t>
      </w:r>
    </w:p>
    <w:p w:rsidR="0025470D" w:rsidRDefault="0025470D" w:rsidP="0025470D">
      <w:pPr>
        <w:numPr>
          <w:ilvl w:val="0"/>
          <w:numId w:val="40"/>
        </w:numPr>
        <w:ind w:right="82" w:hanging="720"/>
      </w:pPr>
      <w:r>
        <w:t xml:space="preserve">members of the public or representatives of organisations can submit petition letters to the Chief Executive and other members of the Executive Council at the designated area outside the main entrance of the Chief Executive’s Office on the days of Executive Council’s regular meetings; and </w:t>
      </w:r>
    </w:p>
    <w:p w:rsidR="0025470D" w:rsidRDefault="0025470D" w:rsidP="0025470D">
      <w:pPr>
        <w:spacing w:after="66" w:line="259" w:lineRule="auto"/>
        <w:ind w:left="720" w:firstLine="0"/>
        <w:jc w:val="left"/>
      </w:pPr>
      <w:r>
        <w:t xml:space="preserve"> </w:t>
      </w:r>
    </w:p>
    <w:p w:rsidR="0025470D" w:rsidRDefault="0025470D" w:rsidP="0025470D">
      <w:pPr>
        <w:numPr>
          <w:ilvl w:val="0"/>
          <w:numId w:val="40"/>
        </w:numPr>
        <w:ind w:right="82" w:hanging="720"/>
      </w:pPr>
      <w:r>
        <w:t xml:space="preserve">members of public can hold public meetings at the East Wing Forecourt of CGO on Sundays and public holidays subject to prior application and approval by the Administration Wing. </w:t>
      </w:r>
    </w:p>
    <w:p w:rsidR="0025470D" w:rsidRDefault="0025470D" w:rsidP="0025470D">
      <w:pPr>
        <w:sectPr w:rsidR="0025470D">
          <w:headerReference w:type="even" r:id="rId211"/>
          <w:headerReference w:type="default" r:id="rId212"/>
          <w:footerReference w:type="even" r:id="rId213"/>
          <w:footerReference w:type="default" r:id="rId214"/>
          <w:headerReference w:type="first" r:id="rId215"/>
          <w:footerReference w:type="first" r:id="rId216"/>
          <w:pgSz w:w="11906" w:h="16838"/>
          <w:pgMar w:top="1539" w:right="1728" w:bottom="1722" w:left="1800" w:header="720" w:footer="723" w:gutter="0"/>
          <w:pgNumType w:start="1"/>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217"/>
          <w:headerReference w:type="default" r:id="rId218"/>
          <w:footerReference w:type="even" r:id="rId219"/>
          <w:footerReference w:type="default" r:id="rId220"/>
          <w:headerReference w:type="first" r:id="rId221"/>
          <w:footerReference w:type="first" r:id="rId222"/>
          <w:pgSz w:w="11906" w:h="16838"/>
          <w:pgMar w:top="1440" w:right="1440" w:bottom="1440" w:left="1440" w:header="720" w:footer="5" w:gutter="0"/>
          <w:cols w:space="720"/>
        </w:sectPr>
      </w:pPr>
    </w:p>
    <w:p w:rsidR="0025470D" w:rsidRDefault="0025470D" w:rsidP="0025470D">
      <w:pPr>
        <w:tabs>
          <w:tab w:val="center" w:pos="5538"/>
          <w:tab w:val="right" w:pos="8310"/>
        </w:tabs>
        <w:spacing w:after="16" w:line="259" w:lineRule="auto"/>
        <w:ind w:left="0" w:firstLine="0"/>
        <w:jc w:val="left"/>
      </w:pPr>
      <w:r>
        <w:rPr>
          <w:rFonts w:ascii="Calibri" w:eastAsia="Calibri" w:hAnsi="Calibri" w:cs="Calibri"/>
          <w:sz w:val="22"/>
        </w:rPr>
        <w:lastRenderedPageBreak/>
        <w:tab/>
      </w:r>
      <w:r>
        <w:rPr>
          <w:b/>
        </w:rPr>
        <w:t xml:space="preserve"> </w:t>
      </w:r>
      <w:r>
        <w:rPr>
          <w:b/>
        </w:rPr>
        <w:tab/>
        <w:t xml:space="preserve">Annex 22A </w:t>
      </w:r>
    </w:p>
    <w:p w:rsidR="0025470D" w:rsidRDefault="0025470D" w:rsidP="0025470D">
      <w:pPr>
        <w:spacing w:after="68" w:line="259" w:lineRule="auto"/>
        <w:ind w:left="0" w:firstLine="0"/>
        <w:jc w:val="left"/>
      </w:pPr>
      <w:r>
        <w:rPr>
          <w:b/>
        </w:rPr>
        <w:t xml:space="preserve"> </w:t>
      </w:r>
    </w:p>
    <w:p w:rsidR="0025470D" w:rsidRDefault="0025470D" w:rsidP="0025470D">
      <w:pPr>
        <w:pStyle w:val="Heading4"/>
        <w:spacing w:after="6" w:line="259" w:lineRule="auto"/>
        <w:ind w:left="180" w:right="177"/>
        <w:jc w:val="center"/>
      </w:pPr>
      <w:r>
        <w:t xml:space="preserve">Number and membership of trade unions </w:t>
      </w:r>
    </w:p>
    <w:p w:rsidR="0025470D" w:rsidRDefault="0025470D" w:rsidP="0025470D">
      <w:pPr>
        <w:spacing w:after="64" w:line="259" w:lineRule="auto"/>
        <w:ind w:left="0" w:firstLine="0"/>
        <w:jc w:val="left"/>
      </w:pPr>
      <w:r>
        <w:t xml:space="preserve"> </w:t>
      </w:r>
    </w:p>
    <w:p w:rsidR="0025470D" w:rsidRDefault="0025470D" w:rsidP="0025470D">
      <w:pPr>
        <w:tabs>
          <w:tab w:val="right" w:pos="8310"/>
        </w:tabs>
        <w:spacing w:after="50"/>
        <w:ind w:left="0" w:firstLine="0"/>
        <w:jc w:val="left"/>
      </w:pPr>
      <w:r>
        <w:t xml:space="preserve"> </w:t>
      </w:r>
      <w:r>
        <w:tab/>
        <w:t xml:space="preserve">As at 31 December 2016, the number and declared </w:t>
      </w:r>
    </w:p>
    <w:p w:rsidR="0025470D" w:rsidRDefault="0025470D" w:rsidP="0025470D">
      <w:pPr>
        <w:ind w:left="19" w:right="82"/>
      </w:pPr>
      <w:r>
        <w:t xml:space="preserve">membership of employees’ unions in Hong Kong were </w:t>
      </w:r>
      <w:r>
        <w:rPr>
          <w:rFonts w:ascii="Calibri" w:eastAsia="Calibri" w:hAnsi="Calibri" w:cs="Calibri"/>
        </w:rPr>
        <w:t>–</w:t>
      </w:r>
      <w:r>
        <w:t xml:space="preserve">  </w:t>
      </w:r>
    </w:p>
    <w:p w:rsidR="0025470D" w:rsidRDefault="0025470D" w:rsidP="0025470D">
      <w:pPr>
        <w:spacing w:after="0" w:line="259" w:lineRule="auto"/>
        <w:ind w:left="142" w:firstLine="0"/>
        <w:jc w:val="left"/>
      </w:pPr>
      <w:r>
        <w:t xml:space="preserve"> </w:t>
      </w:r>
    </w:p>
    <w:tbl>
      <w:tblPr>
        <w:tblStyle w:val="TableGrid0"/>
        <w:tblW w:w="8296" w:type="dxa"/>
        <w:tblInd w:w="7" w:type="dxa"/>
        <w:tblCellMar>
          <w:top w:w="16" w:type="dxa"/>
          <w:left w:w="108" w:type="dxa"/>
          <w:bottom w:w="0" w:type="dxa"/>
          <w:right w:w="94" w:type="dxa"/>
        </w:tblCellMar>
        <w:tblLook w:val="04A0" w:firstRow="1" w:lastRow="0" w:firstColumn="1" w:lastColumn="0" w:noHBand="0" w:noVBand="1"/>
      </w:tblPr>
      <w:tblGrid>
        <w:gridCol w:w="4494"/>
        <w:gridCol w:w="1656"/>
        <w:gridCol w:w="2146"/>
      </w:tblGrid>
      <w:tr w:rsidR="0025470D" w:rsidTr="00463700">
        <w:trPr>
          <w:trHeight w:val="658"/>
        </w:trPr>
        <w:tc>
          <w:tcPr>
            <w:tcW w:w="4494" w:type="dxa"/>
            <w:tcBorders>
              <w:top w:val="single" w:sz="6" w:space="0" w:color="000000"/>
              <w:left w:val="single" w:sz="6" w:space="0" w:color="000000"/>
              <w:bottom w:val="single" w:sz="4" w:space="0" w:color="000000"/>
              <w:right w:val="single" w:sz="4" w:space="0" w:color="000000"/>
            </w:tcBorders>
            <w:vAlign w:val="center"/>
          </w:tcPr>
          <w:p w:rsidR="0025470D" w:rsidRDefault="0025470D" w:rsidP="00463700">
            <w:pPr>
              <w:spacing w:after="0" w:line="259" w:lineRule="auto"/>
              <w:ind w:left="62" w:firstLine="0"/>
              <w:jc w:val="center"/>
            </w:pPr>
            <w:r>
              <w:rPr>
                <w:rFonts w:ascii="Times New Roman" w:hAnsi="Times New Roman" w:cs="Times New Roman"/>
                <w:b/>
              </w:rPr>
              <w:t>Industry</w:t>
            </w:r>
            <w:r>
              <w:t xml:space="preserve"> </w:t>
            </w:r>
          </w:p>
        </w:tc>
        <w:tc>
          <w:tcPr>
            <w:tcW w:w="1656" w:type="dxa"/>
            <w:tcBorders>
              <w:top w:val="single" w:sz="6"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1" w:firstLine="0"/>
              <w:jc w:val="center"/>
            </w:pPr>
            <w:r>
              <w:rPr>
                <w:rFonts w:ascii="Times New Roman" w:hAnsi="Times New Roman" w:cs="Times New Roman"/>
                <w:b/>
              </w:rPr>
              <w:t>No. of unions</w:t>
            </w:r>
            <w:r>
              <w:t xml:space="preserve"> </w:t>
            </w:r>
          </w:p>
        </w:tc>
        <w:tc>
          <w:tcPr>
            <w:tcW w:w="2146" w:type="dxa"/>
            <w:tcBorders>
              <w:top w:val="single" w:sz="6"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firstLine="0"/>
              <w:jc w:val="center"/>
            </w:pPr>
            <w:r>
              <w:rPr>
                <w:rFonts w:ascii="Times New Roman" w:hAnsi="Times New Roman" w:cs="Times New Roman"/>
                <w:b/>
              </w:rPr>
              <w:t>Declared membership</w:t>
            </w:r>
            <w:r>
              <w:t xml:space="preserve"> </w:t>
            </w:r>
          </w:p>
        </w:tc>
      </w:tr>
      <w:tr w:rsidR="0025470D" w:rsidTr="00463700">
        <w:trPr>
          <w:trHeight w:val="354"/>
        </w:trPr>
        <w:tc>
          <w:tcPr>
            <w:tcW w:w="4494" w:type="dxa"/>
            <w:tcBorders>
              <w:top w:val="single" w:sz="4" w:space="0" w:color="000000"/>
              <w:left w:val="single" w:sz="6" w:space="0" w:color="000000"/>
              <w:bottom w:val="nil"/>
              <w:right w:val="single" w:sz="4" w:space="0" w:color="000000"/>
            </w:tcBorders>
          </w:tcPr>
          <w:p w:rsidR="0025470D" w:rsidRDefault="0025470D" w:rsidP="00463700">
            <w:pPr>
              <w:spacing w:after="0" w:line="259" w:lineRule="auto"/>
              <w:ind w:left="0" w:firstLine="0"/>
              <w:jc w:val="left"/>
            </w:pPr>
            <w:r>
              <w:t xml:space="preserve">Agriculture, Forestry and Fishing </w:t>
            </w:r>
          </w:p>
        </w:tc>
        <w:tc>
          <w:tcPr>
            <w:tcW w:w="1656" w:type="dxa"/>
            <w:tcBorders>
              <w:top w:val="single" w:sz="4" w:space="0" w:color="000000"/>
              <w:left w:val="single" w:sz="4" w:space="0" w:color="000000"/>
              <w:bottom w:val="nil"/>
              <w:right w:val="single" w:sz="4" w:space="0" w:color="000000"/>
            </w:tcBorders>
          </w:tcPr>
          <w:p w:rsidR="0025470D" w:rsidRDefault="0025470D" w:rsidP="00463700">
            <w:pPr>
              <w:spacing w:after="0" w:line="259" w:lineRule="auto"/>
              <w:ind w:left="64" w:firstLine="0"/>
              <w:jc w:val="center"/>
            </w:pPr>
            <w:r>
              <w:t xml:space="preserve">1 </w:t>
            </w:r>
          </w:p>
        </w:tc>
        <w:tc>
          <w:tcPr>
            <w:tcW w:w="2146" w:type="dxa"/>
            <w:tcBorders>
              <w:top w:val="single" w:sz="4" w:space="0" w:color="000000"/>
              <w:left w:val="single" w:sz="4" w:space="0" w:color="000000"/>
              <w:bottom w:val="nil"/>
              <w:right w:val="single" w:sz="4" w:space="0" w:color="000000"/>
            </w:tcBorders>
          </w:tcPr>
          <w:p w:rsidR="0025470D" w:rsidRDefault="0025470D" w:rsidP="00463700">
            <w:pPr>
              <w:spacing w:after="0" w:line="259" w:lineRule="auto"/>
              <w:ind w:left="554" w:firstLine="0"/>
              <w:jc w:val="center"/>
            </w:pPr>
            <w:r>
              <w:t xml:space="preserve">7 </w:t>
            </w:r>
          </w:p>
        </w:tc>
      </w:tr>
      <w:tr w:rsidR="0025470D" w:rsidTr="00463700">
        <w:trPr>
          <w:trHeight w:val="354"/>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0" w:firstLine="0"/>
              <w:jc w:val="left"/>
            </w:pPr>
            <w:r>
              <w:t xml:space="preserve">Manufacturing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78" w:firstLine="0"/>
              <w:jc w:val="center"/>
            </w:pPr>
            <w:r>
              <w:t xml:space="preserve">77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0" w:right="71" w:firstLine="0"/>
              <w:jc w:val="center"/>
            </w:pPr>
            <w:r>
              <w:t>60</w:t>
            </w:r>
            <w:r>
              <w:rPr>
                <w:rFonts w:ascii="Calibri" w:eastAsia="Calibri" w:hAnsi="Calibri" w:cs="Calibri"/>
              </w:rPr>
              <w:t xml:space="preserve"> </w:t>
            </w:r>
            <w:r>
              <w:t xml:space="preserve">442 </w:t>
            </w:r>
          </w:p>
        </w:tc>
      </w:tr>
      <w:tr w:rsidR="0025470D" w:rsidTr="00463700">
        <w:trPr>
          <w:trHeight w:val="1300"/>
        </w:trPr>
        <w:tc>
          <w:tcPr>
            <w:tcW w:w="4494" w:type="dxa"/>
            <w:tcBorders>
              <w:top w:val="nil"/>
              <w:left w:val="single" w:sz="6" w:space="0" w:color="000000"/>
              <w:bottom w:val="nil"/>
              <w:right w:val="single" w:sz="4" w:space="0" w:color="000000"/>
            </w:tcBorders>
          </w:tcPr>
          <w:p w:rsidR="0025470D" w:rsidRDefault="0025470D" w:rsidP="00463700">
            <w:pPr>
              <w:spacing w:after="0" w:line="237" w:lineRule="auto"/>
              <w:ind w:left="343" w:hanging="343"/>
              <w:jc w:val="left"/>
            </w:pPr>
            <w:r>
              <w:t xml:space="preserve">Electricity and Gas Supply; Water Supply; Sewerage, Waste </w:t>
            </w:r>
          </w:p>
          <w:p w:rsidR="0025470D" w:rsidRDefault="0025470D" w:rsidP="00463700">
            <w:pPr>
              <w:spacing w:after="25" w:line="259" w:lineRule="auto"/>
              <w:ind w:left="0" w:right="170" w:firstLine="0"/>
              <w:jc w:val="center"/>
            </w:pPr>
            <w:r>
              <w:t xml:space="preserve">Management and Remediation </w:t>
            </w:r>
          </w:p>
          <w:p w:rsidR="0025470D" w:rsidRDefault="0025470D" w:rsidP="00463700">
            <w:pPr>
              <w:spacing w:after="0" w:line="259" w:lineRule="auto"/>
              <w:ind w:left="343" w:firstLine="0"/>
              <w:jc w:val="left"/>
            </w:pPr>
            <w:r>
              <w:t xml:space="preserve">Activities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64" w:firstLine="0"/>
              <w:jc w:val="center"/>
            </w:pPr>
            <w:r>
              <w:t xml:space="preserve">5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69" w:firstLine="0"/>
              <w:jc w:val="center"/>
            </w:pPr>
            <w:r>
              <w:t>3</w:t>
            </w:r>
            <w:r>
              <w:rPr>
                <w:rFonts w:ascii="Calibri" w:eastAsia="Calibri" w:hAnsi="Calibri" w:cs="Calibri"/>
              </w:rPr>
              <w:t xml:space="preserve"> </w:t>
            </w:r>
            <w:r>
              <w:t xml:space="preserve">150 </w:t>
            </w:r>
          </w:p>
        </w:tc>
      </w:tr>
      <w:tr w:rsidR="0025470D" w:rsidTr="00463700">
        <w:trPr>
          <w:trHeight w:val="354"/>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0" w:firstLine="0"/>
              <w:jc w:val="left"/>
            </w:pPr>
            <w:r>
              <w:t xml:space="preserve">Construction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78" w:firstLine="0"/>
              <w:jc w:val="center"/>
            </w:pPr>
            <w:r>
              <w:t xml:space="preserve">40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112" w:firstLine="0"/>
              <w:jc w:val="center"/>
            </w:pPr>
            <w:r>
              <w:t>78</w:t>
            </w:r>
            <w:r>
              <w:rPr>
                <w:rFonts w:ascii="Calibri" w:eastAsia="Calibri" w:hAnsi="Calibri" w:cs="Calibri"/>
              </w:rPr>
              <w:t xml:space="preserve"> </w:t>
            </w:r>
            <w:r>
              <w:t xml:space="preserve">658 </w:t>
            </w:r>
          </w:p>
        </w:tc>
      </w:tr>
      <w:tr w:rsidR="0025470D" w:rsidTr="00463700">
        <w:trPr>
          <w:trHeight w:val="654"/>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343" w:hanging="343"/>
              <w:jc w:val="left"/>
            </w:pPr>
            <w:r>
              <w:t xml:space="preserve">Import/Export, Wholesale and Retail Trades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78" w:firstLine="0"/>
              <w:jc w:val="center"/>
            </w:pPr>
            <w:r>
              <w:t xml:space="preserve">34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112" w:firstLine="0"/>
              <w:jc w:val="center"/>
            </w:pPr>
            <w:r>
              <w:t>51</w:t>
            </w:r>
            <w:r>
              <w:rPr>
                <w:rFonts w:ascii="Calibri" w:eastAsia="Calibri" w:hAnsi="Calibri" w:cs="Calibri"/>
              </w:rPr>
              <w:t xml:space="preserve"> </w:t>
            </w:r>
            <w:r>
              <w:t xml:space="preserve">891 </w:t>
            </w:r>
          </w:p>
        </w:tc>
      </w:tr>
      <w:tr w:rsidR="0025470D" w:rsidTr="00463700">
        <w:trPr>
          <w:trHeight w:val="644"/>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343" w:hanging="343"/>
              <w:jc w:val="left"/>
            </w:pPr>
            <w:r>
              <w:t xml:space="preserve">Transportation, Storage, Postal and Courier Services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207" w:firstLine="0"/>
              <w:jc w:val="center"/>
            </w:pPr>
            <w:r>
              <w:t xml:space="preserve">117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0" w:right="27" w:firstLine="0"/>
              <w:jc w:val="center"/>
            </w:pPr>
            <w:r>
              <w:t>168</w:t>
            </w:r>
            <w:r>
              <w:rPr>
                <w:rFonts w:ascii="Calibri" w:eastAsia="Calibri" w:hAnsi="Calibri" w:cs="Calibri"/>
              </w:rPr>
              <w:t xml:space="preserve"> </w:t>
            </w:r>
            <w:r>
              <w:t xml:space="preserve">554 </w:t>
            </w:r>
          </w:p>
        </w:tc>
      </w:tr>
      <w:tr w:rsidR="0025470D" w:rsidTr="00463700">
        <w:trPr>
          <w:trHeight w:val="646"/>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343" w:hanging="343"/>
              <w:jc w:val="left"/>
            </w:pPr>
            <w:r>
              <w:t xml:space="preserve">Accommodation and Food Service Activities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78" w:firstLine="0"/>
              <w:jc w:val="center"/>
            </w:pPr>
            <w:r>
              <w:t xml:space="preserve">26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112" w:firstLine="0"/>
              <w:jc w:val="center"/>
            </w:pPr>
            <w:r>
              <w:t>23</w:t>
            </w:r>
            <w:r>
              <w:rPr>
                <w:rFonts w:ascii="Calibri" w:eastAsia="Calibri" w:hAnsi="Calibri" w:cs="Calibri"/>
              </w:rPr>
              <w:t xml:space="preserve"> </w:t>
            </w:r>
            <w:r>
              <w:t xml:space="preserve">432 </w:t>
            </w:r>
          </w:p>
        </w:tc>
      </w:tr>
      <w:tr w:rsidR="0025470D" w:rsidTr="00463700">
        <w:trPr>
          <w:trHeight w:val="354"/>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0" w:firstLine="0"/>
              <w:jc w:val="left"/>
            </w:pPr>
            <w:r>
              <w:t xml:space="preserve">Information and Communications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78" w:firstLine="0"/>
              <w:jc w:val="center"/>
            </w:pPr>
            <w:r>
              <w:t xml:space="preserve">18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252" w:firstLine="0"/>
              <w:jc w:val="center"/>
            </w:pPr>
            <w:r>
              <w:t>6</w:t>
            </w:r>
            <w:r>
              <w:rPr>
                <w:rFonts w:ascii="Calibri" w:eastAsia="Calibri" w:hAnsi="Calibri" w:cs="Calibri"/>
              </w:rPr>
              <w:t xml:space="preserve"> </w:t>
            </w:r>
            <w:r>
              <w:t xml:space="preserve">713 </w:t>
            </w:r>
          </w:p>
        </w:tc>
      </w:tr>
      <w:tr w:rsidR="0025470D" w:rsidTr="00463700">
        <w:trPr>
          <w:trHeight w:val="365"/>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0" w:firstLine="0"/>
              <w:jc w:val="left"/>
            </w:pPr>
            <w:r>
              <w:t xml:space="preserve">Financial and Insurance Activities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64" w:firstLine="0"/>
              <w:jc w:val="center"/>
            </w:pPr>
            <w:r>
              <w:t xml:space="preserve">6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112" w:firstLine="0"/>
              <w:jc w:val="center"/>
            </w:pPr>
            <w:r>
              <w:t>10</w:t>
            </w:r>
            <w:r>
              <w:rPr>
                <w:rFonts w:ascii="Calibri" w:eastAsia="Calibri" w:hAnsi="Calibri" w:cs="Calibri"/>
              </w:rPr>
              <w:t xml:space="preserve"> </w:t>
            </w:r>
            <w:r>
              <w:t xml:space="preserve">304 </w:t>
            </w:r>
          </w:p>
        </w:tc>
      </w:tr>
      <w:tr w:rsidR="0025470D" w:rsidTr="00463700">
        <w:trPr>
          <w:trHeight w:val="365"/>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0" w:firstLine="0"/>
              <w:jc w:val="left"/>
            </w:pPr>
            <w:r>
              <w:t xml:space="preserve">Real Estate Activities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64" w:firstLine="0"/>
              <w:jc w:val="center"/>
            </w:pPr>
            <w:r>
              <w:t xml:space="preserve">9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252" w:firstLine="0"/>
              <w:jc w:val="center"/>
            </w:pPr>
            <w:r>
              <w:t>7</w:t>
            </w:r>
            <w:r>
              <w:rPr>
                <w:rFonts w:ascii="Calibri" w:eastAsia="Calibri" w:hAnsi="Calibri" w:cs="Calibri"/>
              </w:rPr>
              <w:t xml:space="preserve"> </w:t>
            </w:r>
            <w:r>
              <w:t xml:space="preserve">789 </w:t>
            </w:r>
          </w:p>
        </w:tc>
      </w:tr>
      <w:tr w:rsidR="0025470D" w:rsidTr="00463700">
        <w:trPr>
          <w:trHeight w:val="654"/>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343" w:hanging="343"/>
              <w:jc w:val="left"/>
            </w:pPr>
            <w:r>
              <w:t xml:space="preserve">Professional, Scientific and Technical Activities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64" w:firstLine="0"/>
              <w:jc w:val="center"/>
            </w:pPr>
            <w:r>
              <w:t xml:space="preserve">9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252" w:firstLine="0"/>
              <w:jc w:val="center"/>
            </w:pPr>
            <w:r>
              <w:t>5</w:t>
            </w:r>
            <w:r>
              <w:rPr>
                <w:rFonts w:ascii="Calibri" w:eastAsia="Calibri" w:hAnsi="Calibri" w:cs="Calibri"/>
              </w:rPr>
              <w:t xml:space="preserve"> </w:t>
            </w:r>
            <w:r>
              <w:t xml:space="preserve">446 </w:t>
            </w:r>
          </w:p>
        </w:tc>
      </w:tr>
      <w:tr w:rsidR="0025470D" w:rsidTr="00463700">
        <w:trPr>
          <w:trHeight w:val="645"/>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343" w:hanging="343"/>
              <w:jc w:val="left"/>
            </w:pPr>
            <w:r>
              <w:t xml:space="preserve">Administrative and Support Service Activities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78" w:firstLine="0"/>
              <w:jc w:val="center"/>
            </w:pPr>
            <w:r>
              <w:t xml:space="preserve">35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112" w:firstLine="0"/>
              <w:jc w:val="center"/>
            </w:pPr>
            <w:r>
              <w:t>55</w:t>
            </w:r>
            <w:r>
              <w:rPr>
                <w:rFonts w:ascii="Calibri" w:eastAsia="Calibri" w:hAnsi="Calibri" w:cs="Calibri"/>
              </w:rPr>
              <w:t xml:space="preserve"> </w:t>
            </w:r>
            <w:r>
              <w:t xml:space="preserve">081 </w:t>
            </w:r>
          </w:p>
        </w:tc>
      </w:tr>
      <w:tr w:rsidR="0025470D" w:rsidTr="00463700">
        <w:trPr>
          <w:trHeight w:val="356"/>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0" w:firstLine="0"/>
              <w:jc w:val="left"/>
            </w:pPr>
            <w:r>
              <w:t xml:space="preserve">Public Administration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217" w:firstLine="0"/>
              <w:jc w:val="center"/>
            </w:pPr>
            <w:r>
              <w:t xml:space="preserve">201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0" w:right="27" w:firstLine="0"/>
              <w:jc w:val="center"/>
            </w:pPr>
            <w:r>
              <w:t>214</w:t>
            </w:r>
            <w:r>
              <w:rPr>
                <w:rFonts w:ascii="Calibri" w:eastAsia="Calibri" w:hAnsi="Calibri" w:cs="Calibri"/>
              </w:rPr>
              <w:t xml:space="preserve"> </w:t>
            </w:r>
            <w:r>
              <w:t xml:space="preserve">655 </w:t>
            </w:r>
          </w:p>
        </w:tc>
      </w:tr>
      <w:tr w:rsidR="0025470D" w:rsidTr="00463700">
        <w:trPr>
          <w:trHeight w:val="365"/>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0" w:firstLine="0"/>
              <w:jc w:val="left"/>
            </w:pPr>
            <w:r>
              <w:t xml:space="preserve">Education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78" w:firstLine="0"/>
              <w:jc w:val="center"/>
            </w:pPr>
            <w:r>
              <w:t xml:space="preserve">75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0" w:right="18" w:firstLine="0"/>
              <w:jc w:val="center"/>
            </w:pPr>
            <w:r>
              <w:t>115</w:t>
            </w:r>
            <w:r>
              <w:rPr>
                <w:rFonts w:ascii="Calibri" w:eastAsia="Calibri" w:hAnsi="Calibri" w:cs="Calibri"/>
              </w:rPr>
              <w:t xml:space="preserve"> </w:t>
            </w:r>
            <w:r>
              <w:t xml:space="preserve">758 </w:t>
            </w:r>
          </w:p>
        </w:tc>
      </w:tr>
      <w:tr w:rsidR="0025470D" w:rsidTr="00463700">
        <w:trPr>
          <w:trHeight w:val="654"/>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343" w:hanging="343"/>
              <w:jc w:val="left"/>
            </w:pPr>
            <w:r>
              <w:t xml:space="preserve">Human Health and Social Work Activities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78" w:firstLine="0"/>
              <w:jc w:val="center"/>
            </w:pPr>
            <w:r>
              <w:t xml:space="preserve">96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112" w:firstLine="0"/>
              <w:jc w:val="center"/>
            </w:pPr>
            <w:r>
              <w:t>69</w:t>
            </w:r>
            <w:r>
              <w:rPr>
                <w:rFonts w:ascii="Calibri" w:eastAsia="Calibri" w:hAnsi="Calibri" w:cs="Calibri"/>
              </w:rPr>
              <w:t xml:space="preserve"> </w:t>
            </w:r>
            <w:r>
              <w:t xml:space="preserve">095 </w:t>
            </w:r>
          </w:p>
        </w:tc>
      </w:tr>
      <w:tr w:rsidR="0025470D" w:rsidTr="00463700">
        <w:trPr>
          <w:trHeight w:val="354"/>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0" w:firstLine="0"/>
              <w:jc w:val="left"/>
            </w:pPr>
            <w:r>
              <w:t xml:space="preserve">Arts, Entertainment and Recreation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78" w:firstLine="0"/>
              <w:jc w:val="center"/>
            </w:pPr>
            <w:r>
              <w:t xml:space="preserve">34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252" w:firstLine="0"/>
              <w:jc w:val="center"/>
            </w:pPr>
            <w:r>
              <w:t>7</w:t>
            </w:r>
            <w:r>
              <w:rPr>
                <w:rFonts w:ascii="Calibri" w:eastAsia="Calibri" w:hAnsi="Calibri" w:cs="Calibri"/>
              </w:rPr>
              <w:t xml:space="preserve"> </w:t>
            </w:r>
            <w:r>
              <w:t xml:space="preserve">417 </w:t>
            </w:r>
          </w:p>
        </w:tc>
      </w:tr>
      <w:tr w:rsidR="0025470D" w:rsidTr="00463700">
        <w:trPr>
          <w:trHeight w:val="365"/>
        </w:trPr>
        <w:tc>
          <w:tcPr>
            <w:tcW w:w="4494" w:type="dxa"/>
            <w:tcBorders>
              <w:top w:val="nil"/>
              <w:left w:val="single" w:sz="6" w:space="0" w:color="000000"/>
              <w:bottom w:val="nil"/>
              <w:right w:val="single" w:sz="4" w:space="0" w:color="000000"/>
            </w:tcBorders>
          </w:tcPr>
          <w:p w:rsidR="0025470D" w:rsidRDefault="0025470D" w:rsidP="00463700">
            <w:pPr>
              <w:spacing w:after="0" w:line="259" w:lineRule="auto"/>
              <w:ind w:left="0" w:firstLine="0"/>
              <w:jc w:val="left"/>
            </w:pPr>
            <w:r>
              <w:t xml:space="preserve">Other Service Activities </w:t>
            </w:r>
          </w:p>
        </w:tc>
        <w:tc>
          <w:tcPr>
            <w:tcW w:w="1656" w:type="dxa"/>
            <w:tcBorders>
              <w:top w:val="nil"/>
              <w:left w:val="single" w:sz="4" w:space="0" w:color="000000"/>
              <w:bottom w:val="nil"/>
              <w:right w:val="single" w:sz="4" w:space="0" w:color="000000"/>
            </w:tcBorders>
          </w:tcPr>
          <w:p w:rsidR="0025470D" w:rsidRDefault="0025470D" w:rsidP="00463700">
            <w:pPr>
              <w:spacing w:after="0" w:line="259" w:lineRule="auto"/>
              <w:ind w:left="0" w:right="78" w:firstLine="0"/>
              <w:jc w:val="center"/>
            </w:pPr>
            <w:r>
              <w:t xml:space="preserve">31 </w:t>
            </w:r>
          </w:p>
        </w:tc>
        <w:tc>
          <w:tcPr>
            <w:tcW w:w="2146" w:type="dxa"/>
            <w:tcBorders>
              <w:top w:val="nil"/>
              <w:left w:val="single" w:sz="4" w:space="0" w:color="000000"/>
              <w:bottom w:val="nil"/>
              <w:right w:val="single" w:sz="4" w:space="0" w:color="000000"/>
            </w:tcBorders>
          </w:tcPr>
          <w:p w:rsidR="0025470D" w:rsidRDefault="0025470D" w:rsidP="00463700">
            <w:pPr>
              <w:spacing w:after="0" w:line="259" w:lineRule="auto"/>
              <w:ind w:left="264" w:firstLine="0"/>
              <w:jc w:val="center"/>
            </w:pPr>
            <w:r>
              <w:t>7</w:t>
            </w:r>
            <w:r>
              <w:rPr>
                <w:rFonts w:ascii="Calibri" w:eastAsia="Calibri" w:hAnsi="Calibri" w:cs="Calibri"/>
              </w:rPr>
              <w:t xml:space="preserve"> </w:t>
            </w:r>
            <w:r>
              <w:t xml:space="preserve">118 </w:t>
            </w:r>
          </w:p>
        </w:tc>
      </w:tr>
      <w:tr w:rsidR="0025470D" w:rsidTr="00463700">
        <w:trPr>
          <w:trHeight w:val="635"/>
        </w:trPr>
        <w:tc>
          <w:tcPr>
            <w:tcW w:w="4494" w:type="dxa"/>
            <w:tcBorders>
              <w:top w:val="nil"/>
              <w:left w:val="single" w:sz="6" w:space="0" w:color="000000"/>
              <w:bottom w:val="single" w:sz="4" w:space="0" w:color="000000"/>
              <w:right w:val="single" w:sz="4" w:space="0" w:color="000000"/>
            </w:tcBorders>
          </w:tcPr>
          <w:p w:rsidR="0025470D" w:rsidRDefault="0025470D" w:rsidP="00463700">
            <w:pPr>
              <w:spacing w:after="0" w:line="259" w:lineRule="auto"/>
              <w:ind w:left="343" w:hanging="343"/>
              <w:jc w:val="left"/>
            </w:pPr>
            <w:r>
              <w:t xml:space="preserve">Work Activities Within Domestic </w:t>
            </w:r>
            <w:r>
              <w:lastRenderedPageBreak/>
              <w:t xml:space="preserve">Households </w:t>
            </w:r>
          </w:p>
        </w:tc>
        <w:tc>
          <w:tcPr>
            <w:tcW w:w="1656" w:type="dxa"/>
            <w:tcBorders>
              <w:top w:val="nil"/>
              <w:left w:val="single" w:sz="4" w:space="0" w:color="000000"/>
              <w:bottom w:val="single" w:sz="4" w:space="0" w:color="000000"/>
              <w:right w:val="single" w:sz="4" w:space="0" w:color="000000"/>
            </w:tcBorders>
          </w:tcPr>
          <w:p w:rsidR="0025470D" w:rsidRDefault="0025470D" w:rsidP="00463700">
            <w:pPr>
              <w:spacing w:after="0" w:line="259" w:lineRule="auto"/>
              <w:ind w:left="0" w:right="78" w:firstLine="0"/>
              <w:jc w:val="center"/>
            </w:pPr>
            <w:r>
              <w:lastRenderedPageBreak/>
              <w:t xml:space="preserve">14 </w:t>
            </w:r>
          </w:p>
        </w:tc>
        <w:tc>
          <w:tcPr>
            <w:tcW w:w="2146" w:type="dxa"/>
            <w:tcBorders>
              <w:top w:val="nil"/>
              <w:left w:val="single" w:sz="4" w:space="0" w:color="000000"/>
              <w:bottom w:val="single" w:sz="4" w:space="0" w:color="000000"/>
              <w:right w:val="single" w:sz="4" w:space="0" w:color="000000"/>
            </w:tcBorders>
          </w:tcPr>
          <w:p w:rsidR="0025470D" w:rsidRDefault="0025470D" w:rsidP="00463700">
            <w:pPr>
              <w:spacing w:after="0" w:line="259" w:lineRule="auto"/>
              <w:ind w:left="252" w:firstLine="0"/>
              <w:jc w:val="center"/>
            </w:pPr>
            <w:r>
              <w:t>2</w:t>
            </w:r>
            <w:r>
              <w:rPr>
                <w:rFonts w:ascii="Calibri" w:eastAsia="Calibri" w:hAnsi="Calibri" w:cs="Calibri"/>
              </w:rPr>
              <w:t xml:space="preserve"> </w:t>
            </w:r>
            <w:r>
              <w:t xml:space="preserve">956 </w:t>
            </w:r>
          </w:p>
        </w:tc>
      </w:tr>
      <w:tr w:rsidR="0025470D" w:rsidTr="00463700">
        <w:trPr>
          <w:trHeight w:val="374"/>
        </w:trPr>
        <w:tc>
          <w:tcPr>
            <w:tcW w:w="4494" w:type="dxa"/>
            <w:tcBorders>
              <w:top w:val="single" w:sz="4" w:space="0" w:color="000000"/>
              <w:left w:val="single" w:sz="6" w:space="0" w:color="000000"/>
              <w:bottom w:val="single" w:sz="4" w:space="0" w:color="000000"/>
              <w:right w:val="single" w:sz="4" w:space="0" w:color="000000"/>
            </w:tcBorders>
          </w:tcPr>
          <w:p w:rsidR="0025470D" w:rsidRDefault="0025470D" w:rsidP="00463700">
            <w:pPr>
              <w:spacing w:after="0" w:line="259" w:lineRule="auto"/>
              <w:ind w:left="0" w:firstLine="0"/>
              <w:jc w:val="left"/>
            </w:pPr>
            <w:r>
              <w:rPr>
                <w:rFonts w:ascii="Times New Roman" w:hAnsi="Times New Roman" w:cs="Times New Roman"/>
                <w:b/>
              </w:rPr>
              <w:t xml:space="preserve">Total </w:t>
            </w:r>
          </w:p>
        </w:tc>
        <w:tc>
          <w:tcPr>
            <w:tcW w:w="1656"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right="217" w:firstLine="0"/>
              <w:jc w:val="center"/>
            </w:pPr>
            <w:r>
              <w:t xml:space="preserve">828 </w:t>
            </w:r>
          </w:p>
        </w:tc>
        <w:tc>
          <w:tcPr>
            <w:tcW w:w="2146"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right="27" w:firstLine="0"/>
              <w:jc w:val="center"/>
            </w:pPr>
            <w:r>
              <w:t>888</w:t>
            </w:r>
            <w:r>
              <w:rPr>
                <w:rFonts w:ascii="Calibri" w:eastAsia="Calibri" w:hAnsi="Calibri" w:cs="Calibri"/>
              </w:rPr>
              <w:t xml:space="preserve"> </w:t>
            </w:r>
            <w:r>
              <w:t xml:space="preserve">466 </w:t>
            </w:r>
          </w:p>
        </w:tc>
      </w:tr>
      <w:tr w:rsidR="0025470D" w:rsidTr="00463700">
        <w:trPr>
          <w:trHeight w:val="653"/>
        </w:trPr>
        <w:tc>
          <w:tcPr>
            <w:tcW w:w="6150" w:type="dxa"/>
            <w:gridSpan w:val="2"/>
            <w:tcBorders>
              <w:top w:val="single" w:sz="4" w:space="0" w:color="000000"/>
              <w:left w:val="single" w:sz="6" w:space="0" w:color="000000"/>
              <w:bottom w:val="single" w:sz="4" w:space="0" w:color="000000"/>
              <w:right w:val="single" w:sz="4" w:space="0" w:color="000000"/>
            </w:tcBorders>
          </w:tcPr>
          <w:p w:rsidR="0025470D" w:rsidRDefault="0025470D" w:rsidP="00463700">
            <w:pPr>
              <w:spacing w:after="0" w:line="259" w:lineRule="auto"/>
              <w:ind w:left="0" w:firstLine="0"/>
              <w:jc w:val="left"/>
            </w:pPr>
            <w:r>
              <w:t xml:space="preserve">Union participation rate in terms of salaried employees and wage earners  </w:t>
            </w:r>
          </w:p>
        </w:tc>
        <w:tc>
          <w:tcPr>
            <w:tcW w:w="2146" w:type="dxa"/>
            <w:tcBorders>
              <w:top w:val="single" w:sz="4" w:space="0" w:color="000000"/>
              <w:left w:val="single" w:sz="4" w:space="0" w:color="000000"/>
              <w:bottom w:val="single" w:sz="4" w:space="0" w:color="000000"/>
              <w:right w:val="single" w:sz="4" w:space="0" w:color="000000"/>
            </w:tcBorders>
            <w:vAlign w:val="center"/>
          </w:tcPr>
          <w:p w:rsidR="0025470D" w:rsidRDefault="0025470D" w:rsidP="00463700">
            <w:pPr>
              <w:spacing w:after="0" w:line="259" w:lineRule="auto"/>
              <w:ind w:left="11" w:firstLine="0"/>
              <w:jc w:val="center"/>
            </w:pPr>
            <w:r>
              <w:t xml:space="preserve">24.91% </w:t>
            </w:r>
          </w:p>
        </w:tc>
      </w:tr>
    </w:tbl>
    <w:p w:rsidR="0025470D" w:rsidRDefault="0025470D" w:rsidP="0025470D">
      <w:pPr>
        <w:spacing w:after="437" w:line="259" w:lineRule="auto"/>
        <w:ind w:left="0" w:firstLine="0"/>
        <w:jc w:val="left"/>
      </w:pPr>
      <w:r>
        <w:rPr>
          <w:rFonts w:ascii="Calibri" w:eastAsia="Calibri" w:hAnsi="Calibri" w:cs="Calibri"/>
          <w:sz w:val="24"/>
        </w:rPr>
        <w:t xml:space="preserve"> </w:t>
      </w:r>
    </w:p>
    <w:p w:rsidR="0025470D" w:rsidRDefault="0025470D" w:rsidP="0025470D">
      <w:pPr>
        <w:spacing w:after="219" w:line="259" w:lineRule="auto"/>
        <w:ind w:left="10" w:right="5" w:hanging="10"/>
        <w:jc w:val="center"/>
      </w:pPr>
      <w:r>
        <w:rPr>
          <w:sz w:val="24"/>
        </w:rPr>
        <w:t>1</w:t>
      </w:r>
    </w:p>
    <w:p w:rsidR="0025470D" w:rsidRDefault="0025470D" w:rsidP="0025470D">
      <w:pPr>
        <w:sectPr w:rsidR="0025470D">
          <w:headerReference w:type="even" r:id="rId223"/>
          <w:headerReference w:type="default" r:id="rId224"/>
          <w:footerReference w:type="even" r:id="rId225"/>
          <w:footerReference w:type="default" r:id="rId226"/>
          <w:headerReference w:type="first" r:id="rId227"/>
          <w:footerReference w:type="first" r:id="rId228"/>
          <w:pgSz w:w="11906" w:h="16838"/>
          <w:pgMar w:top="1440" w:right="1796" w:bottom="1440"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229"/>
          <w:headerReference w:type="default" r:id="rId230"/>
          <w:footerReference w:type="even" r:id="rId231"/>
          <w:footerReference w:type="default" r:id="rId232"/>
          <w:headerReference w:type="first" r:id="rId233"/>
          <w:footerReference w:type="first" r:id="rId234"/>
          <w:pgSz w:w="11906" w:h="16838"/>
          <w:pgMar w:top="1440" w:right="1440" w:bottom="1440" w:left="1440" w:header="720" w:footer="5" w:gutter="0"/>
          <w:cols w:space="720"/>
        </w:sectPr>
      </w:pPr>
    </w:p>
    <w:p w:rsidR="0025470D" w:rsidRDefault="0025470D" w:rsidP="0025470D">
      <w:pPr>
        <w:spacing w:after="9" w:line="259" w:lineRule="auto"/>
        <w:ind w:left="10" w:right="54" w:hanging="10"/>
        <w:jc w:val="right"/>
      </w:pPr>
      <w:r>
        <w:rPr>
          <w:b/>
        </w:rPr>
        <w:lastRenderedPageBreak/>
        <w:t xml:space="preserve">Annex 22B </w:t>
      </w:r>
    </w:p>
    <w:p w:rsidR="0025470D" w:rsidRDefault="0025470D" w:rsidP="0025470D">
      <w:pPr>
        <w:spacing w:after="68" w:line="259" w:lineRule="auto"/>
        <w:ind w:left="0" w:firstLine="0"/>
        <w:jc w:val="right"/>
      </w:pPr>
      <w:r>
        <w:rPr>
          <w:b/>
        </w:rPr>
        <w:t xml:space="preserve"> </w:t>
      </w:r>
    </w:p>
    <w:p w:rsidR="0025470D" w:rsidRDefault="0025470D" w:rsidP="0025470D">
      <w:pPr>
        <w:pStyle w:val="Heading4"/>
        <w:spacing w:after="55"/>
        <w:ind w:left="1469" w:right="1544" w:firstLine="689"/>
      </w:pPr>
      <w:r>
        <w:t xml:space="preserve">Non-governmental Organisations with an active interest in human rights issues </w:t>
      </w:r>
    </w:p>
    <w:p w:rsidR="0025470D" w:rsidRDefault="0025470D" w:rsidP="0025470D">
      <w:pPr>
        <w:spacing w:after="61" w:line="259" w:lineRule="auto"/>
        <w:ind w:left="0" w:firstLine="0"/>
        <w:jc w:val="left"/>
      </w:pPr>
      <w:r>
        <w:t xml:space="preserve"> </w:t>
      </w:r>
    </w:p>
    <w:p w:rsidR="0025470D" w:rsidRDefault="0025470D" w:rsidP="0025470D">
      <w:pPr>
        <w:numPr>
          <w:ilvl w:val="0"/>
          <w:numId w:val="41"/>
        </w:numPr>
        <w:spacing w:after="60"/>
        <w:ind w:right="82" w:hanging="634"/>
      </w:pPr>
      <w:r>
        <w:t xml:space="preserve">Against Child Abuse </w:t>
      </w:r>
    </w:p>
    <w:p w:rsidR="0025470D" w:rsidRDefault="0025470D" w:rsidP="0025470D">
      <w:pPr>
        <w:numPr>
          <w:ilvl w:val="0"/>
          <w:numId w:val="41"/>
        </w:numPr>
        <w:spacing w:after="40"/>
        <w:ind w:right="82" w:hanging="634"/>
      </w:pPr>
      <w:r>
        <w:t xml:space="preserve">Alliance Against North East New Territories New Development Areas Planning </w:t>
      </w:r>
    </w:p>
    <w:p w:rsidR="0025470D" w:rsidRDefault="0025470D" w:rsidP="0025470D">
      <w:pPr>
        <w:numPr>
          <w:ilvl w:val="0"/>
          <w:numId w:val="41"/>
        </w:numPr>
        <w:spacing w:after="58"/>
        <w:ind w:right="82" w:hanging="634"/>
      </w:pPr>
      <w:r>
        <w:t xml:space="preserve">Alliance of Civic Education </w:t>
      </w:r>
    </w:p>
    <w:p w:rsidR="0025470D" w:rsidRDefault="0025470D" w:rsidP="0025470D">
      <w:pPr>
        <w:numPr>
          <w:ilvl w:val="0"/>
          <w:numId w:val="41"/>
        </w:numPr>
        <w:spacing w:after="58"/>
        <w:ind w:right="82" w:hanging="634"/>
      </w:pPr>
      <w:r>
        <w:t xml:space="preserve">Amnesty International Hong Kong Section </w:t>
      </w:r>
    </w:p>
    <w:p w:rsidR="0025470D" w:rsidRDefault="0025470D" w:rsidP="0025470D">
      <w:pPr>
        <w:numPr>
          <w:ilvl w:val="0"/>
          <w:numId w:val="41"/>
        </w:numPr>
        <w:spacing w:after="57"/>
        <w:ind w:right="82" w:hanging="634"/>
      </w:pPr>
      <w:r>
        <w:t xml:space="preserve">Amnesty International, East Asia Regional Office </w:t>
      </w:r>
    </w:p>
    <w:p w:rsidR="0025470D" w:rsidRDefault="0025470D" w:rsidP="0025470D">
      <w:pPr>
        <w:numPr>
          <w:ilvl w:val="0"/>
          <w:numId w:val="41"/>
        </w:numPr>
        <w:spacing w:after="58"/>
        <w:ind w:right="82" w:hanging="634"/>
      </w:pPr>
      <w:r>
        <w:t xml:space="preserve">Asian Migrants Coordinating Body </w:t>
      </w:r>
    </w:p>
    <w:p w:rsidR="0025470D" w:rsidRDefault="0025470D" w:rsidP="0025470D">
      <w:pPr>
        <w:numPr>
          <w:ilvl w:val="0"/>
          <w:numId w:val="41"/>
        </w:numPr>
        <w:spacing w:after="59"/>
        <w:ind w:right="82" w:hanging="634"/>
      </w:pPr>
      <w:r>
        <w:t xml:space="preserve">Association for the Advancement of Feminism </w:t>
      </w:r>
    </w:p>
    <w:p w:rsidR="0025470D" w:rsidRDefault="0025470D" w:rsidP="0025470D">
      <w:pPr>
        <w:numPr>
          <w:ilvl w:val="0"/>
          <w:numId w:val="41"/>
        </w:numPr>
        <w:spacing w:after="59"/>
        <w:ind w:right="82" w:hanging="634"/>
      </w:pPr>
      <w:r>
        <w:t xml:space="preserve">Baby Friendly Hospital Initiative Hong Kong Association </w:t>
      </w:r>
    </w:p>
    <w:p w:rsidR="0025470D" w:rsidRDefault="0025470D" w:rsidP="0025470D">
      <w:pPr>
        <w:numPr>
          <w:ilvl w:val="0"/>
          <w:numId w:val="41"/>
        </w:numPr>
        <w:spacing w:after="52"/>
        <w:ind w:right="82" w:hanging="634"/>
      </w:pPr>
      <w:r>
        <w:t xml:space="preserve">Beyond the Boundary – Knowing and Concerns Intersex </w:t>
      </w:r>
    </w:p>
    <w:p w:rsidR="0025470D" w:rsidRDefault="0025470D" w:rsidP="0025470D">
      <w:pPr>
        <w:numPr>
          <w:ilvl w:val="0"/>
          <w:numId w:val="41"/>
        </w:numPr>
        <w:spacing w:after="51"/>
        <w:ind w:right="82" w:hanging="634"/>
      </w:pPr>
      <w:r>
        <w:t xml:space="preserve">Caritas - Hong Kong </w:t>
      </w:r>
    </w:p>
    <w:p w:rsidR="0025470D" w:rsidRDefault="0025470D" w:rsidP="0025470D">
      <w:pPr>
        <w:numPr>
          <w:ilvl w:val="0"/>
          <w:numId w:val="41"/>
        </w:numPr>
        <w:spacing w:after="39"/>
        <w:ind w:right="82" w:hanging="634"/>
      </w:pPr>
      <w:r>
        <w:t xml:space="preserve">Centre for Governance and Citizenship, The Education University of Hong Kong </w:t>
      </w:r>
    </w:p>
    <w:p w:rsidR="0025470D" w:rsidRDefault="0025470D" w:rsidP="0025470D">
      <w:pPr>
        <w:numPr>
          <w:ilvl w:val="0"/>
          <w:numId w:val="41"/>
        </w:numPr>
        <w:spacing w:after="50"/>
        <w:ind w:right="82" w:hanging="634"/>
      </w:pPr>
      <w:r>
        <w:t xml:space="preserve">Children’s Rights Association </w:t>
      </w:r>
    </w:p>
    <w:p w:rsidR="0025470D" w:rsidRDefault="0025470D" w:rsidP="0025470D">
      <w:pPr>
        <w:numPr>
          <w:ilvl w:val="0"/>
          <w:numId w:val="41"/>
        </w:numPr>
        <w:spacing w:after="49"/>
        <w:ind w:right="82" w:hanging="634"/>
      </w:pPr>
      <w:r>
        <w:t xml:space="preserve">Chinese YMCA of Hong Kong Hin Keng Centre </w:t>
      </w:r>
    </w:p>
    <w:p w:rsidR="0025470D" w:rsidRDefault="0025470D" w:rsidP="0025470D">
      <w:pPr>
        <w:numPr>
          <w:ilvl w:val="0"/>
          <w:numId w:val="41"/>
        </w:numPr>
        <w:spacing w:after="42"/>
        <w:ind w:right="82" w:hanging="634"/>
      </w:pPr>
      <w:r>
        <w:t xml:space="preserve">Chosen Power (People First Hong Kong) </w:t>
      </w:r>
    </w:p>
    <w:p w:rsidR="0025470D" w:rsidRDefault="0025470D" w:rsidP="0025470D">
      <w:pPr>
        <w:numPr>
          <w:ilvl w:val="0"/>
          <w:numId w:val="41"/>
        </w:numPr>
        <w:spacing w:after="42"/>
        <w:ind w:right="82" w:hanging="634"/>
      </w:pPr>
      <w:r>
        <w:t xml:space="preserve">Christian Action </w:t>
      </w:r>
    </w:p>
    <w:p w:rsidR="0025470D" w:rsidRDefault="0025470D" w:rsidP="0025470D">
      <w:pPr>
        <w:numPr>
          <w:ilvl w:val="0"/>
          <w:numId w:val="41"/>
        </w:numPr>
        <w:spacing w:after="38"/>
        <w:ind w:right="82" w:hanging="634"/>
      </w:pPr>
      <w:r>
        <w:t xml:space="preserve">Civic Exchange </w:t>
      </w:r>
    </w:p>
    <w:p w:rsidR="0025470D" w:rsidRDefault="0025470D" w:rsidP="0025470D">
      <w:pPr>
        <w:numPr>
          <w:ilvl w:val="0"/>
          <w:numId w:val="41"/>
        </w:numPr>
        <w:spacing w:after="46"/>
        <w:ind w:right="82" w:hanging="634"/>
      </w:pPr>
      <w:r>
        <w:t xml:space="preserve">Civic Party </w:t>
      </w:r>
    </w:p>
    <w:p w:rsidR="0025470D" w:rsidRDefault="0025470D" w:rsidP="0025470D">
      <w:pPr>
        <w:numPr>
          <w:ilvl w:val="0"/>
          <w:numId w:val="41"/>
        </w:numPr>
        <w:spacing w:after="46"/>
        <w:ind w:right="82" w:hanging="634"/>
      </w:pPr>
      <w:r>
        <w:t xml:space="preserve">Civil Human Rights Front </w:t>
      </w:r>
    </w:p>
    <w:p w:rsidR="0025470D" w:rsidRDefault="0025470D" w:rsidP="0025470D">
      <w:pPr>
        <w:numPr>
          <w:ilvl w:val="0"/>
          <w:numId w:val="41"/>
        </w:numPr>
        <w:spacing w:after="48"/>
        <w:ind w:right="82" w:hanging="634"/>
      </w:pPr>
      <w:r>
        <w:t xml:space="preserve">Civil Rights Defense Guild </w:t>
      </w:r>
    </w:p>
    <w:p w:rsidR="0025470D" w:rsidRDefault="0025470D" w:rsidP="0025470D">
      <w:pPr>
        <w:numPr>
          <w:ilvl w:val="0"/>
          <w:numId w:val="41"/>
        </w:numPr>
        <w:spacing w:after="45"/>
        <w:ind w:right="82" w:hanging="634"/>
      </w:pPr>
      <w:r>
        <w:t xml:space="preserve">Civil Rights for Sexual Diversities </w:t>
      </w:r>
    </w:p>
    <w:p w:rsidR="0025470D" w:rsidRDefault="0025470D" w:rsidP="0025470D">
      <w:pPr>
        <w:numPr>
          <w:ilvl w:val="0"/>
          <w:numId w:val="41"/>
        </w:numPr>
        <w:spacing w:after="51"/>
        <w:ind w:right="82" w:hanging="634"/>
      </w:pPr>
      <w:r>
        <w:t xml:space="preserve">Civil Rights Observer </w:t>
      </w:r>
    </w:p>
    <w:p w:rsidR="0025470D" w:rsidRDefault="0025470D" w:rsidP="0025470D">
      <w:pPr>
        <w:numPr>
          <w:ilvl w:val="0"/>
          <w:numId w:val="41"/>
        </w:numPr>
        <w:spacing w:after="38"/>
        <w:ind w:right="82" w:hanging="634"/>
      </w:pPr>
      <w:r>
        <w:t xml:space="preserve">Democratic Alliance for the Betterment and Progress of Hong Kong  </w:t>
      </w:r>
    </w:p>
    <w:p w:rsidR="0025470D" w:rsidRDefault="0025470D" w:rsidP="0025470D">
      <w:pPr>
        <w:numPr>
          <w:ilvl w:val="0"/>
          <w:numId w:val="41"/>
        </w:numPr>
        <w:spacing w:after="48"/>
        <w:ind w:right="82" w:hanging="634"/>
      </w:pPr>
      <w:r>
        <w:t xml:space="preserve">Demosistō </w:t>
      </w:r>
    </w:p>
    <w:p w:rsidR="0025470D" w:rsidRDefault="0025470D" w:rsidP="0025470D">
      <w:pPr>
        <w:numPr>
          <w:ilvl w:val="0"/>
          <w:numId w:val="41"/>
        </w:numPr>
        <w:spacing w:after="48"/>
        <w:ind w:right="82" w:hanging="634"/>
      </w:pPr>
      <w:r>
        <w:t xml:space="preserve">Equal Opportunities Commission </w:t>
      </w:r>
    </w:p>
    <w:p w:rsidR="0025470D" w:rsidRDefault="0025470D" w:rsidP="0025470D">
      <w:pPr>
        <w:numPr>
          <w:ilvl w:val="0"/>
          <w:numId w:val="41"/>
        </w:numPr>
        <w:spacing w:after="50"/>
        <w:ind w:right="82" w:hanging="634"/>
      </w:pPr>
      <w:r>
        <w:t xml:space="preserve">Family School SODO Concern Group </w:t>
      </w:r>
    </w:p>
    <w:p w:rsidR="0025470D" w:rsidRDefault="0025470D" w:rsidP="0025470D">
      <w:pPr>
        <w:numPr>
          <w:ilvl w:val="0"/>
          <w:numId w:val="41"/>
        </w:numPr>
        <w:spacing w:after="49"/>
        <w:ind w:right="82" w:hanging="634"/>
      </w:pPr>
      <w:r>
        <w:t xml:space="preserve">Federation of Muslim Association in Hong Kong </w:t>
      </w:r>
    </w:p>
    <w:p w:rsidR="0025470D" w:rsidRDefault="0025470D" w:rsidP="0025470D">
      <w:pPr>
        <w:numPr>
          <w:ilvl w:val="0"/>
          <w:numId w:val="41"/>
        </w:numPr>
        <w:spacing w:after="42"/>
        <w:ind w:right="82" w:hanging="634"/>
      </w:pPr>
      <w:r>
        <w:lastRenderedPageBreak/>
        <w:t xml:space="preserve">Greater China Gender Equality Concerns </w:t>
      </w:r>
    </w:p>
    <w:p w:rsidR="0025470D" w:rsidRDefault="0025470D" w:rsidP="0025470D">
      <w:pPr>
        <w:numPr>
          <w:ilvl w:val="0"/>
          <w:numId w:val="41"/>
        </w:numPr>
        <w:spacing w:after="42"/>
        <w:ind w:right="82" w:hanging="634"/>
      </w:pPr>
      <w:r>
        <w:t xml:space="preserve">Harmony House </w:t>
      </w:r>
    </w:p>
    <w:p w:rsidR="0025470D" w:rsidRDefault="0025470D" w:rsidP="0025470D">
      <w:pPr>
        <w:numPr>
          <w:ilvl w:val="0"/>
          <w:numId w:val="41"/>
        </w:numPr>
        <w:spacing w:after="51"/>
        <w:ind w:right="82" w:hanging="634"/>
      </w:pPr>
      <w:r>
        <w:t xml:space="preserve">Health In Action </w:t>
      </w:r>
    </w:p>
    <w:p w:rsidR="0025470D" w:rsidRDefault="0025470D" w:rsidP="0025470D">
      <w:pPr>
        <w:numPr>
          <w:ilvl w:val="0"/>
          <w:numId w:val="41"/>
        </w:numPr>
        <w:ind w:right="82" w:hanging="634"/>
      </w:pPr>
      <w:r>
        <w:t xml:space="preserve">Hong Kong Association for Specific Learning Disabilities </w:t>
      </w:r>
    </w:p>
    <w:p w:rsidR="0025470D" w:rsidRDefault="0025470D" w:rsidP="0025470D">
      <w:pPr>
        <w:numPr>
          <w:ilvl w:val="0"/>
          <w:numId w:val="41"/>
        </w:numPr>
        <w:spacing w:after="39"/>
        <w:ind w:right="82" w:hanging="634"/>
      </w:pPr>
      <w:r>
        <w:t xml:space="preserve">Hong Kong Association for the Survivors of Women Abuse (Kwan Fook) </w:t>
      </w:r>
    </w:p>
    <w:p w:rsidR="0025470D" w:rsidRDefault="0025470D" w:rsidP="0025470D">
      <w:pPr>
        <w:numPr>
          <w:ilvl w:val="0"/>
          <w:numId w:val="41"/>
        </w:numPr>
        <w:spacing w:after="47"/>
        <w:ind w:right="82" w:hanging="634"/>
      </w:pPr>
      <w:r>
        <w:t xml:space="preserve">Hong Kong Bar Association </w:t>
      </w:r>
    </w:p>
    <w:p w:rsidR="0025470D" w:rsidRDefault="0025470D" w:rsidP="0025470D">
      <w:pPr>
        <w:numPr>
          <w:ilvl w:val="0"/>
          <w:numId w:val="41"/>
        </w:numPr>
        <w:spacing w:after="47"/>
        <w:ind w:right="82" w:hanging="634"/>
      </w:pPr>
      <w:r>
        <w:t xml:space="preserve">Hong Kong Christian Institute </w:t>
      </w:r>
    </w:p>
    <w:p w:rsidR="0025470D" w:rsidRDefault="0025470D" w:rsidP="0025470D">
      <w:pPr>
        <w:numPr>
          <w:ilvl w:val="0"/>
          <w:numId w:val="41"/>
        </w:numPr>
        <w:spacing w:after="48"/>
        <w:ind w:right="82" w:hanging="634"/>
      </w:pPr>
      <w:r>
        <w:t xml:space="preserve">Hong Kong Christian Service </w:t>
      </w:r>
    </w:p>
    <w:p w:rsidR="0025470D" w:rsidRDefault="0025470D" w:rsidP="0025470D">
      <w:pPr>
        <w:numPr>
          <w:ilvl w:val="0"/>
          <w:numId w:val="41"/>
        </w:numPr>
        <w:spacing w:after="48"/>
        <w:ind w:right="82" w:hanging="634"/>
      </w:pPr>
      <w:r>
        <w:t xml:space="preserve">Hong Kong College of Paediatricians  </w:t>
      </w:r>
    </w:p>
    <w:p w:rsidR="0025470D" w:rsidRDefault="0025470D" w:rsidP="0025470D">
      <w:pPr>
        <w:numPr>
          <w:ilvl w:val="0"/>
          <w:numId w:val="41"/>
        </w:numPr>
        <w:spacing w:after="49"/>
        <w:ind w:right="82" w:hanging="634"/>
      </w:pPr>
      <w:r>
        <w:t xml:space="preserve">Hong Kong Committee for UNICEF </w:t>
      </w:r>
    </w:p>
    <w:p w:rsidR="0025470D" w:rsidRDefault="0025470D" w:rsidP="0025470D">
      <w:pPr>
        <w:numPr>
          <w:ilvl w:val="0"/>
          <w:numId w:val="41"/>
        </w:numPr>
        <w:spacing w:after="48"/>
        <w:ind w:right="82" w:hanging="634"/>
      </w:pPr>
      <w:r>
        <w:t xml:space="preserve">Hong Kong Committee on Children’s Rights </w:t>
      </w:r>
    </w:p>
    <w:p w:rsidR="0025470D" w:rsidRDefault="0025470D" w:rsidP="0025470D">
      <w:pPr>
        <w:numPr>
          <w:ilvl w:val="0"/>
          <w:numId w:val="41"/>
        </w:numPr>
        <w:spacing w:after="50"/>
        <w:ind w:right="82" w:hanging="634"/>
      </w:pPr>
      <w:r>
        <w:t xml:space="preserve">Hong Kong Community Network </w:t>
      </w:r>
    </w:p>
    <w:p w:rsidR="0025470D" w:rsidRDefault="0025470D" w:rsidP="0025470D">
      <w:pPr>
        <w:numPr>
          <w:ilvl w:val="0"/>
          <w:numId w:val="41"/>
        </w:numPr>
        <w:spacing w:after="49"/>
        <w:ind w:right="82" w:hanging="634"/>
      </w:pPr>
      <w:r>
        <w:t xml:space="preserve">Hong Kong Confederation of Trade Unions  </w:t>
      </w:r>
    </w:p>
    <w:p w:rsidR="0025470D" w:rsidRDefault="0025470D" w:rsidP="0025470D">
      <w:pPr>
        <w:numPr>
          <w:ilvl w:val="0"/>
          <w:numId w:val="41"/>
        </w:numPr>
        <w:spacing w:after="49"/>
        <w:ind w:right="82" w:hanging="634"/>
      </w:pPr>
      <w:r>
        <w:t xml:space="preserve">Hong Kong Federation of Trade Unions  </w:t>
      </w:r>
    </w:p>
    <w:p w:rsidR="0025470D" w:rsidRDefault="0025470D" w:rsidP="0025470D">
      <w:pPr>
        <w:numPr>
          <w:ilvl w:val="0"/>
          <w:numId w:val="41"/>
        </w:numPr>
        <w:spacing w:after="48"/>
        <w:ind w:right="82" w:hanging="634"/>
      </w:pPr>
      <w:r>
        <w:t xml:space="preserve">Hong Kong Human Rights Commission </w:t>
      </w:r>
    </w:p>
    <w:p w:rsidR="0025470D" w:rsidRDefault="0025470D" w:rsidP="0025470D">
      <w:pPr>
        <w:numPr>
          <w:ilvl w:val="0"/>
          <w:numId w:val="41"/>
        </w:numPr>
        <w:spacing w:after="50"/>
        <w:ind w:right="82" w:hanging="634"/>
      </w:pPr>
      <w:r>
        <w:t xml:space="preserve">Hong Kong Human Rights Monitor </w:t>
      </w:r>
    </w:p>
    <w:p w:rsidR="0025470D" w:rsidRDefault="0025470D" w:rsidP="0025470D">
      <w:pPr>
        <w:numPr>
          <w:ilvl w:val="0"/>
          <w:numId w:val="41"/>
        </w:numPr>
        <w:spacing w:after="50"/>
        <w:ind w:right="82" w:hanging="634"/>
      </w:pPr>
      <w:r>
        <w:t xml:space="preserve">Hong Kong Informal Education Research Centre </w:t>
      </w:r>
    </w:p>
    <w:p w:rsidR="0025470D" w:rsidRDefault="0025470D" w:rsidP="0025470D">
      <w:pPr>
        <w:numPr>
          <w:ilvl w:val="0"/>
          <w:numId w:val="41"/>
        </w:numPr>
        <w:spacing w:after="48"/>
        <w:ind w:right="82" w:hanging="634"/>
      </w:pPr>
      <w:r>
        <w:t xml:space="preserve">Hong Kong Integrated Nepalese Society Limited </w:t>
      </w:r>
    </w:p>
    <w:p w:rsidR="0025470D" w:rsidRDefault="0025470D" w:rsidP="0025470D">
      <w:pPr>
        <w:numPr>
          <w:ilvl w:val="0"/>
          <w:numId w:val="41"/>
        </w:numPr>
        <w:spacing w:after="48"/>
        <w:ind w:right="82" w:hanging="634"/>
      </w:pPr>
      <w:r>
        <w:t xml:space="preserve">Hong Kong Journalists Association  </w:t>
      </w:r>
    </w:p>
    <w:p w:rsidR="0025470D" w:rsidRDefault="0025470D" w:rsidP="0025470D">
      <w:pPr>
        <w:numPr>
          <w:ilvl w:val="0"/>
          <w:numId w:val="41"/>
        </w:numPr>
        <w:spacing w:after="48"/>
        <w:ind w:right="82" w:hanging="634"/>
      </w:pPr>
      <w:r>
        <w:t xml:space="preserve">Hong Kong Nepalese Federation </w:t>
      </w:r>
    </w:p>
    <w:p w:rsidR="0025470D" w:rsidRDefault="0025470D" w:rsidP="0025470D">
      <w:pPr>
        <w:numPr>
          <w:ilvl w:val="0"/>
          <w:numId w:val="41"/>
        </w:numPr>
        <w:spacing w:after="51"/>
        <w:ind w:right="82" w:hanging="634"/>
      </w:pPr>
      <w:r>
        <w:t xml:space="preserve">Hong Kong Secondary Student Union </w:t>
      </w:r>
    </w:p>
    <w:p w:rsidR="0025470D" w:rsidRDefault="0025470D" w:rsidP="0025470D">
      <w:pPr>
        <w:numPr>
          <w:ilvl w:val="0"/>
          <w:numId w:val="41"/>
        </w:numPr>
        <w:spacing w:after="47"/>
        <w:ind w:right="82" w:hanging="634"/>
      </w:pPr>
      <w:r>
        <w:t xml:space="preserve">Hong Kong Section of International Commission of Jurists (Justice) </w:t>
      </w:r>
    </w:p>
    <w:p w:rsidR="0025470D" w:rsidRDefault="0025470D" w:rsidP="0025470D">
      <w:pPr>
        <w:numPr>
          <w:ilvl w:val="0"/>
          <w:numId w:val="41"/>
        </w:numPr>
        <w:spacing w:after="50"/>
        <w:ind w:right="82" w:hanging="634"/>
      </w:pPr>
      <w:r>
        <w:t xml:space="preserve">Hong Kong Sex Culture Society </w:t>
      </w:r>
    </w:p>
    <w:p w:rsidR="0025470D" w:rsidRDefault="0025470D" w:rsidP="0025470D">
      <w:pPr>
        <w:numPr>
          <w:ilvl w:val="0"/>
          <w:numId w:val="41"/>
        </w:numPr>
        <w:spacing w:after="50"/>
        <w:ind w:right="82" w:hanging="634"/>
      </w:pPr>
      <w:r>
        <w:t xml:space="preserve">Hong Kong Sheng Kung Hui Lady MacLehose Centre </w:t>
      </w:r>
    </w:p>
    <w:p w:rsidR="0025470D" w:rsidRDefault="0025470D" w:rsidP="0025470D">
      <w:pPr>
        <w:numPr>
          <w:ilvl w:val="0"/>
          <w:numId w:val="41"/>
        </w:numPr>
        <w:spacing w:after="47"/>
        <w:ind w:right="82" w:hanging="634"/>
      </w:pPr>
      <w:r>
        <w:t xml:space="preserve">Hong Kong Society for the Protection of Children </w:t>
      </w:r>
    </w:p>
    <w:p w:rsidR="0025470D" w:rsidRDefault="0025470D" w:rsidP="0025470D">
      <w:pPr>
        <w:numPr>
          <w:ilvl w:val="0"/>
          <w:numId w:val="41"/>
        </w:numPr>
        <w:spacing w:after="44"/>
        <w:ind w:right="82" w:hanging="634"/>
      </w:pPr>
      <w:r>
        <w:t xml:space="preserve">Hong Kong Student Aid Society </w:t>
      </w:r>
    </w:p>
    <w:p w:rsidR="0025470D" w:rsidRDefault="0025470D" w:rsidP="0025470D">
      <w:pPr>
        <w:numPr>
          <w:ilvl w:val="0"/>
          <w:numId w:val="41"/>
        </w:numPr>
        <w:spacing w:after="49"/>
        <w:ind w:right="82" w:hanging="634"/>
      </w:pPr>
      <w:r>
        <w:t xml:space="preserve">Hong Kong Unison </w:t>
      </w:r>
    </w:p>
    <w:p w:rsidR="0025470D" w:rsidRDefault="0025470D" w:rsidP="0025470D">
      <w:pPr>
        <w:numPr>
          <w:ilvl w:val="0"/>
          <w:numId w:val="41"/>
        </w:numPr>
        <w:spacing w:after="50"/>
        <w:ind w:right="82" w:hanging="634"/>
      </w:pPr>
      <w:r>
        <w:t xml:space="preserve">Hong Kong Women Christian Council  </w:t>
      </w:r>
    </w:p>
    <w:p w:rsidR="0025470D" w:rsidRDefault="0025470D" w:rsidP="0025470D">
      <w:pPr>
        <w:numPr>
          <w:ilvl w:val="0"/>
          <w:numId w:val="41"/>
        </w:numPr>
        <w:spacing w:after="49"/>
        <w:ind w:right="82" w:hanging="634"/>
      </w:pPr>
      <w:r>
        <w:t xml:space="preserve">Hong Kong Women Development Association Limited  </w:t>
      </w:r>
    </w:p>
    <w:p w:rsidR="0025470D" w:rsidRDefault="0025470D" w:rsidP="0025470D">
      <w:pPr>
        <w:numPr>
          <w:ilvl w:val="0"/>
          <w:numId w:val="41"/>
        </w:numPr>
        <w:spacing w:after="41"/>
        <w:ind w:right="82" w:hanging="634"/>
      </w:pPr>
      <w:r>
        <w:t xml:space="preserve">Hong Kong Youth and Students Federation </w:t>
      </w:r>
    </w:p>
    <w:p w:rsidR="0025470D" w:rsidRDefault="0025470D" w:rsidP="0025470D">
      <w:pPr>
        <w:numPr>
          <w:ilvl w:val="0"/>
          <w:numId w:val="41"/>
        </w:numPr>
        <w:spacing w:after="48"/>
        <w:ind w:right="82" w:hanging="634"/>
      </w:pPr>
      <w:r>
        <w:t xml:space="preserve">HORIZONS  </w:t>
      </w:r>
    </w:p>
    <w:p w:rsidR="0025470D" w:rsidRDefault="0025470D" w:rsidP="0025470D">
      <w:pPr>
        <w:numPr>
          <w:ilvl w:val="0"/>
          <w:numId w:val="41"/>
        </w:numPr>
        <w:spacing w:after="46"/>
        <w:ind w:right="82" w:hanging="634"/>
      </w:pPr>
      <w:r>
        <w:t xml:space="preserve">Human Rights Council of Hong Kong </w:t>
      </w:r>
    </w:p>
    <w:p w:rsidR="0025470D" w:rsidRDefault="0025470D" w:rsidP="0025470D">
      <w:pPr>
        <w:numPr>
          <w:ilvl w:val="0"/>
          <w:numId w:val="41"/>
        </w:numPr>
        <w:spacing w:after="48"/>
        <w:ind w:right="82" w:hanging="634"/>
      </w:pPr>
      <w:r>
        <w:lastRenderedPageBreak/>
        <w:t xml:space="preserve">Human Welfare Services </w:t>
      </w:r>
    </w:p>
    <w:p w:rsidR="0025470D" w:rsidRDefault="0025470D" w:rsidP="0025470D">
      <w:pPr>
        <w:numPr>
          <w:ilvl w:val="0"/>
          <w:numId w:val="41"/>
        </w:numPr>
        <w:spacing w:after="50"/>
        <w:ind w:right="82" w:hanging="634"/>
      </w:pPr>
      <w:r>
        <w:t xml:space="preserve">Indian Businessmen’s Association </w:t>
      </w:r>
    </w:p>
    <w:p w:rsidR="0025470D" w:rsidRDefault="0025470D" w:rsidP="0025470D">
      <w:pPr>
        <w:numPr>
          <w:ilvl w:val="0"/>
          <w:numId w:val="41"/>
        </w:numPr>
        <w:spacing w:after="49"/>
        <w:ind w:right="82" w:hanging="634"/>
      </w:pPr>
      <w:r>
        <w:t xml:space="preserve">International Social Service Hong Kong Branch </w:t>
      </w:r>
    </w:p>
    <w:p w:rsidR="0025470D" w:rsidRDefault="0025470D" w:rsidP="0025470D">
      <w:pPr>
        <w:numPr>
          <w:ilvl w:val="0"/>
          <w:numId w:val="41"/>
        </w:numPr>
        <w:spacing w:after="51"/>
        <w:ind w:right="82" w:hanging="634"/>
      </w:pPr>
      <w:r>
        <w:t xml:space="preserve">Jammu Kashmir Association (HKSAR) </w:t>
      </w:r>
    </w:p>
    <w:p w:rsidR="0025470D" w:rsidRDefault="0025470D" w:rsidP="0025470D">
      <w:pPr>
        <w:numPr>
          <w:ilvl w:val="0"/>
          <w:numId w:val="41"/>
        </w:numPr>
        <w:spacing w:after="46"/>
        <w:ind w:right="82" w:hanging="634"/>
      </w:pPr>
      <w:r>
        <w:t xml:space="preserve">Justice and Peace Commission of the Hong Kong Catholic Diocese </w:t>
      </w:r>
    </w:p>
    <w:p w:rsidR="0025470D" w:rsidRDefault="0025470D" w:rsidP="0025470D">
      <w:pPr>
        <w:numPr>
          <w:ilvl w:val="0"/>
          <w:numId w:val="41"/>
        </w:numPr>
        <w:spacing w:after="49"/>
        <w:ind w:right="82" w:hanging="634"/>
      </w:pPr>
      <w:r>
        <w:t xml:space="preserve">Justice Centre Hong Kong </w:t>
      </w:r>
    </w:p>
    <w:p w:rsidR="0025470D" w:rsidRDefault="0025470D" w:rsidP="0025470D">
      <w:pPr>
        <w:numPr>
          <w:ilvl w:val="0"/>
          <w:numId w:val="41"/>
        </w:numPr>
        <w:spacing w:after="40"/>
        <w:ind w:right="82" w:hanging="634"/>
      </w:pPr>
      <w:r>
        <w:t xml:space="preserve">Khalsa Diwan Hong Kong (Sikh Temple) </w:t>
      </w:r>
    </w:p>
    <w:p w:rsidR="0025470D" w:rsidRDefault="0025470D" w:rsidP="0025470D">
      <w:pPr>
        <w:numPr>
          <w:ilvl w:val="0"/>
          <w:numId w:val="41"/>
        </w:numPr>
        <w:spacing w:after="44"/>
        <w:ind w:right="82" w:hanging="634"/>
      </w:pPr>
      <w:r>
        <w:t xml:space="preserve">Kids’ Dream </w:t>
      </w:r>
    </w:p>
    <w:p w:rsidR="0025470D" w:rsidRDefault="0025470D" w:rsidP="0025470D">
      <w:pPr>
        <w:numPr>
          <w:ilvl w:val="0"/>
          <w:numId w:val="41"/>
        </w:numPr>
        <w:ind w:right="82" w:hanging="634"/>
      </w:pPr>
      <w:r>
        <w:t xml:space="preserve">Lab in Hong Kong </w:t>
      </w:r>
    </w:p>
    <w:p w:rsidR="0025470D" w:rsidRDefault="0025470D" w:rsidP="0025470D">
      <w:pPr>
        <w:numPr>
          <w:ilvl w:val="0"/>
          <w:numId w:val="41"/>
        </w:numPr>
        <w:spacing w:after="47"/>
        <w:ind w:right="82" w:hanging="634"/>
      </w:pPr>
      <w:r>
        <w:t xml:space="preserve">Labour Party </w:t>
      </w:r>
    </w:p>
    <w:p w:rsidR="0025470D" w:rsidRDefault="0025470D" w:rsidP="0025470D">
      <w:pPr>
        <w:numPr>
          <w:ilvl w:val="0"/>
          <w:numId w:val="41"/>
        </w:numPr>
        <w:spacing w:after="48"/>
        <w:ind w:right="82" w:hanging="634"/>
      </w:pPr>
      <w:r>
        <w:t xml:space="preserve">League of Social Democrats </w:t>
      </w:r>
    </w:p>
    <w:p w:rsidR="0025470D" w:rsidRDefault="0025470D" w:rsidP="0025470D">
      <w:pPr>
        <w:numPr>
          <w:ilvl w:val="0"/>
          <w:numId w:val="41"/>
        </w:numPr>
        <w:spacing w:after="40"/>
        <w:ind w:right="82" w:hanging="634"/>
      </w:pPr>
      <w:r>
        <w:t xml:space="preserve">Les Corner Empowerment Association </w:t>
      </w:r>
    </w:p>
    <w:p w:rsidR="0025470D" w:rsidRDefault="0025470D" w:rsidP="0025470D">
      <w:pPr>
        <w:numPr>
          <w:ilvl w:val="0"/>
          <w:numId w:val="41"/>
        </w:numPr>
        <w:spacing w:after="48"/>
        <w:ind w:right="82" w:hanging="634"/>
      </w:pPr>
      <w:r>
        <w:t xml:space="preserve">Liberal Party </w:t>
      </w:r>
    </w:p>
    <w:p w:rsidR="0025470D" w:rsidRDefault="0025470D" w:rsidP="0025470D">
      <w:pPr>
        <w:numPr>
          <w:ilvl w:val="0"/>
          <w:numId w:val="41"/>
        </w:numPr>
        <w:spacing w:after="42"/>
        <w:ind w:right="82" w:hanging="634"/>
      </w:pPr>
      <w:r>
        <w:t xml:space="preserve">Mission for Migrant Workers Limited </w:t>
      </w:r>
    </w:p>
    <w:p w:rsidR="0025470D" w:rsidRDefault="0025470D" w:rsidP="0025470D">
      <w:pPr>
        <w:numPr>
          <w:ilvl w:val="0"/>
          <w:numId w:val="41"/>
        </w:numPr>
        <w:spacing w:after="46"/>
        <w:ind w:right="82" w:hanging="634"/>
      </w:pPr>
      <w:r>
        <w:t xml:space="preserve">Mother's Choice </w:t>
      </w:r>
    </w:p>
    <w:p w:rsidR="0025470D" w:rsidRDefault="0025470D" w:rsidP="0025470D">
      <w:pPr>
        <w:numPr>
          <w:ilvl w:val="0"/>
          <w:numId w:val="41"/>
        </w:numPr>
        <w:spacing w:after="48"/>
        <w:ind w:right="82" w:hanging="634"/>
      </w:pPr>
      <w:r>
        <w:t xml:space="preserve">Muslim Youth Association  </w:t>
      </w:r>
    </w:p>
    <w:p w:rsidR="0025470D" w:rsidRDefault="0025470D" w:rsidP="0025470D">
      <w:pPr>
        <w:numPr>
          <w:ilvl w:val="0"/>
          <w:numId w:val="41"/>
        </w:numPr>
        <w:spacing w:after="45"/>
        <w:ind w:right="82" w:hanging="634"/>
      </w:pPr>
      <w:r>
        <w:t xml:space="preserve">Nepali Social Service Hong Kong </w:t>
      </w:r>
    </w:p>
    <w:p w:rsidR="0025470D" w:rsidRDefault="0025470D" w:rsidP="0025470D">
      <w:pPr>
        <w:numPr>
          <w:ilvl w:val="0"/>
          <w:numId w:val="41"/>
        </w:numPr>
        <w:spacing w:after="50"/>
        <w:ind w:right="82" w:hanging="634"/>
      </w:pPr>
      <w:r>
        <w:t xml:space="preserve">New Home Association </w:t>
      </w:r>
    </w:p>
    <w:p w:rsidR="0025470D" w:rsidRDefault="0025470D" w:rsidP="0025470D">
      <w:pPr>
        <w:numPr>
          <w:ilvl w:val="0"/>
          <w:numId w:val="41"/>
        </w:numPr>
        <w:spacing w:after="47"/>
        <w:ind w:right="82" w:hanging="634"/>
      </w:pPr>
      <w:r>
        <w:t xml:space="preserve">New Immigrants' Mutual Aid Association  </w:t>
      </w:r>
    </w:p>
    <w:p w:rsidR="0025470D" w:rsidRDefault="0025470D" w:rsidP="0025470D">
      <w:pPr>
        <w:numPr>
          <w:ilvl w:val="0"/>
          <w:numId w:val="41"/>
        </w:numPr>
        <w:spacing w:after="51"/>
        <w:ind w:right="82" w:hanging="634"/>
      </w:pPr>
      <w:r>
        <w:t xml:space="preserve">Next Generation Orientation </w:t>
      </w:r>
    </w:p>
    <w:p w:rsidR="0025470D" w:rsidRDefault="0025470D" w:rsidP="0025470D">
      <w:pPr>
        <w:numPr>
          <w:ilvl w:val="0"/>
          <w:numId w:val="41"/>
        </w:numPr>
        <w:spacing w:after="44"/>
        <w:ind w:right="82" w:hanging="634"/>
      </w:pPr>
      <w:r>
        <w:t xml:space="preserve">Office of the Privacy Commissioner for Personal Data, Hong Kong  </w:t>
      </w:r>
    </w:p>
    <w:p w:rsidR="0025470D" w:rsidRDefault="0025470D" w:rsidP="0025470D">
      <w:pPr>
        <w:numPr>
          <w:ilvl w:val="0"/>
          <w:numId w:val="41"/>
        </w:numPr>
        <w:spacing w:after="48"/>
        <w:ind w:right="82" w:hanging="634"/>
      </w:pPr>
      <w:r>
        <w:t xml:space="preserve">Oxfam Hong Kong </w:t>
      </w:r>
    </w:p>
    <w:p w:rsidR="0025470D" w:rsidRDefault="0025470D" w:rsidP="0025470D">
      <w:pPr>
        <w:numPr>
          <w:ilvl w:val="0"/>
          <w:numId w:val="41"/>
        </w:numPr>
        <w:spacing w:after="46"/>
        <w:ind w:right="82" w:hanging="634"/>
      </w:pPr>
      <w:r>
        <w:t xml:space="preserve">Pakistan Islamic Welfare Union  </w:t>
      </w:r>
    </w:p>
    <w:p w:rsidR="0025470D" w:rsidRDefault="0025470D" w:rsidP="0025470D">
      <w:pPr>
        <w:numPr>
          <w:ilvl w:val="0"/>
          <w:numId w:val="41"/>
        </w:numPr>
        <w:spacing w:after="48"/>
        <w:ind w:right="82" w:hanging="634"/>
      </w:pPr>
      <w:r>
        <w:t xml:space="preserve">Parental Rights Alliance </w:t>
      </w:r>
    </w:p>
    <w:p w:rsidR="0025470D" w:rsidRDefault="0025470D" w:rsidP="0025470D">
      <w:pPr>
        <w:numPr>
          <w:ilvl w:val="0"/>
          <w:numId w:val="41"/>
        </w:numPr>
        <w:spacing w:after="38"/>
        <w:ind w:right="82" w:hanging="634"/>
      </w:pPr>
      <w:r>
        <w:t xml:space="preserve">Parents for the Family Association </w:t>
      </w:r>
    </w:p>
    <w:p w:rsidR="0025470D" w:rsidRDefault="0025470D" w:rsidP="0025470D">
      <w:pPr>
        <w:numPr>
          <w:ilvl w:val="0"/>
          <w:numId w:val="41"/>
        </w:numPr>
        <w:spacing w:after="48"/>
        <w:ind w:right="82" w:hanging="634"/>
      </w:pPr>
      <w:r>
        <w:t xml:space="preserve">Pathfinders </w:t>
      </w:r>
    </w:p>
    <w:p w:rsidR="0025470D" w:rsidRDefault="0025470D" w:rsidP="0025470D">
      <w:pPr>
        <w:numPr>
          <w:ilvl w:val="0"/>
          <w:numId w:val="41"/>
        </w:numPr>
        <w:spacing w:after="45"/>
        <w:ind w:right="82" w:hanging="634"/>
      </w:pPr>
      <w:r>
        <w:t xml:space="preserve">Playright Children’s Play Association </w:t>
      </w:r>
    </w:p>
    <w:p w:rsidR="0025470D" w:rsidRDefault="0025470D" w:rsidP="0025470D">
      <w:pPr>
        <w:numPr>
          <w:ilvl w:val="0"/>
          <w:numId w:val="41"/>
        </w:numPr>
        <w:spacing w:after="47"/>
        <w:ind w:right="82" w:hanging="634"/>
      </w:pPr>
      <w:r>
        <w:t xml:space="preserve">Policy Research Unit </w:t>
      </w:r>
    </w:p>
    <w:p w:rsidR="0025470D" w:rsidRDefault="0025470D" w:rsidP="0025470D">
      <w:pPr>
        <w:numPr>
          <w:ilvl w:val="0"/>
          <w:numId w:val="41"/>
        </w:numPr>
        <w:spacing w:after="42"/>
        <w:ind w:right="82" w:hanging="634"/>
      </w:pPr>
      <w:r>
        <w:t xml:space="preserve">Proletariat Political Institute </w:t>
      </w:r>
    </w:p>
    <w:p w:rsidR="0025470D" w:rsidRDefault="0025470D" w:rsidP="0025470D">
      <w:pPr>
        <w:numPr>
          <w:ilvl w:val="0"/>
          <w:numId w:val="41"/>
        </w:numPr>
        <w:spacing w:after="48"/>
        <w:ind w:right="82" w:hanging="634"/>
      </w:pPr>
      <w:r>
        <w:t xml:space="preserve">Rainbow Action </w:t>
      </w:r>
    </w:p>
    <w:p w:rsidR="0025470D" w:rsidRDefault="0025470D" w:rsidP="0025470D">
      <w:pPr>
        <w:numPr>
          <w:ilvl w:val="0"/>
          <w:numId w:val="41"/>
        </w:numPr>
        <w:spacing w:after="47"/>
        <w:ind w:right="82" w:hanging="634"/>
      </w:pPr>
      <w:r>
        <w:t xml:space="preserve">Society for Community Organization </w:t>
      </w:r>
    </w:p>
    <w:p w:rsidR="0025470D" w:rsidRDefault="0025470D" w:rsidP="0025470D">
      <w:pPr>
        <w:numPr>
          <w:ilvl w:val="0"/>
          <w:numId w:val="41"/>
        </w:numPr>
        <w:spacing w:after="47"/>
        <w:ind w:right="82" w:hanging="634"/>
      </w:pPr>
      <w:r>
        <w:t xml:space="preserve">Society for Cultural Integration </w:t>
      </w:r>
    </w:p>
    <w:p w:rsidR="0025470D" w:rsidRDefault="0025470D" w:rsidP="0025470D">
      <w:pPr>
        <w:numPr>
          <w:ilvl w:val="0"/>
          <w:numId w:val="41"/>
        </w:numPr>
        <w:spacing w:after="48"/>
        <w:ind w:right="82" w:hanging="634"/>
      </w:pPr>
      <w:r>
        <w:t xml:space="preserve">Southern Democratic Alliance </w:t>
      </w:r>
    </w:p>
    <w:p w:rsidR="0025470D" w:rsidRDefault="0025470D" w:rsidP="0025470D">
      <w:pPr>
        <w:numPr>
          <w:ilvl w:val="0"/>
          <w:numId w:val="41"/>
        </w:numPr>
        <w:spacing w:after="48"/>
        <w:ind w:right="82" w:hanging="634"/>
      </w:pPr>
      <w:r>
        <w:lastRenderedPageBreak/>
        <w:t xml:space="preserve">Stop Trafficking of People (STOP) </w:t>
      </w:r>
    </w:p>
    <w:p w:rsidR="0025470D" w:rsidRDefault="0025470D" w:rsidP="0025470D">
      <w:pPr>
        <w:numPr>
          <w:ilvl w:val="0"/>
          <w:numId w:val="41"/>
        </w:numPr>
        <w:spacing w:after="50"/>
        <w:ind w:right="82" w:hanging="634"/>
      </w:pPr>
      <w:r>
        <w:t xml:space="preserve">The Balance of Human Rights Watch </w:t>
      </w:r>
    </w:p>
    <w:p w:rsidR="0025470D" w:rsidRDefault="0025470D" w:rsidP="0025470D">
      <w:pPr>
        <w:numPr>
          <w:ilvl w:val="0"/>
          <w:numId w:val="41"/>
        </w:numPr>
        <w:spacing w:after="48"/>
        <w:ind w:right="82" w:hanging="634"/>
      </w:pPr>
      <w:r>
        <w:t xml:space="preserve">The Boys’ and Girls’ Clubs Association of Hong Kong </w:t>
      </w:r>
    </w:p>
    <w:p w:rsidR="0025470D" w:rsidRDefault="0025470D" w:rsidP="0025470D">
      <w:pPr>
        <w:numPr>
          <w:ilvl w:val="0"/>
          <w:numId w:val="41"/>
        </w:numPr>
        <w:spacing w:after="50"/>
        <w:ind w:right="82" w:hanging="634"/>
      </w:pPr>
      <w:r>
        <w:t xml:space="preserve">The Community Citizen Charter </w:t>
      </w:r>
    </w:p>
    <w:p w:rsidR="0025470D" w:rsidRDefault="0025470D" w:rsidP="0025470D">
      <w:pPr>
        <w:numPr>
          <w:ilvl w:val="0"/>
          <w:numId w:val="41"/>
        </w:numPr>
        <w:spacing w:after="49"/>
        <w:ind w:right="82" w:hanging="634"/>
      </w:pPr>
      <w:r>
        <w:t xml:space="preserve">The Evangelical Lutheran Church of Hong Kong </w:t>
      </w:r>
    </w:p>
    <w:p w:rsidR="0025470D" w:rsidRDefault="0025470D" w:rsidP="0025470D">
      <w:pPr>
        <w:numPr>
          <w:ilvl w:val="0"/>
          <w:numId w:val="41"/>
        </w:numPr>
        <w:spacing w:after="51"/>
        <w:ind w:right="82" w:hanging="634"/>
      </w:pPr>
      <w:r>
        <w:t xml:space="preserve">The Hong Kong Council of Social Services </w:t>
      </w:r>
    </w:p>
    <w:p w:rsidR="0025470D" w:rsidRDefault="0025470D" w:rsidP="0025470D">
      <w:pPr>
        <w:numPr>
          <w:ilvl w:val="0"/>
          <w:numId w:val="41"/>
        </w:numPr>
        <w:spacing w:after="40"/>
        <w:ind w:right="82" w:hanging="634"/>
      </w:pPr>
      <w:r>
        <w:t xml:space="preserve">The Incorporated Trustees of the Islamic Community Fund of Hong Kong </w:t>
      </w:r>
    </w:p>
    <w:p w:rsidR="0025470D" w:rsidRDefault="0025470D" w:rsidP="0025470D">
      <w:pPr>
        <w:numPr>
          <w:ilvl w:val="0"/>
          <w:numId w:val="41"/>
        </w:numPr>
        <w:spacing w:after="46"/>
        <w:ind w:right="82" w:hanging="634"/>
      </w:pPr>
      <w:r>
        <w:t xml:space="preserve">The India Association Hong Kong </w:t>
      </w:r>
    </w:p>
    <w:p w:rsidR="0025470D" w:rsidRDefault="0025470D" w:rsidP="0025470D">
      <w:pPr>
        <w:numPr>
          <w:ilvl w:val="0"/>
          <w:numId w:val="41"/>
        </w:numPr>
        <w:spacing w:after="48"/>
        <w:ind w:right="82" w:hanging="634"/>
      </w:pPr>
      <w:r>
        <w:t xml:space="preserve">The Law Society of Hong Kong </w:t>
      </w:r>
    </w:p>
    <w:p w:rsidR="0025470D" w:rsidRDefault="0025470D" w:rsidP="0025470D">
      <w:pPr>
        <w:numPr>
          <w:ilvl w:val="0"/>
          <w:numId w:val="41"/>
        </w:numPr>
        <w:spacing w:after="48"/>
        <w:ind w:right="82" w:hanging="634"/>
      </w:pPr>
      <w:r>
        <w:t xml:space="preserve">The Lok Sin Tong Benevolent Society, Kowloon </w:t>
      </w:r>
    </w:p>
    <w:p w:rsidR="0025470D" w:rsidRDefault="0025470D" w:rsidP="0025470D">
      <w:pPr>
        <w:numPr>
          <w:ilvl w:val="0"/>
          <w:numId w:val="41"/>
        </w:numPr>
        <w:spacing w:after="50"/>
        <w:ind w:right="82" w:hanging="634"/>
      </w:pPr>
      <w:r>
        <w:t xml:space="preserve">The Neighbourhood Advice-Action Council  </w:t>
      </w:r>
    </w:p>
    <w:p w:rsidR="0025470D" w:rsidRDefault="0025470D" w:rsidP="0025470D">
      <w:pPr>
        <w:numPr>
          <w:ilvl w:val="0"/>
          <w:numId w:val="41"/>
        </w:numPr>
        <w:spacing w:after="46"/>
        <w:ind w:right="82" w:hanging="634"/>
      </w:pPr>
      <w:r>
        <w:t xml:space="preserve">The Pink Alliance (aka Tongzhi Community Joint Meeting) </w:t>
      </w:r>
    </w:p>
    <w:p w:rsidR="0025470D" w:rsidRDefault="0025470D" w:rsidP="0025470D">
      <w:pPr>
        <w:numPr>
          <w:ilvl w:val="0"/>
          <w:numId w:val="41"/>
        </w:numPr>
        <w:ind w:right="82" w:hanging="634"/>
      </w:pPr>
      <w:r>
        <w:t xml:space="preserve">The Society for Truth and Light </w:t>
      </w:r>
    </w:p>
    <w:p w:rsidR="0025470D" w:rsidRDefault="0025470D" w:rsidP="0025470D">
      <w:pPr>
        <w:numPr>
          <w:ilvl w:val="0"/>
          <w:numId w:val="41"/>
        </w:numPr>
        <w:spacing w:after="33"/>
        <w:ind w:right="82" w:hanging="634"/>
      </w:pPr>
      <w:r>
        <w:t xml:space="preserve">The Zubin Foundation </w:t>
      </w:r>
    </w:p>
    <w:p w:rsidR="0025470D" w:rsidRDefault="0025470D" w:rsidP="0025470D">
      <w:pPr>
        <w:numPr>
          <w:ilvl w:val="0"/>
          <w:numId w:val="41"/>
        </w:numPr>
        <w:spacing w:after="47"/>
        <w:ind w:right="82" w:hanging="634"/>
      </w:pPr>
      <w:r>
        <w:t xml:space="preserve">TREATS </w:t>
      </w:r>
    </w:p>
    <w:p w:rsidR="0025470D" w:rsidRDefault="0025470D" w:rsidP="0025470D">
      <w:pPr>
        <w:numPr>
          <w:ilvl w:val="0"/>
          <w:numId w:val="41"/>
        </w:numPr>
        <w:spacing w:after="48"/>
        <w:ind w:right="82" w:hanging="634"/>
      </w:pPr>
      <w:r>
        <w:t xml:space="preserve">Unitarian Universalists Hong Kong </w:t>
      </w:r>
    </w:p>
    <w:p w:rsidR="0025470D" w:rsidRDefault="0025470D" w:rsidP="0025470D">
      <w:pPr>
        <w:numPr>
          <w:ilvl w:val="0"/>
          <w:numId w:val="41"/>
        </w:numPr>
        <w:spacing w:after="45"/>
        <w:ind w:right="82" w:hanging="634"/>
      </w:pPr>
      <w:r>
        <w:t xml:space="preserve">United Muslim Association of Hong Kong </w:t>
      </w:r>
    </w:p>
    <w:p w:rsidR="0025470D" w:rsidRDefault="0025470D" w:rsidP="0025470D">
      <w:pPr>
        <w:numPr>
          <w:ilvl w:val="0"/>
          <w:numId w:val="41"/>
        </w:numPr>
        <w:spacing w:after="45"/>
        <w:ind w:right="82" w:hanging="634"/>
      </w:pPr>
      <w:r>
        <w:t xml:space="preserve">Witness on Chinese Liberty </w:t>
      </w:r>
    </w:p>
    <w:p w:rsidR="0025470D" w:rsidRDefault="0025470D" w:rsidP="0025470D">
      <w:pPr>
        <w:numPr>
          <w:ilvl w:val="0"/>
          <w:numId w:val="41"/>
        </w:numPr>
        <w:spacing w:after="43"/>
        <w:ind w:right="82" w:hanging="634"/>
      </w:pPr>
      <w:r>
        <w:t xml:space="preserve">Women Coalition of HKSAR </w:t>
      </w:r>
    </w:p>
    <w:p w:rsidR="0025470D" w:rsidRDefault="0025470D" w:rsidP="0025470D">
      <w:pPr>
        <w:numPr>
          <w:ilvl w:val="0"/>
          <w:numId w:val="41"/>
        </w:numPr>
        <w:spacing w:after="48"/>
        <w:ind w:right="82" w:hanging="634"/>
      </w:pPr>
      <w:r>
        <w:t xml:space="preserve">Women's Commission  </w:t>
      </w:r>
    </w:p>
    <w:p w:rsidR="0025470D" w:rsidRDefault="0025470D" w:rsidP="0025470D">
      <w:pPr>
        <w:numPr>
          <w:ilvl w:val="0"/>
          <w:numId w:val="41"/>
        </w:numPr>
        <w:spacing w:after="44"/>
        <w:ind w:right="82" w:hanging="634"/>
      </w:pPr>
      <w:r>
        <w:t xml:space="preserve">Yang Memorial Methodist Social Service </w:t>
      </w:r>
    </w:p>
    <w:p w:rsidR="0025470D" w:rsidRDefault="0025470D" w:rsidP="0025470D">
      <w:pPr>
        <w:numPr>
          <w:ilvl w:val="0"/>
          <w:numId w:val="41"/>
        </w:numPr>
        <w:spacing w:after="49"/>
        <w:ind w:right="82" w:hanging="634"/>
      </w:pPr>
      <w:r>
        <w:t xml:space="preserve">Youth Christian Institute </w:t>
      </w:r>
    </w:p>
    <w:p w:rsidR="0025470D" w:rsidRDefault="0025470D" w:rsidP="0025470D">
      <w:pPr>
        <w:numPr>
          <w:ilvl w:val="0"/>
          <w:numId w:val="41"/>
        </w:numPr>
        <w:spacing w:after="49"/>
        <w:ind w:right="82" w:hanging="634"/>
      </w:pPr>
      <w:r>
        <w:t xml:space="preserve">Yuen Long Minorities Parents Concern Group </w:t>
      </w:r>
    </w:p>
    <w:p w:rsidR="0025470D" w:rsidRDefault="0025470D" w:rsidP="0025470D">
      <w:pPr>
        <w:numPr>
          <w:ilvl w:val="0"/>
          <w:numId w:val="41"/>
        </w:numPr>
        <w:ind w:right="82" w:hanging="634"/>
      </w:pPr>
      <w:r>
        <w:t xml:space="preserve">Yuen Long Town Hall Management Committee Ltd </w:t>
      </w:r>
    </w:p>
    <w:p w:rsidR="0025470D" w:rsidRDefault="0025470D" w:rsidP="0025470D">
      <w:pPr>
        <w:numPr>
          <w:ilvl w:val="0"/>
          <w:numId w:val="41"/>
        </w:numPr>
        <w:spacing w:after="19" w:line="259" w:lineRule="auto"/>
        <w:ind w:right="82" w:hanging="634"/>
      </w:pPr>
      <w:r>
        <w:rPr>
          <w:rFonts w:ascii="Microsoft YaHei" w:eastAsia="Microsoft YaHei" w:hAnsi="Microsoft YaHei" w:cs="Microsoft YaHei"/>
        </w:rPr>
        <w:t>人權好聲音</w:t>
      </w:r>
      <w:r>
        <w:t xml:space="preserve"> </w:t>
      </w:r>
    </w:p>
    <w:p w:rsidR="0025470D" w:rsidRDefault="0025470D" w:rsidP="0025470D">
      <w:pPr>
        <w:numPr>
          <w:ilvl w:val="0"/>
          <w:numId w:val="41"/>
        </w:numPr>
        <w:spacing w:after="19" w:line="259" w:lineRule="auto"/>
        <w:ind w:right="82" w:hanging="634"/>
      </w:pPr>
      <w:r>
        <w:rPr>
          <w:rFonts w:ascii="Microsoft YaHei" w:eastAsia="Microsoft YaHei" w:hAnsi="Microsoft YaHei" w:cs="Microsoft YaHei"/>
        </w:rPr>
        <w:t>人權捍衞</w:t>
      </w:r>
      <w:r>
        <w:t xml:space="preserve"> </w:t>
      </w:r>
    </w:p>
    <w:p w:rsidR="0025470D" w:rsidRDefault="0025470D" w:rsidP="0025470D">
      <w:pPr>
        <w:numPr>
          <w:ilvl w:val="0"/>
          <w:numId w:val="41"/>
        </w:numPr>
        <w:spacing w:after="19" w:line="259" w:lineRule="auto"/>
        <w:ind w:right="82" w:hanging="634"/>
      </w:pPr>
      <w:r>
        <w:rPr>
          <w:rFonts w:ascii="Microsoft YaHei" w:eastAsia="Microsoft YaHei" w:hAnsi="Microsoft YaHei" w:cs="Microsoft YaHei"/>
        </w:rPr>
        <w:t>同志公民</w:t>
      </w:r>
      <w:r>
        <w:t xml:space="preserve"> </w:t>
      </w:r>
    </w:p>
    <w:p w:rsidR="0025470D" w:rsidRDefault="0025470D" w:rsidP="0025470D">
      <w:pPr>
        <w:numPr>
          <w:ilvl w:val="0"/>
          <w:numId w:val="41"/>
        </w:numPr>
        <w:spacing w:after="19" w:line="259" w:lineRule="auto"/>
        <w:ind w:right="82" w:hanging="634"/>
      </w:pPr>
      <w:r>
        <w:rPr>
          <w:rFonts w:ascii="Microsoft YaHei" w:eastAsia="Microsoft YaHei" w:hAnsi="Microsoft YaHei" w:cs="Microsoft YaHei"/>
        </w:rPr>
        <w:t>自由香港人民代表大會</w:t>
      </w:r>
      <w:r>
        <w:t xml:space="preserve"> </w:t>
      </w:r>
    </w:p>
    <w:p w:rsidR="0025470D" w:rsidRDefault="0025470D" w:rsidP="0025470D">
      <w:pPr>
        <w:numPr>
          <w:ilvl w:val="0"/>
          <w:numId w:val="41"/>
        </w:numPr>
        <w:spacing w:after="19" w:line="259" w:lineRule="auto"/>
        <w:ind w:right="82" w:hanging="634"/>
      </w:pPr>
      <w:r>
        <w:rPr>
          <w:rFonts w:ascii="Microsoft YaHei" w:eastAsia="Microsoft YaHei" w:hAnsi="Microsoft YaHei" w:cs="Microsoft YaHei"/>
        </w:rPr>
        <w:t>社記婦女組</w:t>
      </w:r>
      <w:r>
        <w:t xml:space="preserve"> </w:t>
      </w:r>
    </w:p>
    <w:p w:rsidR="0025470D" w:rsidRDefault="0025470D" w:rsidP="0025470D">
      <w:pPr>
        <w:numPr>
          <w:ilvl w:val="0"/>
          <w:numId w:val="41"/>
        </w:numPr>
        <w:spacing w:after="19" w:line="259" w:lineRule="auto"/>
        <w:ind w:right="82" w:hanging="634"/>
      </w:pPr>
      <w:r>
        <w:rPr>
          <w:rFonts w:ascii="Microsoft YaHei" w:eastAsia="Microsoft YaHei" w:hAnsi="Microsoft YaHei" w:cs="Microsoft YaHei"/>
        </w:rPr>
        <w:t>香港手語及聾人文化協會</w:t>
      </w:r>
      <w:r>
        <w:t xml:space="preserve"> </w:t>
      </w:r>
    </w:p>
    <w:p w:rsidR="0025470D" w:rsidRDefault="0025470D" w:rsidP="0025470D">
      <w:pPr>
        <w:sectPr w:rsidR="0025470D">
          <w:headerReference w:type="even" r:id="rId235"/>
          <w:headerReference w:type="default" r:id="rId236"/>
          <w:footerReference w:type="even" r:id="rId237"/>
          <w:footerReference w:type="default" r:id="rId238"/>
          <w:headerReference w:type="first" r:id="rId239"/>
          <w:footerReference w:type="first" r:id="rId240"/>
          <w:pgSz w:w="11906" w:h="16838"/>
          <w:pgMar w:top="1524" w:right="1728" w:bottom="1723" w:left="1800" w:header="720" w:footer="723" w:gutter="0"/>
          <w:pgNumType w:start="1"/>
          <w:cols w:space="720"/>
        </w:sectPr>
      </w:pPr>
    </w:p>
    <w:p w:rsidR="0025470D" w:rsidRDefault="0025470D" w:rsidP="0025470D">
      <w:pPr>
        <w:spacing w:after="9" w:line="259" w:lineRule="auto"/>
        <w:ind w:left="10" w:right="54" w:hanging="10"/>
        <w:jc w:val="right"/>
      </w:pPr>
      <w:r>
        <w:rPr>
          <w:b/>
        </w:rPr>
        <w:lastRenderedPageBreak/>
        <w:t xml:space="preserve">Annex 23A </w:t>
      </w:r>
    </w:p>
    <w:p w:rsidR="0025470D" w:rsidRDefault="0025470D" w:rsidP="0025470D">
      <w:pPr>
        <w:spacing w:after="67" w:line="259" w:lineRule="auto"/>
        <w:ind w:left="0" w:firstLine="0"/>
        <w:jc w:val="right"/>
      </w:pPr>
      <w:r>
        <w:rPr>
          <w:b/>
        </w:rPr>
        <w:t xml:space="preserve"> </w:t>
      </w:r>
    </w:p>
    <w:p w:rsidR="0025470D" w:rsidRDefault="0025470D" w:rsidP="0025470D">
      <w:pPr>
        <w:pStyle w:val="Heading4"/>
        <w:spacing w:after="6" w:line="259" w:lineRule="auto"/>
        <w:ind w:left="180" w:right="244"/>
        <w:jc w:val="center"/>
      </w:pPr>
      <w:r>
        <w:t xml:space="preserve">Family welfare services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Integrated Family Service Centre</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42"/>
        </w:numPr>
        <w:ind w:right="82" w:hanging="1440"/>
      </w:pPr>
      <w:r>
        <w:t xml:space="preserve">In 2004-05, the SWD restructured the family services in Hong Kong and adopted the IFSC service mode, re-engineering the then family welfare service resources (including Family Services Centres and other family service units) to form an extensive network of IFSCs over the territory.  IFSCs provide a continuum of preventive, supportive and remedial family services for meeting the changing needs of families in a holistic manner.   </w:t>
      </w:r>
    </w:p>
    <w:p w:rsidR="0025470D" w:rsidRDefault="0025470D" w:rsidP="0025470D">
      <w:pPr>
        <w:spacing w:after="64" w:line="259" w:lineRule="auto"/>
        <w:ind w:left="0" w:firstLine="0"/>
        <w:jc w:val="left"/>
      </w:pPr>
      <w:r>
        <w:t xml:space="preserve"> </w:t>
      </w:r>
    </w:p>
    <w:p w:rsidR="0025470D" w:rsidRDefault="0025470D" w:rsidP="0025470D">
      <w:pPr>
        <w:numPr>
          <w:ilvl w:val="0"/>
          <w:numId w:val="42"/>
        </w:numPr>
        <w:ind w:right="82" w:hanging="1440"/>
      </w:pPr>
      <w:r>
        <w:t xml:space="preserve">In 2008, the SWD commissioned the University of Hong Kong to conduct a comprehensive and in-depth review on the implementation of the IFSC service mode.  The review report was released in 2010.  The consultant team concluded that the IFSC service mode had received general support from stakeholders as the delivery mode for family services and that it should continue to be adopted as the service mode for the publicly-funded family services in Hong Kong.  To more effectively prevent and deal with family problems, prevent deterioration of the problems and reduce the workload of IFSC social workers, the Government subsequently allocated additional resources to provide four additional IFSCs in areas with high demand for services.  At present, there are 65 IFSCs across the territory.  </w:t>
      </w:r>
    </w:p>
    <w:p w:rsidR="0025470D" w:rsidRDefault="0025470D" w:rsidP="0025470D">
      <w:pPr>
        <w:spacing w:after="64" w:line="259" w:lineRule="auto"/>
        <w:ind w:left="0" w:firstLine="0"/>
        <w:jc w:val="left"/>
      </w:pPr>
      <w:r>
        <w:t xml:space="preserve"> </w:t>
      </w:r>
    </w:p>
    <w:p w:rsidR="0025470D" w:rsidRDefault="0025470D" w:rsidP="0025470D">
      <w:pPr>
        <w:numPr>
          <w:ilvl w:val="0"/>
          <w:numId w:val="42"/>
        </w:numPr>
        <w:ind w:right="82" w:hanging="1440"/>
      </w:pPr>
      <w:r>
        <w:t xml:space="preserve">Some commentators were concerned about the workload of </w:t>
      </w:r>
    </w:p>
    <w:p w:rsidR="0025470D" w:rsidRDefault="0025470D" w:rsidP="0025470D">
      <w:pPr>
        <w:ind w:left="19" w:right="82"/>
      </w:pPr>
      <w:r>
        <w:t xml:space="preserve">IFSCs and that their efficiency may be affected.  Since the adoption of the IFSC service mode in 2004-05, the Government has been closely monitoring the manpower situation of the IFSCs and, where necessary, has strengthened their manpower and supervision through provision of additional resources.  The total number of frontline social workers and </w:t>
      </w:r>
      <w:r>
        <w:lastRenderedPageBreak/>
        <w:t xml:space="preserve">centre-in-charges / supervisors of the IFSCs has increased from 896 and 62 in 2004-05 to 1 123 and 98 in 2016-17 respectively, representing a 25% and 58% increase respectively.  </w:t>
      </w:r>
    </w:p>
    <w:p w:rsidR="0025470D" w:rsidRDefault="0025470D" w:rsidP="0025470D">
      <w:pPr>
        <w:spacing w:after="0" w:line="259" w:lineRule="auto"/>
        <w:ind w:left="0" w:firstLine="0"/>
        <w:jc w:val="left"/>
      </w:pPr>
      <w:r>
        <w:t xml:space="preserve"> </w:t>
      </w:r>
    </w:p>
    <w:p w:rsidR="0025470D" w:rsidRDefault="0025470D" w:rsidP="0025470D">
      <w:pPr>
        <w:pStyle w:val="Heading5"/>
        <w:ind w:left="-5"/>
      </w:pPr>
      <w:r>
        <w:t>Family and Child Protective Services Units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43"/>
        </w:numPr>
        <w:ind w:right="82" w:hanging="1440"/>
      </w:pPr>
      <w:r>
        <w:t xml:space="preserve">To meet the specific needs of individuals and families with the problems of child abuse, spouse/cohabitant battering, and children affected by custody/guardianship disputes, the FCPSUs of the SWD have been providing specialised services with the objectives of helping the individuals and families to recover from the trauma and to return to a healthy or normal living, and safeguarding the interests of the children concerned.  In 2017-18, there are 11 FCPSUs in the territory.  </w:t>
      </w:r>
    </w:p>
    <w:p w:rsidR="0025470D" w:rsidRDefault="0025470D" w:rsidP="0025470D">
      <w:pPr>
        <w:spacing w:after="64" w:line="259" w:lineRule="auto"/>
        <w:ind w:left="0" w:firstLine="0"/>
        <w:jc w:val="left"/>
      </w:pPr>
      <w:r>
        <w:t xml:space="preserve"> </w:t>
      </w:r>
    </w:p>
    <w:p w:rsidR="0025470D" w:rsidRDefault="0025470D" w:rsidP="0025470D">
      <w:pPr>
        <w:numPr>
          <w:ilvl w:val="0"/>
          <w:numId w:val="43"/>
        </w:numPr>
        <w:ind w:right="82" w:hanging="1440"/>
      </w:pPr>
      <w:r>
        <w:t xml:space="preserve">Our response to paragraph 18 of the previous Concluding </w:t>
      </w:r>
    </w:p>
    <w:p w:rsidR="0025470D" w:rsidRDefault="0025470D" w:rsidP="0025470D">
      <w:pPr>
        <w:spacing w:after="41"/>
        <w:ind w:left="19" w:right="82"/>
      </w:pPr>
      <w:r>
        <w:t xml:space="preserve">Observations specifically in relation to measures to combat child abuse and domestic violence are elaborated in this Report in respect of Article 24.  </w:t>
      </w:r>
    </w:p>
    <w:p w:rsidR="0025470D" w:rsidRDefault="0025470D" w:rsidP="0025470D">
      <w:pPr>
        <w:spacing w:after="64" w:line="259" w:lineRule="auto"/>
        <w:ind w:left="0" w:firstLine="0"/>
        <w:jc w:val="left"/>
      </w:pPr>
      <w:r>
        <w:t xml:space="preserve"> </w:t>
      </w:r>
    </w:p>
    <w:p w:rsidR="0025470D" w:rsidRDefault="0025470D" w:rsidP="0025470D">
      <w:pPr>
        <w:pStyle w:val="Heading5"/>
        <w:ind w:left="-5"/>
      </w:pPr>
      <w:r>
        <w:t>Review of laws relating to guardianship and custody of children by LRC</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44"/>
        </w:numPr>
        <w:ind w:right="82"/>
      </w:pPr>
      <w:r>
        <w:t xml:space="preserve">The Government has completed the legislative amendments in respect of the two reports published by the LRC on guardianship of children and international parental child abduction as mentioned in paragraph 261 of the previous report.  </w:t>
      </w:r>
    </w:p>
    <w:p w:rsidR="0025470D" w:rsidRDefault="0025470D" w:rsidP="0025470D">
      <w:pPr>
        <w:spacing w:after="64" w:line="259" w:lineRule="auto"/>
        <w:ind w:left="0" w:firstLine="0"/>
        <w:jc w:val="left"/>
      </w:pPr>
      <w:r>
        <w:t xml:space="preserve"> </w:t>
      </w:r>
    </w:p>
    <w:p w:rsidR="0025470D" w:rsidRDefault="0025470D" w:rsidP="0025470D">
      <w:pPr>
        <w:numPr>
          <w:ilvl w:val="0"/>
          <w:numId w:val="44"/>
        </w:numPr>
        <w:ind w:right="82"/>
      </w:pPr>
      <w:r>
        <w:t xml:space="preserve">The LRC issued another report in 2005 which was on child custody and access.  Among other things, the report recommends the adoption of the “joint parental responsibility” model which aims at enabling both parents to maintain an active involvement in the lives of their children after divorce.  Since implementation of this model will fundamentally change the concept of “custody” underpinning the existing family law of Hong Kong and some stakeholders have expressed concerns and worries, the Government conducted two public consultations on the subject.  The </w:t>
      </w:r>
      <w:r>
        <w:lastRenderedPageBreak/>
        <w:t xml:space="preserve">first was from December 2011 to April 2012 on implementing the parental responsibility model by legislative means.  The second was from November 2015 to March 2016 on the draft Children Proceedings (Parental Responsibility) Bill to follow up on the bulk of the </w:t>
      </w:r>
    </w:p>
    <w:p w:rsidR="0025470D" w:rsidRDefault="0025470D" w:rsidP="0025470D">
      <w:pPr>
        <w:ind w:left="19" w:right="82"/>
      </w:pPr>
      <w:r>
        <w:t xml:space="preserve">LRC recommendations.  The Government received about 150 submissions during the second public consultation period.  On whether to legislate to mandate “joint parental responsibility”, about one third of the submissions supported the proposal and another one third objected any legislative measures.  The remainder one third did not present any strong view on the legislative proposal one way or the other but expressed clear concerns about the implementation or practical impact of a mandatory “joint parental responsibility” model.  Despite the diverse views received, there was overwhelming support for more comprehensive family services and support measures in the interest of the children with divorcing / divorced parents.  The Government is mapping out a service enhancement programme which includes the setting up of five Specialised Co-parenting Support Teams in the territory and provision of additional manpower resources to the IFSCs and FCPSUs operated by SWD to support divorcing/divorced parents and their children for early implementation in 2018-19, whilst reviewing the way forward for the legislative proposal.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Responsibility of parenting</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ind w:left="19" w:right="1"/>
      </w:pPr>
      <w:r>
        <w:t xml:space="preserve">8. Family life education programmes organised by various services units under the SWD, including Family Life Education Units, IFSCs and Integrated Service Centres, cover, among other things, the promotion of awareness of shared parental responsibility.  These service units also work closely with schools in organising specific programmes for parents with a view to enhancing their understanding of the needs of their children.  Moreover, Parenting Programme is available in all Maternal and Child Health Centres under the Department of Health.  It aims to equip parents/caregivers with the necessary knowledge and skills to bring up healthy and well-adjusted children through enhancing parenting skills and efficacy, promoting parent-child relationship and reducing child behaviour problems.  Parents and parents-to-be will receive anticipatory guidance covering both physical child care and psychological aspects of </w:t>
      </w:r>
      <w:r>
        <w:lastRenderedPageBreak/>
        <w:t xml:space="preserve">parenting.  Supportive service will also be offered to parents in need, including those encountering difficulties in parenting, with perinatal mental health problem or specific psychosocial needs.  In recent years, SWD has also taken forward large scale territory-wide publicity campaigns, including the production of a set of handbooks for parents and children respectively and a thematic website etc., so as to promote the concept of continuing parental responsibilities of divorced parents and to facilitate them to adjust to their lives after divorce as well as to provide guidelines on co-parenting.  SWD will continue to strengthen the work in this respect. </w:t>
      </w:r>
    </w:p>
    <w:p w:rsidR="0025470D" w:rsidRDefault="0025470D" w:rsidP="0025470D">
      <w:pPr>
        <w:sectPr w:rsidR="0025470D">
          <w:headerReference w:type="even" r:id="rId241"/>
          <w:headerReference w:type="default" r:id="rId242"/>
          <w:footerReference w:type="even" r:id="rId243"/>
          <w:footerReference w:type="default" r:id="rId244"/>
          <w:headerReference w:type="first" r:id="rId245"/>
          <w:footerReference w:type="first" r:id="rId246"/>
          <w:pgSz w:w="11906" w:h="16838"/>
          <w:pgMar w:top="1538" w:right="1728" w:bottom="1722" w:left="1800" w:header="720" w:footer="723" w:gutter="0"/>
          <w:pgNumType w:start="1"/>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247"/>
          <w:headerReference w:type="default" r:id="rId248"/>
          <w:footerReference w:type="even" r:id="rId249"/>
          <w:footerReference w:type="default" r:id="rId250"/>
          <w:headerReference w:type="first" r:id="rId251"/>
          <w:footerReference w:type="first" r:id="rId252"/>
          <w:pgSz w:w="11906" w:h="16838"/>
          <w:pgMar w:top="1440" w:right="1440" w:bottom="1440" w:left="1440" w:header="720" w:footer="5" w:gutter="0"/>
          <w:cols w:space="720"/>
        </w:sectPr>
      </w:pPr>
    </w:p>
    <w:p w:rsidR="0025470D" w:rsidRDefault="0025470D" w:rsidP="0025470D">
      <w:pPr>
        <w:spacing w:after="9" w:line="259" w:lineRule="auto"/>
        <w:ind w:left="10" w:right="54" w:hanging="10"/>
        <w:jc w:val="right"/>
      </w:pPr>
      <w:r>
        <w:rPr>
          <w:b/>
        </w:rPr>
        <w:lastRenderedPageBreak/>
        <w:t xml:space="preserve">Annex 23B </w:t>
      </w:r>
    </w:p>
    <w:p w:rsidR="0025470D" w:rsidRDefault="0025470D" w:rsidP="0025470D">
      <w:pPr>
        <w:spacing w:after="67" w:line="259" w:lineRule="auto"/>
        <w:ind w:left="0" w:firstLine="0"/>
        <w:jc w:val="right"/>
      </w:pPr>
      <w:r>
        <w:rPr>
          <w:b/>
        </w:rPr>
        <w:t xml:space="preserve"> </w:t>
      </w:r>
    </w:p>
    <w:p w:rsidR="0025470D" w:rsidRDefault="0025470D" w:rsidP="0025470D">
      <w:pPr>
        <w:pStyle w:val="Heading4"/>
        <w:spacing w:after="6" w:line="259" w:lineRule="auto"/>
        <w:ind w:left="180" w:right="246"/>
        <w:jc w:val="center"/>
      </w:pPr>
      <w:r>
        <w:t xml:space="preserve">One-Way Permit Scheme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45"/>
        </w:numPr>
        <w:ind w:right="82"/>
      </w:pPr>
      <w:r>
        <w:t xml:space="preserve">The OWP scheme is a family reunion scheme which ensures that the eligible Mainland residents will come to Hong Kong for settlement in an orderly manner.  The Mainland authorities have since May 1997 implemented a point-based system which has been refined from time to time to assess and determine the eligibility of applicants and the order in which they may settle in Hong Kong according to objective criteria.  Except for CoE holders, the considerations in examining and approving the OWP applications include the separation time and the age of the applicants and their Hong Kong relatives.  Mainland residents claiming right of abode under paragraph 2(c) of Schedule 1 to the Immigration Ordinance can apply for a CoE from the Public Security Offices in the Mainland where their household registration is kept.  </w:t>
      </w:r>
    </w:p>
    <w:p w:rsidR="0025470D" w:rsidRDefault="0025470D" w:rsidP="0025470D">
      <w:pPr>
        <w:spacing w:after="105" w:line="259" w:lineRule="auto"/>
        <w:ind w:left="0" w:firstLine="0"/>
        <w:jc w:val="left"/>
      </w:pPr>
      <w:r>
        <w:rPr>
          <w:sz w:val="24"/>
        </w:rPr>
        <w:t xml:space="preserve"> </w:t>
      </w:r>
    </w:p>
    <w:p w:rsidR="0025470D" w:rsidRDefault="0025470D" w:rsidP="0025470D">
      <w:pPr>
        <w:numPr>
          <w:ilvl w:val="0"/>
          <w:numId w:val="45"/>
        </w:numPr>
        <w:ind w:right="82"/>
      </w:pPr>
      <w:r>
        <w:t xml:space="preserve">On the other hand, Mainland residents may, depending on their purposes of visiting Hong Kong, such as visiting relatives or visits, apply for Two-Way Permit (TWP) (i.e. Exit-Entry Permit for Travelling to and from Hong Kong and Macao) and relevant exit endorsement from the Mainland authorities. </w:t>
      </w:r>
    </w:p>
    <w:p w:rsidR="0025470D" w:rsidRDefault="0025470D" w:rsidP="0025470D">
      <w:pPr>
        <w:spacing w:after="105" w:line="259" w:lineRule="auto"/>
        <w:ind w:left="0" w:firstLine="0"/>
        <w:jc w:val="left"/>
      </w:pPr>
      <w:r>
        <w:rPr>
          <w:sz w:val="24"/>
        </w:rPr>
        <w:t xml:space="preserve"> </w:t>
      </w:r>
    </w:p>
    <w:p w:rsidR="0025470D" w:rsidRDefault="0025470D" w:rsidP="0025470D">
      <w:pPr>
        <w:numPr>
          <w:ilvl w:val="0"/>
          <w:numId w:val="45"/>
        </w:numPr>
        <w:spacing w:after="641"/>
        <w:ind w:right="82"/>
      </w:pPr>
      <w:r>
        <w:t xml:space="preserve">The application, approval and issue of OWP, TWP and exit endorsements are within the remit of the Mainland authorities.  However, the Government continues to convey to the Mainland authorities the views of various sectors in Hong Kong, and the Mainland authorities have from time to time adjusted and refined the arrangements for OWP, TWP and relevant exit endorsements.  For example, the Mainland authorities in 2009 shortened the waiting time of applications by separated spouses from five years to four years; and starting from 25 December 2009 “one-year multiple exit endorsement for visiting relatives” have been issued to eligible Mainland residents holding TWP, which enables them to stay in Hong Kong for 90 days on each entry.  After the Government had actively reflected the views of Hong Kong people and discussed with the Mainland authorities, the CPG agreed that, starting from 1 April 2011, eligible Mainland “overage children” of Hong </w:t>
      </w:r>
      <w:r>
        <w:lastRenderedPageBreak/>
        <w:t xml:space="preserve">Kong residents may apply for OWP to come to Hong Kong to reunite with their natural parents. </w:t>
      </w:r>
    </w:p>
    <w:p w:rsidR="0025470D" w:rsidRDefault="0025470D" w:rsidP="0025470D">
      <w:pPr>
        <w:spacing w:after="219" w:line="259" w:lineRule="auto"/>
        <w:ind w:left="10" w:right="73" w:hanging="10"/>
        <w:jc w:val="center"/>
      </w:pPr>
      <w:r>
        <w:rPr>
          <w:sz w:val="24"/>
        </w:rPr>
        <w:t>1</w:t>
      </w:r>
    </w:p>
    <w:p w:rsidR="0025470D" w:rsidRDefault="0025470D" w:rsidP="0025470D">
      <w:pPr>
        <w:numPr>
          <w:ilvl w:val="0"/>
          <w:numId w:val="45"/>
        </w:numPr>
        <w:ind w:right="82"/>
      </w:pPr>
      <w:r>
        <w:t xml:space="preserve">In addition, the ImmD of the HKSAR has been referring to the Mainland authorities individual cases with special family difficulty and providing them with information about the special circumstances and background information of these cases.  The Mainland authorities have exercised discretion and issued OWP or “one-year multiple exit endorsement for visiting relatives” to some of these applicants. </w:t>
      </w:r>
    </w:p>
    <w:p w:rsidR="0025470D" w:rsidRDefault="0025470D" w:rsidP="0025470D">
      <w:pPr>
        <w:spacing w:after="105" w:line="259" w:lineRule="auto"/>
        <w:ind w:left="0" w:firstLine="0"/>
        <w:jc w:val="left"/>
      </w:pPr>
      <w:r>
        <w:rPr>
          <w:sz w:val="24"/>
        </w:rPr>
        <w:t xml:space="preserve"> </w:t>
      </w:r>
    </w:p>
    <w:p w:rsidR="0025470D" w:rsidRDefault="0025470D" w:rsidP="0025470D">
      <w:pPr>
        <w:numPr>
          <w:ilvl w:val="0"/>
          <w:numId w:val="45"/>
        </w:numPr>
        <w:spacing w:after="10716"/>
        <w:ind w:right="82"/>
      </w:pPr>
      <w:r>
        <w:t xml:space="preserve">From the establishment of the HKSAR (1 July 1997) to 30 November 2017, over 980 000 Mainland residents (including CoE holders) have settled in Hong Kong under the OWP Scheme. </w:t>
      </w:r>
    </w:p>
    <w:p w:rsidR="0025470D" w:rsidRDefault="0025470D" w:rsidP="0025470D">
      <w:pPr>
        <w:spacing w:after="219" w:line="259" w:lineRule="auto"/>
        <w:ind w:left="10" w:right="73" w:hanging="10"/>
        <w:jc w:val="center"/>
      </w:pPr>
      <w:r>
        <w:rPr>
          <w:sz w:val="24"/>
        </w:rPr>
        <w:lastRenderedPageBreak/>
        <w:t>2</w:t>
      </w:r>
    </w:p>
    <w:p w:rsidR="0025470D" w:rsidRDefault="0025470D" w:rsidP="0025470D">
      <w:pPr>
        <w:sectPr w:rsidR="0025470D">
          <w:headerReference w:type="even" r:id="rId253"/>
          <w:headerReference w:type="default" r:id="rId254"/>
          <w:footerReference w:type="even" r:id="rId255"/>
          <w:footerReference w:type="default" r:id="rId256"/>
          <w:headerReference w:type="first" r:id="rId257"/>
          <w:footerReference w:type="first" r:id="rId258"/>
          <w:pgSz w:w="11906" w:h="16838"/>
          <w:pgMar w:top="1538" w:right="1728" w:bottom="723" w:left="1800" w:header="720" w:footer="720" w:gutter="0"/>
          <w:cols w:space="720"/>
        </w:sectPr>
      </w:pPr>
    </w:p>
    <w:p w:rsidR="0025470D" w:rsidRDefault="0025470D" w:rsidP="0025470D">
      <w:pPr>
        <w:spacing w:after="9" w:line="259" w:lineRule="auto"/>
        <w:ind w:left="10" w:right="54" w:hanging="10"/>
        <w:jc w:val="right"/>
      </w:pPr>
      <w:r>
        <w:rPr>
          <w:b/>
        </w:rPr>
        <w:lastRenderedPageBreak/>
        <w:t xml:space="preserve">Annex 23C </w:t>
      </w:r>
    </w:p>
    <w:p w:rsidR="0025470D" w:rsidRDefault="0025470D" w:rsidP="0025470D">
      <w:pPr>
        <w:spacing w:after="68" w:line="259" w:lineRule="auto"/>
        <w:ind w:left="0" w:firstLine="0"/>
        <w:jc w:val="right"/>
      </w:pPr>
      <w:r>
        <w:rPr>
          <w:b/>
        </w:rPr>
        <w:t xml:space="preserve"> </w:t>
      </w:r>
    </w:p>
    <w:p w:rsidR="0025470D" w:rsidRDefault="0025470D" w:rsidP="0025470D">
      <w:pPr>
        <w:pStyle w:val="Heading4"/>
        <w:spacing w:after="6" w:line="259" w:lineRule="auto"/>
        <w:ind w:left="180" w:right="245"/>
        <w:jc w:val="center"/>
      </w:pPr>
      <w:r>
        <w:t xml:space="preserve">New arrivals from the Mainland of China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46"/>
        </w:numPr>
        <w:ind w:right="82"/>
      </w:pPr>
      <w:r>
        <w:t xml:space="preserve">In paragraphs 417 to 425 of Part II of the initial report, paragraphs 243 to 245 of Part II of the second report and paragraphs 277 and 278 of the previous report, we explained the position of new arrivals from the Mainland and the initiatives then being taken to ease the process of their settlement.  Those initiatives have continued and, where necessary, been improved and updated – </w:t>
      </w:r>
    </w:p>
    <w:p w:rsidR="0025470D" w:rsidRDefault="0025470D" w:rsidP="0025470D">
      <w:pPr>
        <w:spacing w:after="68" w:line="259" w:lineRule="auto"/>
        <w:ind w:left="0" w:firstLine="0"/>
        <w:jc w:val="left"/>
      </w:pPr>
      <w:r>
        <w:t xml:space="preserve"> </w:t>
      </w:r>
    </w:p>
    <w:p w:rsidR="0025470D" w:rsidRDefault="0025470D" w:rsidP="0025470D">
      <w:pPr>
        <w:numPr>
          <w:ilvl w:val="1"/>
          <w:numId w:val="46"/>
        </w:numPr>
        <w:ind w:right="82" w:hanging="720"/>
      </w:pPr>
      <w:r>
        <w:rPr>
          <w:b/>
        </w:rPr>
        <w:t>Identifying needs and organising community activities:</w:t>
      </w:r>
      <w:r>
        <w:t xml:space="preserve"> The Home Affairs Department continues to conduct quarterly surveys on the profile and service needs of new arrivals from the Mainland in collaboration with the ImmD.  Survey results are distributed to relevant Government departments and NGOs for reference. </w:t>
      </w:r>
    </w:p>
    <w:p w:rsidR="0025470D" w:rsidRDefault="0025470D" w:rsidP="0025470D">
      <w:pPr>
        <w:spacing w:after="9" w:line="259" w:lineRule="auto"/>
        <w:ind w:left="1440" w:firstLine="0"/>
        <w:jc w:val="left"/>
      </w:pPr>
      <w:r>
        <w:t xml:space="preserve"> </w:t>
      </w:r>
    </w:p>
    <w:p w:rsidR="0025470D" w:rsidRDefault="0025470D" w:rsidP="0025470D">
      <w:pPr>
        <w:ind w:left="1448" w:right="82"/>
      </w:pPr>
      <w:r>
        <w:t xml:space="preserve">Since 2011, the Home Affairs Department has implemented dedicated programmes, including district-based integration programmes and ambassador schemes, to assist those newly arrived in Hong Kong to integrate into the local community as soon as possible. </w:t>
      </w:r>
    </w:p>
    <w:p w:rsidR="0025470D" w:rsidRDefault="0025470D" w:rsidP="0025470D">
      <w:pPr>
        <w:spacing w:after="64" w:line="259" w:lineRule="auto"/>
        <w:ind w:left="1440" w:firstLine="0"/>
        <w:jc w:val="left"/>
      </w:pPr>
      <w:r>
        <w:t xml:space="preserve"> </w:t>
      </w:r>
    </w:p>
    <w:p w:rsidR="0025470D" w:rsidRDefault="0025470D" w:rsidP="0025470D">
      <w:pPr>
        <w:numPr>
          <w:ilvl w:val="1"/>
          <w:numId w:val="46"/>
        </w:numPr>
        <w:ind w:right="82" w:hanging="720"/>
      </w:pPr>
      <w:r>
        <w:rPr>
          <w:b/>
        </w:rPr>
        <w:t>Education:</w:t>
      </w:r>
      <w:r>
        <w:t xml:space="preserve"> The EDB offers support services to assist newly arrived children from the Mainland in integrating into Hong Kong society and overcoming learning barriers.  For newly arrived children from the Mainland, they can attend the fulltime Initiation Programme before they enroll into mainstream schools.  The programme lasts for six months and the curriculum includes Chinese, English, learning skills and social adaptation.  Parents may choose to enroll them into this programme first.  As to the vast majority of the newly arrived children who choose to study in mainstream schools, schools can make use of the School-based Support Scheme Grant to organise school-based support </w:t>
      </w:r>
      <w:r>
        <w:lastRenderedPageBreak/>
        <w:t xml:space="preserve">programmes.  The Bureau also subvents NGOs to run a 60-hour Induction </w:t>
      </w:r>
    </w:p>
    <w:p w:rsidR="0025470D" w:rsidRDefault="0025470D" w:rsidP="0025470D">
      <w:pPr>
        <w:spacing w:after="40" w:line="265" w:lineRule="auto"/>
        <w:ind w:left="10" w:right="61" w:hanging="10"/>
        <w:jc w:val="right"/>
      </w:pPr>
      <w:r>
        <w:t xml:space="preserve">Programme for newly arrived children studying in </w:t>
      </w:r>
    </w:p>
    <w:p w:rsidR="0025470D" w:rsidRDefault="0025470D" w:rsidP="0025470D">
      <w:pPr>
        <w:spacing w:after="41"/>
        <w:ind w:left="1448" w:right="82"/>
      </w:pPr>
      <w:r>
        <w:t xml:space="preserve">mainstream schools, so as to help them understand the community and local culture, as well as master learning skills. </w:t>
      </w:r>
    </w:p>
    <w:p w:rsidR="0025470D" w:rsidRDefault="0025470D" w:rsidP="0025470D">
      <w:pPr>
        <w:spacing w:after="64" w:line="259" w:lineRule="auto"/>
        <w:ind w:left="0" w:firstLine="0"/>
        <w:jc w:val="left"/>
      </w:pPr>
      <w:r>
        <w:t xml:space="preserve"> </w:t>
      </w:r>
    </w:p>
    <w:p w:rsidR="0025470D" w:rsidRDefault="0025470D" w:rsidP="0025470D">
      <w:pPr>
        <w:numPr>
          <w:ilvl w:val="1"/>
          <w:numId w:val="46"/>
        </w:numPr>
        <w:ind w:right="82" w:hanging="720"/>
      </w:pPr>
      <w:r>
        <w:rPr>
          <w:b/>
        </w:rPr>
        <w:t xml:space="preserve">Housing: </w:t>
      </w:r>
      <w:r>
        <w:t>New arrivals may apply, on the ground of family reunion, for addition into public rental housing (PRH) tenancy if they are the spouse / children aged under 18 / dependent relatives of the PRH tenant; or the spouse and/or children of one of the tenant’s married children</w:t>
      </w:r>
      <w:r>
        <w:rPr>
          <w:vertAlign w:val="superscript"/>
        </w:rPr>
        <w:footnoteReference w:id="7"/>
      </w:r>
      <w:r>
        <w:t>; or an adult offspring of elderly tenants, together with his/her family members.  However, they must fulfil the stipulated eligibility criteria for addition of family members into PRH tenancy (such as passing the comprehensive means test, domestic property test and complying with the “one-line continuation rule”</w:t>
      </w:r>
      <w:r>
        <w:rPr>
          <w:vertAlign w:val="superscript"/>
        </w:rPr>
        <w:footnoteReference w:id="8"/>
      </w:r>
      <w:r>
        <w:t>).  New arrivals who would like to apply for PRH units via the application system can submit their applications to the Hong Kong Housing Authority.</w:t>
      </w:r>
      <w:r>
        <w:rPr>
          <w:sz w:val="24"/>
        </w:rPr>
        <w:t xml:space="preserve"> </w:t>
      </w:r>
      <w:r>
        <w:t xml:space="preserve"> They should nonetheless meet various requirements such as the income and asset limits.  For those new arrivals from the Mainland whose PRH applications have reached allocation, at least half of the family members should have lived in Hong Kong for seven years.  For those individuals who do not meet the aforesaid requirements, but have imminent and long-term housing needs on medical or social grounds and no other feasible means to solve their housing problems, they may approach the SWD for relevant welfare services or assistance.  SWD will assess each case and recommend eligible cases to the Housing Department for early allocation of PRH through “Compassionate Rehousing”. </w:t>
      </w:r>
    </w:p>
    <w:p w:rsidR="0025470D" w:rsidRDefault="0025470D" w:rsidP="0025470D">
      <w:pPr>
        <w:spacing w:after="59" w:line="259" w:lineRule="auto"/>
        <w:ind w:left="720" w:firstLine="0"/>
        <w:jc w:val="left"/>
      </w:pPr>
      <w:r>
        <w:rPr>
          <w:b/>
        </w:rPr>
        <w:lastRenderedPageBreak/>
        <w:t xml:space="preserve"> </w:t>
      </w:r>
    </w:p>
    <w:p w:rsidR="0025470D" w:rsidRDefault="0025470D" w:rsidP="0025470D">
      <w:pPr>
        <w:ind w:left="1440" w:right="82" w:hanging="811"/>
      </w:pPr>
      <w:r>
        <w:rPr>
          <w:b/>
        </w:rPr>
        <w:t xml:space="preserve"> </w:t>
      </w:r>
      <w:r>
        <w:t xml:space="preserve">To assist new arrivals from the Mainland to better adapt to the new living environment after moving into PRH, the Hong Kong Housing Authority has been allotting part of the Estate </w:t>
      </w:r>
    </w:p>
    <w:p w:rsidR="0025470D" w:rsidRDefault="0025470D" w:rsidP="0025470D">
      <w:pPr>
        <w:spacing w:after="40" w:line="265" w:lineRule="auto"/>
        <w:ind w:left="10" w:right="61" w:hanging="10"/>
        <w:jc w:val="right"/>
      </w:pPr>
      <w:r>
        <w:t xml:space="preserve">Management Advisory Committee funding for each estate to </w:t>
      </w:r>
    </w:p>
    <w:p w:rsidR="0025470D" w:rsidRDefault="0025470D" w:rsidP="0025470D">
      <w:pPr>
        <w:ind w:left="1448" w:right="82"/>
      </w:pPr>
      <w:r>
        <w:t>hold partnering functions with NGOs since 2009, to promote community building, family cohesion, and caring for the elderly, etc.  Through organising these functions, local</w:t>
      </w:r>
      <w:r>
        <w:rPr>
          <w:sz w:val="24"/>
        </w:rPr>
        <w:t xml:space="preserve"> </w:t>
      </w:r>
      <w:r>
        <w:t xml:space="preserve">NGOs can have more contact with new arrivals and provide suitable assistance to them. </w:t>
      </w:r>
    </w:p>
    <w:p w:rsidR="0025470D" w:rsidRDefault="0025470D" w:rsidP="0025470D">
      <w:pPr>
        <w:spacing w:after="64" w:line="259" w:lineRule="auto"/>
        <w:ind w:left="0" w:firstLine="0"/>
        <w:jc w:val="left"/>
      </w:pPr>
      <w:r>
        <w:t xml:space="preserve"> </w:t>
      </w:r>
    </w:p>
    <w:p w:rsidR="0025470D" w:rsidRDefault="0025470D" w:rsidP="0025470D">
      <w:pPr>
        <w:numPr>
          <w:ilvl w:val="1"/>
          <w:numId w:val="46"/>
        </w:numPr>
        <w:ind w:right="82" w:hanging="720"/>
      </w:pPr>
      <w:r>
        <w:rPr>
          <w:b/>
        </w:rPr>
        <w:t>Welfare:</w:t>
      </w:r>
      <w:r>
        <w:t xml:space="preserve"> New arrivals can have access to a continuum of comprehensive family services at the 65 Integrated Family Service Centres and two Integrated Service Centres over the territory.  Social workers at these centres assess the needs of new arrival families and provide them with appropriate services.  From time to time, programmes and activities targeting new arrival families are organised at these centres to help them adapt to the new environment.  The focuses of these programmes include effective communication among family members and conflict, emotion and stress management, etc.   </w:t>
      </w:r>
    </w:p>
    <w:p w:rsidR="0025470D" w:rsidRDefault="0025470D" w:rsidP="0025470D">
      <w:pPr>
        <w:spacing w:after="9" w:line="259" w:lineRule="auto"/>
        <w:ind w:left="1440" w:firstLine="0"/>
        <w:jc w:val="left"/>
      </w:pPr>
      <w:r>
        <w:t xml:space="preserve"> </w:t>
      </w:r>
    </w:p>
    <w:p w:rsidR="0025470D" w:rsidRDefault="0025470D" w:rsidP="0025470D">
      <w:pPr>
        <w:ind w:left="1446" w:right="82"/>
      </w:pPr>
      <w:r>
        <w:t xml:space="preserve">Meanwhile, the SWD subsidises the International Social Service Hong Kong (ISSHK) to provide services for new arrival families and individuals.  The ISSHK reaches out to new arrivals (including those at the Lo Wu Control Point, one of the immigration control points between the HKSAR and the Mainland) and may refer them to mainstream service units to help identify and tackle family problems at an earlier stage.  The SWD has also linked up its hotline with the New Arrivals Connect Hotline operated by the ISSHK to facilitate new arrivals to receive targeted services. </w:t>
      </w:r>
    </w:p>
    <w:p w:rsidR="0025470D" w:rsidRDefault="0025470D" w:rsidP="0025470D">
      <w:pPr>
        <w:spacing w:after="64" w:line="259" w:lineRule="auto"/>
        <w:ind w:left="1440" w:firstLine="0"/>
        <w:jc w:val="left"/>
      </w:pPr>
      <w:r>
        <w:t xml:space="preserve"> </w:t>
      </w:r>
    </w:p>
    <w:p w:rsidR="0025470D" w:rsidRDefault="0025470D" w:rsidP="0025470D">
      <w:pPr>
        <w:numPr>
          <w:ilvl w:val="0"/>
          <w:numId w:val="46"/>
        </w:numPr>
        <w:ind w:right="82"/>
      </w:pPr>
      <w:r>
        <w:t xml:space="preserve">Various Government departments have been providing a range of services to help new arrivals adapt to their new environment as soon as possible.  The Special Needs Groups Task Force under the Poverty </w:t>
      </w:r>
      <w:r>
        <w:lastRenderedPageBreak/>
        <w:t xml:space="preserve">Commission was established in 2014 to review and explore policies and measures to assist new arrivals and other underprivileged groups to integrate into the community, be self-reliant and move upwards along the social ladder. </w:t>
      </w:r>
    </w:p>
    <w:p w:rsidR="0025470D" w:rsidRDefault="0025470D" w:rsidP="0025470D">
      <w:pPr>
        <w:sectPr w:rsidR="0025470D">
          <w:headerReference w:type="even" r:id="rId259"/>
          <w:headerReference w:type="default" r:id="rId260"/>
          <w:footerReference w:type="even" r:id="rId261"/>
          <w:footerReference w:type="default" r:id="rId262"/>
          <w:headerReference w:type="first" r:id="rId263"/>
          <w:footerReference w:type="first" r:id="rId264"/>
          <w:pgSz w:w="11906" w:h="16838"/>
          <w:pgMar w:top="1539" w:right="1728" w:bottom="1625" w:left="1800" w:header="720" w:footer="723" w:gutter="0"/>
          <w:pgNumType w:start="1"/>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265"/>
          <w:headerReference w:type="default" r:id="rId266"/>
          <w:footerReference w:type="even" r:id="rId267"/>
          <w:footerReference w:type="default" r:id="rId268"/>
          <w:headerReference w:type="first" r:id="rId269"/>
          <w:footerReference w:type="first" r:id="rId270"/>
          <w:pgSz w:w="11906" w:h="16838"/>
          <w:pgMar w:top="1440" w:right="1440" w:bottom="1440" w:left="1440" w:header="720" w:footer="5" w:gutter="0"/>
          <w:cols w:space="720"/>
        </w:sectPr>
      </w:pPr>
    </w:p>
    <w:p w:rsidR="0025470D" w:rsidRDefault="0025470D" w:rsidP="0025470D">
      <w:pPr>
        <w:spacing w:after="9" w:line="259" w:lineRule="auto"/>
        <w:ind w:left="10" w:right="54" w:hanging="10"/>
        <w:jc w:val="right"/>
      </w:pPr>
      <w:r>
        <w:rPr>
          <w:b/>
        </w:rPr>
        <w:lastRenderedPageBreak/>
        <w:t xml:space="preserve">Annex 24A </w:t>
      </w:r>
    </w:p>
    <w:p w:rsidR="0025470D" w:rsidRDefault="0025470D" w:rsidP="0025470D">
      <w:pPr>
        <w:spacing w:after="67" w:line="259" w:lineRule="auto"/>
        <w:ind w:left="0" w:firstLine="0"/>
        <w:jc w:val="right"/>
      </w:pPr>
      <w:r>
        <w:rPr>
          <w:b/>
        </w:rPr>
        <w:t xml:space="preserve"> </w:t>
      </w:r>
    </w:p>
    <w:p w:rsidR="0025470D" w:rsidRDefault="0025470D" w:rsidP="0025470D">
      <w:pPr>
        <w:pStyle w:val="Heading4"/>
        <w:spacing w:after="6" w:line="259" w:lineRule="auto"/>
        <w:ind w:left="180" w:right="242"/>
        <w:jc w:val="center"/>
      </w:pPr>
      <w:r>
        <w:t xml:space="preserve">Services for the child </w:t>
      </w:r>
    </w:p>
    <w:p w:rsidR="0025470D" w:rsidRDefault="0025470D" w:rsidP="0025470D">
      <w:pPr>
        <w:spacing w:after="59" w:line="259" w:lineRule="auto"/>
        <w:ind w:left="0" w:firstLine="0"/>
        <w:jc w:val="left"/>
      </w:pPr>
      <w:r>
        <w:rPr>
          <w:b/>
        </w:rPr>
        <w:t xml:space="preserve"> </w:t>
      </w:r>
    </w:p>
    <w:p w:rsidR="0025470D" w:rsidRDefault="0025470D" w:rsidP="0025470D">
      <w:pPr>
        <w:numPr>
          <w:ilvl w:val="0"/>
          <w:numId w:val="47"/>
        </w:numPr>
        <w:ind w:right="82"/>
      </w:pPr>
      <w:r>
        <w:t xml:space="preserve">The Government continues to provide subsidies to NGOs to run a variety of child care services for children aged below six to support parents who are unable to take care of their children temporarily because of work or other reasons.  The Government also provides fee waiving / fee reduction on day child care services for needy families.  </w:t>
      </w:r>
    </w:p>
    <w:p w:rsidR="0025470D" w:rsidRDefault="0025470D" w:rsidP="0025470D">
      <w:pPr>
        <w:spacing w:after="64" w:line="259" w:lineRule="auto"/>
        <w:ind w:left="0" w:firstLine="0"/>
        <w:jc w:val="left"/>
      </w:pPr>
      <w:r>
        <w:t xml:space="preserve"> </w:t>
      </w:r>
    </w:p>
    <w:p w:rsidR="0025470D" w:rsidRDefault="0025470D" w:rsidP="0025470D">
      <w:pPr>
        <w:numPr>
          <w:ilvl w:val="0"/>
          <w:numId w:val="47"/>
        </w:numPr>
        <w:ind w:right="82"/>
      </w:pPr>
      <w:r>
        <w:t xml:space="preserve">Further to paragraph 288 of the previous report, in view of the proven effectiveness of the pilot Neighbourhood Support Child Care Project in achieving its objectives of fostering mutual help in the neighbourhood and providing flexible child care services, it was regularised and extended to all 18 districts in October 2011.  The Project was further enhanced in 2014 with additional resources by providing total places of no less than 954, strengthening the social work support, and extending the age limit of children receiving the service to below nine.  Under the Project, the service operators have the flexibility to increase the places to meet the demand in the respective districts, for which additional funding will be provided.  </w:t>
      </w:r>
    </w:p>
    <w:p w:rsidR="0025470D" w:rsidRDefault="0025470D" w:rsidP="0025470D">
      <w:pPr>
        <w:spacing w:after="64" w:line="259" w:lineRule="auto"/>
        <w:ind w:left="0" w:firstLine="0"/>
        <w:jc w:val="left"/>
      </w:pPr>
      <w:r>
        <w:t xml:space="preserve"> </w:t>
      </w:r>
    </w:p>
    <w:p w:rsidR="0025470D" w:rsidRDefault="0025470D" w:rsidP="0025470D">
      <w:pPr>
        <w:numPr>
          <w:ilvl w:val="0"/>
          <w:numId w:val="47"/>
        </w:numPr>
        <w:ind w:right="82"/>
      </w:pPr>
      <w:r>
        <w:t xml:space="preserve">To support women in fulfilling work and family commitments, since 2015-16, the Government has increased by phases the number of Extended Hours Service places at aided standalone child care centres and kindergarten-cum-child care centres in districts with high demand from 1 230 to 2 254, so that more pre-primary children aged below six in need can continue to receive extended hours of service in the same service units being attended by them, with a view to alleviating the pressure on their working parents.  </w:t>
      </w:r>
    </w:p>
    <w:p w:rsidR="0025470D" w:rsidRDefault="0025470D" w:rsidP="0025470D">
      <w:pPr>
        <w:spacing w:after="64" w:line="259" w:lineRule="auto"/>
        <w:ind w:left="0" w:firstLine="0"/>
        <w:jc w:val="left"/>
      </w:pPr>
      <w:r>
        <w:t xml:space="preserve"> </w:t>
      </w:r>
    </w:p>
    <w:p w:rsidR="0025470D" w:rsidRDefault="0025470D" w:rsidP="0025470D">
      <w:pPr>
        <w:numPr>
          <w:ilvl w:val="0"/>
          <w:numId w:val="47"/>
        </w:numPr>
        <w:ind w:right="82"/>
      </w:pPr>
      <w:r>
        <w:t xml:space="preserve">The Government has also appointed nine NGOs to implement the two-year pilot project on child care training for grandparents in March 2016.  The pilot project aims at strengthening family ties and relationship between generations, enhancing child care as well as reinforcing support </w:t>
      </w:r>
      <w:r>
        <w:lastRenderedPageBreak/>
        <w:t xml:space="preserve">for nuclear families.  It also helps to promote active aging of grandparents through life-long learning.  </w:t>
      </w:r>
    </w:p>
    <w:p w:rsidR="0025470D" w:rsidRDefault="0025470D" w:rsidP="0025470D">
      <w:pPr>
        <w:spacing w:after="0" w:line="259" w:lineRule="auto"/>
        <w:ind w:left="0" w:firstLine="0"/>
        <w:jc w:val="left"/>
      </w:pPr>
      <w:r>
        <w:t xml:space="preserve"> </w:t>
      </w:r>
    </w:p>
    <w:p w:rsidR="0025470D" w:rsidRDefault="0025470D" w:rsidP="0025470D">
      <w:pPr>
        <w:numPr>
          <w:ilvl w:val="0"/>
          <w:numId w:val="47"/>
        </w:numPr>
        <w:ind w:right="82"/>
      </w:pPr>
      <w:r>
        <w:t xml:space="preserve">Moreover, the Government commissioned the University of Hong Kong to conduct a “Consultancy Study on the Long-term Development of Child Care Services” in December 2016.  The Study will take stock of the existing child care services in Hong Kong, and draw on the experience of other places in providing child care services.  It will also conduct in-depth analyses of different aspects of child care services in Hong Kong, such as objectives, contents, targets, financing modes, service models, demand and supply situation, facility planning, manpower planning and training, and will make recommendations on the long-term development of relevant services.  </w:t>
      </w:r>
    </w:p>
    <w:p w:rsidR="0025470D" w:rsidRDefault="0025470D" w:rsidP="0025470D">
      <w:pPr>
        <w:spacing w:after="62" w:line="259" w:lineRule="auto"/>
        <w:ind w:left="0" w:firstLine="0"/>
        <w:jc w:val="left"/>
      </w:pPr>
      <w:r>
        <w:t xml:space="preserve"> </w:t>
      </w:r>
    </w:p>
    <w:p w:rsidR="0025470D" w:rsidRDefault="0025470D" w:rsidP="0025470D">
      <w:pPr>
        <w:pStyle w:val="Heading5"/>
        <w:ind w:left="-5"/>
      </w:pPr>
      <w:r>
        <w:t>Health services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48"/>
        </w:numPr>
        <w:ind w:right="8"/>
      </w:pPr>
      <w:r>
        <w:t xml:space="preserve">The Department of Health (DH) protects health of children through health promotion, disease prevention and provision of health services.  The Maternal and Child Health Centres of the DH provide “child health service”, which includes immunisation, health and developmental surveillance and parenting, to children from birth to the age of five.  Student Health Service provides annual health assessment designed to cater for the health needs at various stages of development, individualised counselling and health education to enrolled school students.  Adolescent Health Programme of the Student Health Service outreaches to secondary schools to provide interactive activities on Basic Life Skills Training and Topical Programme, aiming at empowering adolescents with correct attitudes and skills to face the challenges of growing up.   </w:t>
      </w:r>
    </w:p>
    <w:p w:rsidR="0025470D" w:rsidRDefault="0025470D" w:rsidP="0025470D">
      <w:pPr>
        <w:spacing w:after="64" w:line="259" w:lineRule="auto"/>
        <w:ind w:left="0" w:firstLine="0"/>
        <w:jc w:val="left"/>
      </w:pPr>
      <w:r>
        <w:t xml:space="preserve"> </w:t>
      </w:r>
    </w:p>
    <w:p w:rsidR="0025470D" w:rsidRDefault="0025470D" w:rsidP="0025470D">
      <w:pPr>
        <w:numPr>
          <w:ilvl w:val="0"/>
          <w:numId w:val="48"/>
        </w:numPr>
        <w:ind w:right="8"/>
      </w:pPr>
      <w:r>
        <w:t xml:space="preserve">The School Dental Care Service (SDCS) of the DH promotes oral health and provides annual dental check-up, basic and preventive dental care for primary school children in Hong Kong.  Besides, students with intellectual disability and studying in special schools, including Schools for Children with Intellectual Disability and Schools for Children with Physical Disability, can continue to enjoy the SDCS until the age of 18.  The Child Assessment Service of the DH provides comprehensive assessment and diagnosis for children under 12 years of age who are </w:t>
      </w:r>
      <w:r>
        <w:lastRenderedPageBreak/>
        <w:t xml:space="preserve">suspected to have developmental problems.  After assessment, follow-up plans will be formulated according to the individual needs of children.  Besides, the Government provides vaccinations to children through the </w:t>
      </w:r>
    </w:p>
    <w:p w:rsidR="0025470D" w:rsidRDefault="0025470D" w:rsidP="0025470D">
      <w:pPr>
        <w:ind w:left="19" w:right="82"/>
      </w:pPr>
      <w:r>
        <w:t xml:space="preserve">Hong Kong Childhood Immunisation Programme and several other subsidy schemes, with an aim to protect their health. </w:t>
      </w:r>
    </w:p>
    <w:p w:rsidR="0025470D" w:rsidRDefault="0025470D" w:rsidP="0025470D">
      <w:pPr>
        <w:spacing w:after="64" w:line="259" w:lineRule="auto"/>
        <w:ind w:left="0" w:firstLine="0"/>
        <w:jc w:val="left"/>
      </w:pPr>
      <w:r>
        <w:t xml:space="preserve"> </w:t>
      </w:r>
    </w:p>
    <w:p w:rsidR="0025470D" w:rsidRDefault="0025470D" w:rsidP="0025470D">
      <w:pPr>
        <w:numPr>
          <w:ilvl w:val="0"/>
          <w:numId w:val="48"/>
        </w:numPr>
        <w:ind w:right="8"/>
      </w:pPr>
      <w:r>
        <w:t xml:space="preserve">The DH has also been promoting healthy lifestyle, including healthy eating and regular physical activity for preschoolers, primary, secondary and special schools students and encouraging schools to create an environment that is conducive to the practice of healthy living. Separately, the DH and the EDB jointly organised the Joyful@School Campaign in 2016/17 and 2017/18 school years with the aim of enhancing students’ awareness and understanding of mental health, raise their awareness of help-seeking, reduce the stigma associated with help-seeking behaviour and strengthen their ability to cope with adversity. The Quality Education Fund will subsidise appropriate programmes, especially encouraging cross-sector collaboration with schools to conduct activities relating to the promotion of mental health.  To prevent youngsters from picking up the smoking habit, and encourage smokers to quit, the Government raises awareness about the harmfulness of smoking through different promotional activities, which also aim to remind the younger generation not to use any tobacco products including e-cigarettes.  Besides, DH works with NGOs to organise health promotional activities at schools and kindergartens to promote the smoke-free culture.  DH has also collaborated with the School of Nursing, the University of Hong Kong, on the Youth Quitline, which targets young smokers aged 25 or below, to help young smokers break the smoking habit. </w:t>
      </w:r>
    </w:p>
    <w:p w:rsidR="0025470D" w:rsidRDefault="0025470D" w:rsidP="0025470D">
      <w:pPr>
        <w:spacing w:after="62" w:line="259" w:lineRule="auto"/>
        <w:ind w:left="0" w:firstLine="0"/>
        <w:jc w:val="left"/>
      </w:pPr>
      <w:r>
        <w:t xml:space="preserve"> </w:t>
      </w:r>
    </w:p>
    <w:p w:rsidR="0025470D" w:rsidRDefault="0025470D" w:rsidP="0025470D">
      <w:pPr>
        <w:pStyle w:val="Heading5"/>
        <w:ind w:left="-5"/>
      </w:pPr>
      <w:r>
        <w:t>Education services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ind w:left="19" w:right="5"/>
      </w:pPr>
      <w:r>
        <w:t xml:space="preserve">9. All along, EDB has been encouraging schools to adopt a positive discipline approach to students’ self-discipline and to cultivate a caring and harmonious school culture with stakeholders (including parents).  Schools are required to strengthen the life education elements in various domains of their school curriculum to instill in students a sense of respect for others and help them acquire communication, social and conflictmanagement skills.  Personal Growth Education in primary </w:t>
      </w:r>
      <w:r>
        <w:lastRenderedPageBreak/>
        <w:t xml:space="preserve">schools has also included elements like helping students understand their responsibilities in families since their childhood and learn to show concern to and help other family members.  Parents are encouraged to actively participate in various programmes for the healthy development of students.  For instance, parents’ participation is emphasized in the “Understanding Adolescent Project” for primary schools and the “Enhanced Smart Teen Project” for secondary schools. We also provide training for Peace Ambassadors on conflict management and peer mediation skills.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Residential child care services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ind w:left="19" w:right="82"/>
      </w:pPr>
      <w:r>
        <w:t xml:space="preserve">10. The underlying principle of residential child care services, as mentioned in the previous report, is that a family setting is preferred to an institutional one.  This is particularly important in the case of younger children.  As at 30 June 2017, there were a total of 2 003 non-institutional residential care placements, compared with 1 865 as at 30 June 2010 as reported in the previous report.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Poverty among children</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49"/>
        </w:numPr>
        <w:ind w:right="82"/>
      </w:pPr>
      <w:r>
        <w:t xml:space="preserve">The Government re-established the Commission on Poverty in 2012 as a policy platform to discuss poverty alleviation initiatives.  The Commission announced the official poverty line for the first time in 2013 with a view to providing an objective basis for the Government to understand the poverty situation, formulate poverty alleviation policies and assess policy effectiveness.  Being updated on an annual basis, the poverty line adopts the concept of “relative poverty” and is set at 50% of the median monthly household income before policy intervention (i.e. before taxation and welfare transfers) by household size.  In 2016, the overall post-intervention poverty rate in Hong Kong was 14.7% (about 996 000 persons).  Analyses by age and socio-economic characteristics of households indicated that the poverty rate of children aged below 18 and that of households with children were 17.2% (about 172 000 persons) and 15.3% (114 000 households) respectively in 2016; both were at record-low levels since 2009 when poverty statistics was first available, </w:t>
      </w:r>
      <w:r>
        <w:lastRenderedPageBreak/>
        <w:t xml:space="preserve">representing respective decreases of 2.7 percentage points (about 51 000 persons) and 2.3 percentage points (about 29 000 households) as compared to 2009.  The changes showed the positive impact of the Government’s poverty alleviation measures and the favourable economic conditions in recent years.  The Government will continue to monitor the poverty situation and the effectiveness of poverty alleviation measures, including those relevant to children.  </w:t>
      </w:r>
    </w:p>
    <w:p w:rsidR="0025470D" w:rsidRDefault="0025470D" w:rsidP="0025470D">
      <w:pPr>
        <w:spacing w:after="0" w:line="259" w:lineRule="auto"/>
        <w:ind w:left="0" w:firstLine="0"/>
        <w:jc w:val="left"/>
      </w:pPr>
      <w:r>
        <w:t xml:space="preserve"> </w:t>
      </w:r>
    </w:p>
    <w:p w:rsidR="0025470D" w:rsidRDefault="0025470D" w:rsidP="0025470D">
      <w:pPr>
        <w:numPr>
          <w:ilvl w:val="0"/>
          <w:numId w:val="49"/>
        </w:numPr>
        <w:ind w:right="82"/>
      </w:pPr>
      <w:r>
        <w:t xml:space="preserve">Subsequent to the additional injection of $300 million into the Child Development Fund in the 2015-16 financial year, the Government will inject another $300 million into the Fund in the 2018-19 financial year to ensure its sustainability in facilitating the long-term development of children from disadvantaged backgrounds, with a view to alleviating intergenerational poverty.  So far, six batches of projects run by NGOs and four batches of school-based projects have been rolled out, benefitting more than 14 000 children.  It is estimated that the latest injection of $300 million could benefit about 9 000 children additionally.  </w:t>
      </w:r>
    </w:p>
    <w:p w:rsidR="0025470D" w:rsidRDefault="0025470D" w:rsidP="0025470D">
      <w:pPr>
        <w:spacing w:after="64" w:line="259" w:lineRule="auto"/>
        <w:ind w:left="0" w:firstLine="0"/>
        <w:jc w:val="left"/>
      </w:pPr>
      <w:r>
        <w:t xml:space="preserve"> </w:t>
      </w:r>
    </w:p>
    <w:p w:rsidR="0025470D" w:rsidRDefault="0025470D" w:rsidP="0025470D">
      <w:pPr>
        <w:numPr>
          <w:ilvl w:val="0"/>
          <w:numId w:val="49"/>
        </w:numPr>
        <w:spacing w:after="42"/>
        <w:ind w:right="82"/>
      </w:pPr>
      <w:r>
        <w:t xml:space="preserve">Besides, the Government launched the Low-income Working Family Allowance (LIFA) Scheme in May 2016.  Its objective is to encourage self-reliance of low-income families through employment, with a focus on supporting families with children and youths to ease intergenerational poverty.  Apart from providing a working hour-linked allowance for LIFA families fulfilling the working hour requirements, a Child Allowance is especially provided for each eligible child or youth in the family.  As at end-September 2017, over 36 000 families (involving around 130 000 persons, of which over 57 000 were children or youths) have received LIFA, with a total amount of allowances disbursed at around </w:t>
      </w:r>
    </w:p>
    <w:p w:rsidR="0025470D" w:rsidRDefault="0025470D" w:rsidP="0025470D">
      <w:pPr>
        <w:ind w:left="19" w:right="82"/>
      </w:pPr>
      <w:r>
        <w:t xml:space="preserve">$932 million. </w:t>
      </w:r>
    </w:p>
    <w:p w:rsidR="0025470D" w:rsidRDefault="0025470D" w:rsidP="0025470D">
      <w:pPr>
        <w:spacing w:after="64" w:line="259" w:lineRule="auto"/>
        <w:ind w:left="0" w:firstLine="0"/>
        <w:jc w:val="left"/>
      </w:pPr>
      <w:r>
        <w:t xml:space="preserve"> </w:t>
      </w:r>
    </w:p>
    <w:p w:rsidR="0025470D" w:rsidRDefault="0025470D" w:rsidP="0025470D">
      <w:pPr>
        <w:numPr>
          <w:ilvl w:val="0"/>
          <w:numId w:val="49"/>
        </w:numPr>
        <w:ind w:right="82"/>
      </w:pPr>
      <w:r>
        <w:t xml:space="preserve">A series of improvement measures on the LIFA Scheme were set out in the Chief Executive’s 2017 Policy Address announced in October 2017.  The improvement measures aim at benefitting more working households.  They include extending the Scheme to cover singletons, relaxing the income limit, increasing all rates of allowance (including Child Allowance), etc.  Furthermore, the LIFA Scheme will be renamed </w:t>
      </w:r>
      <w:r>
        <w:lastRenderedPageBreak/>
        <w:t>as the Working Family Allowance Scheme.  The Government expects that the relevant improvement measures will be implemented on 1 April 2018.</w:t>
      </w:r>
      <w:r>
        <w:rPr>
          <w:b/>
        </w:rPr>
        <w:t xml:space="preserve"> </w:t>
      </w:r>
    </w:p>
    <w:p w:rsidR="0025470D" w:rsidRDefault="0025470D" w:rsidP="0025470D">
      <w:pPr>
        <w:spacing w:after="0" w:line="259" w:lineRule="auto"/>
        <w:ind w:left="0" w:firstLine="0"/>
        <w:jc w:val="left"/>
      </w:pPr>
      <w:r>
        <w:t xml:space="preserve"> </w:t>
      </w:r>
    </w:p>
    <w:p w:rsidR="0025470D" w:rsidRDefault="0025470D" w:rsidP="0025470D">
      <w:pPr>
        <w:sectPr w:rsidR="0025470D">
          <w:headerReference w:type="even" r:id="rId271"/>
          <w:headerReference w:type="default" r:id="rId272"/>
          <w:footerReference w:type="even" r:id="rId273"/>
          <w:footerReference w:type="default" r:id="rId274"/>
          <w:headerReference w:type="first" r:id="rId275"/>
          <w:footerReference w:type="first" r:id="rId276"/>
          <w:pgSz w:w="11906" w:h="16838"/>
          <w:pgMar w:top="1537" w:right="1728" w:bottom="1722" w:left="1800" w:header="720" w:footer="723" w:gutter="0"/>
          <w:pgNumType w:start="1"/>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277"/>
          <w:headerReference w:type="default" r:id="rId278"/>
          <w:footerReference w:type="even" r:id="rId279"/>
          <w:footerReference w:type="default" r:id="rId280"/>
          <w:headerReference w:type="first" r:id="rId281"/>
          <w:footerReference w:type="first" r:id="rId282"/>
          <w:pgSz w:w="11906" w:h="16838"/>
          <w:pgMar w:top="1440" w:right="1440" w:bottom="1440" w:left="1440" w:header="720" w:footer="5" w:gutter="0"/>
          <w:cols w:space="720"/>
        </w:sectPr>
      </w:pPr>
    </w:p>
    <w:p w:rsidR="0025470D" w:rsidRDefault="0025470D" w:rsidP="0025470D">
      <w:pPr>
        <w:spacing w:after="4" w:line="259" w:lineRule="auto"/>
        <w:ind w:left="10" w:right="54" w:hanging="10"/>
        <w:jc w:val="right"/>
      </w:pPr>
      <w:r>
        <w:rPr>
          <w:b/>
        </w:rPr>
        <w:lastRenderedPageBreak/>
        <w:t xml:space="preserve">Annex 24B </w:t>
      </w:r>
    </w:p>
    <w:p w:rsidR="0025470D" w:rsidRDefault="0025470D" w:rsidP="0025470D">
      <w:pPr>
        <w:spacing w:after="13" w:line="259" w:lineRule="auto"/>
        <w:ind w:left="0" w:firstLine="0"/>
        <w:jc w:val="right"/>
      </w:pPr>
      <w:r>
        <w:t xml:space="preserve"> </w:t>
      </w:r>
    </w:p>
    <w:p w:rsidR="0025470D" w:rsidRDefault="0025470D" w:rsidP="0025470D">
      <w:pPr>
        <w:pStyle w:val="Heading4"/>
        <w:spacing w:after="6" w:line="259" w:lineRule="auto"/>
        <w:ind w:left="180" w:right="240"/>
        <w:jc w:val="center"/>
      </w:pPr>
      <w:r>
        <w:t xml:space="preserve">Child abuse and domestic violence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50"/>
        </w:numPr>
        <w:ind w:right="82"/>
      </w:pPr>
      <w:r>
        <w:t xml:space="preserve">Some commentators expressed concerns over cases involving parents committing suicide with their children, or neglecting children by leaving them unattended.  They asked the Government to strengthen public education on the right to life of children and provide support to parents with mental health problems.   </w:t>
      </w:r>
    </w:p>
    <w:p w:rsidR="0025470D" w:rsidRDefault="0025470D" w:rsidP="0025470D">
      <w:pPr>
        <w:spacing w:after="64" w:line="259" w:lineRule="auto"/>
        <w:ind w:left="0" w:firstLine="0"/>
        <w:jc w:val="left"/>
      </w:pPr>
      <w:r>
        <w:t xml:space="preserve"> </w:t>
      </w:r>
    </w:p>
    <w:p w:rsidR="0025470D" w:rsidRDefault="0025470D" w:rsidP="0025470D">
      <w:pPr>
        <w:numPr>
          <w:ilvl w:val="0"/>
          <w:numId w:val="50"/>
        </w:numPr>
        <w:ind w:right="82"/>
      </w:pPr>
      <w:r>
        <w:t xml:space="preserve">To ensure timely support for children in need from their early developmental stages, the Government implements the Comprehensive Child Development Service whereby pre-primary institutions and other service units, including the Integrated Family Service Centres/Integrated Services Centres, maternal and child health centres and hospitals under the Hospital Authority, are used as a platform to identify children aged zero to five, and families in need of various health and social services at an early stage.  The children and their family members in need are referred to appropriate welfare and health service units for follow up.   </w:t>
      </w:r>
    </w:p>
    <w:p w:rsidR="0025470D" w:rsidRDefault="0025470D" w:rsidP="0025470D">
      <w:pPr>
        <w:spacing w:after="64" w:line="259" w:lineRule="auto"/>
        <w:ind w:left="0" w:firstLine="0"/>
        <w:jc w:val="left"/>
      </w:pPr>
      <w:r>
        <w:t xml:space="preserve"> </w:t>
      </w:r>
    </w:p>
    <w:p w:rsidR="0025470D" w:rsidRDefault="0025470D" w:rsidP="0025470D">
      <w:pPr>
        <w:numPr>
          <w:ilvl w:val="0"/>
          <w:numId w:val="50"/>
        </w:numPr>
        <w:ind w:right="82"/>
      </w:pPr>
      <w:r>
        <w:t xml:space="preserve">The SWD has stepped up its efforts and services to instil in parents the importance of children’s safety and to assist families in need.  These efforts include public education and publicity, family life education and family counselling services, enhanced child care services, and financial support for low-income families in need of child care services.  The SWD also included in its publicity plan the production of the animations on effective parenting and harmonious inter-generational family life in 2013-14 and 2014-15.  Besides, SWD produced and launched a series of APIs on television and radio as well as through posters in 2014-15, conveying the messages that people should not resort to violence against partners or children, but should rather ensure the healthy development of their children and seek assistance early.  In 2015-16, SWD launched a Facebook fanpage to promote, among others, the message of fostering harmonious marital relationship and avoiding marital conflict.  In 2016-17, SWD launched a short video-clip cum photo competition for promoting family solidarity on the Internet.  Posters were also posted on public transportation systems and in organisations and service units in </w:t>
      </w:r>
      <w:r>
        <w:lastRenderedPageBreak/>
        <w:t xml:space="preserve">various districts with a view to reminding the public of the importance of family and encouraging them to strengthen ties among family members.  In 2017-18, SWD will launch a series of API on television and radio, as well as through poster to convey the message of child protection and prevention of child abuse in public transportation systems and on the Internet.   </w:t>
      </w:r>
    </w:p>
    <w:p w:rsidR="0025470D" w:rsidRDefault="0025470D" w:rsidP="0025470D">
      <w:pPr>
        <w:spacing w:after="64" w:line="259" w:lineRule="auto"/>
        <w:ind w:left="0" w:firstLine="0"/>
        <w:jc w:val="left"/>
      </w:pPr>
      <w:r>
        <w:t xml:space="preserve"> </w:t>
      </w:r>
    </w:p>
    <w:p w:rsidR="0025470D" w:rsidRDefault="0025470D" w:rsidP="0025470D">
      <w:pPr>
        <w:numPr>
          <w:ilvl w:val="0"/>
          <w:numId w:val="50"/>
        </w:numPr>
        <w:ind w:right="82"/>
      </w:pPr>
      <w:r>
        <w:t xml:space="preserve">We strive to provide suitable support services for parents with disabilities, including those with mental health problems.  All along, the Hospital Authority has been promoting the importance of mental health through its provision of psychiatric services.  The DH has also included mental health in its public health education programme.  The measures taken by the Government in this respect was elaborated in the initial report of the HKSAR under the Convention on the Rights of Persons with Disabilities (CRPD) concerning the implementation of Article 23 of that Convention. </w:t>
      </w:r>
    </w:p>
    <w:p w:rsidR="0025470D" w:rsidRDefault="0025470D" w:rsidP="0025470D">
      <w:pPr>
        <w:spacing w:after="64" w:line="259" w:lineRule="auto"/>
        <w:ind w:left="0" w:firstLine="0"/>
        <w:jc w:val="left"/>
      </w:pPr>
      <w:r>
        <w:t xml:space="preserve"> </w:t>
      </w:r>
    </w:p>
    <w:p w:rsidR="0025470D" w:rsidRDefault="0025470D" w:rsidP="0025470D">
      <w:pPr>
        <w:numPr>
          <w:ilvl w:val="0"/>
          <w:numId w:val="50"/>
        </w:numPr>
        <w:ind w:right="82"/>
      </w:pPr>
      <w:r>
        <w:t xml:space="preserve">Our criminal law punishes all acts of violence, irrespective of the relationships between the abusers and the victims, and independent of where the violent acts occur.  The Police will handle all domestic violence reports professionally, and conduct thorough investigations according to the circumstances of each report.  Where there is sufficient evidence of an offence, the Police will take firm and decisive actions against the offender.   </w:t>
      </w:r>
    </w:p>
    <w:p w:rsidR="0025470D" w:rsidRDefault="0025470D" w:rsidP="0025470D">
      <w:pPr>
        <w:spacing w:after="64" w:line="259" w:lineRule="auto"/>
        <w:ind w:left="0" w:firstLine="0"/>
        <w:jc w:val="left"/>
      </w:pPr>
      <w:r>
        <w:t xml:space="preserve"> </w:t>
      </w:r>
    </w:p>
    <w:p w:rsidR="0025470D" w:rsidRDefault="0025470D" w:rsidP="0025470D">
      <w:pPr>
        <w:numPr>
          <w:ilvl w:val="0"/>
          <w:numId w:val="50"/>
        </w:numPr>
        <w:ind w:right="82"/>
      </w:pPr>
      <w:r>
        <w:t xml:space="preserve">In 2009, a Police procedure was introduced whereby all domestic violence (DV) and domestic incident (DI) reports are indexed in an Enhanced Central Domestic Violence Database (ECDVD).  In addition to details of DV and DI reports, the ECDVD also contains details concerning reports of child abuse, elder abuse, attempted suicide, missing person etc., as they are often indicative of underlying domestic conflict issues.  Upon checking the database following a DI/ DV report, risk assessment will be conducted to determine whether to refer the subjects for appropriate assistance.  Furthermore, the ECDVD incorporates an automatic alert system whereby an alert email will be sent to the supervisory officers responsible for previous incidents involving the same subject, the supervisory officers will then assess the risk factors and </w:t>
      </w:r>
      <w:r>
        <w:lastRenderedPageBreak/>
        <w:t>decide if follow-up actions including immediate intervention and assistance from the SWD are required.</w:t>
      </w:r>
      <w:r>
        <w:rPr>
          <w:sz w:val="24"/>
        </w:rPr>
        <w:t xml:space="preserve"> </w:t>
      </w:r>
    </w:p>
    <w:p w:rsidR="0025470D" w:rsidRDefault="0025470D" w:rsidP="0025470D">
      <w:pPr>
        <w:pStyle w:val="Heading5"/>
        <w:spacing w:after="47"/>
        <w:ind w:left="-5"/>
      </w:pPr>
      <w:r>
        <w:t>Training for Police officers in handling child abuse and domestic violence</w:t>
      </w:r>
      <w:r>
        <w:rPr>
          <w:u w:color="000000"/>
        </w:rPr>
        <w:t xml:space="preserve"> </w:t>
      </w:r>
      <w:r>
        <w:t>cases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51"/>
        </w:numPr>
        <w:ind w:right="82"/>
      </w:pPr>
      <w:r>
        <w:t xml:space="preserve">Police officers handle all reports related to domestic violence and child abuse professionally.  The Family Conflict and Sexual Violence Policy Unit (FCSV) of the Police has introduced various training programmes to enhance the capabilities and professional sensitivity of frontline officers in handling domestic violence and child abuse cases. These programmes cover domestic violence dynamics, psychology of parties involved, interview techniques, risk assessment, conflict management and service interface with welfare units, etc.  In particular, officers of Child Abuse Investigation Unit in Police regions have received specialised training on child abuse investigation under a joint training programme co-organised by the Police and the SWD, namely the “Training on Video-recorded Interview with Child and Mentally Incapacitated Witnesses”.  Refresher training is also organised on a regular basis.  </w:t>
      </w:r>
    </w:p>
    <w:p w:rsidR="0025470D" w:rsidRDefault="0025470D" w:rsidP="0025470D">
      <w:pPr>
        <w:ind w:left="19" w:right="82"/>
      </w:pPr>
      <w:r>
        <w:t xml:space="preserve">Apart from specialised training with regard to handling child abuse cases, FCSV also organises “Professional Training for Designated Domestic Violence Investigation Units”.  These training sessions aim to enhance officers’ skills on case investigation, and place emphasis on ensuring officers’ knowledge in rendering special arrangements for victims concerned throughout the investigation and judicial processes. </w:t>
      </w:r>
    </w:p>
    <w:p w:rsidR="0025470D" w:rsidRDefault="0025470D" w:rsidP="0025470D">
      <w:pPr>
        <w:spacing w:after="64" w:line="259" w:lineRule="auto"/>
        <w:ind w:left="0" w:firstLine="0"/>
        <w:jc w:val="left"/>
      </w:pPr>
      <w:r>
        <w:t xml:space="preserve"> </w:t>
      </w:r>
    </w:p>
    <w:p w:rsidR="0025470D" w:rsidRDefault="0025470D" w:rsidP="0025470D">
      <w:pPr>
        <w:numPr>
          <w:ilvl w:val="0"/>
          <w:numId w:val="51"/>
        </w:numPr>
        <w:ind w:right="82"/>
      </w:pPr>
      <w:r>
        <w:t xml:space="preserve">Since November 2006, the Police have adopted an assessment tool, namely, the Emergency Referral Questionnaire, to assist frontline officers in identifying and assessing the risk factors of a family involved in domestic violence incidents.  An action checklist is also in place to assist frontline officers in conducting initial investigation at the scene of a domestic violence case. </w:t>
      </w:r>
    </w:p>
    <w:p w:rsidR="0025470D" w:rsidRDefault="0025470D" w:rsidP="0025470D">
      <w:pPr>
        <w:spacing w:after="64" w:line="259" w:lineRule="auto"/>
        <w:ind w:left="0" w:firstLine="0"/>
        <w:jc w:val="left"/>
      </w:pPr>
      <w:r>
        <w:t xml:space="preserve"> </w:t>
      </w:r>
    </w:p>
    <w:p w:rsidR="0025470D" w:rsidRDefault="0025470D" w:rsidP="0025470D">
      <w:pPr>
        <w:numPr>
          <w:ilvl w:val="0"/>
          <w:numId w:val="51"/>
        </w:numPr>
        <w:ind w:right="82"/>
      </w:pPr>
      <w:r>
        <w:t xml:space="preserve">To enhance police officers’ effectiveness in handling family related incidents, e-learning packages in the name of “Family Harmony Project”, covering domestic violence, child abuse, juvenile crime and elder abuse, </w:t>
      </w:r>
      <w:r>
        <w:lastRenderedPageBreak/>
        <w:t xml:space="preserve">have been provided to police officers since 2009.  In 2013, a training video entitled “The Hidden Truth” was also rolled out to foster frontline officers’ professional sensitivity while handling parties involved in child abuse and domestic violence cases. </w:t>
      </w:r>
    </w:p>
    <w:p w:rsidR="0025470D" w:rsidRDefault="0025470D" w:rsidP="0025470D">
      <w:pPr>
        <w:spacing w:after="0" w:line="259" w:lineRule="auto"/>
        <w:ind w:left="0" w:firstLine="0"/>
        <w:jc w:val="left"/>
      </w:pPr>
      <w:r>
        <w:t xml:space="preserve"> </w:t>
      </w:r>
    </w:p>
    <w:p w:rsidR="0025470D" w:rsidRDefault="0025470D" w:rsidP="0025470D">
      <w:pPr>
        <w:pStyle w:val="Heading5"/>
        <w:ind w:left="-5"/>
      </w:pPr>
      <w:r>
        <w:t>Supportive and specialised services offered to victims of domestic violence</w:t>
      </w:r>
      <w:r>
        <w:rPr>
          <w:u w:color="000000"/>
        </w:rPr>
        <w:t xml:space="preserve"> </w:t>
      </w:r>
    </w:p>
    <w:p w:rsidR="0025470D" w:rsidRDefault="0025470D" w:rsidP="0025470D">
      <w:pPr>
        <w:spacing w:after="105" w:line="259" w:lineRule="auto"/>
        <w:ind w:left="0" w:firstLine="0"/>
        <w:jc w:val="left"/>
      </w:pPr>
      <w:r>
        <w:rPr>
          <w:sz w:val="24"/>
        </w:rPr>
        <w:t xml:space="preserve"> </w:t>
      </w:r>
    </w:p>
    <w:p w:rsidR="0025470D" w:rsidRDefault="0025470D" w:rsidP="0025470D">
      <w:pPr>
        <w:numPr>
          <w:ilvl w:val="0"/>
          <w:numId w:val="52"/>
        </w:numPr>
        <w:ind w:right="82"/>
      </w:pPr>
      <w:r>
        <w:t xml:space="preserve">Since 2006, the Police have adopted a “one family one team” principle by ensuring that the same investigation unit would follow up on cases that involve the same family.  To strengthen the support of and assistance to victims of domestic violence during the investigation and judicial processes, and to enhance communication and cooperation among the Police, the SWD and other NGOs, the Police have implemented the Victim Management Workflow so as to enable the Police to adopt a consistent and coordinated approach in victims handling and to take proactive measures that are commensurate with the level of risk and gravity of individual cases. </w:t>
      </w:r>
    </w:p>
    <w:p w:rsidR="0025470D" w:rsidRDefault="0025470D" w:rsidP="0025470D">
      <w:pPr>
        <w:spacing w:after="105" w:line="259" w:lineRule="auto"/>
        <w:ind w:left="0" w:firstLine="0"/>
        <w:jc w:val="left"/>
      </w:pPr>
      <w:r>
        <w:rPr>
          <w:sz w:val="24"/>
        </w:rPr>
        <w:t xml:space="preserve"> </w:t>
      </w:r>
    </w:p>
    <w:p w:rsidR="0025470D" w:rsidRDefault="0025470D" w:rsidP="0025470D">
      <w:pPr>
        <w:numPr>
          <w:ilvl w:val="0"/>
          <w:numId w:val="52"/>
        </w:numPr>
        <w:ind w:right="82"/>
      </w:pPr>
      <w:r>
        <w:t xml:space="preserve">Acknowledging the complexity of familial dynamics and vulnerability of victimised parties in child abuse and domestic violence cases, the Police maintain regular liaison with the SWD and NGOs to ensure that pertinent police policies are practical and effective in protecting victims and apprehending and prosecuting offenders. </w:t>
      </w:r>
    </w:p>
    <w:p w:rsidR="0025470D" w:rsidRDefault="0025470D" w:rsidP="0025470D">
      <w:pPr>
        <w:spacing w:after="4" w:line="259" w:lineRule="auto"/>
        <w:ind w:left="0" w:firstLine="0"/>
        <w:jc w:val="left"/>
      </w:pPr>
      <w:r>
        <w:rPr>
          <w:b/>
        </w:rPr>
        <w:t xml:space="preserve"> </w:t>
      </w:r>
    </w:p>
    <w:p w:rsidR="0025470D" w:rsidRDefault="0025470D" w:rsidP="0025470D">
      <w:pPr>
        <w:spacing w:after="0" w:line="259" w:lineRule="auto"/>
        <w:ind w:left="0" w:firstLine="0"/>
        <w:jc w:val="left"/>
      </w:pPr>
      <w:r>
        <w:t xml:space="preserve"> </w:t>
      </w:r>
    </w:p>
    <w:p w:rsidR="0025470D" w:rsidRDefault="0025470D" w:rsidP="0025470D">
      <w:pPr>
        <w:sectPr w:rsidR="0025470D">
          <w:headerReference w:type="even" r:id="rId283"/>
          <w:headerReference w:type="default" r:id="rId284"/>
          <w:footerReference w:type="even" r:id="rId285"/>
          <w:footerReference w:type="default" r:id="rId286"/>
          <w:headerReference w:type="first" r:id="rId287"/>
          <w:footerReference w:type="first" r:id="rId288"/>
          <w:pgSz w:w="11906" w:h="16838"/>
          <w:pgMar w:top="1538" w:right="1728" w:bottom="1722" w:left="1800" w:header="720" w:footer="723" w:gutter="0"/>
          <w:pgNumType w:start="1"/>
          <w:cols w:space="720"/>
        </w:sectPr>
      </w:pPr>
    </w:p>
    <w:p w:rsidR="0025470D" w:rsidRDefault="0025470D" w:rsidP="0025470D">
      <w:pPr>
        <w:spacing w:after="427" w:line="259" w:lineRule="auto"/>
        <w:ind w:left="10" w:right="54" w:hanging="10"/>
        <w:jc w:val="right"/>
      </w:pPr>
      <w:r>
        <w:rPr>
          <w:b/>
        </w:rPr>
        <w:lastRenderedPageBreak/>
        <w:t>Annex 24C</w:t>
      </w:r>
    </w:p>
    <w:p w:rsidR="0025470D" w:rsidRDefault="0025470D" w:rsidP="0025470D">
      <w:pPr>
        <w:pStyle w:val="Heading4"/>
        <w:spacing w:after="55"/>
        <w:ind w:left="1716" w:right="1373" w:firstLine="173"/>
      </w:pPr>
      <w:r>
        <w:t xml:space="preserve">Convention on the Rights of the Child and Promotion of the Rights of the Child </w:t>
      </w:r>
    </w:p>
    <w:p w:rsidR="0025470D" w:rsidRDefault="0025470D" w:rsidP="0025470D">
      <w:pPr>
        <w:spacing w:after="9" w:line="259" w:lineRule="auto"/>
        <w:ind w:left="0" w:firstLine="0"/>
        <w:jc w:val="left"/>
      </w:pPr>
      <w:r>
        <w:rPr>
          <w:b/>
        </w:rPr>
        <w:t xml:space="preserve"> </w:t>
      </w:r>
    </w:p>
    <w:p w:rsidR="0025470D" w:rsidRDefault="0025470D" w:rsidP="0025470D">
      <w:pPr>
        <w:spacing w:after="58" w:line="259" w:lineRule="auto"/>
        <w:ind w:left="0" w:firstLine="0"/>
        <w:jc w:val="left"/>
      </w:pPr>
      <w:r>
        <w:rPr>
          <w:b/>
        </w:rPr>
        <w:t xml:space="preserve"> </w:t>
      </w:r>
    </w:p>
    <w:p w:rsidR="0025470D" w:rsidRDefault="0025470D" w:rsidP="0025470D">
      <w:pPr>
        <w:pStyle w:val="Heading5"/>
        <w:ind w:left="-5"/>
      </w:pPr>
      <w:r>
        <w:t>Convention on the Rights of the Child</w:t>
      </w:r>
      <w:r>
        <w:rPr>
          <w:u w:color="000000"/>
        </w:rPr>
        <w:t xml:space="preserve"> </w:t>
      </w:r>
    </w:p>
    <w:p w:rsidR="0025470D" w:rsidRDefault="0025470D" w:rsidP="0025470D">
      <w:pPr>
        <w:spacing w:after="59" w:line="259" w:lineRule="auto"/>
        <w:ind w:left="0" w:firstLine="0"/>
        <w:jc w:val="left"/>
      </w:pPr>
      <w:r>
        <w:rPr>
          <w:b/>
        </w:rPr>
        <w:t xml:space="preserve"> </w:t>
      </w:r>
    </w:p>
    <w:p w:rsidR="0025470D" w:rsidRDefault="0025470D" w:rsidP="0025470D">
      <w:pPr>
        <w:ind w:left="19" w:right="9"/>
      </w:pPr>
      <w:r>
        <w:t xml:space="preserve">1. The Committee on the Rights of the Child issued its Concluding Observations on the second report of the HKSAR, which formed part of China’s third and fourth reports under the CRC.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Promotion of the rights of the child</w:t>
      </w:r>
      <w:r>
        <w:rPr>
          <w:u w:color="000000"/>
        </w:rPr>
        <w:t xml:space="preserve"> </w:t>
      </w:r>
    </w:p>
    <w:p w:rsidR="0025470D" w:rsidRDefault="0025470D" w:rsidP="0025470D">
      <w:pPr>
        <w:spacing w:after="59" w:line="259" w:lineRule="auto"/>
        <w:ind w:left="0" w:firstLine="0"/>
        <w:jc w:val="left"/>
      </w:pPr>
      <w:r>
        <w:rPr>
          <w:b/>
        </w:rPr>
        <w:t xml:space="preserve"> </w:t>
      </w:r>
    </w:p>
    <w:p w:rsidR="0025470D" w:rsidRDefault="0025470D" w:rsidP="0025470D">
      <w:pPr>
        <w:numPr>
          <w:ilvl w:val="0"/>
          <w:numId w:val="53"/>
        </w:numPr>
        <w:ind w:right="5"/>
      </w:pPr>
      <w:r>
        <w:t xml:space="preserve">We have continued our efforts to promote the CRC and respect of children’s rights in schools and the community at large through different means.  We have also taken new initiatives to enhance cooperation with NGOs to promote children’s rights. </w:t>
      </w:r>
    </w:p>
    <w:p w:rsidR="0025470D" w:rsidRDefault="0025470D" w:rsidP="0025470D">
      <w:pPr>
        <w:spacing w:after="64" w:line="259" w:lineRule="auto"/>
        <w:ind w:left="0" w:firstLine="0"/>
        <w:jc w:val="left"/>
      </w:pPr>
      <w:r>
        <w:t xml:space="preserve"> </w:t>
      </w:r>
    </w:p>
    <w:p w:rsidR="0025470D" w:rsidRDefault="0025470D" w:rsidP="0025470D">
      <w:pPr>
        <w:numPr>
          <w:ilvl w:val="0"/>
          <w:numId w:val="53"/>
        </w:numPr>
        <w:ind w:right="5"/>
      </w:pPr>
      <w:r>
        <w:t xml:space="preserve">The Government established the Children’s Rights Education Funding Scheme in 2006 to provide financial support for community organisations to carry out education projects to raise public awareness and understanding of children’s rights.  The Scheme which has a budget of around $1 million accepts open applications for funding on an annual basis.  Since its establishment in 2006, the Scheme has supported over 300 projects (such as the Children’s Council) implemented by non-government bodies, including community organisations, children’s groups, ethnic minority groups, and secondary and primary schools, to enhance different stakeholders’ understanding of children’s rights under the CRC. </w:t>
      </w:r>
    </w:p>
    <w:p w:rsidR="0025470D" w:rsidRDefault="0025470D" w:rsidP="0025470D">
      <w:pPr>
        <w:spacing w:after="64" w:line="259" w:lineRule="auto"/>
        <w:ind w:left="0" w:firstLine="0"/>
        <w:jc w:val="left"/>
      </w:pPr>
      <w:r>
        <w:t xml:space="preserve"> </w:t>
      </w:r>
    </w:p>
    <w:p w:rsidR="0025470D" w:rsidRDefault="0025470D" w:rsidP="0025470D">
      <w:pPr>
        <w:numPr>
          <w:ilvl w:val="0"/>
          <w:numId w:val="53"/>
        </w:numPr>
        <w:ind w:right="5"/>
      </w:pPr>
      <w:r>
        <w:t xml:space="preserve">On publicity and public education, the Government undertook a series of programmes to promote the CRC and understanding of children's rights.  An API to promote respect of children’s rights as enshrined in the CRC was launched in 2013.  The Government has collaborated with RTHK to produce three television programmes in 2013, </w:t>
      </w:r>
      <w:r>
        <w:lastRenderedPageBreak/>
        <w:t xml:space="preserve">2014 and 2015 respectively as well as a school outreach programme with a view to enhancing the public’s understanding of children’s rights.  </w:t>
      </w:r>
    </w:p>
    <w:p w:rsidR="0025470D" w:rsidRDefault="0025470D" w:rsidP="0025470D">
      <w:pPr>
        <w:spacing w:after="657" w:line="259" w:lineRule="auto"/>
        <w:ind w:left="0" w:firstLine="0"/>
        <w:jc w:val="left"/>
      </w:pPr>
      <w:r>
        <w:t xml:space="preserve"> </w:t>
      </w:r>
    </w:p>
    <w:p w:rsidR="0025470D" w:rsidRDefault="0025470D" w:rsidP="0025470D">
      <w:pPr>
        <w:spacing w:after="219" w:line="259" w:lineRule="auto"/>
        <w:ind w:left="10" w:right="8" w:hanging="10"/>
        <w:jc w:val="center"/>
      </w:pPr>
      <w:r>
        <w:rPr>
          <w:sz w:val="24"/>
        </w:rPr>
        <w:t>1</w:t>
      </w:r>
    </w:p>
    <w:p w:rsidR="0025470D" w:rsidRDefault="0025470D" w:rsidP="0025470D">
      <w:pPr>
        <w:numPr>
          <w:ilvl w:val="0"/>
          <w:numId w:val="53"/>
        </w:numPr>
        <w:ind w:right="5"/>
      </w:pPr>
      <w:r>
        <w:t xml:space="preserve">The Children’s Rights Forum provides a platform for the exchange of views among children bodies, children and the Government on pertinent matters.  It encourages members of the public (including children) who take an interest in children’s affairs to propose topics for discussion and participate in the Forum’s discussions.  Since the establishment of the Forum in 2005, 32 meetings have been convened.  These meetings were held after school hours or during weekends.  There were about 30 to 50 participants at each meeting.  Generally speaking, the Secretariat will, in respect of different topics, invite representatives from relevant bureaux and departments to the meetings.  The views of the participants on various topics are relayed to the bureau / departments concerned.  For example, views about free quality kindergarten education and sports development have been conveyed to the EDB and the Leisure and Cultural Services Department respectively. </w:t>
      </w:r>
    </w:p>
    <w:p w:rsidR="0025470D" w:rsidRDefault="0025470D" w:rsidP="0025470D">
      <w:pPr>
        <w:spacing w:after="64" w:line="259" w:lineRule="auto"/>
        <w:ind w:left="0" w:firstLine="0"/>
        <w:jc w:val="left"/>
      </w:pPr>
      <w:r>
        <w:t xml:space="preserve"> </w:t>
      </w:r>
    </w:p>
    <w:p w:rsidR="0025470D" w:rsidRDefault="0025470D" w:rsidP="0025470D">
      <w:pPr>
        <w:numPr>
          <w:ilvl w:val="0"/>
          <w:numId w:val="53"/>
        </w:numPr>
        <w:ind w:right="5"/>
      </w:pPr>
      <w:r>
        <w:t xml:space="preserve">Starting from 2014, the Government has enhanced the cooperation between the Family Council and the Children’s Rights Forum.  The Forum will relay not only to policy bureaux but also to the Family Council the views of children on various government initiatives expressed at the Forum, so as to facilitate the Family Council’s work in assessing the impact of these policies on family.   </w:t>
      </w:r>
    </w:p>
    <w:p w:rsidR="0025470D" w:rsidRDefault="0025470D" w:rsidP="0025470D">
      <w:pPr>
        <w:spacing w:after="64" w:line="259" w:lineRule="auto"/>
        <w:ind w:left="0" w:firstLine="0"/>
        <w:jc w:val="left"/>
      </w:pPr>
      <w:r>
        <w:t xml:space="preserve"> </w:t>
      </w:r>
    </w:p>
    <w:p w:rsidR="0025470D" w:rsidRDefault="0025470D" w:rsidP="0025470D">
      <w:pPr>
        <w:numPr>
          <w:ilvl w:val="0"/>
          <w:numId w:val="53"/>
        </w:numPr>
        <w:ind w:right="5"/>
      </w:pPr>
      <w:r>
        <w:t>As mentioned in paragraph 153, the Government plans to set up a Commission on Children in mid-2018.  In the meantime, we will continue to promote children’s rights through the Children’s Rights Education Funding Scheme and the Children’s Rights Forum.</w:t>
      </w:r>
      <w:r>
        <w:rPr>
          <w:color w:val="0000FF"/>
        </w:rPr>
        <w:t xml:space="preserve"> </w:t>
      </w:r>
    </w:p>
    <w:p w:rsidR="0025470D" w:rsidRDefault="0025470D" w:rsidP="0025470D">
      <w:pPr>
        <w:spacing w:after="4618" w:line="259" w:lineRule="auto"/>
        <w:ind w:left="0" w:firstLine="0"/>
        <w:jc w:val="left"/>
      </w:pPr>
      <w:r>
        <w:t xml:space="preserve"> </w:t>
      </w:r>
    </w:p>
    <w:p w:rsidR="0025470D" w:rsidRDefault="0025470D" w:rsidP="0025470D">
      <w:pPr>
        <w:spacing w:after="219" w:line="259" w:lineRule="auto"/>
        <w:ind w:left="10" w:right="8" w:hanging="10"/>
        <w:jc w:val="center"/>
      </w:pPr>
      <w:r>
        <w:rPr>
          <w:sz w:val="24"/>
        </w:rPr>
        <w:lastRenderedPageBreak/>
        <w:t>2</w:t>
      </w:r>
    </w:p>
    <w:p w:rsidR="0025470D" w:rsidRDefault="0025470D" w:rsidP="0025470D">
      <w:pPr>
        <w:spacing w:after="427" w:line="259" w:lineRule="auto"/>
        <w:ind w:left="10" w:right="54" w:hanging="10"/>
        <w:jc w:val="right"/>
      </w:pPr>
      <w:r>
        <w:rPr>
          <w:b/>
        </w:rPr>
        <w:t>Annex 24D</w:t>
      </w:r>
    </w:p>
    <w:p w:rsidR="0025470D" w:rsidRDefault="0025470D" w:rsidP="0025470D">
      <w:pPr>
        <w:pStyle w:val="Heading4"/>
        <w:spacing w:after="6" w:line="259" w:lineRule="auto"/>
        <w:ind w:left="180" w:right="178"/>
        <w:jc w:val="center"/>
      </w:pPr>
      <w:r>
        <w:t xml:space="preserve">Sexual offences records check </w:t>
      </w:r>
    </w:p>
    <w:p w:rsidR="0025470D" w:rsidRDefault="0025470D" w:rsidP="0025470D">
      <w:pPr>
        <w:spacing w:after="59" w:line="259" w:lineRule="auto"/>
        <w:ind w:left="0" w:firstLine="0"/>
        <w:jc w:val="left"/>
      </w:pPr>
      <w:r>
        <w:rPr>
          <w:b/>
        </w:rPr>
        <w:t xml:space="preserve"> </w:t>
      </w:r>
    </w:p>
    <w:p w:rsidR="0025470D" w:rsidRDefault="0025470D" w:rsidP="0025470D">
      <w:pPr>
        <w:numPr>
          <w:ilvl w:val="0"/>
          <w:numId w:val="54"/>
        </w:numPr>
        <w:ind w:right="7"/>
      </w:pPr>
      <w:r>
        <w:t xml:space="preserve">The Sexual Conviction Record Check Scheme provides employers with a reliable channel whereby they may, when engaging persons for posts undertaking work relating to children or mentally incapacitated persons (MIPs), ascertain whether such prospective employees have any conviction records against a specified list of sexual offences.  This minimises the risk of sexual abuse to children or MIPs and affords better protection to them. </w:t>
      </w:r>
    </w:p>
    <w:p w:rsidR="0025470D" w:rsidRDefault="0025470D" w:rsidP="0025470D">
      <w:pPr>
        <w:spacing w:after="64" w:line="259" w:lineRule="auto"/>
        <w:ind w:left="0" w:firstLine="0"/>
        <w:jc w:val="left"/>
      </w:pPr>
      <w:r>
        <w:t xml:space="preserve"> </w:t>
      </w:r>
    </w:p>
    <w:p w:rsidR="0025470D" w:rsidRDefault="0025470D" w:rsidP="0025470D">
      <w:pPr>
        <w:numPr>
          <w:ilvl w:val="0"/>
          <w:numId w:val="54"/>
        </w:numPr>
        <w:spacing w:after="5322"/>
        <w:ind w:right="7"/>
      </w:pPr>
      <w:r>
        <w:t xml:space="preserve">Over the past few years, the Government has progressively expanded the scope of the Scheme and modified the relevant administrative measures.  Currently, the scope of the Scheme covers prospective employees and contract renewal staff seeking child- or MIP-related work in an organisation or enterprise (e.g. schools, residential care homes for persons with disabilities, private tutorial centres and private interest/activity institutions including swimming clubs, ball games clubs, music centres, etc.) and staff assigned by outsourced service providers to work in other organisations or enterprises providing services mainly for children or MIPs.  While ensuring adequate processing capacity and operating experience of the Scheme, the Government will keep in view the effectiveness of the Scheme, and review or enhance the Scheme in a timely manner. </w:t>
      </w:r>
    </w:p>
    <w:p w:rsidR="0025470D" w:rsidRDefault="0025470D" w:rsidP="0025470D">
      <w:pPr>
        <w:spacing w:after="219" w:line="259" w:lineRule="auto"/>
        <w:ind w:left="10" w:right="8" w:hanging="10"/>
        <w:jc w:val="center"/>
      </w:pPr>
      <w:r>
        <w:rPr>
          <w:sz w:val="24"/>
        </w:rPr>
        <w:lastRenderedPageBreak/>
        <w:t>1</w:t>
      </w:r>
    </w:p>
    <w:p w:rsidR="0025470D" w:rsidRDefault="0025470D" w:rsidP="0025470D">
      <w:pPr>
        <w:sectPr w:rsidR="0025470D">
          <w:headerReference w:type="even" r:id="rId289"/>
          <w:headerReference w:type="default" r:id="rId290"/>
          <w:footerReference w:type="even" r:id="rId291"/>
          <w:footerReference w:type="default" r:id="rId292"/>
          <w:headerReference w:type="first" r:id="rId293"/>
          <w:footerReference w:type="first" r:id="rId294"/>
          <w:pgSz w:w="11906" w:h="16838"/>
          <w:pgMar w:top="1538" w:right="1793" w:bottom="723"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295"/>
          <w:headerReference w:type="default" r:id="rId296"/>
          <w:footerReference w:type="even" r:id="rId297"/>
          <w:footerReference w:type="default" r:id="rId298"/>
          <w:headerReference w:type="first" r:id="rId299"/>
          <w:footerReference w:type="first" r:id="rId300"/>
          <w:pgSz w:w="11906" w:h="16838"/>
          <w:pgMar w:top="1440" w:right="1440" w:bottom="1440" w:left="1440" w:header="720" w:footer="5" w:gutter="0"/>
          <w:cols w:space="720"/>
        </w:sectPr>
      </w:pPr>
    </w:p>
    <w:p w:rsidR="0025470D" w:rsidRDefault="0025470D" w:rsidP="0025470D">
      <w:pPr>
        <w:spacing w:after="427" w:line="259" w:lineRule="auto"/>
        <w:ind w:left="10" w:right="54" w:hanging="10"/>
        <w:jc w:val="right"/>
      </w:pPr>
      <w:r>
        <w:rPr>
          <w:b/>
        </w:rPr>
        <w:lastRenderedPageBreak/>
        <w:t>Annex 25A</w:t>
      </w:r>
    </w:p>
    <w:p w:rsidR="0025470D" w:rsidRDefault="0025470D" w:rsidP="0025470D">
      <w:pPr>
        <w:pStyle w:val="Heading4"/>
        <w:spacing w:after="6" w:line="259" w:lineRule="auto"/>
        <w:ind w:left="180" w:right="244"/>
        <w:jc w:val="center"/>
      </w:pPr>
      <w:r>
        <w:t xml:space="preserve">Chief Executive elections, Legislative Council elections,  District Council elections and Rural elections </w:t>
      </w:r>
    </w:p>
    <w:p w:rsidR="0025470D" w:rsidRDefault="0025470D" w:rsidP="0025470D">
      <w:pPr>
        <w:spacing w:after="58" w:line="259" w:lineRule="auto"/>
        <w:ind w:left="0" w:firstLine="0"/>
        <w:jc w:val="left"/>
      </w:pPr>
      <w:r>
        <w:rPr>
          <w:b/>
        </w:rPr>
        <w:t xml:space="preserve"> </w:t>
      </w:r>
    </w:p>
    <w:p w:rsidR="0025470D" w:rsidRDefault="0025470D" w:rsidP="0025470D">
      <w:pPr>
        <w:pStyle w:val="Heading5"/>
        <w:ind w:left="-5"/>
      </w:pPr>
      <w:r>
        <w:t>Chief Executive elections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55"/>
        </w:numPr>
        <w:spacing w:after="50"/>
        <w:ind w:right="82" w:hanging="1440"/>
      </w:pPr>
      <w:r>
        <w:t xml:space="preserve">The Basic Law provides that the CE shall be elected by a broadly representative EC </w:t>
      </w:r>
      <w:r>
        <w:rPr>
          <w:vertAlign w:val="superscript"/>
        </w:rPr>
        <w:t>1</w:t>
      </w:r>
      <w:r>
        <w:t xml:space="preserve">  in accordance with the Basic Law and appointed by the Central People’s Government. </w:t>
      </w:r>
    </w:p>
    <w:p w:rsidR="0025470D" w:rsidRDefault="0025470D" w:rsidP="0025470D">
      <w:pPr>
        <w:spacing w:after="64" w:line="259" w:lineRule="auto"/>
        <w:ind w:left="0" w:firstLine="0"/>
        <w:jc w:val="left"/>
      </w:pPr>
      <w:r>
        <w:t xml:space="preserve"> </w:t>
      </w:r>
    </w:p>
    <w:p w:rsidR="0025470D" w:rsidRDefault="0025470D" w:rsidP="0025470D">
      <w:pPr>
        <w:numPr>
          <w:ilvl w:val="0"/>
          <w:numId w:val="55"/>
        </w:numPr>
        <w:ind w:right="82" w:hanging="1440"/>
      </w:pPr>
      <w:r>
        <w:t xml:space="preserve">Since the submission of the previous report, two CE elections were held in 2012 and 2017 respectively.  The elections were conducted and supervised by the Electoral Affairs Commission, an independent statutory body chaired by a High Court judge so as to ensure that the elections were held in a fair, open and honest manner in accordance with the law. </w:t>
      </w:r>
    </w:p>
    <w:p w:rsidR="0025470D" w:rsidRDefault="0025470D" w:rsidP="0025470D">
      <w:pPr>
        <w:spacing w:after="64" w:line="259" w:lineRule="auto"/>
        <w:ind w:left="0" w:firstLine="0"/>
        <w:jc w:val="left"/>
      </w:pPr>
      <w:r>
        <w:t xml:space="preserve"> </w:t>
      </w:r>
    </w:p>
    <w:p w:rsidR="0025470D" w:rsidRDefault="0025470D" w:rsidP="0025470D">
      <w:pPr>
        <w:numPr>
          <w:ilvl w:val="0"/>
          <w:numId w:val="55"/>
        </w:numPr>
        <w:ind w:right="82" w:hanging="1440"/>
      </w:pPr>
      <w:r>
        <w:t xml:space="preserve">The 2012 CE Election was held to elect the fourth-term CE.  </w:t>
      </w:r>
    </w:p>
    <w:p w:rsidR="0025470D" w:rsidRDefault="0025470D" w:rsidP="0025470D">
      <w:pPr>
        <w:ind w:left="19" w:right="82"/>
      </w:pPr>
      <w:r>
        <w:t xml:space="preserve">A new-term EC was constituted in February 2012 for the election.  As the Government’s constitutional reform package was endorsed by the LegCo with a two-thirds majority of all Members, received the consent of the CE and approved by the NPCSC, the number of members in the EC increased from 800 to 1 200.  A total of three candidates were validly nominated at the close of the nomination period for the election.  The election by the EC was held on 25 March 2012.  Mr Leung Chun-ying who received more than half of the total number of valid votes cast was declared as returned at the election.  On 28 March 2012, in accordance with the provisions of the Basic Law and the outcome of the election by the EC, the State Council of the PRC appointed Mr Leung as the fourth-term CE and his term of office was from 1 July 2012 to 30 June 2017. </w:t>
      </w:r>
    </w:p>
    <w:p w:rsidR="0025470D" w:rsidRDefault="0025470D" w:rsidP="0025470D">
      <w:pPr>
        <w:spacing w:after="318" w:line="259" w:lineRule="auto"/>
        <w:ind w:left="0" w:firstLine="0"/>
        <w:jc w:val="left"/>
      </w:pPr>
      <w:r>
        <w:t xml:space="preserve"> </w:t>
      </w:r>
    </w:p>
    <w:p w:rsidR="0025470D" w:rsidRDefault="0025470D" w:rsidP="0025470D">
      <w:pPr>
        <w:spacing w:after="0" w:line="259" w:lineRule="auto"/>
        <w:ind w:left="0" w:firstLine="0"/>
        <w:jc w:val="left"/>
      </w:pPr>
      <w:r>
        <w:rPr>
          <w:rFonts w:ascii="Calibri" w:eastAsia="Calibri" w:hAnsi="Calibri" w:cs="Calibri"/>
          <w:strike/>
          <w:sz w:val="24"/>
        </w:rPr>
        <w:t xml:space="preserve">                                                    </w:t>
      </w:r>
      <w:r>
        <w:rPr>
          <w:rFonts w:ascii="Calibri" w:eastAsia="Calibri" w:hAnsi="Calibri" w:cs="Calibri"/>
          <w:sz w:val="24"/>
        </w:rPr>
        <w:t xml:space="preserve"> </w:t>
      </w:r>
    </w:p>
    <w:p w:rsidR="0025470D" w:rsidRDefault="0025470D" w:rsidP="0025470D">
      <w:pPr>
        <w:spacing w:after="44" w:line="248" w:lineRule="auto"/>
        <w:ind w:left="339" w:right="60" w:hanging="339"/>
      </w:pPr>
      <w:r>
        <w:rPr>
          <w:sz w:val="22"/>
          <w:vertAlign w:val="superscript"/>
        </w:rPr>
        <w:t>1</w:t>
      </w:r>
      <w:r>
        <w:rPr>
          <w:sz w:val="22"/>
        </w:rPr>
        <w:t xml:space="preserve"> The EC is currently composed of 1 200 members from four sectors (which are in turn composed of 38 subsectors), comprising: </w:t>
      </w:r>
    </w:p>
    <w:p w:rsidR="0025470D" w:rsidRDefault="0025470D" w:rsidP="0025470D">
      <w:pPr>
        <w:numPr>
          <w:ilvl w:val="0"/>
          <w:numId w:val="56"/>
        </w:numPr>
        <w:spacing w:after="0" w:line="248" w:lineRule="auto"/>
        <w:ind w:right="60" w:hanging="329"/>
      </w:pPr>
      <w:r>
        <w:rPr>
          <w:sz w:val="22"/>
        </w:rPr>
        <w:t xml:space="preserve">1 034 members from 35 subsectors who are returned through elections; </w:t>
      </w:r>
    </w:p>
    <w:p w:rsidR="0025470D" w:rsidRDefault="0025470D" w:rsidP="0025470D">
      <w:pPr>
        <w:numPr>
          <w:ilvl w:val="0"/>
          <w:numId w:val="56"/>
        </w:numPr>
        <w:spacing w:after="0" w:line="248" w:lineRule="auto"/>
        <w:ind w:right="60" w:hanging="329"/>
      </w:pPr>
      <w:r>
        <w:rPr>
          <w:sz w:val="22"/>
        </w:rPr>
        <w:lastRenderedPageBreak/>
        <w:t xml:space="preserve">106 ex officio members who are Hong Kong deputies to the National People’s Congress (NPC) and Members of the LegCo under the NPC subsector and the LegCo subsector respectively; and </w:t>
      </w:r>
    </w:p>
    <w:p w:rsidR="0025470D" w:rsidRDefault="0025470D" w:rsidP="0025470D">
      <w:pPr>
        <w:numPr>
          <w:ilvl w:val="0"/>
          <w:numId w:val="56"/>
        </w:numPr>
        <w:spacing w:after="0" w:line="259" w:lineRule="auto"/>
        <w:ind w:right="60" w:hanging="329"/>
      </w:pPr>
      <w:r>
        <w:rPr>
          <w:sz w:val="22"/>
        </w:rPr>
        <w:t xml:space="preserve">60 members under the religious subsector who are nominated by six designated bodies. </w:t>
      </w:r>
    </w:p>
    <w:p w:rsidR="0025470D" w:rsidRDefault="0025470D" w:rsidP="0025470D">
      <w:pPr>
        <w:ind w:left="19"/>
      </w:pPr>
      <w:r>
        <w:t xml:space="preserve">4. The 2017 CE Election was held to elect the fifth-term CE.  A new-term EC was constituted in February 2017 for the election.  A total of three candidates were validly nominated at the close of the nomination period for the election.  The election by the EC was held on 26 March 2017.  Mrs Carrie Lam Cheng Yuet-ngor, who received more than half of the total number of valid votes cast, was declared as returned at the election.  On 31 March 2017, in accordance with the provisions of the Basic Law and the outcome of the election by the EC, the State Council of the PRC appointed Mrs Lam as the fifth-term CE, with her term of office from 1 July 2017 to 30 June 2022.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Legislative Council elections</w:t>
      </w:r>
      <w:r>
        <w:rPr>
          <w:u w:color="000000"/>
        </w:rPr>
        <w:t xml:space="preserve"> </w:t>
      </w:r>
    </w:p>
    <w:p w:rsidR="0025470D" w:rsidRDefault="0025470D" w:rsidP="0025470D">
      <w:pPr>
        <w:spacing w:after="63" w:line="259" w:lineRule="auto"/>
        <w:ind w:left="0" w:firstLine="0"/>
        <w:jc w:val="left"/>
      </w:pPr>
      <w:r>
        <w:t xml:space="preserve"> </w:t>
      </w:r>
    </w:p>
    <w:p w:rsidR="0025470D" w:rsidRDefault="0025470D" w:rsidP="0025470D">
      <w:pPr>
        <w:spacing w:after="4" w:line="266" w:lineRule="auto"/>
        <w:ind w:left="-5" w:right="77" w:hanging="10"/>
      </w:pPr>
      <w:r>
        <w:rPr>
          <w:i/>
        </w:rPr>
        <w:t xml:space="preserve">The 2012 and 2016 LegCo Elections </w:t>
      </w:r>
    </w:p>
    <w:p w:rsidR="0025470D" w:rsidRDefault="0025470D" w:rsidP="0025470D">
      <w:pPr>
        <w:spacing w:after="64" w:line="259" w:lineRule="auto"/>
        <w:ind w:left="0" w:firstLine="0"/>
        <w:jc w:val="left"/>
      </w:pPr>
      <w:r>
        <w:t xml:space="preserve"> </w:t>
      </w:r>
    </w:p>
    <w:p w:rsidR="0025470D" w:rsidRDefault="0025470D" w:rsidP="0025470D">
      <w:pPr>
        <w:numPr>
          <w:ilvl w:val="0"/>
          <w:numId w:val="57"/>
        </w:numPr>
        <w:ind w:right="82"/>
      </w:pPr>
      <w:r>
        <w:t>The fifth and sixth term LegCo comprised 70 members who were returned by elections on 9 September 2012 and 4 September 2016 respectively.  The elections were conducted under the supervision of the Electoral Affairs Commission and in accordance with the relevant provisions of the Basic Law, the relevant electoral legislation</w:t>
      </w:r>
      <w:r>
        <w:rPr>
          <w:vertAlign w:val="superscript"/>
        </w:rPr>
        <w:footnoteReference w:id="9"/>
      </w:r>
      <w:r>
        <w:t xml:space="preserve">, and their subsidiary legislation.  The powers and functions of the LegCo are explained in paragraph 20 of the HKSAR Common Core Document. </w:t>
      </w:r>
    </w:p>
    <w:p w:rsidR="0025470D" w:rsidRDefault="0025470D" w:rsidP="0025470D">
      <w:pPr>
        <w:spacing w:after="59" w:line="259" w:lineRule="auto"/>
        <w:ind w:left="0" w:firstLine="0"/>
        <w:jc w:val="left"/>
      </w:pPr>
      <w:r>
        <w:rPr>
          <w:b/>
        </w:rPr>
        <w:t xml:space="preserve"> </w:t>
      </w:r>
    </w:p>
    <w:p w:rsidR="0025470D" w:rsidRDefault="0025470D" w:rsidP="0025470D">
      <w:pPr>
        <w:numPr>
          <w:ilvl w:val="0"/>
          <w:numId w:val="57"/>
        </w:numPr>
        <w:spacing w:after="40"/>
        <w:ind w:right="82"/>
      </w:pPr>
      <w:r>
        <w:t xml:space="preserve">Members of the HKSAR’s fifth and sixth term LegCo were returned as follows –  </w:t>
      </w:r>
    </w:p>
    <w:p w:rsidR="0025470D" w:rsidRDefault="0025470D" w:rsidP="0025470D">
      <w:pPr>
        <w:spacing w:after="13" w:line="259" w:lineRule="auto"/>
        <w:ind w:left="0" w:firstLine="0"/>
        <w:jc w:val="left"/>
      </w:pPr>
      <w:r>
        <w:t xml:space="preserve"> </w:t>
      </w:r>
    </w:p>
    <w:p w:rsidR="0025470D" w:rsidRDefault="0025470D" w:rsidP="0025470D">
      <w:pPr>
        <w:numPr>
          <w:ilvl w:val="1"/>
          <w:numId w:val="57"/>
        </w:numPr>
        <w:ind w:right="82" w:hanging="720"/>
      </w:pPr>
      <w:r>
        <w:rPr>
          <w:b/>
        </w:rPr>
        <w:t xml:space="preserve">geographical constituencies: </w:t>
      </w:r>
      <w:r>
        <w:t xml:space="preserve">35 members were returned by direct elections based on universal suffrage, through the list voting system, which is a form of proportional representation system.  All permanent residents of the HKSAR who had reached the age of 18 or above were </w:t>
      </w:r>
      <w:r>
        <w:lastRenderedPageBreak/>
        <w:t xml:space="preserve">eligible to be registered as an elector.  The number of registered electors and the turnout rate of the two elections are summarised as follows –  </w:t>
      </w:r>
    </w:p>
    <w:p w:rsidR="0025470D" w:rsidRDefault="0025470D" w:rsidP="0025470D">
      <w:pPr>
        <w:spacing w:after="9" w:line="259" w:lineRule="auto"/>
        <w:ind w:left="0" w:firstLine="0"/>
        <w:jc w:val="left"/>
      </w:pPr>
      <w:r>
        <w:t xml:space="preserve"> </w:t>
      </w:r>
    </w:p>
    <w:p w:rsidR="0025470D" w:rsidRDefault="0025470D" w:rsidP="0025470D">
      <w:pPr>
        <w:spacing w:after="0" w:line="259" w:lineRule="auto"/>
        <w:ind w:left="0" w:firstLine="0"/>
        <w:jc w:val="left"/>
      </w:pPr>
      <w:r>
        <w:t xml:space="preserve"> </w:t>
      </w:r>
    </w:p>
    <w:tbl>
      <w:tblPr>
        <w:tblStyle w:val="TableGrid0"/>
        <w:tblW w:w="6750" w:type="dxa"/>
        <w:tblInd w:w="1553" w:type="dxa"/>
        <w:tblCellMar>
          <w:top w:w="47" w:type="dxa"/>
          <w:left w:w="108" w:type="dxa"/>
          <w:bottom w:w="6" w:type="dxa"/>
          <w:right w:w="115" w:type="dxa"/>
        </w:tblCellMar>
        <w:tblLook w:val="04A0" w:firstRow="1" w:lastRow="0" w:firstColumn="1" w:lastColumn="0" w:noHBand="0" w:noVBand="1"/>
      </w:tblPr>
      <w:tblGrid>
        <w:gridCol w:w="2710"/>
        <w:gridCol w:w="2105"/>
        <w:gridCol w:w="1935"/>
      </w:tblGrid>
      <w:tr w:rsidR="0025470D" w:rsidTr="00463700">
        <w:trPr>
          <w:trHeight w:val="730"/>
        </w:trPr>
        <w:tc>
          <w:tcPr>
            <w:tcW w:w="2710"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firstLine="0"/>
              <w:jc w:val="left"/>
            </w:pPr>
            <w:r>
              <w:rPr>
                <w:rFonts w:ascii="Times New Roman" w:hAnsi="Times New Roman" w:cs="Times New Roman"/>
                <w:b/>
              </w:rPr>
              <w:t xml:space="preserve"> </w:t>
            </w:r>
          </w:p>
        </w:tc>
        <w:tc>
          <w:tcPr>
            <w:tcW w:w="2105" w:type="dxa"/>
            <w:tcBorders>
              <w:top w:val="single" w:sz="4" w:space="0" w:color="000000"/>
              <w:left w:val="single" w:sz="4" w:space="0" w:color="000000"/>
              <w:bottom w:val="single" w:sz="4" w:space="0" w:color="000000"/>
              <w:right w:val="single" w:sz="4" w:space="0" w:color="000000"/>
            </w:tcBorders>
            <w:vAlign w:val="bottom"/>
          </w:tcPr>
          <w:p w:rsidR="0025470D" w:rsidRDefault="0025470D" w:rsidP="00463700">
            <w:pPr>
              <w:spacing w:after="0" w:line="259" w:lineRule="auto"/>
              <w:ind w:left="0" w:firstLine="0"/>
              <w:jc w:val="center"/>
            </w:pPr>
            <w:r>
              <w:rPr>
                <w:rFonts w:ascii="Times New Roman" w:hAnsi="Times New Roman" w:cs="Times New Roman"/>
                <w:b/>
              </w:rPr>
              <w:t xml:space="preserve">2012 LegCo Election </w:t>
            </w:r>
          </w:p>
        </w:tc>
        <w:tc>
          <w:tcPr>
            <w:tcW w:w="1935" w:type="dxa"/>
            <w:tcBorders>
              <w:top w:val="single" w:sz="4" w:space="0" w:color="000000"/>
              <w:left w:val="single" w:sz="4" w:space="0" w:color="000000"/>
              <w:bottom w:val="single" w:sz="4" w:space="0" w:color="000000"/>
              <w:right w:val="single" w:sz="4" w:space="0" w:color="000000"/>
            </w:tcBorders>
            <w:vAlign w:val="bottom"/>
          </w:tcPr>
          <w:p w:rsidR="0025470D" w:rsidRDefault="0025470D" w:rsidP="00463700">
            <w:pPr>
              <w:spacing w:after="0" w:line="259" w:lineRule="auto"/>
              <w:ind w:left="0" w:firstLine="0"/>
              <w:jc w:val="center"/>
            </w:pPr>
            <w:r>
              <w:rPr>
                <w:rFonts w:ascii="Times New Roman" w:hAnsi="Times New Roman" w:cs="Times New Roman"/>
                <w:b/>
              </w:rPr>
              <w:t xml:space="preserve">2016 LegCo Election </w:t>
            </w:r>
          </w:p>
        </w:tc>
      </w:tr>
      <w:tr w:rsidR="0025470D" w:rsidTr="00463700">
        <w:trPr>
          <w:trHeight w:val="370"/>
        </w:trPr>
        <w:tc>
          <w:tcPr>
            <w:tcW w:w="2710"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firstLine="0"/>
              <w:jc w:val="left"/>
            </w:pPr>
            <w:r>
              <w:t xml:space="preserve">Registered Electors </w:t>
            </w:r>
          </w:p>
        </w:tc>
        <w:tc>
          <w:tcPr>
            <w:tcW w:w="2105"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5" w:firstLine="0"/>
              <w:jc w:val="center"/>
            </w:pPr>
            <w:r>
              <w:t xml:space="preserve">3.47 million </w:t>
            </w:r>
          </w:p>
        </w:tc>
        <w:tc>
          <w:tcPr>
            <w:tcW w:w="1935"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7" w:firstLine="0"/>
              <w:jc w:val="center"/>
            </w:pPr>
            <w:r>
              <w:t xml:space="preserve">3.78 million </w:t>
            </w:r>
          </w:p>
        </w:tc>
      </w:tr>
      <w:tr w:rsidR="0025470D" w:rsidTr="00463700">
        <w:trPr>
          <w:trHeight w:val="372"/>
        </w:trPr>
        <w:tc>
          <w:tcPr>
            <w:tcW w:w="2710"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firstLine="0"/>
              <w:jc w:val="left"/>
            </w:pPr>
            <w:r>
              <w:t xml:space="preserve">Voter Turnout </w:t>
            </w:r>
          </w:p>
        </w:tc>
        <w:tc>
          <w:tcPr>
            <w:tcW w:w="2105"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5" w:firstLine="0"/>
              <w:jc w:val="center"/>
            </w:pPr>
            <w:r>
              <w:t xml:space="preserve">1.84 million </w:t>
            </w:r>
          </w:p>
        </w:tc>
        <w:tc>
          <w:tcPr>
            <w:tcW w:w="1935"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8" w:firstLine="0"/>
              <w:jc w:val="center"/>
            </w:pPr>
            <w:r>
              <w:t xml:space="preserve">2.20 million </w:t>
            </w:r>
          </w:p>
        </w:tc>
      </w:tr>
      <w:tr w:rsidR="0025470D" w:rsidTr="00463700">
        <w:trPr>
          <w:trHeight w:val="370"/>
        </w:trPr>
        <w:tc>
          <w:tcPr>
            <w:tcW w:w="2710"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0" w:firstLine="0"/>
              <w:jc w:val="left"/>
            </w:pPr>
            <w:r>
              <w:t xml:space="preserve"> </w:t>
            </w:r>
          </w:p>
        </w:tc>
        <w:tc>
          <w:tcPr>
            <w:tcW w:w="2105"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9" w:firstLine="0"/>
              <w:jc w:val="center"/>
            </w:pPr>
            <w:r>
              <w:t xml:space="preserve">(53.1%) </w:t>
            </w:r>
          </w:p>
        </w:tc>
        <w:tc>
          <w:tcPr>
            <w:tcW w:w="1935" w:type="dxa"/>
            <w:tcBorders>
              <w:top w:val="single" w:sz="4" w:space="0" w:color="000000"/>
              <w:left w:val="single" w:sz="4" w:space="0" w:color="000000"/>
              <w:bottom w:val="single" w:sz="4" w:space="0" w:color="000000"/>
              <w:right w:val="single" w:sz="4" w:space="0" w:color="000000"/>
            </w:tcBorders>
          </w:tcPr>
          <w:p w:rsidR="0025470D" w:rsidRDefault="0025470D" w:rsidP="00463700">
            <w:pPr>
              <w:spacing w:after="0" w:line="259" w:lineRule="auto"/>
              <w:ind w:left="6" w:firstLine="0"/>
              <w:jc w:val="center"/>
            </w:pPr>
            <w:r>
              <w:t xml:space="preserve">(58.3%) </w:t>
            </w:r>
          </w:p>
        </w:tc>
      </w:tr>
    </w:tbl>
    <w:p w:rsidR="0025470D" w:rsidRDefault="0025470D" w:rsidP="0025470D">
      <w:pPr>
        <w:spacing w:after="13" w:line="259" w:lineRule="auto"/>
        <w:ind w:left="0" w:firstLine="0"/>
        <w:jc w:val="left"/>
      </w:pPr>
      <w:r>
        <w:t xml:space="preserve"> </w:t>
      </w:r>
    </w:p>
    <w:p w:rsidR="0025470D" w:rsidRDefault="0025470D" w:rsidP="0025470D">
      <w:pPr>
        <w:numPr>
          <w:ilvl w:val="1"/>
          <w:numId w:val="57"/>
        </w:numPr>
        <w:ind w:right="82" w:hanging="720"/>
      </w:pPr>
      <w:r>
        <w:rPr>
          <w:b/>
        </w:rPr>
        <w:t xml:space="preserve">functional constituencies: </w:t>
      </w:r>
      <w:r>
        <w:t xml:space="preserve">35 members were returned.  As explained in paragraphs 459(b) and 461(b) of Part II of the initial report, these constituencies represent economic, social, and professional sectors that are substantial and important to Hong Kong.  Since the 2012 LegCo Election, the new DC (second) functional constituency has been introduced.  Eligible electors of this constituency include persons who are registered as electors for the geographical constituencies but are not registered as electors for any other functional constituency. </w:t>
      </w:r>
    </w:p>
    <w:p w:rsidR="0025470D" w:rsidRDefault="0025470D" w:rsidP="0025470D">
      <w:pPr>
        <w:spacing w:after="63" w:line="259" w:lineRule="auto"/>
        <w:ind w:left="0" w:firstLine="0"/>
        <w:jc w:val="left"/>
      </w:pPr>
      <w:r>
        <w:t xml:space="preserve"> </w:t>
      </w:r>
    </w:p>
    <w:p w:rsidR="0025470D" w:rsidRDefault="0025470D" w:rsidP="0025470D">
      <w:pPr>
        <w:spacing w:after="4" w:line="266" w:lineRule="auto"/>
        <w:ind w:left="-5" w:right="77" w:hanging="10"/>
      </w:pPr>
      <w:r>
        <w:rPr>
          <w:i/>
        </w:rPr>
        <w:t xml:space="preserve">Upcoming LegCo By-election </w:t>
      </w:r>
    </w:p>
    <w:p w:rsidR="0025470D" w:rsidRDefault="0025470D" w:rsidP="0025470D">
      <w:pPr>
        <w:spacing w:after="64" w:line="259" w:lineRule="auto"/>
        <w:ind w:left="0" w:firstLine="0"/>
        <w:jc w:val="left"/>
      </w:pPr>
      <w:r>
        <w:t xml:space="preserve"> </w:t>
      </w:r>
    </w:p>
    <w:p w:rsidR="0025470D" w:rsidRDefault="0025470D" w:rsidP="0025470D">
      <w:pPr>
        <w:numPr>
          <w:ilvl w:val="0"/>
          <w:numId w:val="57"/>
        </w:numPr>
        <w:ind w:right="82"/>
      </w:pPr>
      <w:r>
        <w:t xml:space="preserve">The Court of First Instance respectively declared in November 2016 and July 2017 that the oaths purportedly taken by six </w:t>
      </w:r>
    </w:p>
    <w:p w:rsidR="0025470D" w:rsidRDefault="0025470D" w:rsidP="0025470D">
      <w:pPr>
        <w:ind w:left="19" w:right="82"/>
      </w:pPr>
      <w:r>
        <w:t xml:space="preserve">LegCo Members-elect at the first meeting of the sixth term LegCo in October 2016 contravened the Basic Law as well as the ODO, and were therefore invalid and void and had no legal effect.  As a result, they were disqualified from assuming their offices and had vacated the same since the date of the first LegCo meeting in October 2016.  The legal proceedings of four cases have been concluded whilst those for the remaining two are still on-going.  The Electoral Affairs Commission has made arrangement for a LegCo by-election to be held on 11 March 2018 to fill the four vacancies.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District Council elections</w:t>
      </w:r>
      <w:r>
        <w:rPr>
          <w:u w:color="000000"/>
        </w:rPr>
        <w:t xml:space="preserve"> </w:t>
      </w:r>
    </w:p>
    <w:p w:rsidR="0025470D" w:rsidRDefault="0025470D" w:rsidP="0025470D">
      <w:pPr>
        <w:spacing w:after="63" w:line="259" w:lineRule="auto"/>
        <w:ind w:left="0" w:firstLine="0"/>
        <w:jc w:val="left"/>
      </w:pPr>
      <w:r>
        <w:lastRenderedPageBreak/>
        <w:t xml:space="preserve"> </w:t>
      </w:r>
    </w:p>
    <w:p w:rsidR="0025470D" w:rsidRDefault="0025470D" w:rsidP="0025470D">
      <w:pPr>
        <w:spacing w:after="4" w:line="266" w:lineRule="auto"/>
        <w:ind w:left="-5" w:right="77" w:hanging="10"/>
      </w:pPr>
      <w:r>
        <w:rPr>
          <w:i/>
        </w:rPr>
        <w:t xml:space="preserve">Abolition of appointed seats in the DCs </w:t>
      </w:r>
    </w:p>
    <w:p w:rsidR="0025470D" w:rsidRDefault="0025470D" w:rsidP="0025470D">
      <w:pPr>
        <w:spacing w:after="9" w:line="259" w:lineRule="auto"/>
        <w:ind w:left="0" w:firstLine="0"/>
        <w:jc w:val="left"/>
      </w:pPr>
      <w:r>
        <w:t xml:space="preserve"> </w:t>
      </w:r>
    </w:p>
    <w:p w:rsidR="0025470D" w:rsidRDefault="0025470D" w:rsidP="0025470D">
      <w:pPr>
        <w:numPr>
          <w:ilvl w:val="0"/>
          <w:numId w:val="58"/>
        </w:numPr>
        <w:ind w:right="82"/>
      </w:pPr>
      <w:r>
        <w:t xml:space="preserve">The 18 DCs of the HKSAR comprised elected members, appointed members and ex officio members when they came into being on 1 January 2000.  With the constitutional development in Hong Kong and having regard to the views of the society, the Government announced in September 2011 that the appointed seats of the DCs be abolished in phases.  The number of appointed seats was subsequently reduced by one-third from 102 seats to 68 seats in the fourth term of the DCs which commenced in 2012, and the remaining 68 appointed seats were abolished in the fifth term of the DCs which commenced in 2016.  There are no longer any appointed members in the 18 DCs. </w:t>
      </w:r>
    </w:p>
    <w:p w:rsidR="0025470D" w:rsidRDefault="0025470D" w:rsidP="0025470D">
      <w:pPr>
        <w:spacing w:after="9" w:line="259" w:lineRule="auto"/>
        <w:ind w:left="0" w:firstLine="0"/>
        <w:jc w:val="left"/>
      </w:pPr>
      <w:r>
        <w:t xml:space="preserve"> </w:t>
      </w:r>
    </w:p>
    <w:p w:rsidR="0025470D" w:rsidRDefault="0025470D" w:rsidP="0025470D">
      <w:pPr>
        <w:spacing w:after="4" w:line="266" w:lineRule="auto"/>
        <w:ind w:left="-5" w:right="77" w:hanging="10"/>
      </w:pPr>
      <w:r>
        <w:rPr>
          <w:i/>
        </w:rPr>
        <w:t xml:space="preserve">The 2011 and 2015 DC elections </w:t>
      </w:r>
    </w:p>
    <w:p w:rsidR="0025470D" w:rsidRDefault="0025470D" w:rsidP="0025470D">
      <w:pPr>
        <w:spacing w:after="9" w:line="259" w:lineRule="auto"/>
        <w:ind w:left="0" w:firstLine="0"/>
        <w:jc w:val="left"/>
      </w:pPr>
      <w:r>
        <w:t xml:space="preserve"> </w:t>
      </w:r>
    </w:p>
    <w:p w:rsidR="0025470D" w:rsidRDefault="0025470D" w:rsidP="0025470D">
      <w:pPr>
        <w:numPr>
          <w:ilvl w:val="0"/>
          <w:numId w:val="58"/>
        </w:numPr>
        <w:ind w:right="82"/>
      </w:pPr>
      <w:r>
        <w:t xml:space="preserve">The 18 DCs came into being on 1 January 2000 by virtue of the District Councils Ordinance (Cap. 547).  The work and functions of the DCs are explained in paragraph 24 of the HKSAR Common Core Document. </w:t>
      </w:r>
    </w:p>
    <w:p w:rsidR="0025470D" w:rsidRDefault="0025470D" w:rsidP="0025470D">
      <w:pPr>
        <w:spacing w:after="9" w:line="259" w:lineRule="auto"/>
        <w:ind w:left="0" w:firstLine="0"/>
        <w:jc w:val="left"/>
      </w:pPr>
      <w:r>
        <w:t xml:space="preserve"> </w:t>
      </w:r>
    </w:p>
    <w:p w:rsidR="0025470D" w:rsidRDefault="0025470D" w:rsidP="0025470D">
      <w:pPr>
        <w:numPr>
          <w:ilvl w:val="0"/>
          <w:numId w:val="58"/>
        </w:numPr>
        <w:ind w:right="82"/>
      </w:pPr>
      <w:r>
        <w:t xml:space="preserve">The fourth DC election was held on 6 November 2011.  The HKSAR was divided into 412 constituencies, each returning one elected member, with a total of 412 elected members; and the total turnout rate was 41.5%.  There were 68 appointed members and 27 ex officio members in the DCs.  The fourth term of office was from 1 January 2012 to 31 December 2015. </w:t>
      </w:r>
    </w:p>
    <w:p w:rsidR="0025470D" w:rsidRDefault="0025470D" w:rsidP="0025470D">
      <w:pPr>
        <w:spacing w:after="9" w:line="259" w:lineRule="auto"/>
        <w:ind w:left="0" w:firstLine="0"/>
        <w:jc w:val="left"/>
      </w:pPr>
      <w:r>
        <w:t xml:space="preserve"> </w:t>
      </w:r>
    </w:p>
    <w:p w:rsidR="0025470D" w:rsidRDefault="0025470D" w:rsidP="0025470D">
      <w:pPr>
        <w:numPr>
          <w:ilvl w:val="0"/>
          <w:numId w:val="58"/>
        </w:numPr>
        <w:ind w:right="82"/>
      </w:pPr>
      <w:r>
        <w:t xml:space="preserve">The fifth DC election was held on 22 November 2015.  The HKSAR was divided into 431 constituencies, each returning one elected member, with a total of 431 elected members; and the total turnout rate was 47.1%.  There are 27 ex officio members in the DCs and no appointed members.  The fifth term of office is from 1 January 2016 to 31 December 2019. </w:t>
      </w:r>
    </w:p>
    <w:p w:rsidR="0025470D" w:rsidRDefault="0025470D" w:rsidP="0025470D">
      <w:pPr>
        <w:spacing w:after="62" w:line="259" w:lineRule="auto"/>
        <w:ind w:left="0" w:firstLine="0"/>
        <w:jc w:val="left"/>
      </w:pPr>
      <w:r>
        <w:t xml:space="preserve"> </w:t>
      </w:r>
    </w:p>
    <w:p w:rsidR="0025470D" w:rsidRDefault="0025470D" w:rsidP="0025470D">
      <w:pPr>
        <w:pStyle w:val="Heading5"/>
        <w:ind w:left="-5"/>
      </w:pPr>
      <w:r>
        <w:t>Rural elections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59"/>
        </w:numPr>
        <w:ind w:right="82"/>
      </w:pPr>
      <w:r>
        <w:lastRenderedPageBreak/>
        <w:t xml:space="preserve">In paragraph 342 of the previous report, we explained that there were three levels of election in the villages of the New Territories of the HKSAR, namely the election of village representatives, Rural Committees and Heung Yee Kuk.  The Heung Yee Kuk is an advisory and consultative body for the New Territories established under the Heung Yee Kuk Ordinance (Cap. 1097). </w:t>
      </w:r>
    </w:p>
    <w:p w:rsidR="0025470D" w:rsidRDefault="0025470D" w:rsidP="0025470D">
      <w:pPr>
        <w:spacing w:after="0" w:line="259" w:lineRule="auto"/>
        <w:ind w:left="0" w:firstLine="0"/>
        <w:jc w:val="left"/>
      </w:pPr>
      <w:r>
        <w:t xml:space="preserve"> </w:t>
      </w:r>
    </w:p>
    <w:p w:rsidR="0025470D" w:rsidRDefault="0025470D" w:rsidP="0025470D">
      <w:pPr>
        <w:numPr>
          <w:ilvl w:val="0"/>
          <w:numId w:val="59"/>
        </w:numPr>
        <w:ind w:right="82"/>
      </w:pPr>
      <w:r>
        <w:t xml:space="preserve">The right to vote and the right to stand for election in accordance with law is enjoyed by permanent residents of the HKSAR without distinction on the ground of sex.  These rights are guaranteed under Articles 25 and 26 of the Basic Law and Articles 1, 21 and 22 of the BOR.  The SDO also prohibits discrimination in determining the eligibility of a person to vote for, and to be elected or appointed to, a “relevant body” or “relevant position” (including the positions of Rural Representative or member or office-holder of a Rural Committee within the meaning of the Heung Yee Kuk Ordinance) which ensures that women can participate in those elections on equal terms with men. </w:t>
      </w:r>
    </w:p>
    <w:p w:rsidR="0025470D" w:rsidRDefault="0025470D" w:rsidP="0025470D">
      <w:pPr>
        <w:spacing w:after="64" w:line="259" w:lineRule="auto"/>
        <w:ind w:left="0" w:firstLine="0"/>
        <w:jc w:val="left"/>
      </w:pPr>
      <w:r>
        <w:t xml:space="preserve"> </w:t>
      </w:r>
    </w:p>
    <w:p w:rsidR="0025470D" w:rsidRDefault="0025470D" w:rsidP="0025470D">
      <w:pPr>
        <w:numPr>
          <w:ilvl w:val="0"/>
          <w:numId w:val="59"/>
        </w:numPr>
        <w:ind w:right="82"/>
      </w:pPr>
      <w:r>
        <w:t xml:space="preserve">To ensure that the electoral arrangements of the Village Representative elections are consistent with the HKBORO and the SDO, the Village Representative Election Ordinance (Cap. 576) (VREO) was enacted in 2003.  Under the VREO, the electoral arrangements and the conduct of an election to elect an office holder of a Rural Committee shall be consistent with Article 21(a) and (b) of the BOR. </w:t>
      </w:r>
    </w:p>
    <w:p w:rsidR="0025470D" w:rsidRDefault="0025470D" w:rsidP="0025470D">
      <w:pPr>
        <w:spacing w:after="64" w:line="259" w:lineRule="auto"/>
        <w:ind w:left="0" w:firstLine="0"/>
        <w:jc w:val="left"/>
      </w:pPr>
      <w:r>
        <w:t xml:space="preserve"> </w:t>
      </w:r>
    </w:p>
    <w:p w:rsidR="0025470D" w:rsidRDefault="0025470D" w:rsidP="0025470D">
      <w:pPr>
        <w:numPr>
          <w:ilvl w:val="0"/>
          <w:numId w:val="59"/>
        </w:numPr>
        <w:ind w:right="82"/>
      </w:pPr>
      <w:r>
        <w:t xml:space="preserve">After the Village Representative Election in 2011, we had conducted a comprehensive review on the electoral arrangements of the three-tier rural elections.  The provisions in the VREO and other related legislation were subsequently extended to cover the election of Kaifong Representatives (KFRs) who are members of the Rural Committee of Cheung Chau and Peng Chau, two outlying islands in Hong Kong.  The </w:t>
      </w:r>
    </w:p>
    <w:p w:rsidR="0025470D" w:rsidRDefault="0025470D" w:rsidP="0025470D">
      <w:pPr>
        <w:spacing w:after="41"/>
        <w:ind w:left="19" w:right="82"/>
      </w:pPr>
      <w:r>
        <w:t xml:space="preserve">VREO was thus renamed as Rural Representative Election Ordinance in 2014 and the KFR elections are regulated by statute from 2015 onwards.   </w:t>
      </w:r>
    </w:p>
    <w:p w:rsidR="0025470D" w:rsidRDefault="0025470D" w:rsidP="0025470D">
      <w:pPr>
        <w:spacing w:after="63" w:line="259" w:lineRule="auto"/>
        <w:ind w:left="0" w:firstLine="0"/>
        <w:jc w:val="left"/>
      </w:pPr>
      <w:r>
        <w:t xml:space="preserve"> </w:t>
      </w:r>
    </w:p>
    <w:p w:rsidR="0025470D" w:rsidRDefault="0025470D" w:rsidP="0025470D">
      <w:pPr>
        <w:spacing w:after="4" w:line="266" w:lineRule="auto"/>
        <w:ind w:left="-5" w:right="77" w:hanging="10"/>
      </w:pPr>
      <w:r>
        <w:rPr>
          <w:i/>
        </w:rPr>
        <w:t xml:space="preserve">The 2015 Rural Ordinary Election </w:t>
      </w:r>
    </w:p>
    <w:p w:rsidR="0025470D" w:rsidRDefault="0025470D" w:rsidP="0025470D">
      <w:pPr>
        <w:spacing w:after="64" w:line="259" w:lineRule="auto"/>
        <w:ind w:left="0" w:firstLine="0"/>
        <w:jc w:val="left"/>
      </w:pPr>
      <w:r>
        <w:t xml:space="preserve"> </w:t>
      </w:r>
    </w:p>
    <w:p w:rsidR="0025470D" w:rsidRDefault="0025470D" w:rsidP="0025470D">
      <w:pPr>
        <w:numPr>
          <w:ilvl w:val="0"/>
          <w:numId w:val="59"/>
        </w:numPr>
        <w:ind w:right="82"/>
      </w:pPr>
      <w:r>
        <w:lastRenderedPageBreak/>
        <w:t xml:space="preserve">Since the previous report, two rural ordinary elections were held in 2011 and 2015 respectively.  The number of registered electors in 2011 was about 182 700 and 47.3% were female electors.  In 2015, it was the first time that KFR elections were conducted under the electoral legislation and the supervision of the Electoral Affairs Commission.  The number of registered electors increased to about 198 700 (among which about 9 100 were KFR electors) and 47.66% were female electors, making up almost half of the registered electors. </w:t>
      </w:r>
    </w:p>
    <w:p w:rsidR="0025470D" w:rsidRDefault="0025470D" w:rsidP="0025470D">
      <w:pPr>
        <w:spacing w:after="0" w:line="259" w:lineRule="auto"/>
        <w:ind w:left="0" w:firstLine="0"/>
        <w:jc w:val="left"/>
      </w:pPr>
      <w:r>
        <w:t xml:space="preserve"> </w:t>
      </w:r>
    </w:p>
    <w:p w:rsidR="0025470D" w:rsidRDefault="0025470D" w:rsidP="0025470D">
      <w:pPr>
        <w:numPr>
          <w:ilvl w:val="0"/>
          <w:numId w:val="59"/>
        </w:numPr>
        <w:ind w:right="82"/>
      </w:pPr>
      <w:r>
        <w:t xml:space="preserve">The number of female candidates was 39 in 2011 (2.23% of total number of candidates), and it increased by 79% to 70 in 2015 (3.75% of total number of candidates). The number of elected female rural representatives increased from 30 in 2011 to 49 in 2015, representing an increase of 63%. </w:t>
      </w:r>
    </w:p>
    <w:p w:rsidR="0025470D" w:rsidRDefault="0025470D" w:rsidP="0025470D">
      <w:pPr>
        <w:spacing w:after="9" w:line="259" w:lineRule="auto"/>
        <w:ind w:left="0" w:firstLine="0"/>
        <w:jc w:val="left"/>
      </w:pPr>
      <w:r>
        <w:t xml:space="preserve"> </w:t>
      </w:r>
    </w:p>
    <w:p w:rsidR="0025470D" w:rsidRDefault="0025470D" w:rsidP="0025470D">
      <w:pPr>
        <w:numPr>
          <w:ilvl w:val="0"/>
          <w:numId w:val="59"/>
        </w:numPr>
        <w:ind w:right="82"/>
      </w:pPr>
      <w:r>
        <w:t xml:space="preserve">The Government will continue its efforts to encourage eligible persons of either sex to register as electors and participate in the election as candidates.  We will enhance publicity to encourage participation of women in the coming Rural Ordinary Election to be held in 2019.  We will also closely monitor the rate of female candidates and the number of female rural representatives elected. </w:t>
      </w:r>
    </w:p>
    <w:p w:rsidR="0025470D" w:rsidRDefault="0025470D" w:rsidP="0025470D">
      <w:pPr>
        <w:spacing w:after="0" w:line="259" w:lineRule="auto"/>
        <w:ind w:left="0" w:firstLine="0"/>
        <w:jc w:val="left"/>
      </w:pPr>
      <w:r>
        <w:t xml:space="preserve"> </w:t>
      </w:r>
    </w:p>
    <w:p w:rsidR="0025470D" w:rsidRDefault="0025470D" w:rsidP="0025470D">
      <w:pPr>
        <w:sectPr w:rsidR="0025470D">
          <w:headerReference w:type="even" r:id="rId301"/>
          <w:headerReference w:type="default" r:id="rId302"/>
          <w:footerReference w:type="even" r:id="rId303"/>
          <w:footerReference w:type="default" r:id="rId304"/>
          <w:headerReference w:type="first" r:id="rId305"/>
          <w:footerReference w:type="first" r:id="rId306"/>
          <w:pgSz w:w="11906" w:h="16838"/>
          <w:pgMar w:top="1445" w:right="1728" w:bottom="1445" w:left="1800" w:header="720" w:footer="723" w:gutter="0"/>
          <w:pgNumType w:start="1"/>
          <w:cols w:space="720"/>
          <w:titlePg/>
        </w:sectPr>
      </w:pPr>
    </w:p>
    <w:p w:rsidR="0025470D" w:rsidRDefault="0025470D" w:rsidP="0025470D">
      <w:pPr>
        <w:spacing w:after="427" w:line="259" w:lineRule="auto"/>
        <w:ind w:left="10" w:right="54" w:hanging="10"/>
        <w:jc w:val="right"/>
      </w:pPr>
      <w:r>
        <w:rPr>
          <w:b/>
        </w:rPr>
        <w:lastRenderedPageBreak/>
        <w:t>Annex 25B</w:t>
      </w:r>
    </w:p>
    <w:p w:rsidR="0025470D" w:rsidRDefault="0025470D" w:rsidP="0025470D">
      <w:pPr>
        <w:pStyle w:val="Heading4"/>
        <w:spacing w:after="6" w:line="259" w:lineRule="auto"/>
        <w:ind w:left="180" w:right="246"/>
        <w:jc w:val="center"/>
      </w:pPr>
      <w:r>
        <w:t xml:space="preserve">Government advisory bodies and statutory bodies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60"/>
        </w:numPr>
        <w:ind w:right="82" w:hanging="1440"/>
      </w:pPr>
      <w:r>
        <w:t xml:space="preserve">ASBs play an important role in assisting the Government in </w:t>
      </w:r>
    </w:p>
    <w:p w:rsidR="0025470D" w:rsidRDefault="0025470D" w:rsidP="0025470D">
      <w:pPr>
        <w:ind w:left="19" w:right="8"/>
      </w:pPr>
      <w:r>
        <w:t xml:space="preserve">the formulation of policy objectives and performance of statutory functions.  Through these bodies, various sectors of the community and relevant organisations are engaged so that they may express their views at various stages in the making of policies and planning of public service by the Government and participation in public affairs.  The system of ASBs is multi-faceted, including various advisory boards and committees, public bodies, appeal boards and regulatory bodies. </w:t>
      </w:r>
    </w:p>
    <w:p w:rsidR="0025470D" w:rsidRDefault="0025470D" w:rsidP="0025470D">
      <w:pPr>
        <w:spacing w:after="64" w:line="259" w:lineRule="auto"/>
        <w:ind w:left="0" w:firstLine="0"/>
        <w:jc w:val="left"/>
      </w:pPr>
      <w:r>
        <w:t xml:space="preserve"> </w:t>
      </w:r>
    </w:p>
    <w:p w:rsidR="0025470D" w:rsidRDefault="0025470D" w:rsidP="0025470D">
      <w:pPr>
        <w:numPr>
          <w:ilvl w:val="0"/>
          <w:numId w:val="60"/>
        </w:numPr>
        <w:ind w:right="82" w:hanging="1440"/>
      </w:pPr>
      <w:r>
        <w:t xml:space="preserve">The appointments of individuals by the Government as nonofficial members to ASBs are based on merits.  When appointing a member to serve on an ASB, the relevant bureau or department takes into account the candidate’s ability, expertise, experience, integrity and commitment to public service, with due regard to the functions and nature of business of the ASB as well as the statutory requirements for the membership of the statutory body concerned.   </w:t>
      </w:r>
    </w:p>
    <w:p w:rsidR="0025470D" w:rsidRDefault="0025470D" w:rsidP="0025470D">
      <w:pPr>
        <w:spacing w:after="64" w:line="259" w:lineRule="auto"/>
        <w:ind w:left="0" w:firstLine="0"/>
        <w:jc w:val="left"/>
      </w:pPr>
      <w:r>
        <w:t xml:space="preserve"> </w:t>
      </w:r>
    </w:p>
    <w:p w:rsidR="0025470D" w:rsidRDefault="0025470D" w:rsidP="0025470D">
      <w:pPr>
        <w:numPr>
          <w:ilvl w:val="0"/>
          <w:numId w:val="60"/>
        </w:numPr>
        <w:ind w:right="82" w:hanging="1440"/>
      </w:pPr>
      <w:r>
        <w:t xml:space="preserve">To gauge a wide range of public views, when appointing members to serve on these bodies, the Government will, apart from taking into account the needs of the bodies concerned, enlist people of different background and experience, such as professionals, academics, businessmen and representatives from districts and various sectors.   As at 30 June 2017, there were 6 591 Government appointed non-official members serving on about 490 ASBs.  Apart from those appointed directly by the Government, some members of ASBs are identified through election or nomination, recommendation or appointment by the relevant bodies and professional organisations.  To further encourage young people to participate in policy discussion, the Government has also introduced the Pilot Member Self-recommendation Scheme for Youth which invites people aged between 18 </w:t>
      </w:r>
      <w:r>
        <w:lastRenderedPageBreak/>
        <w:t xml:space="preserve">and 35 to self-nominate to become members of specified government advisory committees.   </w:t>
      </w:r>
    </w:p>
    <w:p w:rsidR="0025470D" w:rsidRDefault="0025470D" w:rsidP="0025470D">
      <w:pPr>
        <w:spacing w:after="9" w:line="259" w:lineRule="auto"/>
        <w:ind w:left="0" w:firstLine="0"/>
        <w:jc w:val="left"/>
      </w:pPr>
      <w:r>
        <w:t xml:space="preserve"> </w:t>
      </w:r>
    </w:p>
    <w:p w:rsidR="0025470D" w:rsidRDefault="0025470D" w:rsidP="0025470D">
      <w:pPr>
        <w:spacing w:after="9" w:line="259" w:lineRule="auto"/>
        <w:ind w:left="0" w:firstLine="0"/>
        <w:jc w:val="left"/>
      </w:pPr>
      <w:r>
        <w:t xml:space="preserve"> </w:t>
      </w:r>
    </w:p>
    <w:p w:rsidR="0025470D" w:rsidRDefault="0025470D" w:rsidP="0025470D">
      <w:pPr>
        <w:spacing w:after="0" w:line="259" w:lineRule="auto"/>
        <w:ind w:left="0" w:firstLine="0"/>
        <w:jc w:val="left"/>
      </w:pPr>
      <w:r>
        <w:t xml:space="preserve"> </w:t>
      </w:r>
    </w:p>
    <w:p w:rsidR="0025470D" w:rsidRDefault="0025470D" w:rsidP="0025470D">
      <w:pPr>
        <w:numPr>
          <w:ilvl w:val="0"/>
          <w:numId w:val="60"/>
        </w:numPr>
        <w:spacing w:after="12881"/>
        <w:ind w:right="82" w:hanging="1440"/>
      </w:pPr>
      <w:r>
        <w:t xml:space="preserve">We will continue to monitor the operation of the relevant policy and mechanism to ensure that ASBs maintain their role as an important channel for people to participate in public policy formulation, thus effectively supporting the administration of the Government. </w:t>
      </w:r>
    </w:p>
    <w:p w:rsidR="0025470D" w:rsidRDefault="0025470D" w:rsidP="0025470D">
      <w:pPr>
        <w:spacing w:after="219" w:line="259" w:lineRule="auto"/>
        <w:ind w:left="10" w:right="73" w:hanging="10"/>
        <w:jc w:val="center"/>
      </w:pPr>
      <w:r>
        <w:rPr>
          <w:sz w:val="24"/>
        </w:rPr>
        <w:lastRenderedPageBreak/>
        <w:t>2</w:t>
      </w:r>
    </w:p>
    <w:p w:rsidR="0025470D" w:rsidRDefault="0025470D" w:rsidP="0025470D">
      <w:pPr>
        <w:spacing w:after="427" w:line="259" w:lineRule="auto"/>
        <w:ind w:left="10" w:right="54" w:hanging="10"/>
        <w:jc w:val="right"/>
      </w:pPr>
      <w:r>
        <w:rPr>
          <w:b/>
        </w:rPr>
        <w:t>Annex 26A</w:t>
      </w:r>
    </w:p>
    <w:p w:rsidR="0025470D" w:rsidRDefault="0025470D" w:rsidP="0025470D">
      <w:pPr>
        <w:pStyle w:val="Heading4"/>
        <w:spacing w:after="6" w:line="259" w:lineRule="auto"/>
        <w:ind w:left="180" w:right="243"/>
        <w:jc w:val="center"/>
      </w:pPr>
      <w:r>
        <w:t xml:space="preserve">Discrimination Law Review -  Eight Recommendation of Priority </w:t>
      </w:r>
    </w:p>
    <w:p w:rsidR="0025470D" w:rsidRDefault="0025470D" w:rsidP="0025470D">
      <w:pPr>
        <w:spacing w:after="59" w:line="259" w:lineRule="auto"/>
        <w:ind w:left="0" w:firstLine="0"/>
        <w:jc w:val="right"/>
      </w:pPr>
      <w:r>
        <w:rPr>
          <w:b/>
        </w:rPr>
        <w:t xml:space="preserve"> </w:t>
      </w:r>
    </w:p>
    <w:p w:rsidR="0025470D" w:rsidRDefault="0025470D" w:rsidP="0025470D">
      <w:pPr>
        <w:numPr>
          <w:ilvl w:val="0"/>
          <w:numId w:val="61"/>
        </w:numPr>
        <w:ind w:right="82" w:hanging="720"/>
      </w:pPr>
      <w:r>
        <w:t xml:space="preserve">to introduce express provisions in the SDO prohibiting direct and indirect discrimination on the grounds of breastfeeding (including the expression of milk) as a separate prohibited ground of discrimination; </w:t>
      </w:r>
    </w:p>
    <w:p w:rsidR="0025470D" w:rsidRDefault="0025470D" w:rsidP="0025470D">
      <w:pPr>
        <w:spacing w:after="64" w:line="259" w:lineRule="auto"/>
        <w:ind w:left="720" w:firstLine="0"/>
        <w:jc w:val="left"/>
      </w:pPr>
      <w:r>
        <w:t xml:space="preserve"> </w:t>
      </w:r>
    </w:p>
    <w:p w:rsidR="0025470D" w:rsidRDefault="0025470D" w:rsidP="0025470D">
      <w:pPr>
        <w:numPr>
          <w:ilvl w:val="0"/>
          <w:numId w:val="61"/>
        </w:numPr>
        <w:ind w:right="82" w:hanging="720"/>
      </w:pPr>
      <w:r>
        <w:t xml:space="preserve">to amend the RDO provisions prohibiting direct discrimination and harassment by association by repealing the provisions regarding a “near relative”, and replacing it with a definition of an associate; </w:t>
      </w:r>
    </w:p>
    <w:p w:rsidR="0025470D" w:rsidRDefault="0025470D" w:rsidP="0025470D">
      <w:pPr>
        <w:spacing w:after="64" w:line="259" w:lineRule="auto"/>
        <w:ind w:left="720" w:firstLine="0"/>
        <w:jc w:val="left"/>
      </w:pPr>
      <w:r>
        <w:t xml:space="preserve"> </w:t>
      </w:r>
    </w:p>
    <w:p w:rsidR="0025470D" w:rsidRDefault="0025470D" w:rsidP="0025470D">
      <w:pPr>
        <w:numPr>
          <w:ilvl w:val="0"/>
          <w:numId w:val="61"/>
        </w:numPr>
        <w:spacing w:after="0" w:line="277" w:lineRule="auto"/>
        <w:ind w:right="82" w:hanging="720"/>
      </w:pPr>
      <w:r>
        <w:t xml:space="preserve">to amend the RDO to include protection from direct discrimination and harassment by imputation that a person is of a particular racial group; </w:t>
      </w:r>
    </w:p>
    <w:p w:rsidR="0025470D" w:rsidRDefault="0025470D" w:rsidP="0025470D">
      <w:pPr>
        <w:spacing w:after="64" w:line="259" w:lineRule="auto"/>
        <w:ind w:left="720" w:firstLine="0"/>
        <w:jc w:val="left"/>
      </w:pPr>
      <w:r>
        <w:t xml:space="preserve"> </w:t>
      </w:r>
    </w:p>
    <w:p w:rsidR="0025470D" w:rsidRDefault="0025470D" w:rsidP="0025470D">
      <w:pPr>
        <w:numPr>
          <w:ilvl w:val="0"/>
          <w:numId w:val="61"/>
        </w:numPr>
        <w:ind w:right="82" w:hanging="720"/>
      </w:pPr>
      <w:r>
        <w:t xml:space="preserve">to amend the provisions of the SDO, RDO and DDO to provide protection from sexual, racial and disability harassment to persons in a common workplace; </w:t>
      </w:r>
    </w:p>
    <w:p w:rsidR="0025470D" w:rsidRDefault="0025470D" w:rsidP="0025470D">
      <w:pPr>
        <w:spacing w:after="64" w:line="259" w:lineRule="auto"/>
        <w:ind w:left="720" w:firstLine="0"/>
        <w:jc w:val="left"/>
      </w:pPr>
      <w:r>
        <w:t xml:space="preserve"> </w:t>
      </w:r>
    </w:p>
    <w:p w:rsidR="0025470D" w:rsidRDefault="0025470D" w:rsidP="0025470D">
      <w:pPr>
        <w:numPr>
          <w:ilvl w:val="0"/>
          <w:numId w:val="61"/>
        </w:numPr>
        <w:ind w:right="82" w:hanging="720"/>
      </w:pPr>
      <w:r>
        <w:t xml:space="preserve">to amend the provisions of RDO and DDO to provide protection from racial and disability harassment of service providers by service users; </w:t>
      </w:r>
    </w:p>
    <w:p w:rsidR="0025470D" w:rsidRDefault="0025470D" w:rsidP="0025470D">
      <w:pPr>
        <w:spacing w:after="64" w:line="259" w:lineRule="auto"/>
        <w:ind w:left="720" w:firstLine="0"/>
        <w:jc w:val="left"/>
      </w:pPr>
      <w:r>
        <w:t xml:space="preserve"> </w:t>
      </w:r>
    </w:p>
    <w:p w:rsidR="0025470D" w:rsidRDefault="0025470D" w:rsidP="0025470D">
      <w:pPr>
        <w:numPr>
          <w:ilvl w:val="0"/>
          <w:numId w:val="61"/>
        </w:numPr>
        <w:ind w:right="82" w:hanging="720"/>
      </w:pPr>
      <w:r>
        <w:t xml:space="preserve">to amend the provisions of the RDO and DDO to provide protection from racial and disability harassment of service providers by service users, where such harassment take place outside Hong Kong, but on Hong Kong registered aircraft and ships; </w:t>
      </w:r>
    </w:p>
    <w:p w:rsidR="0025470D" w:rsidRDefault="0025470D" w:rsidP="0025470D">
      <w:pPr>
        <w:spacing w:after="64" w:line="259" w:lineRule="auto"/>
        <w:ind w:left="720" w:firstLine="0"/>
        <w:jc w:val="left"/>
      </w:pPr>
      <w:r>
        <w:t xml:space="preserve"> </w:t>
      </w:r>
    </w:p>
    <w:p w:rsidR="0025470D" w:rsidRDefault="0025470D" w:rsidP="0025470D">
      <w:pPr>
        <w:numPr>
          <w:ilvl w:val="0"/>
          <w:numId w:val="61"/>
        </w:numPr>
        <w:ind w:right="82" w:hanging="720"/>
      </w:pPr>
      <w:r>
        <w:t xml:space="preserve">to amend the SDO and DDO to provide protection from sexual and disability harassment by management of clubs of members or prospective members; and </w:t>
      </w:r>
    </w:p>
    <w:p w:rsidR="0025470D" w:rsidRDefault="0025470D" w:rsidP="0025470D">
      <w:pPr>
        <w:spacing w:after="64" w:line="259" w:lineRule="auto"/>
        <w:ind w:left="720" w:firstLine="0"/>
        <w:jc w:val="left"/>
      </w:pPr>
      <w:r>
        <w:t xml:space="preserve"> </w:t>
      </w:r>
    </w:p>
    <w:p w:rsidR="0025470D" w:rsidRDefault="0025470D" w:rsidP="0025470D">
      <w:pPr>
        <w:numPr>
          <w:ilvl w:val="0"/>
          <w:numId w:val="61"/>
        </w:numPr>
        <w:ind w:right="82" w:hanging="720"/>
      </w:pPr>
      <w:r>
        <w:lastRenderedPageBreak/>
        <w:t>to repeal the provisions of the SDO, FSDO and RDO which require proof of intention to discriminate in order to obtain damages for indirect discrimination.</w:t>
      </w:r>
      <w:r>
        <w:rPr>
          <w:b/>
        </w:rPr>
        <w:t xml:space="preserve"> </w:t>
      </w:r>
    </w:p>
    <w:p w:rsidR="0025470D" w:rsidRDefault="0025470D" w:rsidP="0025470D">
      <w:pPr>
        <w:sectPr w:rsidR="0025470D">
          <w:headerReference w:type="even" r:id="rId307"/>
          <w:headerReference w:type="default" r:id="rId308"/>
          <w:footerReference w:type="even" r:id="rId309"/>
          <w:footerReference w:type="default" r:id="rId310"/>
          <w:headerReference w:type="first" r:id="rId311"/>
          <w:footerReference w:type="first" r:id="rId312"/>
          <w:pgSz w:w="11906" w:h="16838"/>
          <w:pgMar w:top="1538" w:right="1728" w:bottom="723"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313"/>
          <w:headerReference w:type="default" r:id="rId314"/>
          <w:footerReference w:type="even" r:id="rId315"/>
          <w:footerReference w:type="default" r:id="rId316"/>
          <w:headerReference w:type="first" r:id="rId317"/>
          <w:footerReference w:type="first" r:id="rId318"/>
          <w:pgSz w:w="11906" w:h="16838"/>
          <w:pgMar w:top="1440" w:right="1440" w:bottom="1440" w:left="1440" w:header="720" w:footer="5" w:gutter="0"/>
          <w:cols w:space="720"/>
        </w:sectPr>
      </w:pPr>
    </w:p>
    <w:p w:rsidR="0025470D" w:rsidRDefault="0025470D" w:rsidP="0025470D">
      <w:pPr>
        <w:spacing w:after="563" w:line="259" w:lineRule="auto"/>
        <w:ind w:left="0" w:firstLine="0"/>
        <w:jc w:val="left"/>
      </w:pPr>
      <w:r>
        <w:rPr>
          <w:rFonts w:ascii="Calibri" w:eastAsia="Calibri" w:hAnsi="Calibri" w:cs="Calibri"/>
          <w:sz w:val="20"/>
        </w:rPr>
        <w:lastRenderedPageBreak/>
        <w:t xml:space="preserve"> </w:t>
      </w:r>
    </w:p>
    <w:p w:rsidR="0025470D" w:rsidRDefault="0025470D" w:rsidP="0025470D">
      <w:pPr>
        <w:spacing w:after="427" w:line="259" w:lineRule="auto"/>
        <w:ind w:left="10" w:right="54" w:hanging="10"/>
        <w:jc w:val="right"/>
      </w:pPr>
      <w:r>
        <w:rPr>
          <w:b/>
        </w:rPr>
        <w:t>Annex 26B</w:t>
      </w:r>
    </w:p>
    <w:p w:rsidR="0025470D" w:rsidRDefault="0025470D" w:rsidP="0025470D">
      <w:pPr>
        <w:pStyle w:val="Heading4"/>
        <w:spacing w:after="6" w:line="259" w:lineRule="auto"/>
        <w:ind w:left="180" w:right="242"/>
        <w:jc w:val="center"/>
      </w:pPr>
      <w:r>
        <w:t xml:space="preserve">Race Discrimination Ordinance (Cap. 602) </w:t>
      </w:r>
    </w:p>
    <w:p w:rsidR="0025470D" w:rsidRDefault="0025470D" w:rsidP="0025470D">
      <w:pPr>
        <w:spacing w:after="59" w:line="259" w:lineRule="auto"/>
        <w:ind w:left="0" w:right="3" w:firstLine="0"/>
        <w:jc w:val="center"/>
      </w:pPr>
      <w:r>
        <w:rPr>
          <w:b/>
        </w:rPr>
        <w:t xml:space="preserve"> </w:t>
      </w:r>
    </w:p>
    <w:p w:rsidR="0025470D" w:rsidRDefault="0025470D" w:rsidP="0025470D">
      <w:pPr>
        <w:numPr>
          <w:ilvl w:val="0"/>
          <w:numId w:val="62"/>
        </w:numPr>
        <w:ind w:right="82"/>
      </w:pPr>
      <w:r>
        <w:t xml:space="preserve">The RDO, which came into full operation in 2009, aims to protect the rights of individuals against discrimination, harassment and vilification on the ground of race.  Under the RDO, “race” in relation to a person, means the race, colour, descent, national or ethnic origin of the person.   </w:t>
      </w:r>
    </w:p>
    <w:p w:rsidR="0025470D" w:rsidRDefault="0025470D" w:rsidP="0025470D">
      <w:pPr>
        <w:spacing w:after="64" w:line="259" w:lineRule="auto"/>
        <w:ind w:left="0" w:firstLine="0"/>
        <w:jc w:val="left"/>
      </w:pPr>
      <w:r>
        <w:t xml:space="preserve"> </w:t>
      </w:r>
    </w:p>
    <w:p w:rsidR="0025470D" w:rsidRDefault="0025470D" w:rsidP="0025470D">
      <w:pPr>
        <w:numPr>
          <w:ilvl w:val="0"/>
          <w:numId w:val="62"/>
        </w:numPr>
        <w:ind w:right="82"/>
      </w:pPr>
      <w:r>
        <w:t xml:space="preserve">The RDO renders unlawful both direct and indirect racial discrimination in prescribed areas of activity, including education, employment and the provision of goods, services, facilities and premises.  It incorporates the internationally accepted principle of proportionality in determining whether there is indirect discrimination.  It also makes racial harassment (i.e. engaging in unwelcome conduct in circumstances in which a reasonable person, having regard to all the circumstances, would have anticipated that the other person would be offended, humiliated or intimidated by that conduct) unlawful in the specified fields.  In addition, the RDO prohibits other unlawful acts relating to racial discrimination, including discriminatory practices and advertisements, aiding, instructing or procuring others to discriminate, as well as vilification.   </w:t>
      </w:r>
    </w:p>
    <w:p w:rsidR="0025470D" w:rsidRDefault="0025470D" w:rsidP="0025470D">
      <w:pPr>
        <w:spacing w:after="64" w:line="259" w:lineRule="auto"/>
        <w:ind w:left="0" w:firstLine="0"/>
        <w:jc w:val="left"/>
      </w:pPr>
      <w:r>
        <w:t xml:space="preserve"> </w:t>
      </w:r>
    </w:p>
    <w:p w:rsidR="0025470D" w:rsidRDefault="0025470D" w:rsidP="0025470D">
      <w:pPr>
        <w:numPr>
          <w:ilvl w:val="0"/>
          <w:numId w:val="62"/>
        </w:numPr>
        <w:ind w:right="82"/>
      </w:pPr>
      <w:r>
        <w:t xml:space="preserve">While the RDO does not impose an obligation to take affirmative actions, special measures designed to meet the special needs of persons of a particular racial group are specifically permitted under the law. </w:t>
      </w:r>
    </w:p>
    <w:p w:rsidR="0025470D" w:rsidRDefault="0025470D" w:rsidP="0025470D">
      <w:pPr>
        <w:spacing w:after="0" w:line="259" w:lineRule="auto"/>
        <w:ind w:left="0" w:firstLine="0"/>
        <w:jc w:val="right"/>
      </w:pPr>
      <w:r>
        <w:rPr>
          <w:b/>
        </w:rPr>
        <w:t xml:space="preserve"> </w:t>
      </w:r>
    </w:p>
    <w:p w:rsidR="0025470D" w:rsidRDefault="0025470D" w:rsidP="0025470D">
      <w:pPr>
        <w:sectPr w:rsidR="0025470D">
          <w:headerReference w:type="even" r:id="rId319"/>
          <w:headerReference w:type="default" r:id="rId320"/>
          <w:footerReference w:type="even" r:id="rId321"/>
          <w:footerReference w:type="default" r:id="rId322"/>
          <w:headerReference w:type="first" r:id="rId323"/>
          <w:footerReference w:type="first" r:id="rId324"/>
          <w:pgSz w:w="11906" w:h="16838"/>
          <w:pgMar w:top="1440" w:right="1728" w:bottom="1440" w:left="1800" w:header="720" w:footer="723"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325"/>
          <w:headerReference w:type="default" r:id="rId326"/>
          <w:footerReference w:type="even" r:id="rId327"/>
          <w:footerReference w:type="default" r:id="rId328"/>
          <w:headerReference w:type="first" r:id="rId329"/>
          <w:footerReference w:type="first" r:id="rId330"/>
          <w:pgSz w:w="11906" w:h="16838"/>
          <w:pgMar w:top="1440" w:right="1440" w:bottom="1440" w:left="1440" w:header="720" w:footer="5" w:gutter="0"/>
          <w:cols w:space="720"/>
        </w:sectPr>
      </w:pPr>
    </w:p>
    <w:p w:rsidR="0025470D" w:rsidRDefault="0025470D" w:rsidP="0025470D">
      <w:pPr>
        <w:spacing w:after="427" w:line="259" w:lineRule="auto"/>
        <w:ind w:left="10" w:right="54" w:hanging="10"/>
        <w:jc w:val="right"/>
      </w:pPr>
      <w:r>
        <w:rPr>
          <w:b/>
        </w:rPr>
        <w:lastRenderedPageBreak/>
        <w:t>Annex 26C</w:t>
      </w:r>
    </w:p>
    <w:p w:rsidR="0025470D" w:rsidRDefault="0025470D" w:rsidP="0025470D">
      <w:pPr>
        <w:pStyle w:val="Heading4"/>
        <w:spacing w:after="54"/>
        <w:ind w:left="2635" w:right="259" w:hanging="1313"/>
      </w:pPr>
      <w:r>
        <w:t xml:space="preserve">Advisory Group on Eliminating Discrimination  against Sexual Minorities </w:t>
      </w:r>
    </w:p>
    <w:p w:rsidR="0025470D" w:rsidRDefault="0025470D" w:rsidP="0025470D">
      <w:pPr>
        <w:spacing w:after="4" w:line="259" w:lineRule="auto"/>
        <w:ind w:left="65" w:firstLine="0"/>
        <w:jc w:val="center"/>
      </w:pPr>
      <w:r>
        <w:rPr>
          <w:b/>
        </w:rPr>
        <w:t xml:space="preserve"> </w:t>
      </w:r>
    </w:p>
    <w:p w:rsidR="0025470D" w:rsidRDefault="0025470D" w:rsidP="0025470D">
      <w:pPr>
        <w:numPr>
          <w:ilvl w:val="0"/>
          <w:numId w:val="63"/>
        </w:numPr>
        <w:ind w:hanging="1440"/>
      </w:pPr>
      <w:r>
        <w:t xml:space="preserve">The Government established the Advisory Group on </w:t>
      </w:r>
    </w:p>
    <w:p w:rsidR="0025470D" w:rsidRDefault="0025470D" w:rsidP="0025470D">
      <w:pPr>
        <w:ind w:left="19" w:right="3"/>
      </w:pPr>
      <w:r>
        <w:t xml:space="preserve">Eliminating Discrimination against Sexual Minorities in June 2013.  Its function was to advise on matters relating to concerns about discrimination faced by sexual minorities in Hong Kong as well as aspects and extent of such discrimination.   </w:t>
      </w:r>
    </w:p>
    <w:p w:rsidR="0025470D" w:rsidRDefault="0025470D" w:rsidP="0025470D">
      <w:pPr>
        <w:spacing w:after="9" w:line="259" w:lineRule="auto"/>
        <w:ind w:left="0" w:firstLine="0"/>
        <w:jc w:val="left"/>
      </w:pPr>
      <w:r>
        <w:t xml:space="preserve"> </w:t>
      </w:r>
    </w:p>
    <w:p w:rsidR="0025470D" w:rsidRDefault="0025470D" w:rsidP="0025470D">
      <w:pPr>
        <w:numPr>
          <w:ilvl w:val="0"/>
          <w:numId w:val="63"/>
        </w:numPr>
        <w:ind w:hanging="1440"/>
      </w:pPr>
      <w:r>
        <w:t xml:space="preserve">During its term, the Advisory Group had taken stock of major developments in Hong Kong on issues of concern to sexual minorities, carried out a qualitative research on the discriminations faced by the sexual minorities, conducted a research on the relevant experience and legislation in other jurisdictions and met with stakeholder groups.  The Advisory Group submitted its report to the Government in December 2015, recommending strategies and measures in five areas, which included: (a) preparing training resources for personnel in specific fields having more direct interactions with sexual minorities, namely, social workers; medical practitioners, associated professionals and frontline workers in hospitals and clinics; human resources professionals; and teachers to increase their understanding and sensitivity towards sexual minorities; (b) drawing up a charter on non-discrimination by the Government for voluntary adoption by employers; providers of goods, facilities and services; landlords / agents in charge of disposal and management of premises; and schools; (c) enhancing public education and publicity to promote the message of nondiscrimination against sexual minorities; (d) reviewing and reinforcing relevant support services; and (e) conducting a further study on the experience of legislative and non-legislative measures of other jurisdictions to map out the way forward.  The Government has been actively taking forward the Advisory Group’s recommendations and </w:t>
      </w:r>
      <w:r>
        <w:lastRenderedPageBreak/>
        <w:t xml:space="preserve">will continue to listen to stakeholders’ views on the relevant subjects expressed through different channels. </w:t>
      </w:r>
    </w:p>
    <w:p w:rsidR="0025470D" w:rsidRDefault="0025470D" w:rsidP="0025470D">
      <w:pPr>
        <w:spacing w:after="9" w:line="259" w:lineRule="auto"/>
        <w:ind w:left="0" w:firstLine="0"/>
        <w:jc w:val="left"/>
      </w:pPr>
      <w:r>
        <w:t xml:space="preserve"> </w:t>
      </w:r>
    </w:p>
    <w:p w:rsidR="0025470D" w:rsidRDefault="0025470D" w:rsidP="0025470D">
      <w:pPr>
        <w:numPr>
          <w:ilvl w:val="0"/>
          <w:numId w:val="63"/>
        </w:numPr>
        <w:ind w:hanging="1440"/>
      </w:pPr>
      <w:r>
        <w:t xml:space="preserve">Besides, we continue to implement various publicity measures to promote the message of non-discrimination against sexual minorities namely “Eliminate discrimination, embrace inclusion”, including broadcasting promotional video/audio on television/radio, in public transport network (including railway stations, train compartments, buses and ferries), various government premises, as well as on the internet and other media; launching poster campaigns in government venues and public areas; conducting briefings on the </w:t>
      </w:r>
      <w:r>
        <w:rPr>
          <w:i/>
        </w:rPr>
        <w:t>Code of Practice against Discrimination in Employment on the Ground of Sexual Orientation</w:t>
      </w:r>
      <w:r>
        <w:t xml:space="preserve"> within the Government and in the private sector through various channels; and issuing appeal letters to employers in Hong Kong to appeal for their adoption of the Code of Practice.  In the past five years, we allocated a total of $9.8 million for the publicity and education programmes as well as allocating $4 million to the Equal Opportunities (Sexual Orientation) Funding Scheme to provide funding support for worthwhile community projects which aim at promoting equal opportunities for sexual minorities. </w:t>
      </w:r>
      <w:r>
        <w:br w:type="page"/>
      </w:r>
    </w:p>
    <w:p w:rsidR="0025470D" w:rsidRDefault="0025470D" w:rsidP="0025470D">
      <w:pPr>
        <w:spacing w:after="427" w:line="259" w:lineRule="auto"/>
        <w:ind w:left="10" w:right="54" w:hanging="10"/>
        <w:jc w:val="right"/>
      </w:pPr>
      <w:r>
        <w:rPr>
          <w:b/>
        </w:rPr>
        <w:t>Annex 26D</w:t>
      </w:r>
    </w:p>
    <w:p w:rsidR="0025470D" w:rsidRDefault="0025470D" w:rsidP="0025470D">
      <w:pPr>
        <w:pStyle w:val="Heading4"/>
        <w:spacing w:after="6" w:line="259" w:lineRule="auto"/>
        <w:ind w:left="180" w:right="171"/>
        <w:jc w:val="center"/>
      </w:pPr>
      <w:r>
        <w:t xml:space="preserve">Gender Recognition </w:t>
      </w:r>
    </w:p>
    <w:p w:rsidR="0025470D" w:rsidRDefault="0025470D" w:rsidP="0025470D">
      <w:pPr>
        <w:spacing w:after="59" w:line="259" w:lineRule="auto"/>
        <w:ind w:left="65" w:firstLine="0"/>
        <w:jc w:val="center"/>
      </w:pPr>
      <w:r>
        <w:rPr>
          <w:b/>
        </w:rPr>
        <w:t xml:space="preserve"> </w:t>
      </w:r>
    </w:p>
    <w:p w:rsidR="0025470D" w:rsidRDefault="0025470D" w:rsidP="0025470D">
      <w:pPr>
        <w:ind w:left="19" w:right="2"/>
      </w:pPr>
      <w:r>
        <w:t xml:space="preserve">1. In the case of </w:t>
      </w:r>
      <w:r>
        <w:rPr>
          <w:i/>
        </w:rPr>
        <w:t>W v Registrar of Marriages</w:t>
      </w:r>
      <w:r>
        <w:t xml:space="preserve"> (FACV 4/2012), a post-operative male-to-female transsexual person who had undergone full sex reassignment surgery challenged the Registrar of Marriages’ decision not to recognise her as “a woman” under the Marriage Ordinance (Cap. </w:t>
      </w:r>
    </w:p>
    <w:p w:rsidR="0025470D" w:rsidRDefault="0025470D" w:rsidP="0025470D">
      <w:pPr>
        <w:ind w:left="19" w:right="6"/>
      </w:pPr>
      <w:r>
        <w:t xml:space="preserve">181) and the Matrimonial Causes Ordinance (Cap. 179), thus preventing her from marrying her male partner.  The case was dismissed by the Court of First Instance in 2010 and the Court of Appeal in 2011, both upholding the Registrar’s decision. </w:t>
      </w:r>
    </w:p>
    <w:p w:rsidR="0025470D" w:rsidRDefault="0025470D" w:rsidP="0025470D">
      <w:pPr>
        <w:spacing w:after="9" w:line="259" w:lineRule="auto"/>
        <w:ind w:left="0" w:firstLine="0"/>
        <w:jc w:val="left"/>
      </w:pPr>
      <w:r>
        <w:t xml:space="preserve"> </w:t>
      </w:r>
    </w:p>
    <w:p w:rsidR="0025470D" w:rsidRDefault="0025470D" w:rsidP="0025470D">
      <w:pPr>
        <w:numPr>
          <w:ilvl w:val="0"/>
          <w:numId w:val="64"/>
        </w:numPr>
        <w:ind w:right="3" w:hanging="1440"/>
      </w:pPr>
      <w:r>
        <w:t xml:space="preserve">In its judgment handed down on 13 May 2013, the CFA allowed W’s appeal, holding that, consistent with Article 37 of the Basic Law and Article 19(2) of the BOR (which implements Article 23 of the Covenant), she was in law entitled to be included as “a woman” within the meaning of section 40 of the Marriage Ordinance and section 20(1)(d) of the Matrimonial Causes Ordinance (Cap. 179) and therefore eligible to marry a man. </w:t>
      </w:r>
    </w:p>
    <w:p w:rsidR="0025470D" w:rsidRDefault="0025470D" w:rsidP="0025470D">
      <w:pPr>
        <w:spacing w:after="9" w:line="259" w:lineRule="auto"/>
        <w:ind w:left="0" w:firstLine="0"/>
        <w:jc w:val="left"/>
      </w:pPr>
      <w:r>
        <w:t xml:space="preserve"> </w:t>
      </w:r>
    </w:p>
    <w:p w:rsidR="0025470D" w:rsidRDefault="0025470D" w:rsidP="0025470D">
      <w:pPr>
        <w:numPr>
          <w:ilvl w:val="0"/>
          <w:numId w:val="64"/>
        </w:numPr>
        <w:ind w:right="3" w:hanging="1440"/>
      </w:pPr>
      <w:r>
        <w:t xml:space="preserve">The Government introduced the Marriage (Amendment) Bill 2014 to the LegCo on 28 February 2014 to implement the CFA’s order.  However, the motion for the Bill to be read for the second time did not pass the LegCo on 22 October 2014, with 11 votes in favour, 40 votes against and five votes abstaining. </w:t>
      </w:r>
    </w:p>
    <w:p w:rsidR="0025470D" w:rsidRDefault="0025470D" w:rsidP="0025470D">
      <w:pPr>
        <w:spacing w:after="11" w:line="259" w:lineRule="auto"/>
        <w:ind w:left="0" w:firstLine="0"/>
        <w:jc w:val="left"/>
      </w:pPr>
      <w:r>
        <w:t xml:space="preserve"> </w:t>
      </w:r>
    </w:p>
    <w:p w:rsidR="0025470D" w:rsidRDefault="0025470D" w:rsidP="0025470D">
      <w:pPr>
        <w:numPr>
          <w:ilvl w:val="0"/>
          <w:numId w:val="64"/>
        </w:numPr>
        <w:ind w:right="3" w:hanging="1440"/>
      </w:pPr>
      <w:r>
        <w:t xml:space="preserve">Notwithstanding that the Bill was not passed by the LegCo, the Registrar has implemented the CFA’s order administratively since 17 July 2014.  As from that day, persons who have received full sex reassignment surgery are treated by the Registrar, for the purpose of marriage registration, as being of the sex to which they have been reassigned after the surgery.  The fact that the Bill was not </w:t>
      </w:r>
      <w:r>
        <w:lastRenderedPageBreak/>
        <w:t xml:space="preserve">passed by the LegCo does not affect their right to marry in accordance with the CFA’s order. </w:t>
      </w:r>
    </w:p>
    <w:p w:rsidR="0025470D" w:rsidRDefault="0025470D" w:rsidP="0025470D">
      <w:pPr>
        <w:spacing w:after="97" w:line="259" w:lineRule="auto"/>
        <w:ind w:left="0" w:firstLine="0"/>
        <w:jc w:val="left"/>
      </w:pPr>
      <w:r>
        <w:rPr>
          <w:rFonts w:ascii="Calibri" w:eastAsia="Calibri" w:hAnsi="Calibri" w:cs="Calibri"/>
          <w:sz w:val="24"/>
        </w:rPr>
        <w:t xml:space="preserve"> </w:t>
      </w:r>
    </w:p>
    <w:p w:rsidR="0025470D" w:rsidRDefault="0025470D" w:rsidP="0025470D">
      <w:pPr>
        <w:numPr>
          <w:ilvl w:val="0"/>
          <w:numId w:val="64"/>
        </w:numPr>
        <w:ind w:right="3" w:hanging="1440"/>
      </w:pPr>
      <w:r>
        <w:t xml:space="preserve">In its judgment in the W case, the CFA also remarked that the </w:t>
      </w:r>
    </w:p>
    <w:p w:rsidR="0025470D" w:rsidRDefault="0025470D" w:rsidP="0025470D">
      <w:pPr>
        <w:ind w:left="19"/>
      </w:pPr>
      <w:r>
        <w:t xml:space="preserve">Government should consider how to address problems facing transsexual persons in all areas of law by drawing reference to overseas practice.  </w:t>
      </w:r>
    </w:p>
    <w:p w:rsidR="0025470D" w:rsidRDefault="0025470D" w:rsidP="0025470D">
      <w:pPr>
        <w:spacing w:after="64" w:line="259" w:lineRule="auto"/>
        <w:ind w:left="0" w:firstLine="0"/>
        <w:jc w:val="left"/>
      </w:pPr>
      <w:r>
        <w:t xml:space="preserve"> </w:t>
      </w:r>
    </w:p>
    <w:p w:rsidR="0025470D" w:rsidRDefault="0025470D" w:rsidP="0025470D">
      <w:pPr>
        <w:numPr>
          <w:ilvl w:val="0"/>
          <w:numId w:val="64"/>
        </w:numPr>
        <w:ind w:right="3" w:hanging="1440"/>
      </w:pPr>
      <w:r>
        <w:t xml:space="preserve">To follow up on the CFA’s judgement, the Government set up the Inter-departmental Working Group on Gender Recognition (IWG) in January 2014 to consider legislation and incidental administrative measures that may be required to protect the rights of transsexual persons in Hong Kong in all legal contexts, and to make recommendations for reform as appropriate.   </w:t>
      </w:r>
    </w:p>
    <w:p w:rsidR="0025470D" w:rsidRDefault="0025470D" w:rsidP="0025470D">
      <w:pPr>
        <w:spacing w:after="64" w:line="259" w:lineRule="auto"/>
        <w:ind w:left="0" w:firstLine="0"/>
        <w:jc w:val="left"/>
      </w:pPr>
      <w:r>
        <w:t xml:space="preserve"> </w:t>
      </w:r>
    </w:p>
    <w:p w:rsidR="0025470D" w:rsidRDefault="0025470D" w:rsidP="0025470D">
      <w:pPr>
        <w:numPr>
          <w:ilvl w:val="0"/>
          <w:numId w:val="64"/>
        </w:numPr>
        <w:ind w:right="3" w:hanging="1440"/>
      </w:pPr>
      <w:r>
        <w:t xml:space="preserve">The scope of the IWG’s study includes both recognition and post-recognition issues.  Recognition issues concern whether a legal gender recognition scheme should be established in Hong Kong, the criteria for determining whether a person is eligible for gender recognition, and the procedure for gender recognition.  Post-recognition issues concern the impact of gender recognition on existing laws and practice in the event that a gender recognition scheme is to be established in Hong Kong. </w:t>
      </w:r>
    </w:p>
    <w:p w:rsidR="0025470D" w:rsidRDefault="0025470D" w:rsidP="0025470D">
      <w:pPr>
        <w:spacing w:after="64" w:line="259" w:lineRule="auto"/>
        <w:ind w:left="0" w:firstLine="0"/>
        <w:jc w:val="left"/>
      </w:pPr>
      <w:r>
        <w:t xml:space="preserve"> </w:t>
      </w:r>
    </w:p>
    <w:p w:rsidR="0025470D" w:rsidRDefault="0025470D" w:rsidP="0025470D">
      <w:pPr>
        <w:numPr>
          <w:ilvl w:val="0"/>
          <w:numId w:val="64"/>
        </w:numPr>
        <w:ind w:right="3" w:hanging="1440"/>
      </w:pPr>
      <w:r>
        <w:t>In June 2017, the IWG issued a consultation paper to seek the views of the public on issues concerning legal gender recognition. The consultation period ended on 31 December 2017.  The IWG will consider the way forward after analysing the responses received.</w:t>
      </w:r>
      <w:r>
        <w:rPr>
          <w:sz w:val="24"/>
        </w:rPr>
        <w:t xml:space="preserve"> </w:t>
      </w:r>
    </w:p>
    <w:p w:rsidR="0025470D" w:rsidRDefault="0025470D" w:rsidP="0025470D">
      <w:pPr>
        <w:spacing w:after="427" w:line="259" w:lineRule="auto"/>
        <w:ind w:left="10" w:right="54" w:hanging="10"/>
        <w:jc w:val="right"/>
      </w:pPr>
      <w:r>
        <w:rPr>
          <w:b/>
        </w:rPr>
        <w:t>Annex 27A</w:t>
      </w:r>
    </w:p>
    <w:p w:rsidR="0025470D" w:rsidRDefault="0025470D" w:rsidP="0025470D">
      <w:pPr>
        <w:pStyle w:val="Heading4"/>
        <w:spacing w:after="6" w:line="259" w:lineRule="auto"/>
        <w:ind w:left="180" w:right="174"/>
        <w:jc w:val="center"/>
      </w:pPr>
      <w:r>
        <w:t xml:space="preserve">Education for NCS – Professional and funding support </w:t>
      </w:r>
    </w:p>
    <w:p w:rsidR="0025470D" w:rsidRDefault="0025470D" w:rsidP="0025470D">
      <w:pPr>
        <w:spacing w:after="64" w:line="259" w:lineRule="auto"/>
        <w:ind w:left="0" w:firstLine="0"/>
        <w:jc w:val="left"/>
      </w:pPr>
      <w:r>
        <w:t xml:space="preserve"> </w:t>
      </w:r>
    </w:p>
    <w:p w:rsidR="0025470D" w:rsidRDefault="0025470D" w:rsidP="0025470D">
      <w:pPr>
        <w:numPr>
          <w:ilvl w:val="0"/>
          <w:numId w:val="65"/>
        </w:numPr>
        <w:ind w:hanging="1440"/>
      </w:pPr>
      <w:r>
        <w:t xml:space="preserve">To facilitate schools’ implementation of the Learning </w:t>
      </w:r>
    </w:p>
    <w:p w:rsidR="0025470D" w:rsidRDefault="0025470D" w:rsidP="0025470D">
      <w:pPr>
        <w:spacing w:after="43"/>
        <w:ind w:left="19" w:right="2"/>
      </w:pPr>
      <w:r>
        <w:lastRenderedPageBreak/>
        <w:t xml:space="preserve">Framework and creation of an inclusive learning environment in schools, the EDB has, starting from the 2014/15 school year, increased substantially the provision of additional funding to schools to about $200 million per year.  In the 2016/17 school year, a total of 216 public sector and DSS schools admitting 10 or more NCS students and offering the local curriculum (including 118 primary schools and 98 secondary schools) were provided with an additional funding ranging from $0.8 million to </w:t>
      </w:r>
    </w:p>
    <w:p w:rsidR="0025470D" w:rsidRDefault="0025470D" w:rsidP="0025470D">
      <w:pPr>
        <w:ind w:left="19" w:right="82"/>
      </w:pPr>
      <w:r>
        <w:t xml:space="preserve">$1.5 million per year. </w:t>
      </w:r>
    </w:p>
    <w:p w:rsidR="0025470D" w:rsidRDefault="0025470D" w:rsidP="0025470D">
      <w:pPr>
        <w:spacing w:after="64" w:line="259" w:lineRule="auto"/>
        <w:ind w:left="0" w:firstLine="0"/>
        <w:jc w:val="left"/>
      </w:pPr>
      <w:r>
        <w:t xml:space="preserve"> </w:t>
      </w:r>
    </w:p>
    <w:p w:rsidR="0025470D" w:rsidRDefault="0025470D" w:rsidP="0025470D">
      <w:pPr>
        <w:numPr>
          <w:ilvl w:val="0"/>
          <w:numId w:val="65"/>
        </w:numPr>
        <w:ind w:hanging="1440"/>
      </w:pPr>
      <w:r>
        <w:t xml:space="preserve">The EDB has been monitoring and following up the use of the additional funding in schools.  From the 2014/15 to 2016/17 school years, the schools concerned mainly deployed the additional funding for appointing additional teaching staff to adopt diversified modes of intensive learning and teaching, including pull-out learning, split-class / group learning, after-school support, etc.  The schools concerned adopted appropriate modes of intensive learning and teaching with due regard to the learning progress and needs of their NCS students.  The schools concerned also generally deployed about 10% of the additional funding for appointing ethnic minority assistants and / or procurement of translation services to strengthen communication with parents of NCS students and organising multi-cultural activities.  In sum, the schools concerned have made optimal use of the additional funding according to the specified purpose. </w:t>
      </w:r>
    </w:p>
    <w:p w:rsidR="0025470D" w:rsidRDefault="0025470D" w:rsidP="0025470D">
      <w:pPr>
        <w:spacing w:after="64" w:line="259" w:lineRule="auto"/>
        <w:ind w:left="0" w:firstLine="0"/>
        <w:jc w:val="left"/>
      </w:pPr>
      <w:r>
        <w:t xml:space="preserve"> </w:t>
      </w:r>
    </w:p>
    <w:p w:rsidR="0025470D" w:rsidRDefault="0025470D" w:rsidP="0025470D">
      <w:pPr>
        <w:numPr>
          <w:ilvl w:val="0"/>
          <w:numId w:val="65"/>
        </w:numPr>
        <w:ind w:hanging="1440"/>
      </w:pPr>
      <w:r>
        <w:t xml:space="preserve">As regards schools admitting a handful (i.e. less than 10) of NCS students, they may also have an additional funding of $50,000 per year on a need basis to organise after-school support programmes to consolidate what their NCS students have learnt in Chinese Language classes.  In the 2016/17 school year, a total of 179 schools (including 92 primary schools and 87 secondary schools) were provided with the additional funding. </w:t>
      </w:r>
    </w:p>
    <w:p w:rsidR="0025470D" w:rsidRDefault="0025470D" w:rsidP="0025470D">
      <w:pPr>
        <w:spacing w:after="0" w:line="259" w:lineRule="auto"/>
        <w:ind w:left="0" w:firstLine="0"/>
        <w:jc w:val="left"/>
      </w:pPr>
      <w:r>
        <w:t xml:space="preserve"> </w:t>
      </w:r>
    </w:p>
    <w:p w:rsidR="0025470D" w:rsidRDefault="0025470D" w:rsidP="0025470D">
      <w:pPr>
        <w:spacing w:after="614" w:line="259" w:lineRule="auto"/>
        <w:ind w:left="0" w:firstLine="0"/>
        <w:jc w:val="left"/>
      </w:pPr>
      <w:r>
        <w:rPr>
          <w:rFonts w:ascii="Calibri" w:eastAsia="Calibri" w:hAnsi="Calibri" w:cs="Calibri"/>
          <w:sz w:val="20"/>
        </w:rPr>
        <w:lastRenderedPageBreak/>
        <w:t xml:space="preserve"> </w:t>
      </w:r>
    </w:p>
    <w:p w:rsidR="0025470D" w:rsidRDefault="0025470D" w:rsidP="0025470D">
      <w:pPr>
        <w:numPr>
          <w:ilvl w:val="0"/>
          <w:numId w:val="65"/>
        </w:numPr>
        <w:ind w:hanging="1440"/>
      </w:pPr>
      <w:r>
        <w:t xml:space="preserve">The EDB will continue to step up school-based professional support services and professional development programmes for teachers through diversified modes, including encouraging serving Chinese Language teachers to attend professional development programmes by providing subsidies under the “Professional Enhancement Grant Scheme for Chinese Teachers (Teaching Chinese as a Second Language)” launched under the Language Fund.  The EDB has also been organising diversified and progressively advanced professional development programmes, and in collaboration with the Education University of Hong Kong, organising a Certificate in Professional Development Programme on the Teaching of Chinese Language for Non-Chinese Speaking Students course with a view to further enhancing their professional capability in teaching the Chinese language to NCS students. </w:t>
      </w:r>
    </w:p>
    <w:p w:rsidR="0025470D" w:rsidRDefault="0025470D" w:rsidP="0025470D">
      <w:pPr>
        <w:spacing w:after="64" w:line="259" w:lineRule="auto"/>
        <w:ind w:left="0" w:firstLine="0"/>
        <w:jc w:val="left"/>
      </w:pPr>
      <w:r>
        <w:t xml:space="preserve"> </w:t>
      </w:r>
    </w:p>
    <w:p w:rsidR="0025470D" w:rsidRDefault="0025470D" w:rsidP="0025470D">
      <w:pPr>
        <w:numPr>
          <w:ilvl w:val="0"/>
          <w:numId w:val="65"/>
        </w:numPr>
        <w:ind w:hanging="1440"/>
      </w:pPr>
      <w:r>
        <w:t xml:space="preserve">As regards learning and teaching materials, the EDB will continue to update the complementary packages including learning modules and Second Language Learning Packages, teaching reference materials, Assessment Tools, etc. uploaded onto the EDB’s designated webpage.  Among these materials, the EDB has commissioned a tertiary institution to develop a series of teaching materials, including student textbooks, workbooks and teaching reference materials, for NCS students at lower primary levels (i.e. Primary 1 to 3) in the light of the experiences from supporting schools to implement the “Learning Framework” since the 2014/15 school year and the relevant research findings.  These teaching materials for Primary 1 have been uploaded onto the EDB webpage by phases.  The full set of teaching materials for the lower primary levels will be available by August 2019 for teachers’ reference and use.  The EDB will refine the teaching materials as appropriate on the basis of teachers’ feedback and further </w:t>
      </w:r>
      <w:r>
        <w:lastRenderedPageBreak/>
        <w:t xml:space="preserve">explore the feasibility of developing teaching materials for upper primary levels (i.e. Primary 4 to 6) in collaboration with tertiary institutions.  In addition to the aforementioned learning and teaching materials, based on schools’ experience in the implementation of the “Learning Framework”, it is found that NCS students of Levels 2 and 3 (i.e. Primary 3 and 4 in general) are at the most critical stage in their learning of the Chinese language.  In view of this, the EDB has also commissioned a tertiary institution to develop, in collaboration with primary schools, eight sets of “textbooks” pegged at Levels 2 and 3 of the “Learning Framework” that are suitable for NCS </w:t>
      </w:r>
    </w:p>
    <w:p w:rsidR="0025470D" w:rsidRDefault="0025470D" w:rsidP="0025470D">
      <w:pPr>
        <w:sectPr w:rsidR="0025470D">
          <w:headerReference w:type="even" r:id="rId331"/>
          <w:headerReference w:type="default" r:id="rId332"/>
          <w:footerReference w:type="even" r:id="rId333"/>
          <w:footerReference w:type="default" r:id="rId334"/>
          <w:headerReference w:type="first" r:id="rId335"/>
          <w:footerReference w:type="first" r:id="rId336"/>
          <w:pgSz w:w="11906" w:h="16838"/>
          <w:pgMar w:top="763" w:right="1796" w:bottom="1722" w:left="1800" w:header="720" w:footer="723" w:gutter="0"/>
          <w:cols w:space="720"/>
        </w:sectPr>
      </w:pPr>
    </w:p>
    <w:p w:rsidR="0025470D" w:rsidRDefault="0025470D" w:rsidP="0025470D">
      <w:pPr>
        <w:spacing w:after="559" w:line="259" w:lineRule="auto"/>
        <w:ind w:left="0" w:firstLine="0"/>
        <w:jc w:val="left"/>
      </w:pPr>
      <w:r>
        <w:rPr>
          <w:rFonts w:ascii="Calibri" w:eastAsia="Calibri" w:hAnsi="Calibri" w:cs="Calibri"/>
          <w:sz w:val="20"/>
        </w:rPr>
        <w:lastRenderedPageBreak/>
        <w:t xml:space="preserve"> </w:t>
      </w:r>
    </w:p>
    <w:p w:rsidR="0025470D" w:rsidRDefault="0025470D" w:rsidP="0025470D">
      <w:pPr>
        <w:spacing w:after="12522"/>
        <w:ind w:left="19"/>
      </w:pPr>
      <w:r>
        <w:t xml:space="preserve">students of Primary 3 and Primary 4 in general.  The first set of “textbooks” for Primary 3 has been published and distributed to NCS students and their schools since mid-December 2017.  It has also been uploaded onto the EDB webpage.  The rest of them will also be distributed upon completion for teachers’ trial and comment. </w:t>
      </w:r>
    </w:p>
    <w:p w:rsidR="0025470D" w:rsidRDefault="0025470D" w:rsidP="0025470D">
      <w:pPr>
        <w:spacing w:after="219" w:line="259" w:lineRule="auto"/>
        <w:ind w:left="10" w:right="130" w:hanging="10"/>
        <w:jc w:val="center"/>
      </w:pPr>
      <w:r>
        <w:rPr>
          <w:sz w:val="24"/>
        </w:rPr>
        <w:lastRenderedPageBreak/>
        <w:t>3</w:t>
      </w:r>
    </w:p>
    <w:p w:rsidR="0025470D" w:rsidRDefault="0025470D" w:rsidP="0025470D">
      <w:pPr>
        <w:sectPr w:rsidR="0025470D">
          <w:headerReference w:type="even" r:id="rId337"/>
          <w:headerReference w:type="default" r:id="rId338"/>
          <w:footerReference w:type="even" r:id="rId339"/>
          <w:footerReference w:type="default" r:id="rId340"/>
          <w:headerReference w:type="first" r:id="rId341"/>
          <w:footerReference w:type="first" r:id="rId342"/>
          <w:pgSz w:w="11906" w:h="16838"/>
          <w:pgMar w:top="1440" w:right="1671" w:bottom="1440"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343"/>
          <w:headerReference w:type="default" r:id="rId344"/>
          <w:footerReference w:type="even" r:id="rId345"/>
          <w:footerReference w:type="default" r:id="rId346"/>
          <w:headerReference w:type="first" r:id="rId347"/>
          <w:footerReference w:type="first" r:id="rId348"/>
          <w:pgSz w:w="11906" w:h="16838"/>
          <w:pgMar w:top="1440" w:right="1440" w:bottom="1440" w:left="1440" w:header="720" w:footer="5" w:gutter="0"/>
          <w:cols w:space="720"/>
        </w:sectPr>
      </w:pPr>
    </w:p>
    <w:p w:rsidR="0025470D" w:rsidRDefault="0025470D" w:rsidP="0025470D">
      <w:pPr>
        <w:spacing w:after="620" w:line="259" w:lineRule="auto"/>
        <w:ind w:left="0" w:firstLine="0"/>
        <w:jc w:val="left"/>
      </w:pPr>
      <w:r>
        <w:rPr>
          <w:rFonts w:ascii="Calibri" w:eastAsia="Calibri" w:hAnsi="Calibri" w:cs="Calibri"/>
          <w:sz w:val="20"/>
        </w:rPr>
        <w:lastRenderedPageBreak/>
        <w:t xml:space="preserve"> </w:t>
      </w:r>
    </w:p>
    <w:p w:rsidR="0025470D" w:rsidRDefault="0025470D" w:rsidP="0025470D">
      <w:pPr>
        <w:spacing w:after="9" w:line="259" w:lineRule="auto"/>
        <w:ind w:left="10" w:right="54" w:hanging="10"/>
        <w:jc w:val="right"/>
      </w:pPr>
      <w:r>
        <w:rPr>
          <w:b/>
        </w:rPr>
        <w:t xml:space="preserve">Annex 27B </w:t>
      </w:r>
    </w:p>
    <w:p w:rsidR="0025470D" w:rsidRDefault="0025470D" w:rsidP="0025470D">
      <w:pPr>
        <w:spacing w:after="68" w:line="259" w:lineRule="auto"/>
        <w:ind w:left="0" w:firstLine="0"/>
        <w:jc w:val="right"/>
      </w:pPr>
      <w:r>
        <w:rPr>
          <w:b/>
        </w:rPr>
        <w:t xml:space="preserve"> </w:t>
      </w:r>
    </w:p>
    <w:p w:rsidR="0025470D" w:rsidRDefault="0025470D" w:rsidP="0025470D">
      <w:pPr>
        <w:pStyle w:val="Heading4"/>
        <w:spacing w:after="6" w:line="259" w:lineRule="auto"/>
        <w:ind w:left="180" w:right="245"/>
        <w:jc w:val="center"/>
      </w:pPr>
      <w:r>
        <w:t xml:space="preserve">Education for NCS – Local Kindergarten </w:t>
      </w:r>
    </w:p>
    <w:p w:rsidR="0025470D" w:rsidRDefault="0025470D" w:rsidP="0025470D">
      <w:pPr>
        <w:spacing w:after="59" w:line="259" w:lineRule="auto"/>
        <w:ind w:left="0" w:right="3" w:firstLine="0"/>
        <w:jc w:val="center"/>
      </w:pPr>
      <w:r>
        <w:rPr>
          <w:b/>
        </w:rPr>
        <w:t xml:space="preserve"> </w:t>
      </w:r>
    </w:p>
    <w:p w:rsidR="0025470D" w:rsidRDefault="0025470D" w:rsidP="0025470D">
      <w:pPr>
        <w:ind w:left="19" w:right="82"/>
      </w:pPr>
      <w:r>
        <w:t xml:space="preserve"> Under the new KG policy implemented starting from the 2017/18 school year, KGs admitting NCS students (regardless of the number) may apply to join training courses and support programmes to enhance KG teachers’ competency in supporting NCS students.  On teachers’ training, the EDB has set specific training targets, that is, each KG joining the new KG education scheme (Scheme-KG) and receiving the additional grant on support to NCS students should have at least one teacher having attended the Basic Course as recognised by EDB by the 2018/19 school year; and this will be extended to all Scheme-KGs having admitted NCS students (regardless of the number) by the 2020/21 school year.  EDB will provide training courses as appropriate to enable KGs to meet these targets.  Training target for advanced courses will be considered in light of the experience of the Basic Courses and frontline experience of application of knowledge in practice.  KGs admitting eight or more NCS students are also provided an additional grant.  For KGs admitting less than eight NCS students, in addition to capitalising on the immersed Chinese language environment, they may strengthen support to their NCS students through participation in the afore-mentioned training courses and school-based support programmes.</w:t>
      </w:r>
      <w:r>
        <w:rPr>
          <w:b/>
        </w:rPr>
        <w:t xml:space="preserve"> </w:t>
      </w:r>
    </w:p>
    <w:p w:rsidR="0025470D" w:rsidRDefault="0025470D" w:rsidP="0025470D">
      <w:pPr>
        <w:spacing w:after="5739" w:line="259" w:lineRule="auto"/>
        <w:ind w:left="0" w:firstLine="0"/>
        <w:jc w:val="left"/>
      </w:pPr>
      <w:r>
        <w:rPr>
          <w:sz w:val="24"/>
        </w:rPr>
        <w:t xml:space="preserve"> </w:t>
      </w:r>
    </w:p>
    <w:p w:rsidR="0025470D" w:rsidRDefault="0025470D" w:rsidP="0025470D">
      <w:pPr>
        <w:spacing w:after="219" w:line="259" w:lineRule="auto"/>
        <w:ind w:left="10" w:right="73" w:hanging="10"/>
        <w:jc w:val="center"/>
      </w:pPr>
      <w:r>
        <w:rPr>
          <w:sz w:val="24"/>
        </w:rPr>
        <w:lastRenderedPageBreak/>
        <w:t>1</w:t>
      </w:r>
    </w:p>
    <w:p w:rsidR="0025470D" w:rsidRDefault="0025470D" w:rsidP="0025470D">
      <w:pPr>
        <w:sectPr w:rsidR="0025470D">
          <w:headerReference w:type="even" r:id="rId349"/>
          <w:headerReference w:type="default" r:id="rId350"/>
          <w:footerReference w:type="even" r:id="rId351"/>
          <w:footerReference w:type="default" r:id="rId352"/>
          <w:headerReference w:type="first" r:id="rId353"/>
          <w:footerReference w:type="first" r:id="rId354"/>
          <w:pgSz w:w="11906" w:h="16838"/>
          <w:pgMar w:top="1440" w:right="1728" w:bottom="1440" w:left="1800" w:header="720" w:footer="720" w:gutter="0"/>
          <w:cols w:space="720"/>
        </w:sectPr>
      </w:pPr>
    </w:p>
    <w:p w:rsidR="0025470D" w:rsidRDefault="0025470D" w:rsidP="0025470D">
      <w:pPr>
        <w:spacing w:after="0" w:line="259" w:lineRule="auto"/>
        <w:ind w:left="0" w:firstLine="0"/>
        <w:jc w:val="left"/>
      </w:pPr>
    </w:p>
    <w:p w:rsidR="0025470D" w:rsidRDefault="0025470D" w:rsidP="0025470D">
      <w:pPr>
        <w:sectPr w:rsidR="0025470D">
          <w:headerReference w:type="even" r:id="rId355"/>
          <w:headerReference w:type="default" r:id="rId356"/>
          <w:footerReference w:type="even" r:id="rId357"/>
          <w:footerReference w:type="default" r:id="rId358"/>
          <w:headerReference w:type="first" r:id="rId359"/>
          <w:footerReference w:type="first" r:id="rId360"/>
          <w:pgSz w:w="11906" w:h="16838"/>
          <w:pgMar w:top="1440" w:right="1440" w:bottom="1440" w:left="1440" w:header="720" w:footer="5" w:gutter="0"/>
          <w:cols w:space="720"/>
        </w:sectPr>
      </w:pPr>
    </w:p>
    <w:p w:rsidR="0025470D" w:rsidRDefault="0025470D" w:rsidP="0025470D">
      <w:pPr>
        <w:spacing w:after="427" w:line="259" w:lineRule="auto"/>
        <w:ind w:left="10" w:right="54" w:hanging="10"/>
        <w:jc w:val="right"/>
      </w:pPr>
      <w:r>
        <w:rPr>
          <w:b/>
        </w:rPr>
        <w:lastRenderedPageBreak/>
        <w:t>Annex 27C</w:t>
      </w:r>
    </w:p>
    <w:p w:rsidR="0025470D" w:rsidRDefault="0025470D" w:rsidP="0025470D">
      <w:pPr>
        <w:pStyle w:val="Heading4"/>
        <w:spacing w:after="6" w:line="259" w:lineRule="auto"/>
        <w:ind w:left="180" w:right="176"/>
        <w:jc w:val="center"/>
      </w:pPr>
      <w:r>
        <w:t xml:space="preserve">Access to public sector employment </w:t>
      </w:r>
    </w:p>
    <w:p w:rsidR="0025470D" w:rsidRDefault="0025470D" w:rsidP="0025470D">
      <w:pPr>
        <w:spacing w:after="59" w:line="259" w:lineRule="auto"/>
        <w:ind w:left="0" w:firstLine="0"/>
        <w:jc w:val="left"/>
      </w:pPr>
      <w:r>
        <w:rPr>
          <w:b/>
        </w:rPr>
        <w:t xml:space="preserve"> </w:t>
      </w:r>
    </w:p>
    <w:p w:rsidR="0025470D" w:rsidRDefault="0025470D" w:rsidP="0025470D">
      <w:pPr>
        <w:numPr>
          <w:ilvl w:val="0"/>
          <w:numId w:val="66"/>
        </w:numPr>
        <w:ind w:right="3"/>
      </w:pPr>
      <w:r>
        <w:t xml:space="preserve">The position remains essentially as mentioned in paragraphs 381 to 383 of the previous report.  Appointments to the civil service are based on open and fair competition, and entry requirements for civil service posts are set based on the qualities or attributes as may be required for particular jobs.  All the candidates in an open recruitment exercise to fill vacancies in a particular grade are assessed consistently on the basis of merit and stipulated entry requirements.  It is also a long-standing policy that promotion of civil servants is based on merit and on prescribed assessment criteria such as acquisition of specific professional qualification, past work performance and potential.  Neither new recruits nor serving civil servants are required to declare their ethnic origins.  Race is not a relevant consideration in the assessment for recruitment or promotion of civil servants. </w:t>
      </w:r>
    </w:p>
    <w:p w:rsidR="0025470D" w:rsidRDefault="0025470D" w:rsidP="0025470D">
      <w:pPr>
        <w:spacing w:after="64" w:line="259" w:lineRule="auto"/>
        <w:ind w:left="0" w:firstLine="0"/>
        <w:jc w:val="left"/>
      </w:pPr>
      <w:r>
        <w:t xml:space="preserve"> </w:t>
      </w:r>
    </w:p>
    <w:p w:rsidR="0025470D" w:rsidRDefault="0025470D" w:rsidP="0025470D">
      <w:pPr>
        <w:numPr>
          <w:ilvl w:val="0"/>
          <w:numId w:val="66"/>
        </w:numPr>
        <w:ind w:right="3"/>
      </w:pPr>
      <w:r>
        <w:t>As explained in paragraph 382 of the previous report, it is our policy objective to maintain a civil service that can operate efficiently and effectively in the two official languages of the HKSAR, namely Chinese and English.  The Government thus specifies appropriate Chinese and English language proficiency requirements as part of the entry requirements for appointment to individual civil service grades having regard to the job requirements of the grades concerned.  To ensure that ethnic minorities, like other applicants, have equal access to civil service job opportunities, Government bureaux and departments have kept the Chinese language proficiency requirements under review to ensure that they are no more necessary than that for satisfactory performance of the job.</w:t>
      </w:r>
      <w:r>
        <w:rPr>
          <w:color w:val="0000FF"/>
        </w:rPr>
        <w:t xml:space="preserve">  </w:t>
      </w:r>
      <w:r>
        <w:t xml:space="preserve">With a view to increasing government job opportunities for ethnic minorities, the Civil Service Bureau has started to co-ordinate a comprehensive review on the entry requirements relating to Chinese proficiency for all the grades of the civil service.   </w:t>
      </w:r>
    </w:p>
    <w:p w:rsidR="0025470D" w:rsidRDefault="0025470D" w:rsidP="0025470D">
      <w:pPr>
        <w:spacing w:after="64" w:line="259" w:lineRule="auto"/>
        <w:ind w:left="0" w:firstLine="0"/>
        <w:jc w:val="left"/>
      </w:pPr>
      <w:r>
        <w:t xml:space="preserve"> </w:t>
      </w:r>
    </w:p>
    <w:p w:rsidR="0025470D" w:rsidRDefault="0025470D" w:rsidP="0025470D">
      <w:pPr>
        <w:numPr>
          <w:ilvl w:val="0"/>
          <w:numId w:val="66"/>
        </w:numPr>
        <w:spacing w:after="642"/>
        <w:ind w:right="3"/>
      </w:pPr>
      <w:r>
        <w:t xml:space="preserve">It is also worth mentioning that since August 2007, all Government bureaux and departments have accepted Chinese Language results in the IGCSE / GCSE / GCE, which are qualifications popular amongst students learning Chinese as a second language, for appointment </w:t>
      </w:r>
    </w:p>
    <w:p w:rsidR="0025470D" w:rsidRDefault="0025470D" w:rsidP="0025470D">
      <w:pPr>
        <w:spacing w:after="219" w:line="259" w:lineRule="auto"/>
        <w:ind w:left="10" w:right="6" w:hanging="10"/>
        <w:jc w:val="center"/>
      </w:pPr>
      <w:r>
        <w:rPr>
          <w:sz w:val="24"/>
        </w:rPr>
        <w:lastRenderedPageBreak/>
        <w:t>1</w:t>
      </w:r>
    </w:p>
    <w:p w:rsidR="0025470D" w:rsidRDefault="0025470D" w:rsidP="0025470D">
      <w:pPr>
        <w:spacing w:after="559" w:line="259" w:lineRule="auto"/>
        <w:ind w:left="0" w:firstLine="0"/>
        <w:jc w:val="left"/>
      </w:pPr>
      <w:r>
        <w:rPr>
          <w:rFonts w:ascii="Calibri" w:eastAsia="Calibri" w:hAnsi="Calibri" w:cs="Calibri"/>
          <w:sz w:val="20"/>
        </w:rPr>
        <w:t xml:space="preserve"> </w:t>
      </w:r>
    </w:p>
    <w:p w:rsidR="0025470D" w:rsidRDefault="0025470D" w:rsidP="0025470D">
      <w:pPr>
        <w:spacing w:after="12162"/>
        <w:ind w:left="19" w:right="7"/>
      </w:pPr>
      <w:r>
        <w:t>to civil service posts.  With the first cohort of students taking examination of the Applied Learning Chinese (for NCS students) subject under the Hong Kong Diploma of Secondary Education Examination in 2017, all Government bureaux and departments have accepted the results of this subject in civil service recruitment.  All the acceptance arrangements above have been publicised on the government website.</w:t>
      </w:r>
      <w:r>
        <w:rPr>
          <w:b/>
        </w:rPr>
        <w:t xml:space="preserve"> </w:t>
      </w:r>
    </w:p>
    <w:p w:rsidR="0025470D" w:rsidRDefault="0025470D" w:rsidP="0025470D">
      <w:pPr>
        <w:spacing w:after="219" w:line="259" w:lineRule="auto"/>
        <w:ind w:left="10" w:right="6" w:hanging="10"/>
        <w:jc w:val="center"/>
      </w:pPr>
      <w:r>
        <w:rPr>
          <w:sz w:val="24"/>
        </w:rPr>
        <w:lastRenderedPageBreak/>
        <w:t>2</w:t>
      </w:r>
    </w:p>
    <w:p w:rsidR="0025470D" w:rsidRDefault="0025470D" w:rsidP="0025470D">
      <w:pPr>
        <w:sectPr w:rsidR="0025470D">
          <w:headerReference w:type="even" r:id="rId361"/>
          <w:headerReference w:type="default" r:id="rId362"/>
          <w:footerReference w:type="even" r:id="rId363"/>
          <w:footerReference w:type="default" r:id="rId364"/>
          <w:headerReference w:type="first" r:id="rId365"/>
          <w:footerReference w:type="first" r:id="rId366"/>
          <w:pgSz w:w="11906" w:h="16838"/>
          <w:pgMar w:top="763" w:right="1794" w:bottom="723" w:left="1800" w:header="720" w:footer="720" w:gutter="0"/>
          <w:cols w:space="720"/>
        </w:sectPr>
      </w:pPr>
    </w:p>
    <w:p w:rsidR="0025470D" w:rsidRDefault="0025470D" w:rsidP="0025470D">
      <w:pPr>
        <w:spacing w:after="427" w:line="259" w:lineRule="auto"/>
        <w:ind w:left="10" w:right="54" w:hanging="10"/>
        <w:jc w:val="right"/>
      </w:pPr>
      <w:r>
        <w:rPr>
          <w:b/>
        </w:rPr>
        <w:lastRenderedPageBreak/>
        <w:t>Annex 27D</w:t>
      </w:r>
    </w:p>
    <w:p w:rsidR="0025470D" w:rsidRDefault="0025470D" w:rsidP="0025470D">
      <w:pPr>
        <w:pStyle w:val="Heading4"/>
        <w:spacing w:after="55"/>
        <w:ind w:left="230" w:firstLine="350"/>
      </w:pPr>
      <w:r>
        <w:t xml:space="preserve">Administrative Guidelines on Promotion of Racial Equality, Support Services for EMs and Efforts on Publicity and Education </w:t>
      </w:r>
    </w:p>
    <w:p w:rsidR="0025470D" w:rsidRDefault="0025470D" w:rsidP="0025470D">
      <w:pPr>
        <w:spacing w:after="62" w:line="259" w:lineRule="auto"/>
        <w:ind w:left="0" w:firstLine="0"/>
        <w:jc w:val="left"/>
      </w:pPr>
      <w:r>
        <w:t xml:space="preserve"> </w:t>
      </w:r>
    </w:p>
    <w:p w:rsidR="0025470D" w:rsidRDefault="0025470D" w:rsidP="0025470D">
      <w:pPr>
        <w:pStyle w:val="Heading5"/>
        <w:ind w:left="-5"/>
      </w:pPr>
      <w:r>
        <w:t>The Guidelines</w:t>
      </w:r>
      <w:r>
        <w:rPr>
          <w:u w:color="000000"/>
        </w:rPr>
        <w:t xml:space="preserve"> </w:t>
      </w:r>
    </w:p>
    <w:p w:rsidR="0025470D" w:rsidRDefault="0025470D" w:rsidP="0025470D">
      <w:pPr>
        <w:spacing w:after="59" w:line="259" w:lineRule="auto"/>
        <w:ind w:left="0" w:firstLine="0"/>
        <w:jc w:val="left"/>
      </w:pPr>
      <w:r>
        <w:rPr>
          <w:b/>
        </w:rPr>
        <w:t xml:space="preserve"> </w:t>
      </w:r>
    </w:p>
    <w:p w:rsidR="0025470D" w:rsidRDefault="0025470D" w:rsidP="0025470D">
      <w:pPr>
        <w:numPr>
          <w:ilvl w:val="0"/>
          <w:numId w:val="67"/>
        </w:numPr>
        <w:ind w:right="82" w:hanging="1440"/>
      </w:pPr>
      <w:r>
        <w:t xml:space="preserve">Further to the legislation against race discrimination as described in paragraphs 188 to 196 above in relation to Article 26 of the Covenant, the Government issued in 2010 the Guidelines to provide general guidance to relevant Government bureaux and departments and public authorities (hereafter referred to as “relevant authorities”) to promote racial equality and ensure equal access by ethnic minorities to public services in key areas concerned, and to take this into account in their formulation, implementation and review of relevant policies and measures.  In accordance with the Guidelines, relevant authorities have drawn up checklists of measures that would assist in the promotion of racial equality, ensuring equal access to key public services and enhancing the transparency of their work.  The checklists cover various areas of services – social welfare, education, employment, vocational training, medical and health, communications and technology and public enquiry and declaration services. </w:t>
      </w:r>
    </w:p>
    <w:p w:rsidR="0025470D" w:rsidRDefault="0025470D" w:rsidP="0025470D">
      <w:pPr>
        <w:spacing w:after="64" w:line="259" w:lineRule="auto"/>
        <w:ind w:left="0" w:firstLine="0"/>
        <w:jc w:val="left"/>
      </w:pPr>
      <w:r>
        <w:t xml:space="preserve"> </w:t>
      </w:r>
    </w:p>
    <w:p w:rsidR="0025470D" w:rsidRDefault="0025470D" w:rsidP="0025470D">
      <w:pPr>
        <w:numPr>
          <w:ilvl w:val="0"/>
          <w:numId w:val="67"/>
        </w:numPr>
        <w:ind w:right="82" w:hanging="1440"/>
      </w:pPr>
      <w:r>
        <w:t xml:space="preserve">Since the promulgation of the Guidelines in 2010, the </w:t>
      </w:r>
    </w:p>
    <w:p w:rsidR="0025470D" w:rsidRDefault="0025470D" w:rsidP="0025470D">
      <w:pPr>
        <w:ind w:left="19" w:right="82"/>
      </w:pPr>
      <w:r>
        <w:t xml:space="preserve">Government has kept the operation of the Guidelines under review.  For instance, the scope of application of the Guidelines has extended from 14 to 23 authorities.  Relevant authorities have consistently put in place measures to assist ethnic minorities.  For example: </w:t>
      </w:r>
    </w:p>
    <w:p w:rsidR="0025470D" w:rsidRDefault="0025470D" w:rsidP="0025470D">
      <w:pPr>
        <w:spacing w:after="64" w:line="259" w:lineRule="auto"/>
        <w:ind w:left="0" w:firstLine="0"/>
        <w:jc w:val="left"/>
      </w:pPr>
      <w:r>
        <w:t xml:space="preserve"> </w:t>
      </w:r>
    </w:p>
    <w:p w:rsidR="0025470D" w:rsidRDefault="0025470D" w:rsidP="0025470D">
      <w:pPr>
        <w:numPr>
          <w:ilvl w:val="1"/>
          <w:numId w:val="67"/>
        </w:numPr>
        <w:ind w:right="82" w:hanging="720"/>
      </w:pPr>
      <w:r>
        <w:t xml:space="preserve">since November 2016, the Police have provided instant telephone interpretation services in seven common non-ethnic </w:t>
      </w:r>
    </w:p>
    <w:p w:rsidR="0025470D" w:rsidRDefault="0025470D" w:rsidP="0025470D">
      <w:pPr>
        <w:ind w:left="1448" w:right="82"/>
      </w:pPr>
      <w:r>
        <w:lastRenderedPageBreak/>
        <w:t xml:space="preserve">Chinese languages, namely Urdu, Nepali, Punjabi, Hindi, Bahasa Indonesia, Thai and Tagalog, to cover all 67 police report rooms and reporting centres; and </w:t>
      </w:r>
    </w:p>
    <w:p w:rsidR="0025470D" w:rsidRDefault="0025470D" w:rsidP="0025470D">
      <w:pPr>
        <w:spacing w:after="64" w:line="259" w:lineRule="auto"/>
        <w:ind w:left="720" w:firstLine="0"/>
        <w:jc w:val="left"/>
      </w:pPr>
      <w:r>
        <w:t xml:space="preserve"> </w:t>
      </w:r>
    </w:p>
    <w:p w:rsidR="0025470D" w:rsidRDefault="0025470D" w:rsidP="0025470D">
      <w:pPr>
        <w:numPr>
          <w:ilvl w:val="1"/>
          <w:numId w:val="67"/>
        </w:numPr>
        <w:ind w:right="82" w:hanging="720"/>
      </w:pPr>
      <w:r>
        <w:t xml:space="preserve">Hospital Authority has provided interpretation services covering 18 ethnic minority languages in public hospitals and clinics primarily through a service contractor, part-time court interpreters and relevant consulates.  Hospital Authority staff will contact the contractor’s 24 hours call centre to arrange on-site or telephone interpretation services according to the needs of each case or upon request of patients.  For scheduled services (such as medical appointment at the general outpatient and specialist clinics), patients may request the hospital / clinic concerned to arrange interpretation services in advance.  For non-scheduled service (such as emergency hospital admission), hospital staff will arrange immediate provision of telephone interpretation services or on-site interpretation services as soon as possible. </w:t>
      </w:r>
    </w:p>
    <w:p w:rsidR="0025470D" w:rsidRDefault="0025470D" w:rsidP="0025470D">
      <w:pPr>
        <w:spacing w:after="64" w:line="259" w:lineRule="auto"/>
        <w:ind w:left="0" w:firstLine="0"/>
        <w:jc w:val="left"/>
      </w:pPr>
      <w:r>
        <w:t xml:space="preserve"> </w:t>
      </w:r>
    </w:p>
    <w:p w:rsidR="0025470D" w:rsidRDefault="0025470D" w:rsidP="0025470D">
      <w:pPr>
        <w:numPr>
          <w:ilvl w:val="0"/>
          <w:numId w:val="67"/>
        </w:numPr>
        <w:ind w:right="82" w:hanging="1440"/>
      </w:pPr>
      <w:r>
        <w:t xml:space="preserve">Some commentators were of the opinion that the Guidelines did not cover all Government bureau / departments and that compliance with the Guidelines was not mandatory.  They were also concerned with the resources provided to relevant authorities for implementing the Guidelines.  The Guidelines cover the key public services which are particularly relevant to meeting the special needs of ethnic minorities.  The Government will keep their implementation under review.   </w:t>
      </w:r>
    </w:p>
    <w:p w:rsidR="0025470D" w:rsidRDefault="0025470D" w:rsidP="0025470D">
      <w:pPr>
        <w:spacing w:after="64" w:line="259" w:lineRule="auto"/>
        <w:ind w:left="0" w:firstLine="0"/>
        <w:jc w:val="left"/>
      </w:pPr>
      <w:r>
        <w:t xml:space="preserve"> </w:t>
      </w:r>
    </w:p>
    <w:p w:rsidR="0025470D" w:rsidRDefault="0025470D" w:rsidP="0025470D">
      <w:pPr>
        <w:numPr>
          <w:ilvl w:val="0"/>
          <w:numId w:val="67"/>
        </w:numPr>
        <w:ind w:right="82" w:hanging="1440"/>
      </w:pPr>
      <w:r>
        <w:t xml:space="preserve">As with other administrative guidelines issued by the Government, relevant authorities are required to comply with the Guidelines.  Any non-compliance with the Guidelines could be addressed through the established complaint mechanisms.  On resource deployment, the relevant authorities have deployed internal resources to implement the Guidelines and will, where necessary, seek additional </w:t>
      </w:r>
      <w:r>
        <w:lastRenderedPageBreak/>
        <w:t xml:space="preserve">resources within the Government through established mechanisms. </w:t>
      </w:r>
    </w:p>
    <w:p w:rsidR="0025470D" w:rsidRDefault="0025470D" w:rsidP="0025470D">
      <w:pPr>
        <w:spacing w:after="63" w:line="259" w:lineRule="auto"/>
        <w:ind w:left="0" w:firstLine="0"/>
        <w:jc w:val="left"/>
      </w:pPr>
      <w:r>
        <w:t xml:space="preserve"> </w:t>
      </w:r>
    </w:p>
    <w:p w:rsidR="0025470D" w:rsidRDefault="0025470D" w:rsidP="0025470D">
      <w:pPr>
        <w:pStyle w:val="Heading5"/>
        <w:ind w:left="-5"/>
      </w:pPr>
      <w:r>
        <w:t>Support services for ethnic minorities</w:t>
      </w:r>
      <w:r>
        <w:rPr>
          <w:u w:color="000000"/>
        </w:rPr>
        <w:t xml:space="preserve"> </w:t>
      </w:r>
    </w:p>
    <w:p w:rsidR="0025470D" w:rsidRDefault="0025470D" w:rsidP="0025470D">
      <w:pPr>
        <w:spacing w:after="64" w:line="259" w:lineRule="auto"/>
        <w:ind w:left="0" w:firstLine="0"/>
        <w:jc w:val="left"/>
      </w:pPr>
      <w:r>
        <w:t xml:space="preserve"> </w:t>
      </w:r>
    </w:p>
    <w:p w:rsidR="0025470D" w:rsidRDefault="0025470D" w:rsidP="0025470D">
      <w:pPr>
        <w:numPr>
          <w:ilvl w:val="0"/>
          <w:numId w:val="68"/>
        </w:numPr>
        <w:ind w:right="82" w:hanging="1440"/>
      </w:pPr>
      <w:r>
        <w:t xml:space="preserve">We believe that public education and support services are important for better integration of ethnic minorities into the community. Over the years, the Government has launched various initiatives to promote racial harmony and to assist integration of ethnic minorities. Some of these were mentioned in paragraph 315 of Part II of the second report, paragraphs 377 to 380 of the previous report and paragraphs 104 to 107 of the HKSAR Common Core Document.  The latest position is set out in the following paragraphs.  </w:t>
      </w:r>
    </w:p>
    <w:p w:rsidR="0025470D" w:rsidRDefault="0025470D" w:rsidP="0025470D">
      <w:pPr>
        <w:numPr>
          <w:ilvl w:val="0"/>
          <w:numId w:val="68"/>
        </w:numPr>
        <w:ind w:right="82" w:hanging="1440"/>
      </w:pPr>
      <w:r>
        <w:t xml:space="preserve">Since 2011, the Home Affairs Department has made use of its district networks to provide tailor-made services and programmes for ethnic minorities, including commissioning NGOs to operate six support service centres for ethnic minorities and two sub-centres providing various tailor-made learning classes, integration programmes and counselling for ethnic minorities; sponsoring two community support teams (i.e. the Nepalese and Pakistani teams) to provide integration services for ethnic minorities through members of their own communities; and implementing district-based integration programmes and ambassador schemes for ethnic minorities.  Besides, to further support and assist the ethnic minorities to integrate into society and to cultivate positive values, the Police has launched a regular cross-disciplined forces training programme to provide ethnic minorities youths with discipline, physical and team-building training. </w:t>
      </w:r>
    </w:p>
    <w:p w:rsidR="0025470D" w:rsidRDefault="0025470D" w:rsidP="0025470D">
      <w:pPr>
        <w:spacing w:after="64" w:line="259" w:lineRule="auto"/>
        <w:ind w:left="0" w:firstLine="0"/>
        <w:jc w:val="left"/>
      </w:pPr>
      <w:r>
        <w:t xml:space="preserve"> </w:t>
      </w:r>
    </w:p>
    <w:p w:rsidR="0025470D" w:rsidRDefault="0025470D" w:rsidP="0025470D">
      <w:pPr>
        <w:numPr>
          <w:ilvl w:val="0"/>
          <w:numId w:val="68"/>
        </w:numPr>
        <w:ind w:right="82" w:hanging="1440"/>
      </w:pPr>
      <w:r>
        <w:t xml:space="preserve">The Special Needs Groups Task Force under the Poverty Commission was established in 2014 to review and explore policies and measures to assist ethnic minorities and other underprivileged groups to integrate into the community, be self-reliant and move upwards along the social ladder. </w:t>
      </w:r>
    </w:p>
    <w:p w:rsidR="0025470D" w:rsidRDefault="0025470D" w:rsidP="0025470D">
      <w:pPr>
        <w:spacing w:after="64" w:line="259" w:lineRule="auto"/>
        <w:ind w:left="0" w:firstLine="0"/>
        <w:jc w:val="left"/>
      </w:pPr>
      <w:r>
        <w:t xml:space="preserve"> </w:t>
      </w:r>
    </w:p>
    <w:p w:rsidR="0025470D" w:rsidRDefault="0025470D" w:rsidP="0025470D">
      <w:pPr>
        <w:numPr>
          <w:ilvl w:val="0"/>
          <w:numId w:val="68"/>
        </w:numPr>
        <w:ind w:right="82" w:hanging="1440"/>
      </w:pPr>
      <w:r>
        <w:lastRenderedPageBreak/>
        <w:t xml:space="preserve">The Committee on the Promotion of Racial Harmony and the Ethnic Minorities Forum as mentioned in paragraph 379 of the previous report, continue to provide platforms for discussion of the services and supports for ethnic minorities provided by various bureaux and departments. </w:t>
      </w:r>
    </w:p>
    <w:p w:rsidR="0025470D" w:rsidRDefault="0025470D" w:rsidP="0025470D">
      <w:pPr>
        <w:spacing w:after="64" w:line="259" w:lineRule="auto"/>
        <w:ind w:left="0" w:firstLine="0"/>
        <w:jc w:val="left"/>
      </w:pPr>
      <w:r>
        <w:t xml:space="preserve"> </w:t>
      </w:r>
    </w:p>
    <w:p w:rsidR="0025470D" w:rsidRDefault="0025470D" w:rsidP="0025470D">
      <w:pPr>
        <w:numPr>
          <w:ilvl w:val="0"/>
          <w:numId w:val="68"/>
        </w:numPr>
        <w:ind w:right="82" w:hanging="1440"/>
      </w:pPr>
      <w:r>
        <w:t xml:space="preserve">To improve the employability of ethnic minorities, the </w:t>
      </w:r>
    </w:p>
    <w:p w:rsidR="0025470D" w:rsidRDefault="0025470D" w:rsidP="0025470D">
      <w:pPr>
        <w:ind w:left="19" w:right="82"/>
      </w:pPr>
      <w:r>
        <w:t xml:space="preserve">Employees Retraining Board has been providing dedicated training courses to suit ethnic minorities’ aspirations and training needs.  The dedicated courses include full-time placement-tied and half-day or evening nonplacement-tied Skills Upgrading Scheme Plus and generic skills training courses.  Interpretation services of ethnic minority languages in class are arranged where necessary.  Ethnic minority trainees who have completed the placement-tied courses are provided with six-month placement followup service.  Other support measures by the Board include subsidies for training bodies to develop supplementary training materials and provide learning support services for ethnic minorities, targeted support services at its service centres and service spots, distribution of promotional leaflets in English and six ethnic minority languages (i.e. Hindi, Urdu, Nepali, Indonesian, Tagalog and Thai) for distribution to ethnic minority groups, etc.   </w:t>
      </w:r>
    </w:p>
    <w:p w:rsidR="0025470D" w:rsidRDefault="0025470D" w:rsidP="0025470D">
      <w:pPr>
        <w:spacing w:after="64" w:line="259" w:lineRule="auto"/>
        <w:ind w:left="0" w:firstLine="0"/>
        <w:jc w:val="left"/>
      </w:pPr>
      <w:r>
        <w:t xml:space="preserve"> </w:t>
      </w:r>
    </w:p>
    <w:p w:rsidR="0025470D" w:rsidRDefault="0025470D" w:rsidP="0025470D">
      <w:pPr>
        <w:numPr>
          <w:ilvl w:val="0"/>
          <w:numId w:val="68"/>
        </w:numPr>
        <w:ind w:right="82" w:hanging="1440"/>
      </w:pPr>
      <w:r>
        <w:t xml:space="preserve">The Leisure and Cultural Services Department (LCSD) </w:t>
      </w:r>
    </w:p>
    <w:p w:rsidR="0025470D" w:rsidRDefault="0025470D" w:rsidP="0025470D">
      <w:pPr>
        <w:ind w:left="19"/>
      </w:pPr>
      <w:r>
        <w:t xml:space="preserve">organises a wide variety of cultural activities for ethnic minorities from time to time to encourage community participation.  Since 2001, LCSD has, in cooperation with Consulate-Generals / Consulates of the Asian countries, organised outdoor carnival “Asian Ethnic Cultural Performances” annually showcasing traditional music and dance performances by Asian ethnics residing in Hong Kong.  In “Asian Ethnic Cultural Performances 2016”, ethnic performances of sixteen Asia-Pacific countries and regions featuring more than 400 local and overseas artists were staged.  In 2017, the programme showcased over 30 arts groups from 15 Asian countries and regions. </w:t>
      </w:r>
    </w:p>
    <w:p w:rsidR="0025470D" w:rsidRDefault="0025470D" w:rsidP="0025470D">
      <w:pPr>
        <w:spacing w:after="64" w:line="259" w:lineRule="auto"/>
        <w:ind w:left="0" w:firstLine="0"/>
        <w:jc w:val="left"/>
      </w:pPr>
      <w:r>
        <w:t xml:space="preserve"> </w:t>
      </w:r>
    </w:p>
    <w:p w:rsidR="0025470D" w:rsidRDefault="0025470D" w:rsidP="0025470D">
      <w:pPr>
        <w:numPr>
          <w:ilvl w:val="0"/>
          <w:numId w:val="68"/>
        </w:numPr>
        <w:ind w:right="82" w:hanging="1440"/>
      </w:pPr>
      <w:r>
        <w:t xml:space="preserve">LCSD has been collaborating with The Philippine Consulate General in Hong Kong to organise the annual “Concert in the </w:t>
      </w:r>
      <w:r>
        <w:lastRenderedPageBreak/>
        <w:t xml:space="preserve">Park” which is performed by Filipino musicians.  Artists of different ethnic communities also participated in major outdoor Carnivals.  Art forms include dancing, singing, band show, drumming and henna hand painting. </w:t>
      </w:r>
    </w:p>
    <w:p w:rsidR="0025470D" w:rsidRDefault="0025470D" w:rsidP="0025470D">
      <w:pPr>
        <w:spacing w:after="64" w:line="259" w:lineRule="auto"/>
        <w:ind w:left="0" w:firstLine="0"/>
        <w:jc w:val="left"/>
      </w:pPr>
      <w:r>
        <w:t xml:space="preserve"> </w:t>
      </w:r>
    </w:p>
    <w:p w:rsidR="0025470D" w:rsidRDefault="0025470D" w:rsidP="0025470D">
      <w:pPr>
        <w:numPr>
          <w:ilvl w:val="0"/>
          <w:numId w:val="68"/>
        </w:numPr>
        <w:ind w:right="82" w:hanging="1440"/>
      </w:pPr>
      <w:r>
        <w:t>Besides, the Hong Kong Public Libraries has been organising activities to promote reading culture such as reading programmes, workshops, visits and storytelling for ethnic minority groups in collaboration with different community organisations.</w:t>
      </w:r>
      <w:r>
        <w:rPr>
          <w:color w:val="0000FF"/>
        </w:rPr>
        <w:t xml:space="preserve"> </w:t>
      </w:r>
    </w:p>
    <w:p w:rsidR="0025470D" w:rsidRDefault="0025470D" w:rsidP="0025470D">
      <w:pPr>
        <w:spacing w:after="72" w:line="259" w:lineRule="auto"/>
        <w:ind w:left="0" w:firstLine="0"/>
        <w:jc w:val="left"/>
      </w:pPr>
      <w:r>
        <w:rPr>
          <w:i/>
          <w:color w:val="0000FF"/>
        </w:rPr>
        <w:t xml:space="preserve"> </w:t>
      </w:r>
    </w:p>
    <w:p w:rsidR="0025470D" w:rsidRDefault="0025470D" w:rsidP="0025470D">
      <w:pPr>
        <w:pStyle w:val="Heading4"/>
        <w:ind w:left="-5"/>
      </w:pPr>
      <w:r>
        <w:t xml:space="preserve">Public Education and Publicity </w:t>
      </w:r>
    </w:p>
    <w:p w:rsidR="0025470D" w:rsidRDefault="0025470D" w:rsidP="0025470D">
      <w:pPr>
        <w:spacing w:after="59" w:line="259" w:lineRule="auto"/>
        <w:ind w:left="0" w:firstLine="0"/>
        <w:jc w:val="left"/>
      </w:pPr>
      <w:r>
        <w:rPr>
          <w:b/>
        </w:rPr>
        <w:t xml:space="preserve"> </w:t>
      </w:r>
    </w:p>
    <w:p w:rsidR="0025470D" w:rsidRDefault="0025470D" w:rsidP="0025470D">
      <w:pPr>
        <w:numPr>
          <w:ilvl w:val="0"/>
          <w:numId w:val="69"/>
        </w:numPr>
        <w:ind w:right="82" w:hanging="10"/>
      </w:pPr>
      <w:r>
        <w:t xml:space="preserve">To step up the efforts on publicity and education on the RDO, the CMAB provided an additional recurrent funding of $4.69 million to the EOC starting from 2014-15 for setting up a dedicated Ethnic Minorities Unit (the EM Unit) to enhance the EOC’s work on promoting equal opportunities and racial integration by –  </w:t>
      </w:r>
    </w:p>
    <w:p w:rsidR="0025470D" w:rsidRDefault="0025470D" w:rsidP="0025470D">
      <w:pPr>
        <w:spacing w:after="9" w:line="259" w:lineRule="auto"/>
        <w:ind w:left="0" w:firstLine="0"/>
        <w:jc w:val="left"/>
      </w:pPr>
      <w:r>
        <w:t xml:space="preserve"> </w:t>
      </w:r>
    </w:p>
    <w:p w:rsidR="0025470D" w:rsidRDefault="0025470D" w:rsidP="0025470D">
      <w:pPr>
        <w:spacing w:after="9" w:line="259" w:lineRule="auto"/>
        <w:ind w:left="0" w:firstLine="0"/>
        <w:jc w:val="left"/>
      </w:pPr>
      <w:r>
        <w:t xml:space="preserve"> </w:t>
      </w:r>
    </w:p>
    <w:p w:rsidR="0025470D" w:rsidRDefault="0025470D" w:rsidP="0025470D">
      <w:pPr>
        <w:spacing w:after="0" w:line="259" w:lineRule="auto"/>
        <w:ind w:left="0" w:firstLine="0"/>
        <w:jc w:val="left"/>
      </w:pPr>
      <w:r>
        <w:t xml:space="preserve"> </w:t>
      </w:r>
    </w:p>
    <w:p w:rsidR="0025470D" w:rsidRDefault="0025470D" w:rsidP="0025470D">
      <w:pPr>
        <w:numPr>
          <w:ilvl w:val="1"/>
          <w:numId w:val="69"/>
        </w:numPr>
        <w:spacing w:after="45"/>
        <w:ind w:right="82" w:hanging="720"/>
      </w:pPr>
      <w:r>
        <w:t xml:space="preserve">improving equal educational opportunities for ethnic minority students; </w:t>
      </w:r>
    </w:p>
    <w:p w:rsidR="0025470D" w:rsidRDefault="0025470D" w:rsidP="0025470D">
      <w:pPr>
        <w:spacing w:after="63" w:line="259" w:lineRule="auto"/>
        <w:ind w:left="720" w:firstLine="0"/>
        <w:jc w:val="left"/>
      </w:pPr>
      <w:r>
        <w:t xml:space="preserve"> </w:t>
      </w:r>
    </w:p>
    <w:p w:rsidR="0025470D" w:rsidRDefault="0025470D" w:rsidP="0025470D">
      <w:pPr>
        <w:numPr>
          <w:ilvl w:val="1"/>
          <w:numId w:val="69"/>
        </w:numPr>
        <w:ind w:right="82" w:hanging="720"/>
      </w:pPr>
      <w:r>
        <w:t xml:space="preserve">enhancing ethnic minorities’ employment opportunities; </w:t>
      </w:r>
    </w:p>
    <w:p w:rsidR="0025470D" w:rsidRDefault="0025470D" w:rsidP="0025470D">
      <w:pPr>
        <w:spacing w:after="64" w:line="259" w:lineRule="auto"/>
        <w:ind w:left="1440" w:firstLine="0"/>
        <w:jc w:val="left"/>
      </w:pPr>
      <w:r>
        <w:t xml:space="preserve"> </w:t>
      </w:r>
    </w:p>
    <w:p w:rsidR="0025470D" w:rsidRDefault="0025470D" w:rsidP="0025470D">
      <w:pPr>
        <w:numPr>
          <w:ilvl w:val="1"/>
          <w:numId w:val="69"/>
        </w:numPr>
        <w:spacing w:after="47"/>
        <w:ind w:right="82" w:hanging="720"/>
      </w:pPr>
      <w:r>
        <w:t xml:space="preserve">deepening social inclusion and understanding between ethnic minorities and other communities including Chinese; and </w:t>
      </w:r>
    </w:p>
    <w:p w:rsidR="0025470D" w:rsidRDefault="0025470D" w:rsidP="0025470D">
      <w:pPr>
        <w:spacing w:after="64" w:line="259" w:lineRule="auto"/>
        <w:ind w:left="1440" w:firstLine="0"/>
        <w:jc w:val="left"/>
      </w:pPr>
      <w:r>
        <w:t xml:space="preserve"> </w:t>
      </w:r>
    </w:p>
    <w:p w:rsidR="0025470D" w:rsidRDefault="0025470D" w:rsidP="0025470D">
      <w:pPr>
        <w:numPr>
          <w:ilvl w:val="1"/>
          <w:numId w:val="69"/>
        </w:numPr>
        <w:spacing w:after="42"/>
        <w:ind w:right="82" w:hanging="720"/>
      </w:pPr>
      <w:r>
        <w:t xml:space="preserve">educating providers of goods, services and facilities on cultural sensitivity for serving ethnic minority customers. </w:t>
      </w:r>
    </w:p>
    <w:p w:rsidR="0025470D" w:rsidRDefault="0025470D" w:rsidP="0025470D">
      <w:pPr>
        <w:spacing w:after="64" w:line="259" w:lineRule="auto"/>
        <w:ind w:left="0" w:firstLine="0"/>
        <w:jc w:val="left"/>
      </w:pPr>
      <w:r>
        <w:t xml:space="preserve"> </w:t>
      </w:r>
    </w:p>
    <w:p w:rsidR="0025470D" w:rsidRDefault="0025470D" w:rsidP="0025470D">
      <w:pPr>
        <w:numPr>
          <w:ilvl w:val="0"/>
          <w:numId w:val="69"/>
        </w:numPr>
        <w:ind w:right="82" w:hanging="10"/>
      </w:pPr>
      <w:r>
        <w:t xml:space="preserve">Strategically, the EM Unit aims to address the needs of ethnic minorities through the three-pronged approaches of policy recommendations, training and outreach.  On the policy level, the EM Unit liaises with relevant Government bureaux and departments, business </w:t>
      </w:r>
      <w:r>
        <w:lastRenderedPageBreak/>
        <w:t xml:space="preserve">associations, employers and other stakeholder groups to strive for the development or enhancement of policies and guidelines that facilitate the promotion of equal opportunities and inclusion of ethnic minorities.  In terms of training, the EM Unit devises cultural sensitivity training for service providers with regard to the difficulties experienced by ethnic minorities in accessing different services.  On outreach, the EM Unit aims to establish regular communications and networks with ethnic minority leaders, community groups, tertiary institutions and other stakeholders.   </w:t>
      </w:r>
    </w:p>
    <w:p w:rsidR="0025470D" w:rsidRDefault="0025470D" w:rsidP="0025470D">
      <w:pPr>
        <w:spacing w:after="64" w:line="259" w:lineRule="auto"/>
        <w:ind w:left="0" w:firstLine="0"/>
        <w:jc w:val="left"/>
      </w:pPr>
      <w:r>
        <w:t xml:space="preserve"> </w:t>
      </w:r>
    </w:p>
    <w:p w:rsidR="0025470D" w:rsidRDefault="0025470D" w:rsidP="0025470D">
      <w:pPr>
        <w:numPr>
          <w:ilvl w:val="0"/>
          <w:numId w:val="69"/>
        </w:numPr>
        <w:ind w:right="82" w:hanging="10"/>
      </w:pPr>
      <w:r>
        <w:t>In 2017-18, the CMAB has further provided an allocation of $3 million to the EM Unit.  The EM Unit will embark on a series of initiatives for the purpose of promoting equal opportunities for ethnic minorities.  These include a media campaign targeting the mainstream population, with particular focus on employers, service providers and landlords, urging them to look beyond racial stereotypes and adopt nondiscriminatory service practices.  Besides, integrated research on ethnic minorities education, academic and employment pathways will be carried out with a view to drawing up practical guidebooks for ethnic minorities youth; and to explore the prospect of introducing accreditation for interpreters of ethnic minority languages.</w:t>
      </w:r>
      <w:r>
        <w:rPr>
          <w:b/>
        </w:rPr>
        <w:t xml:space="preserve"> </w:t>
      </w:r>
    </w:p>
    <w:p w:rsidR="0025470D" w:rsidRDefault="0025470D" w:rsidP="0025470D">
      <w:pPr>
        <w:spacing w:after="59" w:line="259" w:lineRule="auto"/>
        <w:ind w:left="0" w:firstLine="0"/>
        <w:jc w:val="left"/>
      </w:pPr>
      <w:r>
        <w:rPr>
          <w:b/>
        </w:rPr>
        <w:t xml:space="preserve"> </w:t>
      </w:r>
    </w:p>
    <w:p w:rsidR="0025470D" w:rsidRDefault="0025470D" w:rsidP="0025470D">
      <w:pPr>
        <w:numPr>
          <w:ilvl w:val="0"/>
          <w:numId w:val="69"/>
        </w:numPr>
        <w:spacing w:after="0" w:line="277" w:lineRule="auto"/>
        <w:ind w:right="82" w:hanging="10"/>
      </w:pPr>
      <w:r>
        <w:t xml:space="preserve">In addition to the publicity and public education initiatives that have been / are being carried out by the EOC, the CMAB and the RTHK have, since 2014, co-operated to produce two TV documentary series (“Hong Kong, My Home”) for broadcast at local TV channels and on the Internet.  In the light of the positive feedback, CMAB has commissioned RTHK to produce a third drama series which was aired from 27 July to 7 September 2017.  CMAB also conducted a media education programme for secondary and primary school students from 16 March to 8 July 2017 with the theme of “racial harmony”. </w:t>
      </w:r>
    </w:p>
    <w:p w:rsidR="0025470D" w:rsidRDefault="0025470D" w:rsidP="0025470D">
      <w:pPr>
        <w:spacing w:after="64" w:line="259" w:lineRule="auto"/>
        <w:ind w:left="0" w:firstLine="0"/>
        <w:jc w:val="left"/>
      </w:pPr>
      <w:r>
        <w:t xml:space="preserve"> </w:t>
      </w:r>
    </w:p>
    <w:p w:rsidR="0025470D" w:rsidRDefault="0025470D" w:rsidP="0025470D">
      <w:pPr>
        <w:numPr>
          <w:ilvl w:val="0"/>
          <w:numId w:val="69"/>
        </w:numPr>
        <w:ind w:right="82" w:hanging="10"/>
      </w:pPr>
      <w:r>
        <w:t xml:space="preserve">The Home Affairs Department also helps disseminate information of the services provided by various bureaux and departments, including education, employment, healthcare and social services, through sponsoring radio programmes in five ethnic minority languages and publishing guidebooks in six ethnic minority languages. </w:t>
      </w:r>
    </w:p>
    <w:p w:rsidR="00446FE5" w:rsidRPr="00770252" w:rsidRDefault="00446FE5" w:rsidP="00B55090">
      <w:pPr>
        <w:rPr>
          <w:lang w:val="en-US"/>
        </w:rPr>
      </w:pPr>
      <w:bookmarkStart w:id="0" w:name="_GoBack"/>
      <w:bookmarkEnd w:id="0"/>
    </w:p>
    <w:sectPr w:rsidR="00446FE5" w:rsidRPr="00770252">
      <w:headerReference w:type="even" r:id="rId367"/>
      <w:headerReference w:type="default" r:id="rId368"/>
      <w:footerReference w:type="even" r:id="rId369"/>
      <w:footerReference w:type="default" r:id="rId370"/>
      <w:headerReference w:type="first" r:id="rId371"/>
      <w:footerReference w:type="first" r:id="rId372"/>
      <w:pgSz w:w="11906" w:h="16838"/>
      <w:pgMar w:top="1538" w:right="1671" w:bottom="1722" w:left="1800" w:header="720" w:footer="72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70D" w:rsidRDefault="0025470D" w:rsidP="00F95C08"/>
  </w:endnote>
  <w:endnote w:type="continuationSeparator" w:id="0">
    <w:p w:rsidR="0025470D" w:rsidRPr="00AC3823" w:rsidRDefault="0025470D" w:rsidP="00AC3823">
      <w:pPr>
        <w:pStyle w:val="Footer"/>
      </w:pPr>
    </w:p>
  </w:endnote>
  <w:endnote w:type="continuationNotice" w:id="1">
    <w:p w:rsidR="0025470D" w:rsidRDefault="002547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98" w:firstLine="0"/>
      <w:jc w:val="center"/>
    </w:pPr>
    <w:r>
      <w:fldChar w:fldCharType="begin"/>
    </w:r>
    <w:r>
      <w:instrText xml:space="preserve"> PAGE   \* MERGEFORMAT </w:instrText>
    </w:r>
    <w:r>
      <w:fldChar w:fldCharType="separate"/>
    </w:r>
    <w:r w:rsidRPr="00914D97">
      <w:rPr>
        <w:noProof/>
        <w:sz w:val="24"/>
      </w:rPr>
      <w:t>70</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98" w:firstLine="0"/>
      <w:jc w:val="center"/>
    </w:pPr>
    <w:r>
      <w:fldChar w:fldCharType="begin"/>
    </w:r>
    <w:r>
      <w:instrText xml:space="preserve"> PAGE   \* MERGEFORMAT </w:instrText>
    </w:r>
    <w:r>
      <w:fldChar w:fldCharType="separate"/>
    </w:r>
    <w:r w:rsidRPr="0025470D">
      <w:rPr>
        <w:noProof/>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98"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67" w:firstLine="0"/>
      <w:jc w:val="center"/>
    </w:pPr>
    <w:r>
      <w:fldChar w:fldCharType="begin"/>
    </w:r>
    <w:r>
      <w:instrText xml:space="preserve"> PAGE   \* MERGEFORMAT </w:instrText>
    </w:r>
    <w:r>
      <w:fldChar w:fldCharType="separate"/>
    </w:r>
    <w:r w:rsidRPr="00914D97">
      <w:rPr>
        <w:noProof/>
        <w:sz w:val="24"/>
      </w:rPr>
      <w:t>4</w:t>
    </w:r>
    <w:r>
      <w:rPr>
        <w:sz w:val="24"/>
      </w:rPr>
      <w:fldChar w:fldCharType="end"/>
    </w:r>
    <w:r>
      <w:rPr>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67" w:firstLine="0"/>
      <w:jc w:val="center"/>
    </w:pPr>
    <w:r>
      <w:fldChar w:fldCharType="begin"/>
    </w:r>
    <w:r>
      <w:instrText xml:space="preserve"> PAGE   \* MERGEFORMAT </w:instrText>
    </w:r>
    <w:r>
      <w:fldChar w:fldCharType="separate"/>
    </w:r>
    <w:r w:rsidRPr="0025470D">
      <w:rPr>
        <w:noProof/>
        <w:sz w:val="24"/>
      </w:rPr>
      <w:t>1</w:t>
    </w:r>
    <w:r>
      <w:rPr>
        <w:sz w:val="24"/>
      </w:rPr>
      <w:fldChar w:fldCharType="end"/>
    </w:r>
    <w:r>
      <w:rPr>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67"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914D97">
      <w:rPr>
        <w:noProof/>
        <w:sz w:val="24"/>
      </w:rPr>
      <w:t>2</w:t>
    </w:r>
    <w:r>
      <w:rPr>
        <w:sz w:val="24"/>
      </w:rPr>
      <w:fldChar w:fldCharType="end"/>
    </w:r>
    <w:r>
      <w:rPr>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3</w:t>
    </w:r>
    <w:r>
      <w:rPr>
        <w:sz w:val="24"/>
      </w:rPr>
      <w:fldChar w:fldCharType="end"/>
    </w:r>
    <w:r>
      <w:rPr>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1 </w: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1 </w:t>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1 </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1" w:firstLine="0"/>
      <w:jc w:val="center"/>
    </w:pPr>
    <w:r>
      <w:rPr>
        <w:sz w:val="24"/>
      </w:rPr>
      <w:t xml:space="preserve">1 </w:t>
    </w: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1" w:firstLine="0"/>
      <w:jc w:val="center"/>
    </w:pPr>
    <w:r>
      <w:rPr>
        <w:sz w:val="24"/>
      </w:rPr>
      <w:t xml:space="preserve">1 </w:t>
    </w: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130" w:firstLine="0"/>
      <w:jc w:val="center"/>
    </w:pPr>
    <w:r>
      <w:rPr>
        <w:sz w:val="24"/>
      </w:rPr>
      <w:t xml:space="preserve">1 </w:t>
    </w: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130" w:firstLine="0"/>
      <w:jc w:val="center"/>
    </w:pPr>
    <w:r>
      <w:rPr>
        <w:sz w:val="24"/>
      </w:rPr>
      <w:t xml:space="preserve">1 </w:t>
    </w: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130" w:firstLine="0"/>
      <w:jc w:val="center"/>
    </w:pPr>
    <w:r>
      <w:rPr>
        <w:sz w:val="24"/>
      </w:rPr>
      <w:t xml:space="preserve">1 </w:t>
    </w: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2 </w:t>
    </w: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67" w:firstLine="0"/>
      <w:jc w:val="center"/>
    </w:pPr>
    <w:r>
      <w:rPr>
        <w:sz w:val="24"/>
      </w:rPr>
      <w:t xml:space="preserve">1 </w:t>
    </w: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67" w:firstLine="0"/>
      <w:jc w:val="center"/>
    </w:pPr>
    <w:r>
      <w:rPr>
        <w:sz w:val="24"/>
      </w:rPr>
      <w:t xml:space="preserve">1 </w:t>
    </w: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1 </w:t>
    </w: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1 </w:t>
    </w: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1 </w:t>
    </w: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1 </w:t>
    </w: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1 </w:t>
    </w: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8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8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8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9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9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9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9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9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9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9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9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914D97">
      <w:rPr>
        <w:noProof/>
        <w:sz w:val="24"/>
      </w:rPr>
      <w:t>4</w:t>
    </w:r>
    <w:r>
      <w:rPr>
        <w:sz w:val="24"/>
      </w:rPr>
      <w:fldChar w:fldCharType="end"/>
    </w:r>
    <w:r>
      <w:rPr>
        <w:sz w:val="24"/>
      </w:rP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4</w:t>
    </w:r>
    <w:r>
      <w:rPr>
        <w:sz w:val="24"/>
      </w:rPr>
      <w:fldChar w:fldCharType="end"/>
    </w:r>
    <w:r>
      <w:rPr>
        <w:sz w:val="24"/>
      </w:rP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1</w:t>
    </w:r>
    <w:r>
      <w:rPr>
        <w:sz w:val="24"/>
      </w:rPr>
      <w:fldChar w:fldCharType="end"/>
    </w:r>
    <w:r>
      <w:rPr>
        <w:sz w:val="24"/>
      </w:rP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0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0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0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914D97">
      <w:rPr>
        <w:noProof/>
        <w:sz w:val="24"/>
      </w:rPr>
      <w:t>2</w:t>
    </w:r>
    <w:r>
      <w:rPr>
        <w:sz w:val="24"/>
      </w:rPr>
      <w:fldChar w:fldCharType="end"/>
    </w:r>
    <w:r>
      <w:rPr>
        <w:sz w:val="24"/>
      </w:rP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2</w:t>
    </w:r>
    <w:r>
      <w:rPr>
        <w:sz w:val="24"/>
      </w:rPr>
      <w:fldChar w:fldCharType="end"/>
    </w:r>
    <w:r>
      <w:rPr>
        <w:sz w:val="24"/>
      </w:rP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0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0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0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914D97">
      <w:rPr>
        <w:noProof/>
        <w:sz w:val="24"/>
      </w:rPr>
      <w:t>4</w:t>
    </w:r>
    <w:r>
      <w:rPr>
        <w:sz w:val="24"/>
      </w:rPr>
      <w:fldChar w:fldCharType="end"/>
    </w:r>
    <w:r>
      <w:rPr>
        <w:sz w:val="24"/>
      </w:rPr>
      <w:t xml:space="preserve"> </w:t>
    </w:r>
  </w:p>
</w:ftr>
</file>

<file path=word/footer1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4</w:t>
    </w:r>
    <w:r>
      <w:rPr>
        <w:sz w:val="24"/>
      </w:rPr>
      <w:fldChar w:fldCharType="end"/>
    </w:r>
    <w:r>
      <w:rPr>
        <w:sz w:val="24"/>
      </w:rPr>
      <w:t xml:space="preserve"> </w:t>
    </w:r>
  </w:p>
</w:ftr>
</file>

<file path=word/footer1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1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914D97">
      <w:rPr>
        <w:noProof/>
        <w:sz w:val="24"/>
      </w:rPr>
      <w:t>4</w:t>
    </w:r>
    <w:r>
      <w:rPr>
        <w:sz w:val="24"/>
      </w:rPr>
      <w:fldChar w:fldCharType="end"/>
    </w:r>
    <w:r>
      <w:rPr>
        <w:sz w:val="24"/>
      </w:rPr>
      <w:t xml:space="preserve"> </w:t>
    </w:r>
  </w:p>
</w:ftr>
</file>

<file path=word/footer1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4</w:t>
    </w:r>
    <w:r>
      <w:rPr>
        <w:sz w:val="24"/>
      </w:rPr>
      <w:fldChar w:fldCharType="end"/>
    </w:r>
    <w:r>
      <w:rPr>
        <w:sz w:val="24"/>
      </w:rPr>
      <w:t xml:space="preserve"> </w:t>
    </w:r>
  </w:p>
</w:ftr>
</file>

<file path=word/footer1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1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914D97">
      <w:rPr>
        <w:noProof/>
        <w:sz w:val="24"/>
      </w:rPr>
      <w:t>4</w:t>
    </w:r>
    <w:r>
      <w:rPr>
        <w:sz w:val="24"/>
      </w:rPr>
      <w:fldChar w:fldCharType="end"/>
    </w:r>
    <w:r>
      <w:rPr>
        <w:sz w:val="24"/>
      </w:rPr>
      <w:t xml:space="preserve"> </w:t>
    </w:r>
  </w:p>
</w:ftr>
</file>

<file path=word/footer1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4</w:t>
    </w:r>
    <w:r>
      <w:rPr>
        <w:sz w:val="24"/>
      </w:rPr>
      <w:fldChar w:fldCharType="end"/>
    </w:r>
    <w:r>
      <w:rPr>
        <w:sz w:val="24"/>
      </w:rPr>
      <w:t xml:space="preserve"> </w:t>
    </w:r>
  </w:p>
</w:ftr>
</file>

<file path=word/footer1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1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914D97">
      <w:rPr>
        <w:noProof/>
        <w:sz w:val="24"/>
      </w:rPr>
      <w:t>6</w:t>
    </w:r>
    <w:r>
      <w:rPr>
        <w:sz w:val="24"/>
      </w:rPr>
      <w:fldChar w:fldCharType="end"/>
    </w:r>
    <w:r>
      <w:rPr>
        <w:sz w:val="24"/>
      </w:rPr>
      <w:t xml:space="preserve"> </w:t>
    </w:r>
  </w:p>
</w:ftr>
</file>

<file path=word/footer1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6</w:t>
    </w:r>
    <w:r>
      <w:rPr>
        <w:sz w:val="24"/>
      </w:rPr>
      <w:fldChar w:fldCharType="end"/>
    </w:r>
    <w:r>
      <w:rPr>
        <w:sz w:val="24"/>
      </w:rPr>
      <w:t xml:space="preserve"> </w:t>
    </w:r>
  </w:p>
</w:ftr>
</file>

<file path=word/footer1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1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914D97">
      <w:rPr>
        <w:noProof/>
        <w:sz w:val="24"/>
      </w:rPr>
      <w:t>4</w:t>
    </w:r>
    <w:r>
      <w:rPr>
        <w:sz w:val="24"/>
      </w:rPr>
      <w:fldChar w:fldCharType="end"/>
    </w:r>
    <w:r>
      <w:rPr>
        <w:sz w:val="24"/>
      </w:rPr>
      <w:t xml:space="preserve"> </w:t>
    </w:r>
  </w:p>
</w:ftr>
</file>

<file path=word/footer1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4</w:t>
    </w:r>
    <w:r>
      <w:rPr>
        <w:sz w:val="24"/>
      </w:rPr>
      <w:fldChar w:fldCharType="end"/>
    </w:r>
    <w:r>
      <w:rPr>
        <w:sz w:val="24"/>
      </w:rPr>
      <w:t xml:space="preserve"> </w:t>
    </w:r>
  </w:p>
</w:ftr>
</file>

<file path=word/footer1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1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914D97">
      <w:rPr>
        <w:noProof/>
        <w:sz w:val="24"/>
      </w:rPr>
      <w:t>6</w:t>
    </w:r>
    <w:r>
      <w:rPr>
        <w:sz w:val="24"/>
      </w:rPr>
      <w:fldChar w:fldCharType="end"/>
    </w:r>
    <w:r>
      <w:rPr>
        <w:sz w:val="24"/>
      </w:rPr>
      <w:t xml:space="preserve"> </w:t>
    </w:r>
  </w:p>
</w:ftr>
</file>

<file path=word/footer1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6</w:t>
    </w:r>
    <w:r>
      <w:rPr>
        <w:sz w:val="24"/>
      </w:rPr>
      <w:fldChar w:fldCharType="end"/>
    </w:r>
    <w:r>
      <w:rPr>
        <w:sz w:val="24"/>
      </w:rPr>
      <w:t xml:space="preserve"> </w:t>
    </w:r>
  </w:p>
</w:ftr>
</file>

<file path=word/footer1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fldChar w:fldCharType="begin"/>
    </w:r>
    <w:r>
      <w:instrText xml:space="preserve"> PAGE   \* MERGEFORMAT </w:instrText>
    </w:r>
    <w:r>
      <w:fldChar w:fldCharType="separate"/>
    </w:r>
    <w:r w:rsidRPr="0025470D">
      <w:rPr>
        <w:noProof/>
        <w:sz w:val="24"/>
      </w:rPr>
      <w:t>1</w:t>
    </w:r>
    <w:r>
      <w:rPr>
        <w:sz w:val="24"/>
      </w:rPr>
      <w:fldChar w:fldCharType="end"/>
    </w:r>
    <w:r>
      <w:rPr>
        <w:sz w:val="24"/>
      </w:rPr>
      <w:t xml:space="preserve"> </w:t>
    </w:r>
  </w:p>
</w:ftr>
</file>

<file path=word/footer1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1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1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1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1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73" w:firstLine="0"/>
      <w:jc w:val="center"/>
    </w:pPr>
    <w:r>
      <w:rPr>
        <w:sz w:val="24"/>
      </w:rPr>
      <w:t xml:space="preserve">1 </w:t>
    </w:r>
  </w:p>
</w:ftr>
</file>

<file path=word/footer1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2 </w:t>
    </w:r>
  </w:p>
</w:ftr>
</file>

<file path=word/footer1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1 </w:t>
    </w:r>
  </w:p>
</w:ftr>
</file>

<file path=word/footer1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0" w:line="259" w:lineRule="auto"/>
      <w:ind w:left="0" w:right="5" w:firstLine="0"/>
      <w:jc w:val="center"/>
    </w:pPr>
    <w:r>
      <w:rPr>
        <w:sz w:val="24"/>
      </w:rPr>
      <w:t xml:space="preserve">1 </w:t>
    </w:r>
  </w:p>
</w:ftr>
</file>

<file path=word/footer1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ftr>
</file>

<file path=word/footer1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51" w:rsidRDefault="0025470D">
    <w:pPr>
      <w:spacing w:after="0" w:line="259" w:lineRule="auto"/>
      <w:ind w:left="0" w:right="130" w:firstLine="0"/>
      <w:jc w:val="center"/>
    </w:pPr>
    <w:r>
      <w:fldChar w:fldCharType="begin"/>
    </w:r>
    <w:r>
      <w:instrText xml:space="preserve"> PAGE   \* MERGEFORMAT </w:instrText>
    </w:r>
    <w:r>
      <w:fldChar w:fldCharType="separate"/>
    </w:r>
    <w:r w:rsidRPr="00914D97">
      <w:rPr>
        <w:noProof/>
        <w:sz w:val="24"/>
      </w:rPr>
      <w:t>4</w:t>
    </w:r>
    <w:r>
      <w:rPr>
        <w:sz w:val="24"/>
      </w:rPr>
      <w:fldChar w:fldCharType="end"/>
    </w:r>
    <w:r>
      <w:rPr>
        <w:sz w:val="24"/>
      </w:rPr>
      <w:t xml:space="preserve"> </w:t>
    </w:r>
  </w:p>
</w:ftr>
</file>

<file path=word/footer1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51" w:rsidRDefault="0025470D">
    <w:pPr>
      <w:spacing w:after="0" w:line="259" w:lineRule="auto"/>
      <w:ind w:left="0" w:right="130" w:firstLine="0"/>
      <w:jc w:val="center"/>
    </w:pPr>
    <w:r>
      <w:fldChar w:fldCharType="begin"/>
    </w:r>
    <w:r>
      <w:instrText xml:space="preserve"> PAGE   \* MERGEFORMAT </w:instrText>
    </w:r>
    <w:r>
      <w:fldChar w:fldCharType="separate"/>
    </w:r>
    <w:r w:rsidRPr="0025470D">
      <w:rPr>
        <w:noProof/>
        <w:sz w:val="24"/>
      </w:rPr>
      <w:t>5</w:t>
    </w:r>
    <w:r>
      <w:rPr>
        <w:sz w:val="24"/>
      </w:rPr>
      <w:fldChar w:fldCharType="end"/>
    </w:r>
    <w:r>
      <w:rPr>
        <w:sz w:val="24"/>
      </w:rPr>
      <w:t xml:space="preserve"> </w:t>
    </w:r>
  </w:p>
</w:ftr>
</file>

<file path=word/footer1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51" w:rsidRDefault="0025470D">
    <w:pPr>
      <w:spacing w:after="0" w:line="259" w:lineRule="auto"/>
      <w:ind w:left="0" w:right="130" w:firstLine="0"/>
      <w:jc w:val="center"/>
    </w:pPr>
    <w:r>
      <w:fldChar w:fldCharType="begin"/>
    </w:r>
    <w:r>
      <w:instrText xml:space="preserve"> PAGE   \* MERGEFORMAT </w:instrText>
    </w:r>
    <w:r>
      <w:fldChar w:fldCharType="separate"/>
    </w:r>
    <w:r w:rsidRPr="0025470D">
      <w:rPr>
        <w:noProof/>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70D" w:rsidRPr="00AC3823" w:rsidRDefault="0025470D" w:rsidP="00AC3823">
      <w:pPr>
        <w:pStyle w:val="Footer"/>
        <w:tabs>
          <w:tab w:val="right" w:pos="2155"/>
        </w:tabs>
        <w:spacing w:after="80" w:line="240" w:lineRule="atLeast"/>
        <w:ind w:left="680"/>
        <w:rPr>
          <w:u w:val="single"/>
        </w:rPr>
      </w:pPr>
      <w:r>
        <w:rPr>
          <w:u w:val="single"/>
        </w:rPr>
        <w:tab/>
      </w:r>
    </w:p>
  </w:footnote>
  <w:footnote w:type="continuationSeparator" w:id="0">
    <w:p w:rsidR="0025470D" w:rsidRPr="00AC3823" w:rsidRDefault="0025470D" w:rsidP="00AC3823">
      <w:pPr>
        <w:pStyle w:val="Footer"/>
        <w:tabs>
          <w:tab w:val="right" w:pos="2155"/>
        </w:tabs>
        <w:spacing w:after="80" w:line="240" w:lineRule="atLeast"/>
        <w:ind w:left="680"/>
        <w:rPr>
          <w:u w:val="single"/>
        </w:rPr>
      </w:pPr>
      <w:r>
        <w:rPr>
          <w:u w:val="single"/>
        </w:rPr>
        <w:tab/>
      </w:r>
    </w:p>
  </w:footnote>
  <w:footnote w:type="continuationNotice" w:id="1">
    <w:p w:rsidR="0025470D" w:rsidRPr="00AC3823" w:rsidRDefault="0025470D">
      <w:pPr>
        <w:rPr>
          <w:sz w:val="2"/>
          <w:szCs w:val="2"/>
        </w:rPr>
      </w:pPr>
    </w:p>
  </w:footnote>
  <w:footnote w:id="2">
    <w:p w:rsidR="0025470D" w:rsidRDefault="0025470D" w:rsidP="0025470D">
      <w:pPr>
        <w:pStyle w:val="footnotedescription"/>
        <w:spacing w:line="259" w:lineRule="auto"/>
        <w:ind w:left="0" w:right="0" w:firstLine="0"/>
        <w:jc w:val="left"/>
      </w:pPr>
      <w:r>
        <w:rPr>
          <w:rStyle w:val="footnotemark"/>
        </w:rPr>
        <w:footnoteRef/>
      </w:r>
      <w:r>
        <w:t xml:space="preserve"> www.eaa.labour.gov.hk </w:t>
      </w:r>
    </w:p>
  </w:footnote>
  <w:footnote w:id="3">
    <w:p w:rsidR="0025470D" w:rsidRDefault="0025470D" w:rsidP="0025470D">
      <w:pPr>
        <w:pStyle w:val="footnotedescription"/>
        <w:spacing w:line="259" w:lineRule="auto"/>
        <w:ind w:left="0" w:right="0" w:firstLine="0"/>
        <w:jc w:val="left"/>
      </w:pPr>
      <w:r>
        <w:rPr>
          <w:rStyle w:val="footnotemark"/>
        </w:rPr>
        <w:footnoteRef/>
      </w:r>
      <w:r>
        <w:t xml:space="preserve"> www.fdh.labour.gov.hk </w:t>
      </w:r>
    </w:p>
  </w:footnote>
  <w:footnote w:id="4">
    <w:p w:rsidR="0025470D" w:rsidRDefault="0025470D" w:rsidP="0025470D">
      <w:pPr>
        <w:pStyle w:val="footnotedescription"/>
        <w:spacing w:line="260" w:lineRule="auto"/>
        <w:ind w:right="0"/>
      </w:pPr>
      <w:r>
        <w:rPr>
          <w:rStyle w:val="footnotemark"/>
        </w:rPr>
        <w:footnoteRef/>
      </w:r>
      <w:r>
        <w:t xml:space="preserve"> Australia, Cambodia, Canada, India, Italy, Japan, New Zealand, the Philippines, Russia, South Korea, the UK, the USA and Vietnam.</w:t>
      </w:r>
      <w:r>
        <w:rPr>
          <w:rFonts w:ascii="Calibri" w:eastAsia="Calibri" w:hAnsi="Calibri" w:cs="Calibri"/>
        </w:rPr>
        <w:t xml:space="preserve"> </w:t>
      </w:r>
    </w:p>
  </w:footnote>
  <w:footnote w:id="5">
    <w:p w:rsidR="0025470D" w:rsidRDefault="0025470D" w:rsidP="0025470D">
      <w:pPr>
        <w:pStyle w:val="footnotedescription"/>
        <w:spacing w:line="262" w:lineRule="auto"/>
        <w:ind w:right="68"/>
      </w:pPr>
      <w:r>
        <w:rPr>
          <w:rStyle w:val="footnotemark"/>
        </w:rPr>
        <w:footnoteRef/>
      </w:r>
      <w:r>
        <w:t xml:space="preserve"> The codes of practice are, namely, “Code of Practice on Human Resource Management”, “Code of Practice on the Identity Card Number and other Personal Identifiers”, and the revised “Code of Practice on Consumer Credit Data”. </w:t>
      </w:r>
    </w:p>
  </w:footnote>
  <w:footnote w:id="6">
    <w:p w:rsidR="0025470D" w:rsidRDefault="0025470D" w:rsidP="0025470D">
      <w:pPr>
        <w:pStyle w:val="footnotedescription"/>
        <w:spacing w:line="246" w:lineRule="auto"/>
        <w:ind w:right="77"/>
      </w:pPr>
      <w:r>
        <w:rPr>
          <w:rStyle w:val="footnotemark"/>
        </w:rPr>
        <w:footnoteRef/>
      </w:r>
      <w:r>
        <w:t xml:space="preserve"> The Communications Authority was set up in 2012 as the unified regulator of the broadcasting and telecommunications industries in Hong Kong, taking over from the former Broadcasting Authority and Telecommunications Authority. </w:t>
      </w:r>
    </w:p>
  </w:footnote>
  <w:footnote w:id="7">
    <w:p w:rsidR="0025470D" w:rsidRDefault="0025470D" w:rsidP="0025470D">
      <w:pPr>
        <w:pStyle w:val="footnotedescription"/>
        <w:spacing w:after="195"/>
        <w:ind w:right="0"/>
      </w:pPr>
      <w:r>
        <w:rPr>
          <w:rStyle w:val="footnotemark"/>
        </w:rPr>
        <w:footnoteRef/>
      </w:r>
      <w:r>
        <w:t xml:space="preserve"> Provided that the married offspring is an authorised person under the tenancy and there is no other branch family in the tenancy. </w:t>
      </w:r>
    </w:p>
  </w:footnote>
  <w:footnote w:id="8">
    <w:p w:rsidR="0025470D" w:rsidRDefault="0025470D" w:rsidP="0025470D">
      <w:pPr>
        <w:pStyle w:val="footnotedescription"/>
        <w:spacing w:line="244" w:lineRule="auto"/>
        <w:ind w:right="0"/>
        <w:jc w:val="left"/>
      </w:pPr>
      <w:r>
        <w:rPr>
          <w:rStyle w:val="footnotemark"/>
        </w:rPr>
        <w:footnoteRef/>
      </w:r>
      <w:r>
        <w:t xml:space="preserve"> ‘One-line continuation rule’ means that neither addition of an adult offspring when there is a branch family in the tenancy nor addition of a branch family when there is already an adult offspring in the original tenancy will be allowed. </w:t>
      </w:r>
    </w:p>
  </w:footnote>
  <w:footnote w:id="9">
    <w:p w:rsidR="0025470D" w:rsidRDefault="0025470D" w:rsidP="0025470D">
      <w:pPr>
        <w:pStyle w:val="footnotedescription"/>
        <w:spacing w:line="279" w:lineRule="auto"/>
      </w:pPr>
      <w:r>
        <w:rPr>
          <w:rStyle w:val="footnotemark"/>
        </w:rPr>
        <w:footnoteRef/>
      </w:r>
      <w:r>
        <w:t xml:space="preserve"> Namely the Legislative Council Ordinance (Cap.</w:t>
      </w:r>
      <w:r>
        <w:rPr>
          <w:rFonts w:ascii="Calibri" w:eastAsia="Calibri" w:hAnsi="Calibri" w:cs="Calibri"/>
        </w:rPr>
        <w:t xml:space="preserve"> </w:t>
      </w:r>
      <w:r>
        <w:t>542), the Electoral Affairs Commission Ordinance (Cap.</w:t>
      </w:r>
      <w:r>
        <w:rPr>
          <w:rFonts w:ascii="Calibri" w:eastAsia="Calibri" w:hAnsi="Calibri" w:cs="Calibri"/>
        </w:rPr>
        <w:t xml:space="preserve"> </w:t>
      </w:r>
      <w:r>
        <w:t>541), and the Elections (Corrupt and Illegal Conduct) Ordinance (Cap.</w:t>
      </w:r>
      <w:r>
        <w:rPr>
          <w:rFonts w:ascii="Calibri" w:eastAsia="Calibri" w:hAnsi="Calibri" w:cs="Calibri"/>
        </w:rPr>
        <w:t xml:space="preserve"> </w:t>
      </w:r>
      <w:r>
        <w:t xml:space="preserve">554).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8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9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0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70D" w:rsidRDefault="0025470D">
    <w:pPr>
      <w:spacing w:after="160" w:line="259" w:lineRule="auto"/>
      <w:ind w:left="0" w:firstLine="0"/>
      <w:jc w:val="left"/>
    </w:pPr>
  </w:p>
</w:hdr>
</file>

<file path=word/header1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51" w:rsidRDefault="0025470D">
    <w:pPr>
      <w:spacing w:after="160" w:line="259" w:lineRule="auto"/>
      <w:ind w:left="0" w:firstLine="0"/>
      <w:jc w:val="left"/>
    </w:pPr>
  </w:p>
</w:hdr>
</file>

<file path=word/header1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51" w:rsidRDefault="0025470D">
    <w:pPr>
      <w:spacing w:after="160" w:line="259" w:lineRule="auto"/>
      <w:ind w:left="0" w:firstLine="0"/>
      <w:jc w:val="left"/>
    </w:pPr>
  </w:p>
</w:hdr>
</file>

<file path=word/header1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F51" w:rsidRDefault="0025470D">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6154"/>
    <w:multiLevelType w:val="hybridMultilevel"/>
    <w:tmpl w:val="4704B08E"/>
    <w:lvl w:ilvl="0" w:tplc="E09C8698">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D66FA42">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A5CF93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740C5F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B041AD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BB4DDA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B62E1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348231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86EC2D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3353C36"/>
    <w:multiLevelType w:val="hybridMultilevel"/>
    <w:tmpl w:val="37284BB6"/>
    <w:lvl w:ilvl="0" w:tplc="E99A72C8">
      <w:start w:val="1"/>
      <w:numFmt w:val="decimal"/>
      <w:lvlText w:val="%1."/>
      <w:lvlJc w:val="left"/>
      <w:pPr>
        <w:ind w:left="6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EF626E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0ECBFD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49C8DF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DFE0E4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10654B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B22689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E4461E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1B8C9F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7BC6FD4"/>
    <w:multiLevelType w:val="hybridMultilevel"/>
    <w:tmpl w:val="D31A31C6"/>
    <w:lvl w:ilvl="0" w:tplc="CFE4D74E">
      <w:start w:val="12"/>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689E2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3A8828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D16398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954B97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A6AC5B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F2E699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76134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16A505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8D90BE5"/>
    <w:multiLevelType w:val="hybridMultilevel"/>
    <w:tmpl w:val="26EC9802"/>
    <w:lvl w:ilvl="0" w:tplc="EE54C168">
      <w:start w:val="5"/>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BF8463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00AEF4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5904B4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3EC6FE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3002D5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462F3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5EA2B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5F2CD4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94C4DA5"/>
    <w:multiLevelType w:val="hybridMultilevel"/>
    <w:tmpl w:val="CC42B356"/>
    <w:lvl w:ilvl="0" w:tplc="7FDA5742">
      <w:start w:val="1"/>
      <w:numFmt w:val="decimal"/>
      <w:lvlText w:val="%1."/>
      <w:lvlJc w:val="left"/>
      <w:pPr>
        <w:ind w:left="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17AB00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22205E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7080DD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81C707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B964B5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DD0641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95CB85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2FEC04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D117823"/>
    <w:multiLevelType w:val="hybridMultilevel"/>
    <w:tmpl w:val="49A834B4"/>
    <w:lvl w:ilvl="0" w:tplc="5142C018">
      <w:start w:val="7"/>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DA6C25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D36AF6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6DE8F1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83EFD2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F80BDA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D88045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8E797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1281B1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0E865BC0"/>
    <w:multiLevelType w:val="hybridMultilevel"/>
    <w:tmpl w:val="2C9CE4D8"/>
    <w:lvl w:ilvl="0" w:tplc="D27EB072">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54DED4">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88CBE4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812B6A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EA6619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9669FF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84A93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87C8BE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774194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F4209EC"/>
    <w:multiLevelType w:val="hybridMultilevel"/>
    <w:tmpl w:val="A14C6B28"/>
    <w:lvl w:ilvl="0" w:tplc="4DB0DD8C">
      <w:start w:val="5"/>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4BEA58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06A173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00592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FC20C5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C66DF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01A836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C2A7ED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D26405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0FC3626C"/>
    <w:multiLevelType w:val="hybridMultilevel"/>
    <w:tmpl w:val="0F84A6E6"/>
    <w:lvl w:ilvl="0" w:tplc="36329DEC">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21AA9D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23C590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D76A5A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8FC353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625D9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35AC48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BBA277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9F4264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16333FA"/>
    <w:multiLevelType w:val="hybridMultilevel"/>
    <w:tmpl w:val="8070B254"/>
    <w:lvl w:ilvl="0" w:tplc="C3869DCC">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AB4748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CECB8A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7B87DB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1083EF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454F75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85E767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C28B9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AA22A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154D6F88"/>
    <w:multiLevelType w:val="hybridMultilevel"/>
    <w:tmpl w:val="006EBB1C"/>
    <w:lvl w:ilvl="0" w:tplc="9392E228">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67ACA6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96A0AC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09A4A6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5FA0DD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B0C6C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D6626D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1F28E4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110401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1D155826"/>
    <w:multiLevelType w:val="hybridMultilevel"/>
    <w:tmpl w:val="DE46B956"/>
    <w:lvl w:ilvl="0" w:tplc="9DB0047C">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E48614">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2DC786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10E28C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95C0B9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7B475D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062FB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CC331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CC4AF3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D2E188E"/>
    <w:multiLevelType w:val="hybridMultilevel"/>
    <w:tmpl w:val="4C5243CE"/>
    <w:lvl w:ilvl="0" w:tplc="A7AC1D44">
      <w:start w:val="6"/>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694711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CA0C3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0C8454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327BC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05238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E2CE79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4005DA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930B67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200818EC"/>
    <w:multiLevelType w:val="hybridMultilevel"/>
    <w:tmpl w:val="B2CCD6F0"/>
    <w:lvl w:ilvl="0" w:tplc="621676D4">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6222AA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FBE7B9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520AB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8881E8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2B89DC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CAC1DC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AD0B55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56297A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23331AAE"/>
    <w:multiLevelType w:val="hybridMultilevel"/>
    <w:tmpl w:val="78E42E54"/>
    <w:lvl w:ilvl="0" w:tplc="CDD299EE">
      <w:start w:val="4"/>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0C2839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B8C0B1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FA6520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5566C6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35E320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0D40F8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4143D0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EF2A3C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24102133"/>
    <w:multiLevelType w:val="hybridMultilevel"/>
    <w:tmpl w:val="D7CC4638"/>
    <w:lvl w:ilvl="0" w:tplc="46129E9C">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9AB8A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F563CC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A427CA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21CD47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085D0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8F4B30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59A43A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7BE75E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266A5753"/>
    <w:multiLevelType w:val="hybridMultilevel"/>
    <w:tmpl w:val="AEBE5E2A"/>
    <w:lvl w:ilvl="0" w:tplc="E3BADC04">
      <w:start w:val="2"/>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692B72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92E703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4762CD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C482AC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A448E4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89CEF6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33A047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EBA5DF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26B53848"/>
    <w:multiLevelType w:val="hybridMultilevel"/>
    <w:tmpl w:val="D84C7B7C"/>
    <w:lvl w:ilvl="0" w:tplc="AFAAB87C">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76339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618913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FC18C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BD40C8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E50A8F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6DEB39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98E5C9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70F7B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29490089"/>
    <w:multiLevelType w:val="hybridMultilevel"/>
    <w:tmpl w:val="897A8BD6"/>
    <w:lvl w:ilvl="0" w:tplc="03901E1A">
      <w:start w:val="2"/>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3044CB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E56BD8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7D83D5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27E17E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06E266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740404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8CCD95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3D0A46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2C323FAC"/>
    <w:multiLevelType w:val="hybridMultilevel"/>
    <w:tmpl w:val="BFB62F0C"/>
    <w:lvl w:ilvl="0" w:tplc="2ED65012">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714843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B4F56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4DE9FF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BA6C63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4E402B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2E05BA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230487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190926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0A315C9"/>
    <w:multiLevelType w:val="hybridMultilevel"/>
    <w:tmpl w:val="E9388B8E"/>
    <w:lvl w:ilvl="0" w:tplc="63BCBB20">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038FED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4583CF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500460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854340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664E23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502062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76E6D8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03A82D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31CC2E07"/>
    <w:multiLevelType w:val="hybridMultilevel"/>
    <w:tmpl w:val="13168F0A"/>
    <w:lvl w:ilvl="0" w:tplc="0F383594">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3283C2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078A15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B14B29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A862F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BEBD2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BEE3B9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6A0A2E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576614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31E37CA7"/>
    <w:multiLevelType w:val="hybridMultilevel"/>
    <w:tmpl w:val="DA14B818"/>
    <w:lvl w:ilvl="0" w:tplc="ECDC4FE4">
      <w:start w:val="6"/>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9A2DE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CE61DA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FBAF1D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34B57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9DCA70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9D68DA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5DCEB9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E4AA8C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32082B42"/>
    <w:multiLevelType w:val="hybridMultilevel"/>
    <w:tmpl w:val="7D9C2768"/>
    <w:lvl w:ilvl="0" w:tplc="3B82578C">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6F8A84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8366DC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DE6D27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8240F4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64408B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9C84E8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C78FDD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BA452C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32B762A0"/>
    <w:multiLevelType w:val="hybridMultilevel"/>
    <w:tmpl w:val="B4DCDD66"/>
    <w:lvl w:ilvl="0" w:tplc="4C3032B6">
      <w:start w:val="10"/>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E4CC92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5EAD5A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5E934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85AEF1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71E5A4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942E0E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B5E18F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06F7F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32E52A8D"/>
    <w:multiLevelType w:val="hybridMultilevel"/>
    <w:tmpl w:val="28FE1472"/>
    <w:lvl w:ilvl="0" w:tplc="A0B6FDF2">
      <w:start w:val="2"/>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F9293C4">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02366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95E75E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800EE3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CACE76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81A14D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ABCF25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E50D77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37F03B4F"/>
    <w:multiLevelType w:val="hybridMultilevel"/>
    <w:tmpl w:val="277AD400"/>
    <w:lvl w:ilvl="0" w:tplc="85E87A08">
      <w:start w:val="7"/>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312A73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9C27B3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35804C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006C7F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002938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E5696B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C045A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0A6206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3A1206F7"/>
    <w:multiLevelType w:val="hybridMultilevel"/>
    <w:tmpl w:val="BEB854C0"/>
    <w:lvl w:ilvl="0" w:tplc="9E141320">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8CA923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D58B80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674F53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DC247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C047AE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DF0F1A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3C49E3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41040E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FC705E2"/>
    <w:multiLevelType w:val="hybridMultilevel"/>
    <w:tmpl w:val="B82AC7C6"/>
    <w:lvl w:ilvl="0" w:tplc="7E620526">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72635F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B2A347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918767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3743E9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5008D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FA4F65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7A519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428F82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40757CBF"/>
    <w:multiLevelType w:val="hybridMultilevel"/>
    <w:tmpl w:val="D84C82A8"/>
    <w:lvl w:ilvl="0" w:tplc="0B841CF2">
      <w:start w:val="1"/>
      <w:numFmt w:val="lowerLetter"/>
      <w:lvlText w:val="(%1)"/>
      <w:lvlJc w:val="left"/>
      <w:pPr>
        <w:ind w:left="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3F616F8">
      <w:start w:val="1"/>
      <w:numFmt w:val="lowerLetter"/>
      <w:lvlText w:val="%2"/>
      <w:lvlJc w:val="left"/>
      <w:pPr>
        <w:ind w:left="13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416DB74">
      <w:start w:val="1"/>
      <w:numFmt w:val="lowerRoman"/>
      <w:lvlText w:val="%3"/>
      <w:lvlJc w:val="left"/>
      <w:pPr>
        <w:ind w:left="20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146C382">
      <w:start w:val="1"/>
      <w:numFmt w:val="decimal"/>
      <w:lvlText w:val="%4"/>
      <w:lvlJc w:val="left"/>
      <w:pPr>
        <w:ind w:left="27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4034C6">
      <w:start w:val="1"/>
      <w:numFmt w:val="lowerLetter"/>
      <w:lvlText w:val="%5"/>
      <w:lvlJc w:val="left"/>
      <w:pPr>
        <w:ind w:left="3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96A410E">
      <w:start w:val="1"/>
      <w:numFmt w:val="lowerRoman"/>
      <w:lvlText w:val="%6"/>
      <w:lvlJc w:val="left"/>
      <w:pPr>
        <w:ind w:left="4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5A8C06C">
      <w:start w:val="1"/>
      <w:numFmt w:val="decimal"/>
      <w:lvlText w:val="%7"/>
      <w:lvlJc w:val="left"/>
      <w:pPr>
        <w:ind w:left="49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5C0E33A">
      <w:start w:val="1"/>
      <w:numFmt w:val="lowerLetter"/>
      <w:lvlText w:val="%8"/>
      <w:lvlJc w:val="left"/>
      <w:pPr>
        <w:ind w:left="56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FCD2AC">
      <w:start w:val="1"/>
      <w:numFmt w:val="lowerRoman"/>
      <w:lvlText w:val="%9"/>
      <w:lvlJc w:val="left"/>
      <w:pPr>
        <w:ind w:left="63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23A5B3B"/>
    <w:multiLevelType w:val="hybridMultilevel"/>
    <w:tmpl w:val="41ACCD42"/>
    <w:lvl w:ilvl="0" w:tplc="DECAA21A">
      <w:start w:val="3"/>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3705AB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0AE1A8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C36FC2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8E61B5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09A580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0C0440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E1ABC8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2646DA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43B52CDE"/>
    <w:multiLevelType w:val="hybridMultilevel"/>
    <w:tmpl w:val="DB701C36"/>
    <w:lvl w:ilvl="0" w:tplc="B49AF29E">
      <w:start w:val="3"/>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CE6F8B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A0A43E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09E213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C74AB5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C2487B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7E4F85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BD8A09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1AEF74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445C44BD"/>
    <w:multiLevelType w:val="hybridMultilevel"/>
    <w:tmpl w:val="7ACEB4A6"/>
    <w:lvl w:ilvl="0" w:tplc="C9B605D0">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FA747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0C2076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E1453E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C68ED2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F04F33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10251A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264056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E5A8C3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45D23A24"/>
    <w:multiLevelType w:val="hybridMultilevel"/>
    <w:tmpl w:val="51B0247C"/>
    <w:lvl w:ilvl="0" w:tplc="27DA2868">
      <w:start w:val="2"/>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01EAF8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3288A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9AC3FB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398E9F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A2723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702288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6EE31A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DD0D69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463E7E0D"/>
    <w:multiLevelType w:val="hybridMultilevel"/>
    <w:tmpl w:val="398C0AD2"/>
    <w:lvl w:ilvl="0" w:tplc="5AA24C9A">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5E86E5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CDA61E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ADE36F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3AD35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42EEDF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BB0CDC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364F12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62E7FC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49214398"/>
    <w:multiLevelType w:val="hybridMultilevel"/>
    <w:tmpl w:val="DCDA5324"/>
    <w:lvl w:ilvl="0" w:tplc="DF8809D4">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6B00F5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AA42A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F4A83D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11AFA6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A8CAC8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B587D1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0363B7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7E16B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492433AC"/>
    <w:multiLevelType w:val="hybridMultilevel"/>
    <w:tmpl w:val="0F825248"/>
    <w:lvl w:ilvl="0" w:tplc="245C45E2">
      <w:start w:val="10"/>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BE3FA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9820ED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0B843E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17C43F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FE4BAC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6434B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5B0309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3CA890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4BC87017"/>
    <w:multiLevelType w:val="hybridMultilevel"/>
    <w:tmpl w:val="EF4E272E"/>
    <w:lvl w:ilvl="0" w:tplc="5EFEB85A">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F74C60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4B6132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B9EA0F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3689CF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FFEA63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E641DC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12AF5C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98224B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4DDA70EB"/>
    <w:multiLevelType w:val="hybridMultilevel"/>
    <w:tmpl w:val="8BA85144"/>
    <w:lvl w:ilvl="0" w:tplc="2744C7A6">
      <w:start w:val="8"/>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2105A6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EB072E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95EEE7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3CEECE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E065E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69E128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7C0A81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AF86CE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1" w15:restartNumberingAfterBreak="0">
    <w:nsid w:val="4F855E02"/>
    <w:multiLevelType w:val="hybridMultilevel"/>
    <w:tmpl w:val="708E91B8"/>
    <w:lvl w:ilvl="0" w:tplc="EB965846">
      <w:start w:val="1"/>
      <w:numFmt w:val="lowerLetter"/>
      <w:lvlText w:val="(%1)"/>
      <w:lvlJc w:val="left"/>
      <w:pPr>
        <w:ind w:left="7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07CBA0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B8427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AC49DC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7DEB13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C8CCF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8BC0DF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8947DD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E96A04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51863BDE"/>
    <w:multiLevelType w:val="hybridMultilevel"/>
    <w:tmpl w:val="D5907394"/>
    <w:lvl w:ilvl="0" w:tplc="72861354">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2D4A81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94A19E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67498C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76992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E02FD3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254472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78E33E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99869A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3" w15:restartNumberingAfterBreak="0">
    <w:nsid w:val="51A731E6"/>
    <w:multiLevelType w:val="hybridMultilevel"/>
    <w:tmpl w:val="0ABAF632"/>
    <w:lvl w:ilvl="0" w:tplc="8DD21C8C">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DB281CC">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36419E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6C21BC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2E898A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EE62A0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8887D0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DDA6A8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0D85D7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520264C6"/>
    <w:multiLevelType w:val="hybridMultilevel"/>
    <w:tmpl w:val="A5682EF4"/>
    <w:lvl w:ilvl="0" w:tplc="AAA88A92">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B72DA0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CC23F3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5B0564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C14586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D4C5FA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A94B12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7B6476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DA8581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5" w15:restartNumberingAfterBreak="0">
    <w:nsid w:val="53FB007E"/>
    <w:multiLevelType w:val="hybridMultilevel"/>
    <w:tmpl w:val="FE500016"/>
    <w:lvl w:ilvl="0" w:tplc="B49C310A">
      <w:start w:val="5"/>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9AE134">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43C682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57C08A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786B49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46EDF9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BD2CAC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D521D6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E842BE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6" w15:restartNumberingAfterBreak="0">
    <w:nsid w:val="55351229"/>
    <w:multiLevelType w:val="hybridMultilevel"/>
    <w:tmpl w:val="EB166826"/>
    <w:lvl w:ilvl="0" w:tplc="E8BE77EA">
      <w:start w:val="13"/>
      <w:numFmt w:val="decimal"/>
      <w:lvlText w:val="%1."/>
      <w:lvlJc w:val="left"/>
      <w:pPr>
        <w:ind w:left="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01CD872">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886F4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D9CEC2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E12377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DC6E2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7F2DC8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53C840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5ABB9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7" w15:restartNumberingAfterBreak="0">
    <w:nsid w:val="554D3B52"/>
    <w:multiLevelType w:val="hybridMultilevel"/>
    <w:tmpl w:val="D464B33C"/>
    <w:lvl w:ilvl="0" w:tplc="8C24D7D6">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458BB6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6E8FD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3E018C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F482D6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D2455F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D68908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56070B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724C9B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8" w15:restartNumberingAfterBreak="0">
    <w:nsid w:val="56791FE7"/>
    <w:multiLevelType w:val="hybridMultilevel"/>
    <w:tmpl w:val="5066C68C"/>
    <w:lvl w:ilvl="0" w:tplc="78DAD232">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2D4D83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C6EE1E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9CE384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11854C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5AEA8F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12E533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882B53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ABA06D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9" w15:restartNumberingAfterBreak="0">
    <w:nsid w:val="56AB343F"/>
    <w:multiLevelType w:val="hybridMultilevel"/>
    <w:tmpl w:val="10E8066E"/>
    <w:lvl w:ilvl="0" w:tplc="E3283532">
      <w:start w:val="8"/>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A3ED1F2">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3BAFEF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41C960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DAC390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ABE42C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4963DD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62E24A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1F8A21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0" w15:restartNumberingAfterBreak="0">
    <w:nsid w:val="571163F1"/>
    <w:multiLevelType w:val="hybridMultilevel"/>
    <w:tmpl w:val="B68EE51E"/>
    <w:lvl w:ilvl="0" w:tplc="3AF2E7D6">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36E902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410838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32A83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84CE7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B02967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2AC954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560BC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3CCD1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1" w15:restartNumberingAfterBreak="0">
    <w:nsid w:val="575E711B"/>
    <w:multiLevelType w:val="hybridMultilevel"/>
    <w:tmpl w:val="D0C6E89C"/>
    <w:lvl w:ilvl="0" w:tplc="5A6E97C8">
      <w:start w:val="12"/>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16DAE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B064FC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58CB7F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B2A46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9A41D6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7BABFF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B6865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D203FE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2" w15:restartNumberingAfterBreak="0">
    <w:nsid w:val="577C7885"/>
    <w:multiLevelType w:val="hybridMultilevel"/>
    <w:tmpl w:val="AEE62B16"/>
    <w:lvl w:ilvl="0" w:tplc="3C0859F6">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90C0E3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9DC63A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AC0DE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DA2FB2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2407D5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876F27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D6CED8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4DAB28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3" w15:restartNumberingAfterBreak="0">
    <w:nsid w:val="597D6041"/>
    <w:multiLevelType w:val="hybridMultilevel"/>
    <w:tmpl w:val="ED206788"/>
    <w:lvl w:ilvl="0" w:tplc="6D025218">
      <w:start w:val="2"/>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BDC1A5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800386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062586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A54669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F29B3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4682D1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8666E8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54A0AE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4" w15:restartNumberingAfterBreak="0">
    <w:nsid w:val="5D8347DE"/>
    <w:multiLevelType w:val="hybridMultilevel"/>
    <w:tmpl w:val="C456A12A"/>
    <w:lvl w:ilvl="0" w:tplc="3580C5B6">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EE8D1F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630D59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0CABCC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BB2A45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F2CD40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BC6B44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874F2D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E601CF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5" w15:restartNumberingAfterBreak="0">
    <w:nsid w:val="63575553"/>
    <w:multiLevelType w:val="hybridMultilevel"/>
    <w:tmpl w:val="3E046F1E"/>
    <w:lvl w:ilvl="0" w:tplc="40FA133C">
      <w:start w:val="1"/>
      <w:numFmt w:val="lowerLetter"/>
      <w:lvlText w:val="(%1)"/>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9941C5A">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F3ECA08">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1EE208">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FD833E6">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5BC37E4">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C2EF06C">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F464A6C">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7A4FD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6" w15:restartNumberingAfterBreak="0">
    <w:nsid w:val="669A00FC"/>
    <w:multiLevelType w:val="hybridMultilevel"/>
    <w:tmpl w:val="BDD405F0"/>
    <w:lvl w:ilvl="0" w:tplc="19A889BE">
      <w:start w:val="2"/>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1D41F0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364576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FF4F27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2C9E9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6D0988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CCE4A0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0D6C2B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860D85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7" w15:restartNumberingAfterBreak="0">
    <w:nsid w:val="6797564F"/>
    <w:multiLevelType w:val="hybridMultilevel"/>
    <w:tmpl w:val="BE22C04C"/>
    <w:lvl w:ilvl="0" w:tplc="B630FA00">
      <w:start w:val="8"/>
      <w:numFmt w:val="decimal"/>
      <w:lvlText w:val="%1."/>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F48B26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A0D98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0ECBB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969CC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13C3D8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70043C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0EC843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96E15E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9" w15:restartNumberingAfterBreak="0">
    <w:nsid w:val="6AE40A99"/>
    <w:multiLevelType w:val="hybridMultilevel"/>
    <w:tmpl w:val="A7FCE7F8"/>
    <w:lvl w:ilvl="0" w:tplc="ABDA596C">
      <w:start w:val="1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174B30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542C2A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568DA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6CE936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0E8579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8AA16F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9B267D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8A221A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0" w15:restartNumberingAfterBreak="0">
    <w:nsid w:val="6D8F5382"/>
    <w:multiLevelType w:val="hybridMultilevel"/>
    <w:tmpl w:val="ECE49206"/>
    <w:lvl w:ilvl="0" w:tplc="89087E72">
      <w:start w:val="4"/>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F4C4EE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E2F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68E858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B8906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A984E9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06A147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392480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68732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1" w15:restartNumberingAfterBreak="0">
    <w:nsid w:val="743A331D"/>
    <w:multiLevelType w:val="hybridMultilevel"/>
    <w:tmpl w:val="28F23BDC"/>
    <w:lvl w:ilvl="0" w:tplc="F4863B82">
      <w:start w:val="9"/>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5DC96B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CFA922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E70BA4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A0E60A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E7C4E7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29A0AC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B4ABE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0C0DA5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2" w15:restartNumberingAfterBreak="0">
    <w:nsid w:val="77607DFE"/>
    <w:multiLevelType w:val="hybridMultilevel"/>
    <w:tmpl w:val="A76C49EE"/>
    <w:lvl w:ilvl="0" w:tplc="92F08830">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61E960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9C031F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C3C55E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BEC712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EC8F5E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C12CBC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B8A71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06E8F7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3" w15:restartNumberingAfterBreak="0">
    <w:nsid w:val="77DF04F5"/>
    <w:multiLevelType w:val="hybridMultilevel"/>
    <w:tmpl w:val="D97C1ABC"/>
    <w:lvl w:ilvl="0" w:tplc="EF0EABF0">
      <w:start w:val="1"/>
      <w:numFmt w:val="decimal"/>
      <w:lvlText w:val="%1."/>
      <w:lvlJc w:val="left"/>
      <w:pPr>
        <w:ind w:left="1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2B6F1F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87C913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BD8445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BA5D5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C6ABD3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2BE3AE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03C64E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06080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4" w15:restartNumberingAfterBreak="0">
    <w:nsid w:val="78924DD9"/>
    <w:multiLevelType w:val="hybridMultilevel"/>
    <w:tmpl w:val="86E45C1E"/>
    <w:lvl w:ilvl="0" w:tplc="421A4822">
      <w:start w:val="6"/>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12E5E4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116C8D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15CB41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C9AA7F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440A5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A047D6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58216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87CD38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5" w15:restartNumberingAfterBreak="0">
    <w:nsid w:val="79A86437"/>
    <w:multiLevelType w:val="hybridMultilevel"/>
    <w:tmpl w:val="C3400264"/>
    <w:lvl w:ilvl="0" w:tplc="FB7EC11A">
      <w:start w:val="1"/>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3822FAC">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8448B2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0E4C6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86C338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EF82D9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92A665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3484CB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05C1BE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6" w15:restartNumberingAfterBreak="0">
    <w:nsid w:val="7DE04AB9"/>
    <w:multiLevelType w:val="hybridMultilevel"/>
    <w:tmpl w:val="A28C8150"/>
    <w:lvl w:ilvl="0" w:tplc="80B06AB2">
      <w:start w:val="2"/>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7204C5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86E2FB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8CCCC0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44FED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718356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B98EAC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D3E737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734713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7" w15:restartNumberingAfterBreak="0">
    <w:nsid w:val="7E184362"/>
    <w:multiLevelType w:val="hybridMultilevel"/>
    <w:tmpl w:val="B6242E00"/>
    <w:lvl w:ilvl="0" w:tplc="18943CCE">
      <w:start w:val="1"/>
      <w:numFmt w:val="decimal"/>
      <w:lvlText w:val="%1"/>
      <w:lvlJc w:val="left"/>
      <w:pPr>
        <w:ind w:left="10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A423DA">
      <w:start w:val="1"/>
      <w:numFmt w:val="lowerLetter"/>
      <w:lvlText w:val="%2"/>
      <w:lvlJc w:val="left"/>
      <w:pPr>
        <w:ind w:left="19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7B66F9E">
      <w:start w:val="1"/>
      <w:numFmt w:val="lowerRoman"/>
      <w:lvlText w:val="%3"/>
      <w:lvlJc w:val="left"/>
      <w:pPr>
        <w:ind w:left="26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75A4C2E">
      <w:start w:val="1"/>
      <w:numFmt w:val="decimal"/>
      <w:lvlText w:val="%4"/>
      <w:lvlJc w:val="left"/>
      <w:pPr>
        <w:ind w:left="33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3B81A20">
      <w:start w:val="1"/>
      <w:numFmt w:val="lowerLetter"/>
      <w:lvlText w:val="%5"/>
      <w:lvlJc w:val="left"/>
      <w:pPr>
        <w:ind w:left="40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F0C3970">
      <w:start w:val="1"/>
      <w:numFmt w:val="lowerRoman"/>
      <w:lvlText w:val="%6"/>
      <w:lvlJc w:val="left"/>
      <w:pPr>
        <w:ind w:left="4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65CD9D6">
      <w:start w:val="1"/>
      <w:numFmt w:val="decimal"/>
      <w:lvlText w:val="%7"/>
      <w:lvlJc w:val="left"/>
      <w:pPr>
        <w:ind w:left="5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EC81270">
      <w:start w:val="1"/>
      <w:numFmt w:val="lowerLetter"/>
      <w:lvlText w:val="%8"/>
      <w:lvlJc w:val="left"/>
      <w:pPr>
        <w:ind w:left="62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B4E667A">
      <w:start w:val="1"/>
      <w:numFmt w:val="lowerRoman"/>
      <w:lvlText w:val="%9"/>
      <w:lvlJc w:val="left"/>
      <w:pPr>
        <w:ind w:left="69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8" w15:restartNumberingAfterBreak="0">
    <w:nsid w:val="7E3C066C"/>
    <w:multiLevelType w:val="hybridMultilevel"/>
    <w:tmpl w:val="135861F6"/>
    <w:lvl w:ilvl="0" w:tplc="89109306">
      <w:start w:val="1"/>
      <w:numFmt w:val="lowerLetter"/>
      <w:lvlText w:val="(%1)"/>
      <w:lvlJc w:val="left"/>
      <w:pPr>
        <w:ind w:left="7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99E2C7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656AF8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408233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CB617C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82364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E2EEA5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1C0144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87E061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58"/>
  </w:num>
  <w:num w:numId="2">
    <w:abstractNumId w:val="29"/>
  </w:num>
  <w:num w:numId="3">
    <w:abstractNumId w:val="6"/>
  </w:num>
  <w:num w:numId="4">
    <w:abstractNumId w:val="12"/>
  </w:num>
  <w:num w:numId="5">
    <w:abstractNumId w:val="23"/>
  </w:num>
  <w:num w:numId="6">
    <w:abstractNumId w:val="14"/>
  </w:num>
  <w:num w:numId="7">
    <w:abstractNumId w:val="61"/>
  </w:num>
  <w:num w:numId="8">
    <w:abstractNumId w:val="4"/>
  </w:num>
  <w:num w:numId="9">
    <w:abstractNumId w:val="34"/>
  </w:num>
  <w:num w:numId="10">
    <w:abstractNumId w:val="35"/>
  </w:num>
  <w:num w:numId="11">
    <w:abstractNumId w:val="15"/>
  </w:num>
  <w:num w:numId="12">
    <w:abstractNumId w:val="30"/>
  </w:num>
  <w:num w:numId="13">
    <w:abstractNumId w:val="53"/>
  </w:num>
  <w:num w:numId="14">
    <w:abstractNumId w:val="26"/>
  </w:num>
  <w:num w:numId="15">
    <w:abstractNumId w:val="68"/>
  </w:num>
  <w:num w:numId="16">
    <w:abstractNumId w:val="43"/>
  </w:num>
  <w:num w:numId="17">
    <w:abstractNumId w:val="36"/>
  </w:num>
  <w:num w:numId="18">
    <w:abstractNumId w:val="33"/>
  </w:num>
  <w:num w:numId="19">
    <w:abstractNumId w:val="49"/>
  </w:num>
  <w:num w:numId="20">
    <w:abstractNumId w:val="56"/>
  </w:num>
  <w:num w:numId="21">
    <w:abstractNumId w:val="42"/>
  </w:num>
  <w:num w:numId="22">
    <w:abstractNumId w:val="32"/>
  </w:num>
  <w:num w:numId="23">
    <w:abstractNumId w:val="7"/>
  </w:num>
  <w:num w:numId="24">
    <w:abstractNumId w:val="24"/>
  </w:num>
  <w:num w:numId="25">
    <w:abstractNumId w:val="50"/>
  </w:num>
  <w:num w:numId="26">
    <w:abstractNumId w:val="67"/>
  </w:num>
  <w:num w:numId="27">
    <w:abstractNumId w:val="54"/>
  </w:num>
  <w:num w:numId="28">
    <w:abstractNumId w:val="37"/>
  </w:num>
  <w:num w:numId="29">
    <w:abstractNumId w:val="10"/>
  </w:num>
  <w:num w:numId="30">
    <w:abstractNumId w:val="3"/>
  </w:num>
  <w:num w:numId="31">
    <w:abstractNumId w:val="57"/>
  </w:num>
  <w:num w:numId="32">
    <w:abstractNumId w:val="25"/>
  </w:num>
  <w:num w:numId="33">
    <w:abstractNumId w:val="16"/>
  </w:num>
  <w:num w:numId="34">
    <w:abstractNumId w:val="48"/>
  </w:num>
  <w:num w:numId="35">
    <w:abstractNumId w:val="21"/>
  </w:num>
  <w:num w:numId="36">
    <w:abstractNumId w:val="27"/>
  </w:num>
  <w:num w:numId="37">
    <w:abstractNumId w:val="2"/>
  </w:num>
  <w:num w:numId="38">
    <w:abstractNumId w:val="47"/>
  </w:num>
  <w:num w:numId="39">
    <w:abstractNumId w:val="66"/>
  </w:num>
  <w:num w:numId="40">
    <w:abstractNumId w:val="55"/>
  </w:num>
  <w:num w:numId="41">
    <w:abstractNumId w:val="1"/>
  </w:num>
  <w:num w:numId="42">
    <w:abstractNumId w:val="52"/>
  </w:num>
  <w:num w:numId="43">
    <w:abstractNumId w:val="60"/>
  </w:num>
  <w:num w:numId="44">
    <w:abstractNumId w:val="13"/>
  </w:num>
  <w:num w:numId="45">
    <w:abstractNumId w:val="11"/>
  </w:num>
  <w:num w:numId="46">
    <w:abstractNumId w:val="65"/>
  </w:num>
  <w:num w:numId="47">
    <w:abstractNumId w:val="9"/>
  </w:num>
  <w:num w:numId="48">
    <w:abstractNumId w:val="64"/>
  </w:num>
  <w:num w:numId="49">
    <w:abstractNumId w:val="59"/>
  </w:num>
  <w:num w:numId="50">
    <w:abstractNumId w:val="39"/>
  </w:num>
  <w:num w:numId="51">
    <w:abstractNumId w:val="5"/>
  </w:num>
  <w:num w:numId="52">
    <w:abstractNumId w:val="38"/>
  </w:num>
  <w:num w:numId="53">
    <w:abstractNumId w:val="17"/>
  </w:num>
  <w:num w:numId="54">
    <w:abstractNumId w:val="62"/>
  </w:num>
  <w:num w:numId="55">
    <w:abstractNumId w:val="28"/>
  </w:num>
  <w:num w:numId="56">
    <w:abstractNumId w:val="31"/>
  </w:num>
  <w:num w:numId="57">
    <w:abstractNumId w:val="45"/>
  </w:num>
  <w:num w:numId="58">
    <w:abstractNumId w:val="40"/>
  </w:num>
  <w:num w:numId="59">
    <w:abstractNumId w:val="51"/>
  </w:num>
  <w:num w:numId="60">
    <w:abstractNumId w:val="63"/>
  </w:num>
  <w:num w:numId="61">
    <w:abstractNumId w:val="41"/>
  </w:num>
  <w:num w:numId="62">
    <w:abstractNumId w:val="18"/>
  </w:num>
  <w:num w:numId="63">
    <w:abstractNumId w:val="20"/>
  </w:num>
  <w:num w:numId="64">
    <w:abstractNumId w:val="19"/>
  </w:num>
  <w:num w:numId="65">
    <w:abstractNumId w:val="44"/>
  </w:num>
  <w:num w:numId="66">
    <w:abstractNumId w:val="22"/>
  </w:num>
  <w:num w:numId="67">
    <w:abstractNumId w:val="0"/>
  </w:num>
  <w:num w:numId="68">
    <w:abstractNumId w:val="8"/>
  </w:num>
  <w:num w:numId="69">
    <w:abstractNumId w:val="4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70D"/>
    <w:rsid w:val="00017F94"/>
    <w:rsid w:val="00023842"/>
    <w:rsid w:val="000334F9"/>
    <w:rsid w:val="0007796D"/>
    <w:rsid w:val="000B7790"/>
    <w:rsid w:val="000C390E"/>
    <w:rsid w:val="00111F2F"/>
    <w:rsid w:val="0014365E"/>
    <w:rsid w:val="0014660A"/>
    <w:rsid w:val="00150DB2"/>
    <w:rsid w:val="00176178"/>
    <w:rsid w:val="001F525A"/>
    <w:rsid w:val="002212A2"/>
    <w:rsid w:val="00223272"/>
    <w:rsid w:val="0024779E"/>
    <w:rsid w:val="0025470D"/>
    <w:rsid w:val="00291F1D"/>
    <w:rsid w:val="0029407C"/>
    <w:rsid w:val="00294472"/>
    <w:rsid w:val="00350987"/>
    <w:rsid w:val="00353ED5"/>
    <w:rsid w:val="00382A1F"/>
    <w:rsid w:val="00390178"/>
    <w:rsid w:val="003D1AD0"/>
    <w:rsid w:val="00446FE5"/>
    <w:rsid w:val="00452396"/>
    <w:rsid w:val="004D1CEB"/>
    <w:rsid w:val="005505B7"/>
    <w:rsid w:val="00562FF7"/>
    <w:rsid w:val="005706C8"/>
    <w:rsid w:val="00573BE5"/>
    <w:rsid w:val="00586ED3"/>
    <w:rsid w:val="00596AA9"/>
    <w:rsid w:val="006122C4"/>
    <w:rsid w:val="006E2C9B"/>
    <w:rsid w:val="0071601D"/>
    <w:rsid w:val="0076624F"/>
    <w:rsid w:val="00766CEC"/>
    <w:rsid w:val="00770252"/>
    <w:rsid w:val="007A62E6"/>
    <w:rsid w:val="007B13DE"/>
    <w:rsid w:val="007F0166"/>
    <w:rsid w:val="0080684C"/>
    <w:rsid w:val="00815502"/>
    <w:rsid w:val="00845D2D"/>
    <w:rsid w:val="00871C75"/>
    <w:rsid w:val="008776DC"/>
    <w:rsid w:val="008F2A1D"/>
    <w:rsid w:val="0092443F"/>
    <w:rsid w:val="00957790"/>
    <w:rsid w:val="009705C8"/>
    <w:rsid w:val="00A12AB5"/>
    <w:rsid w:val="00AC3823"/>
    <w:rsid w:val="00AE323C"/>
    <w:rsid w:val="00AE7D9F"/>
    <w:rsid w:val="00B00181"/>
    <w:rsid w:val="00B132A7"/>
    <w:rsid w:val="00B43C66"/>
    <w:rsid w:val="00B55090"/>
    <w:rsid w:val="00B765F7"/>
    <w:rsid w:val="00BA0CA9"/>
    <w:rsid w:val="00BB3E59"/>
    <w:rsid w:val="00BE1F4C"/>
    <w:rsid w:val="00BE4745"/>
    <w:rsid w:val="00BF114C"/>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1D545F-EDB2-459F-8B0E-04CA8B2A6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70D"/>
    <w:pPr>
      <w:spacing w:after="5" w:line="271" w:lineRule="auto"/>
      <w:ind w:left="34" w:hanging="8"/>
      <w:jc w:val="both"/>
    </w:pPr>
    <w:rPr>
      <w:rFonts w:eastAsia="Times New Roman"/>
      <w:color w:val="000000"/>
      <w:sz w:val="28"/>
      <w:szCs w:val="22"/>
      <w:lang w:val="en-GB" w:eastAsia="en-GB"/>
    </w:rPr>
  </w:style>
  <w:style w:type="paragraph" w:styleId="Heading1">
    <w:name w:val="heading 1"/>
    <w:aliases w:val="Table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uiPriority w:val="9"/>
    <w:qFormat/>
    <w:rsid w:val="00023842"/>
    <w:pPr>
      <w:outlineLvl w:val="1"/>
    </w:pPr>
  </w:style>
  <w:style w:type="paragraph" w:styleId="Heading3">
    <w:name w:val="heading 3"/>
    <w:basedOn w:val="Normal"/>
    <w:next w:val="Normal"/>
    <w:link w:val="Heading3Char"/>
    <w:uiPriority w:val="9"/>
    <w:qFormat/>
    <w:rsid w:val="00023842"/>
    <w:pPr>
      <w:outlineLvl w:val="2"/>
    </w:pPr>
  </w:style>
  <w:style w:type="paragraph" w:styleId="Heading4">
    <w:name w:val="heading 4"/>
    <w:basedOn w:val="Normal"/>
    <w:next w:val="Normal"/>
    <w:link w:val="Heading4Char"/>
    <w:uiPriority w:val="9"/>
    <w:qFormat/>
    <w:rsid w:val="00023842"/>
    <w:pPr>
      <w:outlineLvl w:val="3"/>
    </w:pPr>
  </w:style>
  <w:style w:type="paragraph" w:styleId="Heading5">
    <w:name w:val="heading 5"/>
    <w:basedOn w:val="Normal"/>
    <w:next w:val="Normal"/>
    <w:link w:val="Heading5Char"/>
    <w:uiPriority w:val="9"/>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pPr>
  </w:style>
  <w:style w:type="paragraph" w:customStyle="1" w:styleId="Bullet2G">
    <w:name w:val="_Bullet 2_G"/>
    <w:basedOn w:val="Normal"/>
    <w:qFormat/>
    <w:rsid w:val="0080684C"/>
    <w:pPr>
      <w:numPr>
        <w:numId w:val="2"/>
      </w:numPr>
      <w:spacing w:after="120"/>
      <w:ind w:right="1134"/>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3"/>
      </w:numPr>
      <w:tabs>
        <w:tab w:val="clear" w:pos="1701"/>
      </w:tabs>
    </w:pPr>
  </w:style>
  <w:style w:type="paragraph" w:customStyle="1" w:styleId="footnotedescription">
    <w:name w:val="footnote description"/>
    <w:next w:val="Normal"/>
    <w:link w:val="footnotedescriptionChar"/>
    <w:hidden/>
    <w:rsid w:val="0025470D"/>
    <w:pPr>
      <w:spacing w:line="256" w:lineRule="auto"/>
      <w:ind w:left="283" w:right="71" w:hanging="283"/>
      <w:jc w:val="both"/>
    </w:pPr>
    <w:rPr>
      <w:rFonts w:eastAsia="Times New Roman"/>
      <w:color w:val="000000"/>
      <w:sz w:val="22"/>
      <w:szCs w:val="22"/>
      <w:lang w:val="en-GB" w:eastAsia="en-GB"/>
    </w:rPr>
  </w:style>
  <w:style w:type="character" w:customStyle="1" w:styleId="footnotedescriptionChar">
    <w:name w:val="footnote description Char"/>
    <w:link w:val="footnotedescription"/>
    <w:rsid w:val="0025470D"/>
    <w:rPr>
      <w:rFonts w:eastAsia="Times New Roman"/>
      <w:color w:val="000000"/>
      <w:sz w:val="22"/>
      <w:szCs w:val="22"/>
      <w:lang w:val="en-GB" w:eastAsia="en-GB"/>
    </w:rPr>
  </w:style>
  <w:style w:type="character" w:customStyle="1" w:styleId="footnotemark">
    <w:name w:val="footnote mark"/>
    <w:hidden/>
    <w:rsid w:val="0025470D"/>
    <w:rPr>
      <w:rFonts w:ascii="Times New Roman" w:eastAsia="Times New Roman" w:hAnsi="Times New Roman" w:cs="Times New Roman"/>
      <w:color w:val="000000"/>
      <w:sz w:val="22"/>
      <w:vertAlign w:val="superscript"/>
    </w:rPr>
  </w:style>
  <w:style w:type="table" w:customStyle="1" w:styleId="TableGrid0">
    <w:name w:val="TableGrid"/>
    <w:rsid w:val="0025470D"/>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5.xml"/><Relationship Id="rId299" Type="http://schemas.openxmlformats.org/officeDocument/2006/relationships/header" Target="header147.xml"/><Relationship Id="rId21" Type="http://schemas.openxmlformats.org/officeDocument/2006/relationships/footer" Target="footer7.xml"/><Relationship Id="rId63" Type="http://schemas.openxmlformats.org/officeDocument/2006/relationships/footer" Target="footer28.xml"/><Relationship Id="rId159" Type="http://schemas.openxmlformats.org/officeDocument/2006/relationships/footer" Target="footer76.xml"/><Relationship Id="rId324" Type="http://schemas.openxmlformats.org/officeDocument/2006/relationships/footer" Target="footer159.xml"/><Relationship Id="rId366" Type="http://schemas.openxmlformats.org/officeDocument/2006/relationships/footer" Target="footer180.xml"/><Relationship Id="rId170" Type="http://schemas.openxmlformats.org/officeDocument/2006/relationships/header" Target="header83.xml"/><Relationship Id="rId226" Type="http://schemas.openxmlformats.org/officeDocument/2006/relationships/footer" Target="footer110.xml"/><Relationship Id="rId268" Type="http://schemas.openxmlformats.org/officeDocument/2006/relationships/footer" Target="footer131.xml"/><Relationship Id="rId32" Type="http://schemas.openxmlformats.org/officeDocument/2006/relationships/header" Target="header14.xml"/><Relationship Id="rId74" Type="http://schemas.openxmlformats.org/officeDocument/2006/relationships/header" Target="header35.xml"/><Relationship Id="rId128" Type="http://schemas.openxmlformats.org/officeDocument/2006/relationships/header" Target="header62.xml"/><Relationship Id="rId335" Type="http://schemas.openxmlformats.org/officeDocument/2006/relationships/header" Target="header165.xml"/><Relationship Id="rId377" Type="http://schemas.openxmlformats.org/officeDocument/2006/relationships/customXml" Target="../customXml/item3.xml"/><Relationship Id="rId5" Type="http://schemas.openxmlformats.org/officeDocument/2006/relationships/footnotes" Target="footnotes.xml"/><Relationship Id="rId181" Type="http://schemas.openxmlformats.org/officeDocument/2006/relationships/header" Target="header88.xml"/><Relationship Id="rId237" Type="http://schemas.openxmlformats.org/officeDocument/2006/relationships/footer" Target="footer115.xml"/><Relationship Id="rId279" Type="http://schemas.openxmlformats.org/officeDocument/2006/relationships/footer" Target="footer136.xml"/><Relationship Id="rId43" Type="http://schemas.openxmlformats.org/officeDocument/2006/relationships/header" Target="header19.xml"/><Relationship Id="rId139" Type="http://schemas.openxmlformats.org/officeDocument/2006/relationships/header" Target="header67.xml"/><Relationship Id="rId290" Type="http://schemas.openxmlformats.org/officeDocument/2006/relationships/header" Target="header143.xml"/><Relationship Id="rId304" Type="http://schemas.openxmlformats.org/officeDocument/2006/relationships/footer" Target="footer149.xml"/><Relationship Id="rId346" Type="http://schemas.openxmlformats.org/officeDocument/2006/relationships/footer" Target="footer170.xml"/><Relationship Id="rId85" Type="http://schemas.openxmlformats.org/officeDocument/2006/relationships/header" Target="header40.xml"/><Relationship Id="rId150" Type="http://schemas.openxmlformats.org/officeDocument/2006/relationships/footer" Target="footer72.xml"/><Relationship Id="rId192" Type="http://schemas.openxmlformats.org/officeDocument/2006/relationships/footer" Target="footer93.xml"/><Relationship Id="rId206" Type="http://schemas.openxmlformats.org/officeDocument/2006/relationships/header" Target="header101.xml"/><Relationship Id="rId248" Type="http://schemas.openxmlformats.org/officeDocument/2006/relationships/header" Target="header122.xml"/><Relationship Id="rId12" Type="http://schemas.openxmlformats.org/officeDocument/2006/relationships/footer" Target="footer3.xml"/><Relationship Id="rId108" Type="http://schemas.openxmlformats.org/officeDocument/2006/relationships/footer" Target="footer51.xml"/><Relationship Id="rId315" Type="http://schemas.openxmlformats.org/officeDocument/2006/relationships/footer" Target="footer154.xml"/><Relationship Id="rId357" Type="http://schemas.openxmlformats.org/officeDocument/2006/relationships/footer" Target="footer175.xml"/><Relationship Id="rId54" Type="http://schemas.openxmlformats.org/officeDocument/2006/relationships/footer" Target="footer24.xml"/><Relationship Id="rId96" Type="http://schemas.openxmlformats.org/officeDocument/2006/relationships/footer" Target="footer45.xml"/><Relationship Id="rId161" Type="http://schemas.openxmlformats.org/officeDocument/2006/relationships/header" Target="header78.xml"/><Relationship Id="rId217" Type="http://schemas.openxmlformats.org/officeDocument/2006/relationships/header" Target="header106.xml"/><Relationship Id="rId259" Type="http://schemas.openxmlformats.org/officeDocument/2006/relationships/header" Target="header127.xml"/><Relationship Id="rId23" Type="http://schemas.openxmlformats.org/officeDocument/2006/relationships/header" Target="header9.xml"/><Relationship Id="rId119" Type="http://schemas.openxmlformats.org/officeDocument/2006/relationships/header" Target="header57.xml"/><Relationship Id="rId270" Type="http://schemas.openxmlformats.org/officeDocument/2006/relationships/footer" Target="footer132.xml"/><Relationship Id="rId326" Type="http://schemas.openxmlformats.org/officeDocument/2006/relationships/header" Target="header161.xml"/><Relationship Id="rId65" Type="http://schemas.openxmlformats.org/officeDocument/2006/relationships/header" Target="header30.xml"/><Relationship Id="rId130" Type="http://schemas.openxmlformats.org/officeDocument/2006/relationships/footer" Target="footer62.xml"/><Relationship Id="rId368" Type="http://schemas.openxmlformats.org/officeDocument/2006/relationships/header" Target="header182.xml"/><Relationship Id="rId172" Type="http://schemas.openxmlformats.org/officeDocument/2006/relationships/footer" Target="footer83.xml"/><Relationship Id="rId228" Type="http://schemas.openxmlformats.org/officeDocument/2006/relationships/footer" Target="footer111.xml"/><Relationship Id="rId281" Type="http://schemas.openxmlformats.org/officeDocument/2006/relationships/header" Target="header138.xml"/><Relationship Id="rId337" Type="http://schemas.openxmlformats.org/officeDocument/2006/relationships/header" Target="header166.xml"/><Relationship Id="rId34" Type="http://schemas.openxmlformats.org/officeDocument/2006/relationships/footer" Target="footer14.xml"/><Relationship Id="rId76" Type="http://schemas.openxmlformats.org/officeDocument/2006/relationships/footer" Target="footer35.xml"/><Relationship Id="rId141" Type="http://schemas.openxmlformats.org/officeDocument/2006/relationships/footer" Target="footer67.xml"/><Relationship Id="rId7" Type="http://schemas.openxmlformats.org/officeDocument/2006/relationships/header" Target="header1.xml"/><Relationship Id="rId183" Type="http://schemas.openxmlformats.org/officeDocument/2006/relationships/footer" Target="footer88.xml"/><Relationship Id="rId239" Type="http://schemas.openxmlformats.org/officeDocument/2006/relationships/header" Target="header117.xml"/><Relationship Id="rId250" Type="http://schemas.openxmlformats.org/officeDocument/2006/relationships/footer" Target="footer122.xml"/><Relationship Id="rId292" Type="http://schemas.openxmlformats.org/officeDocument/2006/relationships/footer" Target="footer143.xml"/><Relationship Id="rId306" Type="http://schemas.openxmlformats.org/officeDocument/2006/relationships/footer" Target="footer150.xml"/><Relationship Id="rId45" Type="http://schemas.openxmlformats.org/officeDocument/2006/relationships/footer" Target="footer19.xml"/><Relationship Id="rId87" Type="http://schemas.openxmlformats.org/officeDocument/2006/relationships/footer" Target="footer40.xml"/><Relationship Id="rId110" Type="http://schemas.openxmlformats.org/officeDocument/2006/relationships/header" Target="header53.xml"/><Relationship Id="rId348" Type="http://schemas.openxmlformats.org/officeDocument/2006/relationships/footer" Target="footer171.xml"/><Relationship Id="rId152" Type="http://schemas.openxmlformats.org/officeDocument/2006/relationships/header" Target="header74.xml"/><Relationship Id="rId194" Type="http://schemas.openxmlformats.org/officeDocument/2006/relationships/header" Target="header95.xml"/><Relationship Id="rId208" Type="http://schemas.openxmlformats.org/officeDocument/2006/relationships/footer" Target="footer101.xml"/><Relationship Id="rId261" Type="http://schemas.openxmlformats.org/officeDocument/2006/relationships/footer" Target="footer127.xml"/><Relationship Id="rId14" Type="http://schemas.openxmlformats.org/officeDocument/2006/relationships/header" Target="header5.xml"/><Relationship Id="rId56" Type="http://schemas.openxmlformats.org/officeDocument/2006/relationships/header" Target="header26.xml"/><Relationship Id="rId317" Type="http://schemas.openxmlformats.org/officeDocument/2006/relationships/header" Target="header156.xml"/><Relationship Id="rId359" Type="http://schemas.openxmlformats.org/officeDocument/2006/relationships/header" Target="header177.xml"/><Relationship Id="rId98" Type="http://schemas.openxmlformats.org/officeDocument/2006/relationships/header" Target="header47.xml"/><Relationship Id="rId121" Type="http://schemas.openxmlformats.org/officeDocument/2006/relationships/header" Target="header58.xml"/><Relationship Id="rId163" Type="http://schemas.openxmlformats.org/officeDocument/2006/relationships/header" Target="header79.xml"/><Relationship Id="rId219" Type="http://schemas.openxmlformats.org/officeDocument/2006/relationships/footer" Target="footer106.xml"/><Relationship Id="rId370" Type="http://schemas.openxmlformats.org/officeDocument/2006/relationships/footer" Target="footer182.xml"/><Relationship Id="rId230" Type="http://schemas.openxmlformats.org/officeDocument/2006/relationships/header" Target="header113.xml"/><Relationship Id="rId25" Type="http://schemas.openxmlformats.org/officeDocument/2006/relationships/header" Target="header10.xml"/><Relationship Id="rId67" Type="http://schemas.openxmlformats.org/officeDocument/2006/relationships/header" Target="header31.xml"/><Relationship Id="rId272" Type="http://schemas.openxmlformats.org/officeDocument/2006/relationships/header" Target="header134.xml"/><Relationship Id="rId328" Type="http://schemas.openxmlformats.org/officeDocument/2006/relationships/footer" Target="footer161.xml"/><Relationship Id="rId132" Type="http://schemas.openxmlformats.org/officeDocument/2006/relationships/footer" Target="footer63.xml"/><Relationship Id="rId174" Type="http://schemas.openxmlformats.org/officeDocument/2006/relationships/footer" Target="footer84.xml"/><Relationship Id="rId241" Type="http://schemas.openxmlformats.org/officeDocument/2006/relationships/header" Target="header118.xml"/><Relationship Id="rId36" Type="http://schemas.openxmlformats.org/officeDocument/2006/relationships/footer" Target="footer15.xml"/><Relationship Id="rId283" Type="http://schemas.openxmlformats.org/officeDocument/2006/relationships/header" Target="header139.xml"/><Relationship Id="rId339" Type="http://schemas.openxmlformats.org/officeDocument/2006/relationships/footer" Target="footer166.xml"/><Relationship Id="rId78" Type="http://schemas.openxmlformats.org/officeDocument/2006/relationships/footer" Target="footer36.xml"/><Relationship Id="rId101" Type="http://schemas.openxmlformats.org/officeDocument/2006/relationships/header" Target="header48.xml"/><Relationship Id="rId143" Type="http://schemas.openxmlformats.org/officeDocument/2006/relationships/header" Target="header69.xml"/><Relationship Id="rId185" Type="http://schemas.openxmlformats.org/officeDocument/2006/relationships/header" Target="header90.xml"/><Relationship Id="rId350" Type="http://schemas.openxmlformats.org/officeDocument/2006/relationships/header" Target="header173.xml"/><Relationship Id="rId9" Type="http://schemas.openxmlformats.org/officeDocument/2006/relationships/footer" Target="footer1.xml"/><Relationship Id="rId210" Type="http://schemas.openxmlformats.org/officeDocument/2006/relationships/footer" Target="footer102.xml"/><Relationship Id="rId26" Type="http://schemas.openxmlformats.org/officeDocument/2006/relationships/header" Target="header11.xml"/><Relationship Id="rId231" Type="http://schemas.openxmlformats.org/officeDocument/2006/relationships/footer" Target="footer112.xml"/><Relationship Id="rId252" Type="http://schemas.openxmlformats.org/officeDocument/2006/relationships/footer" Target="footer123.xml"/><Relationship Id="rId273" Type="http://schemas.openxmlformats.org/officeDocument/2006/relationships/footer" Target="footer133.xml"/><Relationship Id="rId294" Type="http://schemas.openxmlformats.org/officeDocument/2006/relationships/footer" Target="footer144.xml"/><Relationship Id="rId308" Type="http://schemas.openxmlformats.org/officeDocument/2006/relationships/header" Target="header152.xml"/><Relationship Id="rId329" Type="http://schemas.openxmlformats.org/officeDocument/2006/relationships/header" Target="header162.xml"/><Relationship Id="rId47" Type="http://schemas.openxmlformats.org/officeDocument/2006/relationships/header" Target="header21.xml"/><Relationship Id="rId68" Type="http://schemas.openxmlformats.org/officeDocument/2006/relationships/header" Target="header32.xml"/><Relationship Id="rId89" Type="http://schemas.openxmlformats.org/officeDocument/2006/relationships/header" Target="header42.xml"/><Relationship Id="rId112" Type="http://schemas.openxmlformats.org/officeDocument/2006/relationships/footer" Target="footer53.xml"/><Relationship Id="rId133" Type="http://schemas.openxmlformats.org/officeDocument/2006/relationships/header" Target="header64.xml"/><Relationship Id="rId154" Type="http://schemas.openxmlformats.org/officeDocument/2006/relationships/footer" Target="footer74.xml"/><Relationship Id="rId175" Type="http://schemas.openxmlformats.org/officeDocument/2006/relationships/header" Target="header85.xml"/><Relationship Id="rId340" Type="http://schemas.openxmlformats.org/officeDocument/2006/relationships/footer" Target="footer167.xml"/><Relationship Id="rId361" Type="http://schemas.openxmlformats.org/officeDocument/2006/relationships/header" Target="header178.xml"/><Relationship Id="rId196" Type="http://schemas.openxmlformats.org/officeDocument/2006/relationships/footer" Target="footer95.xml"/><Relationship Id="rId200" Type="http://schemas.openxmlformats.org/officeDocument/2006/relationships/header" Target="header98.xml"/><Relationship Id="rId16" Type="http://schemas.openxmlformats.org/officeDocument/2006/relationships/footer" Target="footer5.xml"/><Relationship Id="rId221" Type="http://schemas.openxmlformats.org/officeDocument/2006/relationships/header" Target="header108.xml"/><Relationship Id="rId242" Type="http://schemas.openxmlformats.org/officeDocument/2006/relationships/header" Target="header119.xml"/><Relationship Id="rId263" Type="http://schemas.openxmlformats.org/officeDocument/2006/relationships/header" Target="header129.xml"/><Relationship Id="rId284" Type="http://schemas.openxmlformats.org/officeDocument/2006/relationships/header" Target="header140.xml"/><Relationship Id="rId319" Type="http://schemas.openxmlformats.org/officeDocument/2006/relationships/header" Target="header157.xml"/><Relationship Id="rId37" Type="http://schemas.openxmlformats.org/officeDocument/2006/relationships/header" Target="header16.xml"/><Relationship Id="rId58" Type="http://schemas.openxmlformats.org/officeDocument/2006/relationships/footer" Target="footer26.xml"/><Relationship Id="rId79" Type="http://schemas.openxmlformats.org/officeDocument/2006/relationships/header" Target="header37.xml"/><Relationship Id="rId102" Type="http://schemas.openxmlformats.org/officeDocument/2006/relationships/footer" Target="footer48.xml"/><Relationship Id="rId123" Type="http://schemas.openxmlformats.org/officeDocument/2006/relationships/footer" Target="footer58.xml"/><Relationship Id="rId144" Type="http://schemas.openxmlformats.org/officeDocument/2006/relationships/footer" Target="footer69.xml"/><Relationship Id="rId330" Type="http://schemas.openxmlformats.org/officeDocument/2006/relationships/footer" Target="footer162.xml"/><Relationship Id="rId90" Type="http://schemas.openxmlformats.org/officeDocument/2006/relationships/footer" Target="footer42.xml"/><Relationship Id="rId165" Type="http://schemas.openxmlformats.org/officeDocument/2006/relationships/footer" Target="footer79.xml"/><Relationship Id="rId186" Type="http://schemas.openxmlformats.org/officeDocument/2006/relationships/footer" Target="footer90.xml"/><Relationship Id="rId351" Type="http://schemas.openxmlformats.org/officeDocument/2006/relationships/footer" Target="footer172.xml"/><Relationship Id="rId372" Type="http://schemas.openxmlformats.org/officeDocument/2006/relationships/footer" Target="footer183.xml"/><Relationship Id="rId211" Type="http://schemas.openxmlformats.org/officeDocument/2006/relationships/header" Target="header103.xml"/><Relationship Id="rId232" Type="http://schemas.openxmlformats.org/officeDocument/2006/relationships/footer" Target="footer113.xml"/><Relationship Id="rId253" Type="http://schemas.openxmlformats.org/officeDocument/2006/relationships/header" Target="header124.xml"/><Relationship Id="rId274" Type="http://schemas.openxmlformats.org/officeDocument/2006/relationships/footer" Target="footer134.xml"/><Relationship Id="rId295" Type="http://schemas.openxmlformats.org/officeDocument/2006/relationships/header" Target="header145.xml"/><Relationship Id="rId309" Type="http://schemas.openxmlformats.org/officeDocument/2006/relationships/footer" Target="footer151.xml"/><Relationship Id="rId27" Type="http://schemas.openxmlformats.org/officeDocument/2006/relationships/footer" Target="footer10.xml"/><Relationship Id="rId48" Type="http://schemas.openxmlformats.org/officeDocument/2006/relationships/footer" Target="footer21.xml"/><Relationship Id="rId69" Type="http://schemas.openxmlformats.org/officeDocument/2006/relationships/footer" Target="footer31.xml"/><Relationship Id="rId113" Type="http://schemas.openxmlformats.org/officeDocument/2006/relationships/header" Target="header54.xml"/><Relationship Id="rId134" Type="http://schemas.openxmlformats.org/officeDocument/2006/relationships/header" Target="header65.xml"/><Relationship Id="rId320" Type="http://schemas.openxmlformats.org/officeDocument/2006/relationships/header" Target="header158.xml"/><Relationship Id="rId80" Type="http://schemas.openxmlformats.org/officeDocument/2006/relationships/header" Target="header38.xml"/><Relationship Id="rId155" Type="http://schemas.openxmlformats.org/officeDocument/2006/relationships/header" Target="header75.xml"/><Relationship Id="rId176" Type="http://schemas.openxmlformats.org/officeDocument/2006/relationships/header" Target="header86.xml"/><Relationship Id="rId197" Type="http://schemas.openxmlformats.org/officeDocument/2006/relationships/header" Target="header96.xml"/><Relationship Id="rId341" Type="http://schemas.openxmlformats.org/officeDocument/2006/relationships/header" Target="header168.xml"/><Relationship Id="rId362" Type="http://schemas.openxmlformats.org/officeDocument/2006/relationships/header" Target="header179.xml"/><Relationship Id="rId201" Type="http://schemas.openxmlformats.org/officeDocument/2006/relationships/footer" Target="footer97.xml"/><Relationship Id="rId222" Type="http://schemas.openxmlformats.org/officeDocument/2006/relationships/footer" Target="footer108.xml"/><Relationship Id="rId243" Type="http://schemas.openxmlformats.org/officeDocument/2006/relationships/footer" Target="footer118.xml"/><Relationship Id="rId264" Type="http://schemas.openxmlformats.org/officeDocument/2006/relationships/footer" Target="footer129.xml"/><Relationship Id="rId285" Type="http://schemas.openxmlformats.org/officeDocument/2006/relationships/footer" Target="footer139.xml"/><Relationship Id="rId17" Type="http://schemas.openxmlformats.org/officeDocument/2006/relationships/header" Target="header6.xml"/><Relationship Id="rId38" Type="http://schemas.openxmlformats.org/officeDocument/2006/relationships/header" Target="header17.xml"/><Relationship Id="rId59" Type="http://schemas.openxmlformats.org/officeDocument/2006/relationships/header" Target="header27.xml"/><Relationship Id="rId103" Type="http://schemas.openxmlformats.org/officeDocument/2006/relationships/header" Target="header49.xml"/><Relationship Id="rId124" Type="http://schemas.openxmlformats.org/officeDocument/2006/relationships/footer" Target="footer59.xml"/><Relationship Id="rId310" Type="http://schemas.openxmlformats.org/officeDocument/2006/relationships/footer" Target="footer152.xml"/><Relationship Id="rId70" Type="http://schemas.openxmlformats.org/officeDocument/2006/relationships/footer" Target="footer32.xml"/><Relationship Id="rId91" Type="http://schemas.openxmlformats.org/officeDocument/2006/relationships/header" Target="header43.xml"/><Relationship Id="rId145" Type="http://schemas.openxmlformats.org/officeDocument/2006/relationships/header" Target="header70.xml"/><Relationship Id="rId166" Type="http://schemas.openxmlformats.org/officeDocument/2006/relationships/footer" Target="footer80.xml"/><Relationship Id="rId187" Type="http://schemas.openxmlformats.org/officeDocument/2006/relationships/header" Target="header91.xml"/><Relationship Id="rId331" Type="http://schemas.openxmlformats.org/officeDocument/2006/relationships/header" Target="header163.xml"/><Relationship Id="rId352" Type="http://schemas.openxmlformats.org/officeDocument/2006/relationships/footer" Target="footer173.xml"/><Relationship Id="rId373" Type="http://schemas.openxmlformats.org/officeDocument/2006/relationships/fontTable" Target="fontTable.xml"/><Relationship Id="rId1" Type="http://schemas.openxmlformats.org/officeDocument/2006/relationships/numbering" Target="numbering.xml"/><Relationship Id="rId212" Type="http://schemas.openxmlformats.org/officeDocument/2006/relationships/header" Target="header104.xml"/><Relationship Id="rId233" Type="http://schemas.openxmlformats.org/officeDocument/2006/relationships/header" Target="header114.xml"/><Relationship Id="rId254" Type="http://schemas.openxmlformats.org/officeDocument/2006/relationships/header" Target="header125.xml"/><Relationship Id="rId28" Type="http://schemas.openxmlformats.org/officeDocument/2006/relationships/footer" Target="footer11.xml"/><Relationship Id="rId49" Type="http://schemas.openxmlformats.org/officeDocument/2006/relationships/header" Target="header22.xml"/><Relationship Id="rId114" Type="http://schemas.openxmlformats.org/officeDocument/2006/relationships/footer" Target="footer54.xml"/><Relationship Id="rId275" Type="http://schemas.openxmlformats.org/officeDocument/2006/relationships/header" Target="header135.xml"/><Relationship Id="rId296" Type="http://schemas.openxmlformats.org/officeDocument/2006/relationships/header" Target="header146.xml"/><Relationship Id="rId300" Type="http://schemas.openxmlformats.org/officeDocument/2006/relationships/footer" Target="footer147.xml"/><Relationship Id="rId60" Type="http://schemas.openxmlformats.org/officeDocument/2006/relationships/footer" Target="footer27.xml"/><Relationship Id="rId81" Type="http://schemas.openxmlformats.org/officeDocument/2006/relationships/footer" Target="footer37.xml"/><Relationship Id="rId135" Type="http://schemas.openxmlformats.org/officeDocument/2006/relationships/footer" Target="footer64.xml"/><Relationship Id="rId156" Type="http://schemas.openxmlformats.org/officeDocument/2006/relationships/footer" Target="footer75.xml"/><Relationship Id="rId177" Type="http://schemas.openxmlformats.org/officeDocument/2006/relationships/footer" Target="footer85.xml"/><Relationship Id="rId198" Type="http://schemas.openxmlformats.org/officeDocument/2006/relationships/footer" Target="footer96.xml"/><Relationship Id="rId321" Type="http://schemas.openxmlformats.org/officeDocument/2006/relationships/footer" Target="footer157.xml"/><Relationship Id="rId342" Type="http://schemas.openxmlformats.org/officeDocument/2006/relationships/footer" Target="footer168.xml"/><Relationship Id="rId363" Type="http://schemas.openxmlformats.org/officeDocument/2006/relationships/footer" Target="footer178.xml"/><Relationship Id="rId202" Type="http://schemas.openxmlformats.org/officeDocument/2006/relationships/footer" Target="footer98.xml"/><Relationship Id="rId223" Type="http://schemas.openxmlformats.org/officeDocument/2006/relationships/header" Target="header109.xml"/><Relationship Id="rId244" Type="http://schemas.openxmlformats.org/officeDocument/2006/relationships/footer" Target="footer119.xml"/><Relationship Id="rId18" Type="http://schemas.openxmlformats.org/officeDocument/2006/relationships/footer" Target="footer6.xml"/><Relationship Id="rId39" Type="http://schemas.openxmlformats.org/officeDocument/2006/relationships/footer" Target="footer16.xml"/><Relationship Id="rId265" Type="http://schemas.openxmlformats.org/officeDocument/2006/relationships/header" Target="header130.xml"/><Relationship Id="rId286" Type="http://schemas.openxmlformats.org/officeDocument/2006/relationships/footer" Target="footer140.xml"/><Relationship Id="rId50" Type="http://schemas.openxmlformats.org/officeDocument/2006/relationships/header" Target="header23.xml"/><Relationship Id="rId104" Type="http://schemas.openxmlformats.org/officeDocument/2006/relationships/header" Target="header50.xml"/><Relationship Id="rId125" Type="http://schemas.openxmlformats.org/officeDocument/2006/relationships/header" Target="header60.xml"/><Relationship Id="rId146" Type="http://schemas.openxmlformats.org/officeDocument/2006/relationships/header" Target="header71.xml"/><Relationship Id="rId167" Type="http://schemas.openxmlformats.org/officeDocument/2006/relationships/header" Target="header81.xml"/><Relationship Id="rId188" Type="http://schemas.openxmlformats.org/officeDocument/2006/relationships/header" Target="header92.xml"/><Relationship Id="rId311" Type="http://schemas.openxmlformats.org/officeDocument/2006/relationships/header" Target="header153.xml"/><Relationship Id="rId332" Type="http://schemas.openxmlformats.org/officeDocument/2006/relationships/header" Target="header164.xml"/><Relationship Id="rId353" Type="http://schemas.openxmlformats.org/officeDocument/2006/relationships/header" Target="header174.xml"/><Relationship Id="rId374" Type="http://schemas.openxmlformats.org/officeDocument/2006/relationships/theme" Target="theme/theme1.xml"/><Relationship Id="rId71" Type="http://schemas.openxmlformats.org/officeDocument/2006/relationships/header" Target="header33.xml"/><Relationship Id="rId92" Type="http://schemas.openxmlformats.org/officeDocument/2006/relationships/header" Target="header44.xml"/><Relationship Id="rId213" Type="http://schemas.openxmlformats.org/officeDocument/2006/relationships/footer" Target="footer103.xml"/><Relationship Id="rId234" Type="http://schemas.openxmlformats.org/officeDocument/2006/relationships/footer" Target="footer114.xml"/><Relationship Id="rId2" Type="http://schemas.openxmlformats.org/officeDocument/2006/relationships/styles" Target="styles.xml"/><Relationship Id="rId29" Type="http://schemas.openxmlformats.org/officeDocument/2006/relationships/header" Target="header12.xml"/><Relationship Id="rId255" Type="http://schemas.openxmlformats.org/officeDocument/2006/relationships/footer" Target="footer124.xml"/><Relationship Id="rId276" Type="http://schemas.openxmlformats.org/officeDocument/2006/relationships/footer" Target="footer135.xml"/><Relationship Id="rId297" Type="http://schemas.openxmlformats.org/officeDocument/2006/relationships/footer" Target="footer145.xml"/><Relationship Id="rId40" Type="http://schemas.openxmlformats.org/officeDocument/2006/relationships/footer" Target="footer17.xml"/><Relationship Id="rId115" Type="http://schemas.openxmlformats.org/officeDocument/2006/relationships/header" Target="header55.xml"/><Relationship Id="rId136" Type="http://schemas.openxmlformats.org/officeDocument/2006/relationships/footer" Target="footer65.xml"/><Relationship Id="rId157" Type="http://schemas.openxmlformats.org/officeDocument/2006/relationships/header" Target="header76.xml"/><Relationship Id="rId178" Type="http://schemas.openxmlformats.org/officeDocument/2006/relationships/footer" Target="footer86.xml"/><Relationship Id="rId301" Type="http://schemas.openxmlformats.org/officeDocument/2006/relationships/header" Target="header148.xml"/><Relationship Id="rId322" Type="http://schemas.openxmlformats.org/officeDocument/2006/relationships/footer" Target="footer158.xml"/><Relationship Id="rId343" Type="http://schemas.openxmlformats.org/officeDocument/2006/relationships/header" Target="header169.xml"/><Relationship Id="rId364" Type="http://schemas.openxmlformats.org/officeDocument/2006/relationships/footer" Target="footer179.xml"/><Relationship Id="rId61" Type="http://schemas.openxmlformats.org/officeDocument/2006/relationships/header" Target="header28.xml"/><Relationship Id="rId82" Type="http://schemas.openxmlformats.org/officeDocument/2006/relationships/footer" Target="footer38.xml"/><Relationship Id="rId199" Type="http://schemas.openxmlformats.org/officeDocument/2006/relationships/header" Target="header97.xml"/><Relationship Id="rId203" Type="http://schemas.openxmlformats.org/officeDocument/2006/relationships/header" Target="header99.xml"/><Relationship Id="rId19" Type="http://schemas.openxmlformats.org/officeDocument/2006/relationships/header" Target="header7.xml"/><Relationship Id="rId224" Type="http://schemas.openxmlformats.org/officeDocument/2006/relationships/header" Target="header110.xml"/><Relationship Id="rId245" Type="http://schemas.openxmlformats.org/officeDocument/2006/relationships/header" Target="header120.xml"/><Relationship Id="rId266" Type="http://schemas.openxmlformats.org/officeDocument/2006/relationships/header" Target="header131.xml"/><Relationship Id="rId287" Type="http://schemas.openxmlformats.org/officeDocument/2006/relationships/header" Target="header141.xml"/><Relationship Id="rId30" Type="http://schemas.openxmlformats.org/officeDocument/2006/relationships/footer" Target="footer12.xml"/><Relationship Id="rId105" Type="http://schemas.openxmlformats.org/officeDocument/2006/relationships/footer" Target="footer49.xml"/><Relationship Id="rId126" Type="http://schemas.openxmlformats.org/officeDocument/2006/relationships/footer" Target="footer60.xml"/><Relationship Id="rId147" Type="http://schemas.openxmlformats.org/officeDocument/2006/relationships/footer" Target="footer70.xml"/><Relationship Id="rId168" Type="http://schemas.openxmlformats.org/officeDocument/2006/relationships/footer" Target="footer81.xml"/><Relationship Id="rId312" Type="http://schemas.openxmlformats.org/officeDocument/2006/relationships/footer" Target="footer153.xml"/><Relationship Id="rId333" Type="http://schemas.openxmlformats.org/officeDocument/2006/relationships/footer" Target="footer163.xml"/><Relationship Id="rId354" Type="http://schemas.openxmlformats.org/officeDocument/2006/relationships/footer" Target="footer174.xml"/><Relationship Id="rId51" Type="http://schemas.openxmlformats.org/officeDocument/2006/relationships/footer" Target="footer22.xml"/><Relationship Id="rId72" Type="http://schemas.openxmlformats.org/officeDocument/2006/relationships/footer" Target="footer33.xml"/><Relationship Id="rId93" Type="http://schemas.openxmlformats.org/officeDocument/2006/relationships/footer" Target="footer43.xml"/><Relationship Id="rId189" Type="http://schemas.openxmlformats.org/officeDocument/2006/relationships/footer" Target="footer91.xml"/><Relationship Id="rId375" Type="http://schemas.openxmlformats.org/officeDocument/2006/relationships/customXml" Target="../customXml/item1.xml"/><Relationship Id="rId3" Type="http://schemas.openxmlformats.org/officeDocument/2006/relationships/settings" Target="settings.xml"/><Relationship Id="rId214" Type="http://schemas.openxmlformats.org/officeDocument/2006/relationships/footer" Target="footer104.xml"/><Relationship Id="rId235" Type="http://schemas.openxmlformats.org/officeDocument/2006/relationships/header" Target="header115.xml"/><Relationship Id="rId256" Type="http://schemas.openxmlformats.org/officeDocument/2006/relationships/footer" Target="footer125.xml"/><Relationship Id="rId277" Type="http://schemas.openxmlformats.org/officeDocument/2006/relationships/header" Target="header136.xml"/><Relationship Id="rId298" Type="http://schemas.openxmlformats.org/officeDocument/2006/relationships/footer" Target="footer146.xml"/><Relationship Id="rId116" Type="http://schemas.openxmlformats.org/officeDocument/2006/relationships/header" Target="header56.xml"/><Relationship Id="rId137" Type="http://schemas.openxmlformats.org/officeDocument/2006/relationships/header" Target="header66.xml"/><Relationship Id="rId158" Type="http://schemas.openxmlformats.org/officeDocument/2006/relationships/header" Target="header77.xml"/><Relationship Id="rId302" Type="http://schemas.openxmlformats.org/officeDocument/2006/relationships/header" Target="header149.xml"/><Relationship Id="rId323" Type="http://schemas.openxmlformats.org/officeDocument/2006/relationships/header" Target="header159.xml"/><Relationship Id="rId344" Type="http://schemas.openxmlformats.org/officeDocument/2006/relationships/header" Target="header170.xml"/><Relationship Id="rId20" Type="http://schemas.openxmlformats.org/officeDocument/2006/relationships/header" Target="header8.xml"/><Relationship Id="rId41" Type="http://schemas.openxmlformats.org/officeDocument/2006/relationships/header" Target="header18.xml"/><Relationship Id="rId62" Type="http://schemas.openxmlformats.org/officeDocument/2006/relationships/header" Target="header29.xml"/><Relationship Id="rId83" Type="http://schemas.openxmlformats.org/officeDocument/2006/relationships/header" Target="header39.xml"/><Relationship Id="rId179" Type="http://schemas.openxmlformats.org/officeDocument/2006/relationships/header" Target="header87.xml"/><Relationship Id="rId365" Type="http://schemas.openxmlformats.org/officeDocument/2006/relationships/header" Target="header180.xml"/><Relationship Id="rId190" Type="http://schemas.openxmlformats.org/officeDocument/2006/relationships/footer" Target="footer92.xml"/><Relationship Id="rId204" Type="http://schemas.openxmlformats.org/officeDocument/2006/relationships/footer" Target="footer99.xml"/><Relationship Id="rId225" Type="http://schemas.openxmlformats.org/officeDocument/2006/relationships/footer" Target="footer109.xml"/><Relationship Id="rId246" Type="http://schemas.openxmlformats.org/officeDocument/2006/relationships/footer" Target="footer120.xml"/><Relationship Id="rId267" Type="http://schemas.openxmlformats.org/officeDocument/2006/relationships/footer" Target="footer130.xml"/><Relationship Id="rId288" Type="http://schemas.openxmlformats.org/officeDocument/2006/relationships/footer" Target="footer141.xml"/><Relationship Id="rId106" Type="http://schemas.openxmlformats.org/officeDocument/2006/relationships/footer" Target="footer50.xml"/><Relationship Id="rId127" Type="http://schemas.openxmlformats.org/officeDocument/2006/relationships/header" Target="header61.xml"/><Relationship Id="rId313" Type="http://schemas.openxmlformats.org/officeDocument/2006/relationships/header" Target="header154.xml"/><Relationship Id="rId10" Type="http://schemas.openxmlformats.org/officeDocument/2006/relationships/footer" Target="footer2.xml"/><Relationship Id="rId31" Type="http://schemas.openxmlformats.org/officeDocument/2006/relationships/header" Target="header13.xml"/><Relationship Id="rId52" Type="http://schemas.openxmlformats.org/officeDocument/2006/relationships/footer" Target="footer23.xml"/><Relationship Id="rId73" Type="http://schemas.openxmlformats.org/officeDocument/2006/relationships/header" Target="header34.xml"/><Relationship Id="rId94" Type="http://schemas.openxmlformats.org/officeDocument/2006/relationships/footer" Target="footer44.xml"/><Relationship Id="rId148" Type="http://schemas.openxmlformats.org/officeDocument/2006/relationships/footer" Target="footer71.xml"/><Relationship Id="rId169" Type="http://schemas.openxmlformats.org/officeDocument/2006/relationships/header" Target="header82.xml"/><Relationship Id="rId334" Type="http://schemas.openxmlformats.org/officeDocument/2006/relationships/footer" Target="footer164.xml"/><Relationship Id="rId355" Type="http://schemas.openxmlformats.org/officeDocument/2006/relationships/header" Target="header175.xml"/><Relationship Id="rId376" Type="http://schemas.openxmlformats.org/officeDocument/2006/relationships/customXml" Target="../customXml/item2.xml"/><Relationship Id="rId4" Type="http://schemas.openxmlformats.org/officeDocument/2006/relationships/webSettings" Target="webSettings.xml"/><Relationship Id="rId180" Type="http://schemas.openxmlformats.org/officeDocument/2006/relationships/footer" Target="footer87.xml"/><Relationship Id="rId215" Type="http://schemas.openxmlformats.org/officeDocument/2006/relationships/header" Target="header105.xml"/><Relationship Id="rId236" Type="http://schemas.openxmlformats.org/officeDocument/2006/relationships/header" Target="header116.xml"/><Relationship Id="rId257" Type="http://schemas.openxmlformats.org/officeDocument/2006/relationships/header" Target="header126.xml"/><Relationship Id="rId278" Type="http://schemas.openxmlformats.org/officeDocument/2006/relationships/header" Target="header137.xml"/><Relationship Id="rId303" Type="http://schemas.openxmlformats.org/officeDocument/2006/relationships/footer" Target="footer148.xml"/><Relationship Id="rId42" Type="http://schemas.openxmlformats.org/officeDocument/2006/relationships/footer" Target="footer18.xml"/><Relationship Id="rId84" Type="http://schemas.openxmlformats.org/officeDocument/2006/relationships/footer" Target="footer39.xml"/><Relationship Id="rId138" Type="http://schemas.openxmlformats.org/officeDocument/2006/relationships/footer" Target="footer66.xml"/><Relationship Id="rId345" Type="http://schemas.openxmlformats.org/officeDocument/2006/relationships/footer" Target="footer169.xml"/><Relationship Id="rId191" Type="http://schemas.openxmlformats.org/officeDocument/2006/relationships/header" Target="header93.xml"/><Relationship Id="rId205" Type="http://schemas.openxmlformats.org/officeDocument/2006/relationships/header" Target="header100.xml"/><Relationship Id="rId247" Type="http://schemas.openxmlformats.org/officeDocument/2006/relationships/header" Target="header121.xml"/><Relationship Id="rId107" Type="http://schemas.openxmlformats.org/officeDocument/2006/relationships/header" Target="header51.xml"/><Relationship Id="rId289" Type="http://schemas.openxmlformats.org/officeDocument/2006/relationships/header" Target="header142.xml"/><Relationship Id="rId11" Type="http://schemas.openxmlformats.org/officeDocument/2006/relationships/header" Target="header3.xml"/><Relationship Id="rId53" Type="http://schemas.openxmlformats.org/officeDocument/2006/relationships/header" Target="header24.xml"/><Relationship Id="rId149" Type="http://schemas.openxmlformats.org/officeDocument/2006/relationships/header" Target="header72.xml"/><Relationship Id="rId314" Type="http://schemas.openxmlformats.org/officeDocument/2006/relationships/header" Target="header155.xml"/><Relationship Id="rId356" Type="http://schemas.openxmlformats.org/officeDocument/2006/relationships/header" Target="header176.xml"/><Relationship Id="rId95" Type="http://schemas.openxmlformats.org/officeDocument/2006/relationships/header" Target="header45.xml"/><Relationship Id="rId160" Type="http://schemas.openxmlformats.org/officeDocument/2006/relationships/footer" Target="footer77.xml"/><Relationship Id="rId216" Type="http://schemas.openxmlformats.org/officeDocument/2006/relationships/footer" Target="footer105.xml"/><Relationship Id="rId258" Type="http://schemas.openxmlformats.org/officeDocument/2006/relationships/footer" Target="footer126.xml"/><Relationship Id="rId22" Type="http://schemas.openxmlformats.org/officeDocument/2006/relationships/footer" Target="footer8.xml"/><Relationship Id="rId64" Type="http://schemas.openxmlformats.org/officeDocument/2006/relationships/footer" Target="footer29.xml"/><Relationship Id="rId118" Type="http://schemas.openxmlformats.org/officeDocument/2006/relationships/footer" Target="footer56.xml"/><Relationship Id="rId325" Type="http://schemas.openxmlformats.org/officeDocument/2006/relationships/header" Target="header160.xml"/><Relationship Id="rId367" Type="http://schemas.openxmlformats.org/officeDocument/2006/relationships/header" Target="header181.xml"/><Relationship Id="rId171" Type="http://schemas.openxmlformats.org/officeDocument/2006/relationships/footer" Target="footer82.xml"/><Relationship Id="rId227" Type="http://schemas.openxmlformats.org/officeDocument/2006/relationships/header" Target="header111.xml"/><Relationship Id="rId269" Type="http://schemas.openxmlformats.org/officeDocument/2006/relationships/header" Target="header132.xml"/><Relationship Id="rId33" Type="http://schemas.openxmlformats.org/officeDocument/2006/relationships/footer" Target="footer13.xml"/><Relationship Id="rId129" Type="http://schemas.openxmlformats.org/officeDocument/2006/relationships/footer" Target="footer61.xml"/><Relationship Id="rId280" Type="http://schemas.openxmlformats.org/officeDocument/2006/relationships/footer" Target="footer137.xml"/><Relationship Id="rId336" Type="http://schemas.openxmlformats.org/officeDocument/2006/relationships/footer" Target="footer165.xml"/><Relationship Id="rId75" Type="http://schemas.openxmlformats.org/officeDocument/2006/relationships/footer" Target="footer34.xml"/><Relationship Id="rId140" Type="http://schemas.openxmlformats.org/officeDocument/2006/relationships/header" Target="header68.xml"/><Relationship Id="rId182" Type="http://schemas.openxmlformats.org/officeDocument/2006/relationships/header" Target="header89.xml"/><Relationship Id="rId6" Type="http://schemas.openxmlformats.org/officeDocument/2006/relationships/endnotes" Target="endnotes.xml"/><Relationship Id="rId238" Type="http://schemas.openxmlformats.org/officeDocument/2006/relationships/footer" Target="footer116.xml"/><Relationship Id="rId291" Type="http://schemas.openxmlformats.org/officeDocument/2006/relationships/footer" Target="footer142.xml"/><Relationship Id="rId305" Type="http://schemas.openxmlformats.org/officeDocument/2006/relationships/header" Target="header150.xml"/><Relationship Id="rId347" Type="http://schemas.openxmlformats.org/officeDocument/2006/relationships/header" Target="header171.xml"/><Relationship Id="rId44" Type="http://schemas.openxmlformats.org/officeDocument/2006/relationships/header" Target="header20.xml"/><Relationship Id="rId86" Type="http://schemas.openxmlformats.org/officeDocument/2006/relationships/header" Target="header41.xml"/><Relationship Id="rId151" Type="http://schemas.openxmlformats.org/officeDocument/2006/relationships/header" Target="header73.xml"/><Relationship Id="rId193" Type="http://schemas.openxmlformats.org/officeDocument/2006/relationships/header" Target="header94.xml"/><Relationship Id="rId207" Type="http://schemas.openxmlformats.org/officeDocument/2006/relationships/footer" Target="footer100.xml"/><Relationship Id="rId249" Type="http://schemas.openxmlformats.org/officeDocument/2006/relationships/footer" Target="footer121.xml"/><Relationship Id="rId13" Type="http://schemas.openxmlformats.org/officeDocument/2006/relationships/header" Target="header4.xml"/><Relationship Id="rId109" Type="http://schemas.openxmlformats.org/officeDocument/2006/relationships/header" Target="header52.xml"/><Relationship Id="rId260" Type="http://schemas.openxmlformats.org/officeDocument/2006/relationships/header" Target="header128.xml"/><Relationship Id="rId316" Type="http://schemas.openxmlformats.org/officeDocument/2006/relationships/footer" Target="footer155.xml"/><Relationship Id="rId55" Type="http://schemas.openxmlformats.org/officeDocument/2006/relationships/header" Target="header25.xml"/><Relationship Id="rId97" Type="http://schemas.openxmlformats.org/officeDocument/2006/relationships/header" Target="header46.xml"/><Relationship Id="rId120" Type="http://schemas.openxmlformats.org/officeDocument/2006/relationships/footer" Target="footer57.xml"/><Relationship Id="rId358" Type="http://schemas.openxmlformats.org/officeDocument/2006/relationships/footer" Target="footer176.xml"/><Relationship Id="rId162" Type="http://schemas.openxmlformats.org/officeDocument/2006/relationships/footer" Target="footer78.xml"/><Relationship Id="rId218" Type="http://schemas.openxmlformats.org/officeDocument/2006/relationships/header" Target="header107.xml"/><Relationship Id="rId271" Type="http://schemas.openxmlformats.org/officeDocument/2006/relationships/header" Target="header133.xml"/><Relationship Id="rId24" Type="http://schemas.openxmlformats.org/officeDocument/2006/relationships/footer" Target="footer9.xml"/><Relationship Id="rId66" Type="http://schemas.openxmlformats.org/officeDocument/2006/relationships/footer" Target="footer30.xml"/><Relationship Id="rId131" Type="http://schemas.openxmlformats.org/officeDocument/2006/relationships/header" Target="header63.xml"/><Relationship Id="rId327" Type="http://schemas.openxmlformats.org/officeDocument/2006/relationships/footer" Target="footer160.xml"/><Relationship Id="rId369" Type="http://schemas.openxmlformats.org/officeDocument/2006/relationships/footer" Target="footer181.xml"/><Relationship Id="rId173" Type="http://schemas.openxmlformats.org/officeDocument/2006/relationships/header" Target="header84.xml"/><Relationship Id="rId229" Type="http://schemas.openxmlformats.org/officeDocument/2006/relationships/header" Target="header112.xml"/><Relationship Id="rId240" Type="http://schemas.openxmlformats.org/officeDocument/2006/relationships/footer" Target="footer117.xml"/><Relationship Id="rId35" Type="http://schemas.openxmlformats.org/officeDocument/2006/relationships/header" Target="header15.xml"/><Relationship Id="rId77" Type="http://schemas.openxmlformats.org/officeDocument/2006/relationships/header" Target="header36.xml"/><Relationship Id="rId100" Type="http://schemas.openxmlformats.org/officeDocument/2006/relationships/footer" Target="footer47.xml"/><Relationship Id="rId282" Type="http://schemas.openxmlformats.org/officeDocument/2006/relationships/footer" Target="footer138.xml"/><Relationship Id="rId338" Type="http://schemas.openxmlformats.org/officeDocument/2006/relationships/header" Target="header167.xml"/><Relationship Id="rId8" Type="http://schemas.openxmlformats.org/officeDocument/2006/relationships/header" Target="header2.xml"/><Relationship Id="rId142" Type="http://schemas.openxmlformats.org/officeDocument/2006/relationships/footer" Target="footer68.xml"/><Relationship Id="rId184" Type="http://schemas.openxmlformats.org/officeDocument/2006/relationships/footer" Target="footer89.xml"/><Relationship Id="rId251" Type="http://schemas.openxmlformats.org/officeDocument/2006/relationships/header" Target="header123.xml"/><Relationship Id="rId46" Type="http://schemas.openxmlformats.org/officeDocument/2006/relationships/footer" Target="footer20.xml"/><Relationship Id="rId293" Type="http://schemas.openxmlformats.org/officeDocument/2006/relationships/header" Target="header144.xml"/><Relationship Id="rId307" Type="http://schemas.openxmlformats.org/officeDocument/2006/relationships/header" Target="header151.xml"/><Relationship Id="rId349" Type="http://schemas.openxmlformats.org/officeDocument/2006/relationships/header" Target="header172.xml"/><Relationship Id="rId88" Type="http://schemas.openxmlformats.org/officeDocument/2006/relationships/footer" Target="footer41.xml"/><Relationship Id="rId111" Type="http://schemas.openxmlformats.org/officeDocument/2006/relationships/footer" Target="footer52.xml"/><Relationship Id="rId153" Type="http://schemas.openxmlformats.org/officeDocument/2006/relationships/footer" Target="footer73.xml"/><Relationship Id="rId195" Type="http://schemas.openxmlformats.org/officeDocument/2006/relationships/footer" Target="footer94.xml"/><Relationship Id="rId209" Type="http://schemas.openxmlformats.org/officeDocument/2006/relationships/header" Target="header102.xml"/><Relationship Id="rId360" Type="http://schemas.openxmlformats.org/officeDocument/2006/relationships/footer" Target="footer177.xml"/><Relationship Id="rId220" Type="http://schemas.openxmlformats.org/officeDocument/2006/relationships/footer" Target="footer107.xml"/><Relationship Id="rId15" Type="http://schemas.openxmlformats.org/officeDocument/2006/relationships/footer" Target="footer4.xml"/><Relationship Id="rId57" Type="http://schemas.openxmlformats.org/officeDocument/2006/relationships/footer" Target="footer25.xml"/><Relationship Id="rId262" Type="http://schemas.openxmlformats.org/officeDocument/2006/relationships/footer" Target="footer128.xml"/><Relationship Id="rId318" Type="http://schemas.openxmlformats.org/officeDocument/2006/relationships/footer" Target="footer156.xml"/><Relationship Id="rId99" Type="http://schemas.openxmlformats.org/officeDocument/2006/relationships/footer" Target="footer46.xml"/><Relationship Id="rId122" Type="http://schemas.openxmlformats.org/officeDocument/2006/relationships/header" Target="header59.xml"/><Relationship Id="rId164" Type="http://schemas.openxmlformats.org/officeDocument/2006/relationships/header" Target="header80.xml"/><Relationship Id="rId371" Type="http://schemas.openxmlformats.org/officeDocument/2006/relationships/header" Target="header18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060E5C-D416-498B-9ADF-EC27829B25F2}"/>
</file>

<file path=customXml/itemProps2.xml><?xml version="1.0" encoding="utf-8"?>
<ds:datastoreItem xmlns:ds="http://schemas.openxmlformats.org/officeDocument/2006/customXml" ds:itemID="{53ABF1AA-7F11-4F51-9E7D-B2C1F47E5B01}"/>
</file>

<file path=customXml/itemProps3.xml><?xml version="1.0" encoding="utf-8"?>
<ds:datastoreItem xmlns:ds="http://schemas.openxmlformats.org/officeDocument/2006/customXml" ds:itemID="{A7451229-5D8A-42A4-A2F6-04049795B9E3}"/>
</file>

<file path=docProps/app.xml><?xml version="1.0" encoding="utf-8"?>
<Properties xmlns="http://schemas.openxmlformats.org/officeDocument/2006/extended-properties" xmlns:vt="http://schemas.openxmlformats.org/officeDocument/2006/docPropsVTypes">
  <Template>Normal.dotm</Template>
  <TotalTime>2</TotalTime>
  <Pages>149</Pages>
  <Words>24418</Words>
  <Characters>139185</Characters>
  <Application>Microsoft Office Word</Application>
  <DocSecurity>0</DocSecurity>
  <Lines>1159</Lines>
  <Paragraphs>326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ROSNIANSKY Cherry Lou</dc:creator>
  <cp:keywords/>
  <dc:description/>
  <cp:lastModifiedBy>ROSNIANSKY Cherry Lou</cp:lastModifiedBy>
  <cp:revision>1</cp:revision>
  <cp:lastPrinted>2014-05-14T10:59:00Z</cp:lastPrinted>
  <dcterms:created xsi:type="dcterms:W3CDTF">2019-09-19T07:34:00Z</dcterms:created>
  <dcterms:modified xsi:type="dcterms:W3CDTF">2019-09-19T07:36:00Z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