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454E93" w14:textId="5B0217C4" w:rsidR="00EC2807" w:rsidRDefault="00EC2807" w:rsidP="003F1428"/>
    <w:p w14:paraId="7A568FEB" w14:textId="65DC22C7" w:rsidR="00CB2463" w:rsidRDefault="00CB2463" w:rsidP="003F1428"/>
    <w:p w14:paraId="5E970C9E" w14:textId="5BF69894" w:rsidR="0084482D" w:rsidRDefault="00CB2463" w:rsidP="00CB2463">
      <w:pPr>
        <w:pStyle w:val="Title"/>
        <w:jc w:val="center"/>
        <w:rPr>
          <w:sz w:val="36"/>
          <w:szCs w:val="36"/>
        </w:rPr>
      </w:pPr>
      <w:r>
        <w:rPr>
          <w:sz w:val="36"/>
          <w:szCs w:val="36"/>
        </w:rPr>
        <w:t>Panama</w:t>
      </w:r>
      <w:r w:rsidR="00530EEA">
        <w:rPr>
          <w:sz w:val="36"/>
          <w:szCs w:val="36"/>
        </w:rPr>
        <w:t>:</w:t>
      </w:r>
    </w:p>
    <w:p w14:paraId="5B53BA6D" w14:textId="6B29AD0D" w:rsidR="00CB2463" w:rsidRPr="00EC4AA3" w:rsidRDefault="00CB2463" w:rsidP="00CB2463">
      <w:pPr>
        <w:pStyle w:val="Title"/>
        <w:jc w:val="center"/>
        <w:rPr>
          <w:sz w:val="36"/>
          <w:szCs w:val="36"/>
        </w:rPr>
      </w:pPr>
      <w:r w:rsidRPr="00EC4AA3">
        <w:rPr>
          <w:sz w:val="36"/>
          <w:szCs w:val="36"/>
        </w:rPr>
        <w:t>A Brief on Constitutional and Legal Guarantees to Non-Discrimination, Equality, Education</w:t>
      </w:r>
      <w:r w:rsidR="0084482D">
        <w:rPr>
          <w:sz w:val="36"/>
          <w:szCs w:val="36"/>
        </w:rPr>
        <w:t>, and prohibitions of child labor</w:t>
      </w:r>
    </w:p>
    <w:p w14:paraId="3623C555" w14:textId="77777777" w:rsidR="00CB2463" w:rsidRPr="0024558B" w:rsidRDefault="00CB2463" w:rsidP="00CB2463">
      <w:pPr>
        <w:rPr>
          <w:color w:val="253356" w:themeColor="accent1" w:themeShade="80"/>
        </w:rPr>
      </w:pPr>
    </w:p>
    <w:p w14:paraId="155630A3" w14:textId="77777777" w:rsidR="00CB2463" w:rsidRPr="0024558B" w:rsidRDefault="00CB2463" w:rsidP="00CB2463">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0" w:name="_Toc12626227"/>
      <w:bookmarkStart w:id="1" w:name="_Toc23330163"/>
      <w:bookmarkStart w:id="2" w:name="_Toc56071647"/>
      <w:bookmarkStart w:id="3" w:name="_Toc56079784"/>
      <w:bookmarkStart w:id="4" w:name="_Hlk55551535"/>
      <w:r w:rsidRPr="0024558B">
        <w:rPr>
          <w:rFonts w:asciiTheme="majorHAnsi" w:eastAsiaTheme="majorEastAsia" w:hAnsiTheme="majorHAnsi" w:cstheme="majorBidi"/>
          <w:i/>
          <w:iCs/>
          <w:color w:val="4A66AC" w:themeColor="accent1"/>
          <w:sz w:val="24"/>
          <w:szCs w:val="24"/>
        </w:rPr>
        <w:t>Information for the Committee on Economic, Social, and Cultural Rights</w:t>
      </w:r>
      <w:bookmarkEnd w:id="0"/>
      <w:bookmarkEnd w:id="1"/>
      <w:bookmarkEnd w:id="2"/>
      <w:bookmarkEnd w:id="3"/>
    </w:p>
    <w:p w14:paraId="2694A021" w14:textId="0A04DFA8" w:rsidR="00CB2463" w:rsidRPr="0024558B" w:rsidRDefault="00CB2463" w:rsidP="00CB2463">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5" w:name="_Toc12626228"/>
      <w:bookmarkStart w:id="6" w:name="_Toc23330164"/>
      <w:bookmarkStart w:id="7" w:name="_Toc56071648"/>
      <w:bookmarkStart w:id="8" w:name="_Toc56079785"/>
      <w:r w:rsidRPr="00CB2463">
        <w:rPr>
          <w:rFonts w:asciiTheme="majorHAnsi" w:eastAsiaTheme="majorEastAsia" w:hAnsiTheme="majorHAnsi" w:cstheme="majorBidi"/>
          <w:i/>
          <w:iCs/>
          <w:color w:val="4A66AC" w:themeColor="accent1"/>
          <w:sz w:val="24"/>
          <w:szCs w:val="24"/>
        </w:rPr>
        <w:t>68</w:t>
      </w:r>
      <w:r w:rsidRPr="00CB2463">
        <w:rPr>
          <w:rFonts w:asciiTheme="majorHAnsi" w:eastAsiaTheme="majorEastAsia" w:hAnsiTheme="majorHAnsi" w:cstheme="majorBidi"/>
          <w:i/>
          <w:iCs/>
          <w:color w:val="4A66AC" w:themeColor="accent1"/>
          <w:sz w:val="24"/>
          <w:szCs w:val="24"/>
          <w:vertAlign w:val="superscript"/>
        </w:rPr>
        <w:t>t</w:t>
      </w:r>
      <w:r w:rsidRPr="0024558B">
        <w:rPr>
          <w:rFonts w:asciiTheme="majorHAnsi" w:eastAsiaTheme="majorEastAsia" w:hAnsiTheme="majorHAnsi" w:cstheme="majorBidi"/>
          <w:i/>
          <w:iCs/>
          <w:color w:val="4A66AC" w:themeColor="accent1"/>
          <w:sz w:val="24"/>
          <w:szCs w:val="24"/>
          <w:vertAlign w:val="superscript"/>
        </w:rPr>
        <w:t>h</w:t>
      </w:r>
      <w:r w:rsidRPr="0024558B">
        <w:rPr>
          <w:rFonts w:asciiTheme="majorHAnsi" w:eastAsiaTheme="majorEastAsia" w:hAnsiTheme="majorHAnsi" w:cstheme="majorBidi"/>
          <w:i/>
          <w:iCs/>
          <w:color w:val="4A66AC" w:themeColor="accent1"/>
          <w:sz w:val="24"/>
          <w:szCs w:val="24"/>
        </w:rPr>
        <w:t xml:space="preserve"> Pre-Session Working Group, </w:t>
      </w:r>
      <w:bookmarkEnd w:id="5"/>
      <w:bookmarkEnd w:id="6"/>
      <w:r>
        <w:rPr>
          <w:rFonts w:asciiTheme="majorHAnsi" w:eastAsiaTheme="majorEastAsia" w:hAnsiTheme="majorHAnsi" w:cstheme="majorBidi"/>
          <w:i/>
          <w:iCs/>
          <w:color w:val="4A66AC" w:themeColor="accent1"/>
          <w:sz w:val="24"/>
          <w:szCs w:val="24"/>
        </w:rPr>
        <w:t>March 2021</w:t>
      </w:r>
      <w:bookmarkEnd w:id="7"/>
      <w:bookmarkEnd w:id="8"/>
    </w:p>
    <w:bookmarkEnd w:id="4"/>
    <w:p w14:paraId="2ECFCD55" w14:textId="77777777" w:rsidR="00CB2463" w:rsidRPr="0024558B" w:rsidRDefault="00CB2463" w:rsidP="00CB2463">
      <w:pPr>
        <w:rPr>
          <w:color w:val="4A66AC" w:themeColor="accent1"/>
        </w:rPr>
      </w:pPr>
    </w:p>
    <w:p w14:paraId="75050A52" w14:textId="77777777" w:rsidR="00CB2463" w:rsidRDefault="00CB2463" w:rsidP="00CB2463">
      <w:pPr>
        <w:rPr>
          <w:color w:val="4A66AC" w:themeColor="accent1"/>
        </w:rPr>
      </w:pPr>
    </w:p>
    <w:p w14:paraId="5D69E0D3" w14:textId="77777777" w:rsidR="00CB2463" w:rsidRDefault="00CB2463" w:rsidP="00CB2463">
      <w:pPr>
        <w:rPr>
          <w:color w:val="4A66AC" w:themeColor="accent1"/>
        </w:rPr>
      </w:pPr>
    </w:p>
    <w:p w14:paraId="41E2F45D" w14:textId="77777777" w:rsidR="00CB2463" w:rsidRDefault="00CB2463" w:rsidP="00CB2463">
      <w:pPr>
        <w:rPr>
          <w:color w:val="4A66AC" w:themeColor="accent1"/>
        </w:rPr>
      </w:pPr>
    </w:p>
    <w:p w14:paraId="3AC57B56" w14:textId="77777777" w:rsidR="00CB2463" w:rsidRDefault="00CB2463" w:rsidP="00CB2463">
      <w:pPr>
        <w:rPr>
          <w:color w:val="4A66AC" w:themeColor="accent1"/>
        </w:rPr>
      </w:pPr>
    </w:p>
    <w:p w14:paraId="45196D21" w14:textId="77777777" w:rsidR="00CB2463" w:rsidRDefault="00CB2463" w:rsidP="00CB2463">
      <w:pPr>
        <w:rPr>
          <w:color w:val="4A66AC" w:themeColor="accent1"/>
        </w:rPr>
      </w:pPr>
    </w:p>
    <w:p w14:paraId="7B7C717D" w14:textId="77777777" w:rsidR="00CB2463" w:rsidRDefault="00CB2463" w:rsidP="00CB2463">
      <w:pPr>
        <w:rPr>
          <w:color w:val="4A66AC" w:themeColor="accent1"/>
        </w:rPr>
      </w:pPr>
    </w:p>
    <w:p w14:paraId="701AB4D4" w14:textId="77777777" w:rsidR="00CB2463" w:rsidRDefault="00CB2463" w:rsidP="00CB2463">
      <w:pPr>
        <w:rPr>
          <w:color w:val="4A66AC" w:themeColor="accent1"/>
        </w:rPr>
      </w:pPr>
    </w:p>
    <w:p w14:paraId="4B9822EC" w14:textId="77777777" w:rsidR="00CB2463" w:rsidRDefault="00CB2463" w:rsidP="00CB2463">
      <w:pPr>
        <w:rPr>
          <w:color w:val="4A66AC" w:themeColor="accent1"/>
        </w:rPr>
      </w:pPr>
    </w:p>
    <w:p w14:paraId="2680A5F5" w14:textId="77777777" w:rsidR="00CB2463" w:rsidRDefault="00CB2463" w:rsidP="00CB2463">
      <w:pPr>
        <w:rPr>
          <w:color w:val="4A66AC" w:themeColor="accent1"/>
        </w:rPr>
      </w:pPr>
    </w:p>
    <w:p w14:paraId="306B62E6" w14:textId="77777777" w:rsidR="00CB2463" w:rsidRDefault="00CB2463" w:rsidP="00CB2463">
      <w:pPr>
        <w:rPr>
          <w:color w:val="4A66AC" w:themeColor="accent1"/>
        </w:rPr>
      </w:pPr>
    </w:p>
    <w:p w14:paraId="22BDE28E" w14:textId="77777777" w:rsidR="00CB2463" w:rsidRDefault="00CB2463" w:rsidP="00CB2463">
      <w:pPr>
        <w:rPr>
          <w:color w:val="4A66AC" w:themeColor="accent1"/>
        </w:rPr>
      </w:pPr>
    </w:p>
    <w:p w14:paraId="69A9229F" w14:textId="77777777" w:rsidR="00CB2463" w:rsidRDefault="00CB2463" w:rsidP="00CB2463">
      <w:pPr>
        <w:rPr>
          <w:color w:val="4A66AC" w:themeColor="accent1"/>
        </w:rPr>
      </w:pPr>
    </w:p>
    <w:p w14:paraId="18A22114" w14:textId="77777777" w:rsidR="00CB2463" w:rsidRPr="0024558B" w:rsidRDefault="00CB2463" w:rsidP="00CB2463">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9" w:name="_Toc53065025"/>
      <w:bookmarkStart w:id="10" w:name="_Toc53065047"/>
      <w:bookmarkStart w:id="11" w:name="_Toc53065076"/>
      <w:bookmarkStart w:id="12" w:name="_Toc53066332"/>
      <w:bookmarkStart w:id="13" w:name="_Toc53066387"/>
      <w:bookmarkStart w:id="14" w:name="_Toc56071649"/>
      <w:bookmarkStart w:id="15" w:name="_Toc56079786"/>
      <w:r w:rsidRPr="0024558B">
        <w:rPr>
          <w:rFonts w:asciiTheme="majorHAnsi" w:eastAsiaTheme="majorEastAsia" w:hAnsiTheme="majorHAnsi" w:cstheme="majorBidi"/>
          <w:b/>
          <w:iCs/>
          <w:color w:val="4A66AC" w:themeColor="accent1"/>
          <w:sz w:val="24"/>
          <w:szCs w:val="24"/>
        </w:rPr>
        <w:t>Submitted By</w:t>
      </w:r>
      <w:bookmarkEnd w:id="9"/>
      <w:bookmarkEnd w:id="10"/>
      <w:bookmarkEnd w:id="11"/>
      <w:bookmarkEnd w:id="12"/>
      <w:bookmarkEnd w:id="13"/>
      <w:bookmarkEnd w:id="14"/>
      <w:bookmarkEnd w:id="15"/>
    </w:p>
    <w:p w14:paraId="1EDBC4A6" w14:textId="77777777" w:rsidR="00CB2463" w:rsidRPr="0024558B" w:rsidRDefault="00CB2463" w:rsidP="00CB2463">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16" w:name="_Toc53065026"/>
      <w:bookmarkStart w:id="17" w:name="_Toc53065048"/>
      <w:bookmarkStart w:id="18" w:name="_Toc53065077"/>
      <w:bookmarkStart w:id="19" w:name="_Toc53066333"/>
      <w:bookmarkStart w:id="20" w:name="_Toc53066388"/>
      <w:bookmarkStart w:id="21" w:name="_Toc56071650"/>
      <w:bookmarkStart w:id="22" w:name="_Toc56079787"/>
      <w:r w:rsidRPr="0024558B">
        <w:rPr>
          <w:rFonts w:asciiTheme="majorHAnsi" w:eastAsiaTheme="majorEastAsia" w:hAnsiTheme="majorHAnsi" w:cstheme="majorBidi"/>
          <w:iCs/>
          <w:color w:val="4A66AC" w:themeColor="accent1"/>
          <w:sz w:val="24"/>
          <w:szCs w:val="24"/>
        </w:rPr>
        <w:t>The WORLD Policy Analysis Center</w:t>
      </w:r>
      <w:bookmarkEnd w:id="16"/>
      <w:bookmarkEnd w:id="17"/>
      <w:bookmarkEnd w:id="18"/>
      <w:bookmarkEnd w:id="19"/>
      <w:bookmarkEnd w:id="20"/>
      <w:bookmarkEnd w:id="21"/>
      <w:bookmarkEnd w:id="22"/>
    </w:p>
    <w:p w14:paraId="7013D99C" w14:textId="77777777" w:rsidR="00CB2463" w:rsidRPr="0024558B" w:rsidRDefault="00CB2463" w:rsidP="00CB2463">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3" w:name="_Toc53065027"/>
      <w:bookmarkStart w:id="24" w:name="_Toc53065049"/>
      <w:bookmarkStart w:id="25" w:name="_Toc53065078"/>
      <w:bookmarkStart w:id="26" w:name="_Toc53066334"/>
      <w:bookmarkStart w:id="27" w:name="_Toc53066389"/>
      <w:bookmarkStart w:id="28" w:name="_Toc56071651"/>
      <w:bookmarkStart w:id="29" w:name="_Toc56079788"/>
      <w:r w:rsidRPr="0024558B">
        <w:rPr>
          <w:rFonts w:asciiTheme="majorHAnsi" w:eastAsiaTheme="majorEastAsia" w:hAnsiTheme="majorHAnsi" w:cstheme="majorBidi"/>
          <w:iCs/>
          <w:color w:val="4A66AC" w:themeColor="accent1"/>
          <w:sz w:val="24"/>
          <w:szCs w:val="24"/>
        </w:rPr>
        <w:t>University of California, Los Angeles</w:t>
      </w:r>
      <w:bookmarkEnd w:id="23"/>
      <w:bookmarkEnd w:id="24"/>
      <w:bookmarkEnd w:id="25"/>
      <w:bookmarkEnd w:id="26"/>
      <w:bookmarkEnd w:id="27"/>
      <w:bookmarkEnd w:id="28"/>
      <w:bookmarkEnd w:id="29"/>
      <w:r w:rsidRPr="0024558B">
        <w:rPr>
          <w:rFonts w:asciiTheme="majorHAnsi" w:eastAsiaTheme="majorEastAsia" w:hAnsiTheme="majorHAnsi" w:cstheme="majorBidi"/>
          <w:iCs/>
          <w:color w:val="4A66AC" w:themeColor="accent1"/>
          <w:sz w:val="24"/>
          <w:szCs w:val="24"/>
        </w:rPr>
        <w:t xml:space="preserve"> </w:t>
      </w:r>
    </w:p>
    <w:p w14:paraId="0CAC029D" w14:textId="3DED04D9" w:rsidR="00CB2463" w:rsidRDefault="00CB2463" w:rsidP="003F1428"/>
    <w:p w14:paraId="48DFBB12" w14:textId="4A186AE5" w:rsidR="00CB2463" w:rsidRDefault="00CB2463" w:rsidP="003F1428"/>
    <w:p w14:paraId="36E62337" w14:textId="558D2DC4" w:rsidR="00902A1E" w:rsidRDefault="00902A1E" w:rsidP="00902A1E"/>
    <w:sdt>
      <w:sdtPr>
        <w:rPr>
          <w:caps w:val="0"/>
          <w:color w:val="auto"/>
          <w:spacing w:val="0"/>
          <w:sz w:val="20"/>
          <w:szCs w:val="20"/>
        </w:rPr>
        <w:id w:val="361941188"/>
        <w:docPartObj>
          <w:docPartGallery w:val="Table of Contents"/>
          <w:docPartUnique/>
        </w:docPartObj>
      </w:sdtPr>
      <w:sdtEndPr>
        <w:rPr>
          <w:b/>
          <w:bCs/>
          <w:noProof/>
        </w:rPr>
      </w:sdtEndPr>
      <w:sdtContent>
        <w:p w14:paraId="77A60124" w14:textId="1E2EF712" w:rsidR="00081AE8" w:rsidRPr="00081AE8" w:rsidRDefault="00081AE8">
          <w:pPr>
            <w:pStyle w:val="TOCHeading"/>
            <w:rPr>
              <w:b/>
              <w:bCs/>
            </w:rPr>
          </w:pPr>
          <w:r w:rsidRPr="00081AE8">
            <w:rPr>
              <w:b/>
              <w:bCs/>
            </w:rPr>
            <w:t>Contents</w:t>
          </w:r>
        </w:p>
        <w:p w14:paraId="55BBDA43" w14:textId="77777777" w:rsidR="002E6A4F" w:rsidRDefault="002E6A4F">
          <w:pPr>
            <w:pStyle w:val="TOC1"/>
            <w:tabs>
              <w:tab w:val="right" w:leader="dot" w:pos="9350"/>
            </w:tabs>
          </w:pPr>
        </w:p>
        <w:p w14:paraId="0E28A4C3" w14:textId="07A15197" w:rsidR="00F36456" w:rsidRDefault="00081AE8">
          <w:pPr>
            <w:pStyle w:val="TOC1"/>
            <w:tabs>
              <w:tab w:val="right" w:leader="dot" w:pos="9350"/>
            </w:tabs>
            <w:rPr>
              <w:bCs w:val="0"/>
              <w:noProof/>
              <w:sz w:val="22"/>
              <w:szCs w:val="22"/>
            </w:rPr>
          </w:pPr>
          <w:r>
            <w:fldChar w:fldCharType="begin"/>
          </w:r>
          <w:r>
            <w:instrText xml:space="preserve"> TOC \o "1-3" \h \z \u </w:instrText>
          </w:r>
          <w:r>
            <w:fldChar w:fldCharType="separate"/>
          </w:r>
          <w:hyperlink w:anchor="_Toc56079789" w:history="1">
            <w:r w:rsidR="00F36456" w:rsidRPr="00DD3345">
              <w:rPr>
                <w:rStyle w:val="Hyperlink"/>
                <w:rFonts w:eastAsia="Times New Roman"/>
                <w:b/>
                <w:noProof/>
              </w:rPr>
              <w:t>Introduction</w:t>
            </w:r>
            <w:r w:rsidR="00F36456">
              <w:rPr>
                <w:noProof/>
                <w:webHidden/>
              </w:rPr>
              <w:tab/>
            </w:r>
            <w:r w:rsidR="00F77539">
              <w:rPr>
                <w:noProof/>
                <w:webHidden/>
              </w:rPr>
              <w:t>1</w:t>
            </w:r>
          </w:hyperlink>
        </w:p>
        <w:p w14:paraId="2068F35B" w14:textId="77777777" w:rsidR="00164BC5" w:rsidRDefault="00164BC5">
          <w:pPr>
            <w:pStyle w:val="TOC1"/>
            <w:tabs>
              <w:tab w:val="right" w:leader="dot" w:pos="9350"/>
            </w:tabs>
            <w:rPr>
              <w:rStyle w:val="Hyperlink"/>
              <w:rFonts w:eastAsia="Times New Roman"/>
              <w:b/>
              <w:noProof/>
            </w:rPr>
          </w:pPr>
        </w:p>
        <w:p w14:paraId="48457C6B" w14:textId="3855E8A6" w:rsidR="00F36456" w:rsidRDefault="00F17358">
          <w:pPr>
            <w:pStyle w:val="TOC1"/>
            <w:tabs>
              <w:tab w:val="right" w:leader="dot" w:pos="9350"/>
            </w:tabs>
            <w:rPr>
              <w:bCs w:val="0"/>
              <w:noProof/>
              <w:sz w:val="22"/>
              <w:szCs w:val="22"/>
            </w:rPr>
          </w:pPr>
          <w:hyperlink w:anchor="_Toc56079790" w:history="1">
            <w:r w:rsidR="00F36456" w:rsidRPr="00DD3345">
              <w:rPr>
                <w:rStyle w:val="Hyperlink"/>
                <w:rFonts w:eastAsia="Times New Roman"/>
                <w:b/>
                <w:noProof/>
              </w:rPr>
              <w:t>Summary of Findings and Recommendations</w:t>
            </w:r>
            <w:r w:rsidR="00F36456">
              <w:rPr>
                <w:noProof/>
                <w:webHidden/>
              </w:rPr>
              <w:tab/>
            </w:r>
            <w:r w:rsidR="00F77539">
              <w:rPr>
                <w:noProof/>
                <w:webHidden/>
              </w:rPr>
              <w:t>2</w:t>
            </w:r>
          </w:hyperlink>
        </w:p>
        <w:p w14:paraId="2CC2FBD3" w14:textId="5206ECA3" w:rsidR="00F36456" w:rsidRDefault="00F17358">
          <w:pPr>
            <w:pStyle w:val="TOC2"/>
            <w:tabs>
              <w:tab w:val="left" w:pos="660"/>
              <w:tab w:val="right" w:leader="dot" w:pos="9350"/>
            </w:tabs>
            <w:rPr>
              <w:noProof/>
              <w:sz w:val="22"/>
              <w:szCs w:val="22"/>
            </w:rPr>
          </w:pPr>
          <w:hyperlink w:anchor="_Toc56079791" w:history="1">
            <w:r w:rsidR="00F36456" w:rsidRPr="00DD3345">
              <w:rPr>
                <w:rStyle w:val="Hyperlink"/>
                <w:rFonts w:ascii="Calibri Light" w:eastAsia="Times New Roman" w:hAnsi="Calibri Light" w:cs="Times New Roman"/>
                <w:bCs/>
                <w:noProof/>
              </w:rPr>
              <w:t>1.</w:t>
            </w:r>
            <w:r w:rsidR="00F36456">
              <w:rPr>
                <w:noProof/>
                <w:sz w:val="22"/>
                <w:szCs w:val="22"/>
              </w:rPr>
              <w:tab/>
            </w:r>
            <w:r w:rsidR="00F36456" w:rsidRPr="00DD3345">
              <w:rPr>
                <w:rStyle w:val="Hyperlink"/>
                <w:rFonts w:ascii="Calibri Light" w:eastAsia="Times New Roman" w:hAnsi="Calibri Light" w:cs="Times New Roman"/>
                <w:bCs/>
                <w:noProof/>
              </w:rPr>
              <w:t>Equality and Non-Discrimination (Article 2, General Comment No. 5)</w:t>
            </w:r>
            <w:r w:rsidR="00F36456">
              <w:rPr>
                <w:noProof/>
                <w:webHidden/>
              </w:rPr>
              <w:tab/>
            </w:r>
            <w:r w:rsidR="00F77539">
              <w:rPr>
                <w:noProof/>
                <w:webHidden/>
              </w:rPr>
              <w:t>2</w:t>
            </w:r>
          </w:hyperlink>
        </w:p>
        <w:p w14:paraId="4F439728" w14:textId="19758EC0" w:rsidR="00F36456" w:rsidRDefault="00F17358">
          <w:pPr>
            <w:pStyle w:val="TOC2"/>
            <w:tabs>
              <w:tab w:val="left" w:pos="660"/>
              <w:tab w:val="right" w:leader="dot" w:pos="9350"/>
            </w:tabs>
            <w:rPr>
              <w:noProof/>
              <w:sz w:val="22"/>
              <w:szCs w:val="22"/>
            </w:rPr>
          </w:pPr>
          <w:hyperlink w:anchor="_Toc56079792" w:history="1">
            <w:r w:rsidR="00F36456" w:rsidRPr="00DD3345">
              <w:rPr>
                <w:rStyle w:val="Hyperlink"/>
                <w:rFonts w:ascii="Calibri Light" w:eastAsia="Times New Roman" w:hAnsi="Calibri Light" w:cs="Times New Roman"/>
                <w:bCs/>
                <w:noProof/>
              </w:rPr>
              <w:t>2.</w:t>
            </w:r>
            <w:r w:rsidR="00F36456">
              <w:rPr>
                <w:noProof/>
                <w:sz w:val="22"/>
                <w:szCs w:val="22"/>
              </w:rPr>
              <w:tab/>
            </w:r>
            <w:r w:rsidR="00F36456" w:rsidRPr="00DD3345">
              <w:rPr>
                <w:rStyle w:val="Hyperlink"/>
                <w:rFonts w:ascii="Calibri Light" w:eastAsia="Times New Roman" w:hAnsi="Calibri Light" w:cs="Times New Roman"/>
                <w:bCs/>
                <w:noProof/>
              </w:rPr>
              <w:t>Non-Discrimination in Work and Employment (Article 7)</w:t>
            </w:r>
            <w:r w:rsidR="00F36456">
              <w:rPr>
                <w:noProof/>
                <w:webHidden/>
              </w:rPr>
              <w:tab/>
            </w:r>
            <w:r w:rsidR="00F77539">
              <w:rPr>
                <w:noProof/>
                <w:webHidden/>
              </w:rPr>
              <w:t>2</w:t>
            </w:r>
          </w:hyperlink>
        </w:p>
        <w:p w14:paraId="6F0ABAA3" w14:textId="34029DBF" w:rsidR="00F36456" w:rsidRDefault="00F17358">
          <w:pPr>
            <w:pStyle w:val="TOC2"/>
            <w:tabs>
              <w:tab w:val="left" w:pos="660"/>
              <w:tab w:val="right" w:leader="dot" w:pos="9350"/>
            </w:tabs>
            <w:rPr>
              <w:noProof/>
              <w:sz w:val="22"/>
              <w:szCs w:val="22"/>
            </w:rPr>
          </w:pPr>
          <w:hyperlink w:anchor="_Toc56079793" w:history="1">
            <w:r w:rsidR="00F36456" w:rsidRPr="00DD3345">
              <w:rPr>
                <w:rStyle w:val="Hyperlink"/>
                <w:rFonts w:ascii="Calibri Light" w:eastAsia="Times New Roman" w:hAnsi="Calibri Light" w:cs="Times New Roman"/>
                <w:bCs/>
                <w:noProof/>
              </w:rPr>
              <w:t>3.</w:t>
            </w:r>
            <w:r w:rsidR="00F36456">
              <w:rPr>
                <w:noProof/>
                <w:sz w:val="22"/>
                <w:szCs w:val="22"/>
              </w:rPr>
              <w:tab/>
            </w:r>
            <w:r w:rsidR="00F36456" w:rsidRPr="00DD3345">
              <w:rPr>
                <w:rStyle w:val="Hyperlink"/>
                <w:rFonts w:ascii="Calibri Light" w:eastAsia="Times New Roman" w:hAnsi="Calibri Light" w:cs="Times New Roman"/>
                <w:bCs/>
                <w:noProof/>
              </w:rPr>
              <w:t>Free and Compulsory Education (Articles 13)</w:t>
            </w:r>
            <w:r w:rsidR="00F36456">
              <w:rPr>
                <w:noProof/>
                <w:webHidden/>
              </w:rPr>
              <w:tab/>
            </w:r>
            <w:r w:rsidR="0086577C">
              <w:rPr>
                <w:noProof/>
                <w:webHidden/>
              </w:rPr>
              <w:t>3</w:t>
            </w:r>
          </w:hyperlink>
        </w:p>
        <w:p w14:paraId="09A6E8A5" w14:textId="390EEDEA" w:rsidR="00F36456" w:rsidRDefault="00F17358">
          <w:pPr>
            <w:pStyle w:val="TOC2"/>
            <w:tabs>
              <w:tab w:val="left" w:pos="660"/>
              <w:tab w:val="right" w:leader="dot" w:pos="9350"/>
            </w:tabs>
            <w:rPr>
              <w:noProof/>
              <w:sz w:val="22"/>
              <w:szCs w:val="22"/>
            </w:rPr>
          </w:pPr>
          <w:hyperlink w:anchor="_Toc56079794" w:history="1">
            <w:r w:rsidR="00F36456" w:rsidRPr="00DD3345">
              <w:rPr>
                <w:rStyle w:val="Hyperlink"/>
                <w:rFonts w:ascii="Calibri Light" w:eastAsia="Times New Roman" w:hAnsi="Calibri Light" w:cs="Times New Roman"/>
                <w:bCs/>
                <w:noProof/>
              </w:rPr>
              <w:t>4.</w:t>
            </w:r>
            <w:r w:rsidR="00F36456">
              <w:rPr>
                <w:noProof/>
                <w:sz w:val="22"/>
                <w:szCs w:val="22"/>
              </w:rPr>
              <w:tab/>
            </w:r>
            <w:r w:rsidR="00F965EA" w:rsidRPr="00F965EA">
              <w:rPr>
                <w:rStyle w:val="Hyperlink"/>
                <w:rFonts w:ascii="Calibri Light" w:eastAsia="Times New Roman" w:hAnsi="Calibri Light" w:cs="Times New Roman"/>
                <w:bCs/>
                <w:noProof/>
              </w:rPr>
              <w:t>Child Labor (Article 10, General Comment No. 18)</w:t>
            </w:r>
            <w:r w:rsidR="00F36456">
              <w:rPr>
                <w:noProof/>
                <w:webHidden/>
              </w:rPr>
              <w:tab/>
            </w:r>
            <w:r w:rsidR="0086577C">
              <w:rPr>
                <w:noProof/>
                <w:webHidden/>
              </w:rPr>
              <w:t>3</w:t>
            </w:r>
          </w:hyperlink>
        </w:p>
        <w:p w14:paraId="0D5C139C" w14:textId="77777777" w:rsidR="00164BC5" w:rsidRDefault="00164BC5">
          <w:pPr>
            <w:pStyle w:val="TOC1"/>
            <w:tabs>
              <w:tab w:val="right" w:leader="dot" w:pos="9350"/>
            </w:tabs>
            <w:rPr>
              <w:rStyle w:val="Hyperlink"/>
              <w:rFonts w:eastAsia="Times New Roman"/>
              <w:b/>
              <w:noProof/>
            </w:rPr>
          </w:pPr>
        </w:p>
        <w:p w14:paraId="6337A4EE" w14:textId="05A01ECF" w:rsidR="00F36456" w:rsidRDefault="00F17358">
          <w:pPr>
            <w:pStyle w:val="TOC1"/>
            <w:tabs>
              <w:tab w:val="right" w:leader="dot" w:pos="9350"/>
            </w:tabs>
            <w:rPr>
              <w:bCs w:val="0"/>
              <w:noProof/>
              <w:sz w:val="22"/>
              <w:szCs w:val="22"/>
            </w:rPr>
          </w:pPr>
          <w:hyperlink w:anchor="_Toc56079795" w:history="1">
            <w:r w:rsidR="00F36456" w:rsidRPr="00DD3345">
              <w:rPr>
                <w:rStyle w:val="Hyperlink"/>
                <w:rFonts w:eastAsia="Times New Roman"/>
                <w:b/>
                <w:noProof/>
              </w:rPr>
              <w:t xml:space="preserve">Detail of Constitutional and </w:t>
            </w:r>
            <w:r w:rsidR="00F36456" w:rsidRPr="00DD3345">
              <w:rPr>
                <w:rStyle w:val="Hyperlink"/>
                <w:b/>
                <w:noProof/>
              </w:rPr>
              <w:t>Legislative</w:t>
            </w:r>
            <w:r w:rsidR="00F36456" w:rsidRPr="00DD3345">
              <w:rPr>
                <w:rStyle w:val="Hyperlink"/>
                <w:rFonts w:eastAsia="Times New Roman"/>
                <w:b/>
                <w:noProof/>
              </w:rPr>
              <w:t xml:space="preserve"> Findings</w:t>
            </w:r>
            <w:r w:rsidR="00F36456">
              <w:rPr>
                <w:noProof/>
                <w:webHidden/>
              </w:rPr>
              <w:tab/>
            </w:r>
            <w:r w:rsidR="0086577C">
              <w:rPr>
                <w:noProof/>
                <w:webHidden/>
              </w:rPr>
              <w:t>4</w:t>
            </w:r>
          </w:hyperlink>
        </w:p>
        <w:p w14:paraId="68BF37FE" w14:textId="7CE8057A" w:rsidR="00F36456" w:rsidRDefault="00F17358">
          <w:pPr>
            <w:pStyle w:val="TOC2"/>
            <w:tabs>
              <w:tab w:val="left" w:pos="660"/>
              <w:tab w:val="right" w:leader="dot" w:pos="9350"/>
            </w:tabs>
            <w:rPr>
              <w:noProof/>
              <w:sz w:val="22"/>
              <w:szCs w:val="22"/>
            </w:rPr>
          </w:pPr>
          <w:hyperlink w:anchor="_Toc56079796" w:history="1">
            <w:r w:rsidR="00F36456" w:rsidRPr="00DD3345">
              <w:rPr>
                <w:rStyle w:val="Hyperlink"/>
                <w:rFonts w:ascii="Calibri Light" w:eastAsia="Times New Roman" w:hAnsi="Calibri Light" w:cs="Times New Roman"/>
                <w:bCs/>
                <w:noProof/>
              </w:rPr>
              <w:t>1.</w:t>
            </w:r>
            <w:r w:rsidR="00F36456">
              <w:rPr>
                <w:noProof/>
                <w:sz w:val="22"/>
                <w:szCs w:val="22"/>
              </w:rPr>
              <w:tab/>
            </w:r>
            <w:r w:rsidR="00F36456" w:rsidRPr="00DD3345">
              <w:rPr>
                <w:rStyle w:val="Hyperlink"/>
                <w:rFonts w:ascii="Calibri Light" w:eastAsia="Times New Roman" w:hAnsi="Calibri Light" w:cs="Times New Roman"/>
                <w:bCs/>
                <w:noProof/>
              </w:rPr>
              <w:t>Equality and Non-Discrimination (Articles 2, General Comment No. 5)</w:t>
            </w:r>
            <w:r w:rsidR="00F36456">
              <w:rPr>
                <w:noProof/>
                <w:webHidden/>
              </w:rPr>
              <w:tab/>
            </w:r>
            <w:r w:rsidR="0086577C">
              <w:rPr>
                <w:noProof/>
                <w:webHidden/>
              </w:rPr>
              <w:t>4</w:t>
            </w:r>
          </w:hyperlink>
        </w:p>
        <w:p w14:paraId="0AD3FCF1" w14:textId="34416D76" w:rsidR="00F36456" w:rsidRDefault="00F17358">
          <w:pPr>
            <w:pStyle w:val="TOC2"/>
            <w:tabs>
              <w:tab w:val="left" w:pos="660"/>
              <w:tab w:val="right" w:leader="dot" w:pos="9350"/>
            </w:tabs>
            <w:rPr>
              <w:noProof/>
              <w:sz w:val="22"/>
              <w:szCs w:val="22"/>
            </w:rPr>
          </w:pPr>
          <w:hyperlink w:anchor="_Toc56079797" w:history="1">
            <w:r w:rsidR="00F36456" w:rsidRPr="00DD3345">
              <w:rPr>
                <w:rStyle w:val="Hyperlink"/>
                <w:rFonts w:ascii="Calibri Light" w:eastAsia="Times New Roman" w:hAnsi="Calibri Light" w:cs="Times New Roman"/>
                <w:bCs/>
                <w:noProof/>
              </w:rPr>
              <w:t>2.</w:t>
            </w:r>
            <w:r w:rsidR="00F36456">
              <w:rPr>
                <w:noProof/>
                <w:sz w:val="22"/>
                <w:szCs w:val="22"/>
              </w:rPr>
              <w:tab/>
            </w:r>
            <w:r w:rsidR="00F36456" w:rsidRPr="00DD3345">
              <w:rPr>
                <w:rStyle w:val="Hyperlink"/>
                <w:rFonts w:ascii="Calibri Light" w:eastAsia="Times New Roman" w:hAnsi="Calibri Light" w:cs="Times New Roman"/>
                <w:bCs/>
                <w:noProof/>
              </w:rPr>
              <w:t>Non-Discrimination in Work and Employment (Article 7)</w:t>
            </w:r>
            <w:r w:rsidR="00F36456">
              <w:rPr>
                <w:noProof/>
                <w:webHidden/>
              </w:rPr>
              <w:tab/>
            </w:r>
            <w:r w:rsidR="0086577C">
              <w:rPr>
                <w:noProof/>
                <w:webHidden/>
              </w:rPr>
              <w:t>5</w:t>
            </w:r>
          </w:hyperlink>
        </w:p>
        <w:p w14:paraId="019B7216" w14:textId="22CE8AE1" w:rsidR="00F36456" w:rsidRDefault="00F17358">
          <w:pPr>
            <w:pStyle w:val="TOC2"/>
            <w:tabs>
              <w:tab w:val="left" w:pos="660"/>
              <w:tab w:val="right" w:leader="dot" w:pos="9350"/>
            </w:tabs>
            <w:rPr>
              <w:noProof/>
              <w:sz w:val="22"/>
              <w:szCs w:val="22"/>
            </w:rPr>
          </w:pPr>
          <w:hyperlink w:anchor="_Toc56079798" w:history="1">
            <w:r w:rsidR="00F36456" w:rsidRPr="00DD3345">
              <w:rPr>
                <w:rStyle w:val="Hyperlink"/>
                <w:rFonts w:ascii="Calibri Light" w:eastAsia="Times New Roman" w:hAnsi="Calibri Light" w:cs="Times New Roman"/>
                <w:bCs/>
                <w:noProof/>
              </w:rPr>
              <w:t>3.</w:t>
            </w:r>
            <w:r w:rsidR="00F36456">
              <w:rPr>
                <w:noProof/>
                <w:sz w:val="22"/>
                <w:szCs w:val="22"/>
              </w:rPr>
              <w:tab/>
            </w:r>
            <w:r w:rsidR="00F36456" w:rsidRPr="00DD3345">
              <w:rPr>
                <w:rStyle w:val="Hyperlink"/>
                <w:rFonts w:ascii="Calibri Light" w:eastAsia="Times New Roman" w:hAnsi="Calibri Light" w:cs="Times New Roman"/>
                <w:bCs/>
                <w:noProof/>
              </w:rPr>
              <w:t>Free and Compulsory Education (Article 13)</w:t>
            </w:r>
            <w:r w:rsidR="00F36456">
              <w:rPr>
                <w:noProof/>
                <w:webHidden/>
              </w:rPr>
              <w:tab/>
            </w:r>
            <w:r w:rsidR="0086577C">
              <w:rPr>
                <w:noProof/>
                <w:webHidden/>
              </w:rPr>
              <w:t>7</w:t>
            </w:r>
          </w:hyperlink>
        </w:p>
        <w:p w14:paraId="437462E0" w14:textId="28725F87" w:rsidR="00F36456" w:rsidRDefault="00F17358">
          <w:pPr>
            <w:pStyle w:val="TOC2"/>
            <w:tabs>
              <w:tab w:val="left" w:pos="660"/>
              <w:tab w:val="right" w:leader="dot" w:pos="9350"/>
            </w:tabs>
            <w:rPr>
              <w:noProof/>
              <w:sz w:val="22"/>
              <w:szCs w:val="22"/>
            </w:rPr>
          </w:pPr>
          <w:hyperlink w:anchor="_Toc56079799" w:history="1">
            <w:r w:rsidR="00F36456" w:rsidRPr="00DD3345">
              <w:rPr>
                <w:rStyle w:val="Hyperlink"/>
                <w:rFonts w:ascii="Calibri Light" w:eastAsia="Times New Roman" w:hAnsi="Calibri Light" w:cs="Times New Roman"/>
                <w:bCs/>
                <w:noProof/>
              </w:rPr>
              <w:t>4.</w:t>
            </w:r>
            <w:r w:rsidR="00F36456">
              <w:rPr>
                <w:noProof/>
                <w:sz w:val="22"/>
                <w:szCs w:val="22"/>
              </w:rPr>
              <w:tab/>
            </w:r>
            <w:r w:rsidR="00F36456" w:rsidRPr="00DD3345">
              <w:rPr>
                <w:rStyle w:val="Hyperlink"/>
                <w:rFonts w:ascii="Calibri Light" w:eastAsia="Times New Roman" w:hAnsi="Calibri Light" w:cs="Times New Roman"/>
                <w:bCs/>
                <w:noProof/>
              </w:rPr>
              <w:t>Child Labor (Article 10, General Comment No. 18)</w:t>
            </w:r>
            <w:r w:rsidR="00F36456">
              <w:rPr>
                <w:noProof/>
                <w:webHidden/>
              </w:rPr>
              <w:tab/>
            </w:r>
            <w:r w:rsidR="0086577C">
              <w:rPr>
                <w:noProof/>
                <w:webHidden/>
              </w:rPr>
              <w:t>9</w:t>
            </w:r>
          </w:hyperlink>
        </w:p>
        <w:p w14:paraId="3686C9A0" w14:textId="6301FDA5" w:rsidR="00081AE8" w:rsidRDefault="00081AE8">
          <w:r>
            <w:rPr>
              <w:b/>
              <w:bCs/>
              <w:noProof/>
            </w:rPr>
            <w:fldChar w:fldCharType="end"/>
          </w:r>
        </w:p>
      </w:sdtContent>
    </w:sdt>
    <w:p w14:paraId="63D19DED" w14:textId="45759036" w:rsidR="005700AE" w:rsidRDefault="005700AE" w:rsidP="00902A1E"/>
    <w:p w14:paraId="4A2A3218" w14:textId="4FD0B1B0" w:rsidR="00081AE8" w:rsidRDefault="00081AE8" w:rsidP="00902A1E"/>
    <w:p w14:paraId="143D8727" w14:textId="1776B152" w:rsidR="00081AE8" w:rsidRDefault="00081AE8" w:rsidP="00902A1E"/>
    <w:p w14:paraId="3F7D5B93" w14:textId="754CBFEC" w:rsidR="00081AE8" w:rsidRDefault="00164BC5" w:rsidP="00164BC5">
      <w:pPr>
        <w:tabs>
          <w:tab w:val="left" w:pos="7095"/>
        </w:tabs>
      </w:pPr>
      <w:r>
        <w:tab/>
      </w:r>
    </w:p>
    <w:p w14:paraId="6D4D9D01" w14:textId="77777777" w:rsidR="00081AE8" w:rsidRDefault="00081AE8" w:rsidP="00902A1E"/>
    <w:p w14:paraId="1BD3449B" w14:textId="77777777" w:rsidR="002A05AA" w:rsidRDefault="002A05AA" w:rsidP="00902A1E">
      <w:pPr>
        <w:sectPr w:rsidR="002A05AA" w:rsidSect="002A05AA">
          <w:headerReference w:type="default" r:id="rId8"/>
          <w:footerReference w:type="default" r:id="rId9"/>
          <w:pgSz w:w="12240" w:h="15840"/>
          <w:pgMar w:top="1440" w:right="1440" w:bottom="1440" w:left="1440" w:header="720" w:footer="720" w:gutter="0"/>
          <w:pgNumType w:start="0"/>
          <w:cols w:space="720"/>
          <w:docGrid w:linePitch="360"/>
        </w:sectPr>
      </w:pPr>
    </w:p>
    <w:p w14:paraId="53479405" w14:textId="77777777" w:rsidR="00902A1E" w:rsidRPr="00CB2463" w:rsidRDefault="00902A1E" w:rsidP="00530EEA">
      <w:pPr>
        <w:pStyle w:val="Heading1"/>
        <w:spacing w:afterLines="100" w:after="240"/>
        <w:rPr>
          <w:rFonts w:eastAsia="Times New Roman"/>
          <w:b/>
          <w:bCs/>
        </w:rPr>
      </w:pPr>
      <w:bookmarkStart w:id="30" w:name="_Toc56079789"/>
      <w:r w:rsidRPr="00CB2463">
        <w:rPr>
          <w:rFonts w:eastAsia="Times New Roman"/>
          <w:b/>
          <w:bCs/>
        </w:rPr>
        <w:lastRenderedPageBreak/>
        <w:t>Introduction</w:t>
      </w:r>
      <w:bookmarkEnd w:id="30"/>
    </w:p>
    <w:p w14:paraId="7C06581B" w14:textId="77777777" w:rsidR="00902A1E" w:rsidRPr="00CB2463" w:rsidRDefault="00902A1E" w:rsidP="00530EEA">
      <w:pPr>
        <w:spacing w:afterLines="100" w:after="240"/>
        <w:rPr>
          <w:sz w:val="22"/>
          <w:szCs w:val="22"/>
        </w:rPr>
      </w:pPr>
      <w:r w:rsidRPr="00CB2463">
        <w:rPr>
          <w:sz w:val="22"/>
          <w:szCs w:val="22"/>
        </w:rPr>
        <w:t xml:space="preserve">The WORLD Policy Analysis Center, based at the University of California, Los Angeles, captures </w:t>
      </w:r>
      <w:r w:rsidRPr="00CB2463">
        <w:rPr>
          <w:rFonts w:ascii="Calibri" w:hAnsi="Calibri"/>
          <w:sz w:val="22"/>
          <w:szCs w:val="22"/>
        </w:rPr>
        <w:t>quantitative policy data on more than 2,000 indicators that matter to equality, health, and well-being. We</w:t>
      </w:r>
      <w:r w:rsidRPr="00CB2463">
        <w:rPr>
          <w:sz w:val="22"/>
          <w:szCs w:val="22"/>
        </w:rPr>
        <w:t xml:space="preserve"> strive to improve the quantity and quality of globally comparative data available to policymakers, citizens, national governments, intergovernmental organizations, civil society, and researchers for all 193 UN member states. We submit the following brief in advance of the 68</w:t>
      </w:r>
      <w:r w:rsidRPr="00CB2463">
        <w:rPr>
          <w:sz w:val="22"/>
          <w:szCs w:val="22"/>
          <w:vertAlign w:val="superscript"/>
        </w:rPr>
        <w:t>th</w:t>
      </w:r>
      <w:r w:rsidRPr="00CB2463">
        <w:rPr>
          <w:sz w:val="22"/>
          <w:szCs w:val="22"/>
        </w:rPr>
        <w:t xml:space="preserve"> Pre-Sessional Working Group of the Committee on Economic, Social, and Cultural Rights. </w:t>
      </w:r>
    </w:p>
    <w:p w14:paraId="1A6F1147" w14:textId="2360FFB6" w:rsidR="00902A1E" w:rsidRPr="00CB2463" w:rsidRDefault="00902A1E" w:rsidP="00902A1E">
      <w:pPr>
        <w:rPr>
          <w:sz w:val="22"/>
          <w:szCs w:val="22"/>
        </w:rPr>
      </w:pPr>
      <w:r w:rsidRPr="00CB2463">
        <w:rPr>
          <w:sz w:val="22"/>
          <w:szCs w:val="22"/>
        </w:rPr>
        <w:t>This brief will focus on the following</w:t>
      </w:r>
      <w:r>
        <w:rPr>
          <w:sz w:val="22"/>
          <w:szCs w:val="22"/>
        </w:rPr>
        <w:t xml:space="preserve"> </w:t>
      </w:r>
      <w:r w:rsidR="007A287E">
        <w:rPr>
          <w:sz w:val="22"/>
          <w:szCs w:val="22"/>
        </w:rPr>
        <w:t>four</w:t>
      </w:r>
      <w:r w:rsidRPr="00CB2463">
        <w:rPr>
          <w:sz w:val="22"/>
          <w:szCs w:val="22"/>
        </w:rPr>
        <w:t xml:space="preserve"> areas:</w:t>
      </w:r>
    </w:p>
    <w:p w14:paraId="31F681DF" w14:textId="7580F1D4" w:rsidR="00902A1E" w:rsidRPr="00CB2463" w:rsidRDefault="00902A1E" w:rsidP="00902A1E">
      <w:pPr>
        <w:pStyle w:val="ListParagraph"/>
        <w:numPr>
          <w:ilvl w:val="0"/>
          <w:numId w:val="26"/>
        </w:numPr>
        <w:rPr>
          <w:sz w:val="22"/>
          <w:szCs w:val="22"/>
        </w:rPr>
      </w:pPr>
      <w:r w:rsidRPr="00CB2463">
        <w:rPr>
          <w:rFonts w:ascii="Calibri" w:hAnsi="Calibri" w:cs="Calibri"/>
          <w:sz w:val="22"/>
          <w:szCs w:val="22"/>
        </w:rPr>
        <w:t xml:space="preserve">Equality and non-discrimination (Article 2, General Comment No. 5) </w:t>
      </w:r>
    </w:p>
    <w:p w14:paraId="4FB71B8C" w14:textId="77777777" w:rsidR="00902A1E" w:rsidRPr="00CB2463" w:rsidRDefault="00902A1E" w:rsidP="00902A1E">
      <w:pPr>
        <w:pStyle w:val="ListParagraph"/>
        <w:numPr>
          <w:ilvl w:val="0"/>
          <w:numId w:val="26"/>
        </w:numPr>
        <w:rPr>
          <w:color w:val="000000" w:themeColor="text1"/>
          <w:sz w:val="22"/>
          <w:szCs w:val="22"/>
        </w:rPr>
      </w:pPr>
      <w:r w:rsidRPr="00CB2463">
        <w:rPr>
          <w:color w:val="000000" w:themeColor="text1"/>
          <w:sz w:val="22"/>
          <w:szCs w:val="22"/>
        </w:rPr>
        <w:t>Non-discrimination in work and employment (Article 7)</w:t>
      </w:r>
    </w:p>
    <w:p w14:paraId="3EA8B276" w14:textId="5B3EAD60" w:rsidR="00902A1E" w:rsidRDefault="00902A1E" w:rsidP="00902A1E">
      <w:pPr>
        <w:pStyle w:val="ListParagraph"/>
        <w:numPr>
          <w:ilvl w:val="0"/>
          <w:numId w:val="26"/>
        </w:numPr>
        <w:rPr>
          <w:color w:val="000000" w:themeColor="text1"/>
          <w:sz w:val="22"/>
          <w:szCs w:val="22"/>
        </w:rPr>
      </w:pPr>
      <w:r w:rsidRPr="00CB2463">
        <w:rPr>
          <w:color w:val="000000" w:themeColor="text1"/>
          <w:sz w:val="22"/>
          <w:szCs w:val="22"/>
        </w:rPr>
        <w:t>Free and compulsory education (Article 13)</w:t>
      </w:r>
    </w:p>
    <w:p w14:paraId="0E8E27ED" w14:textId="2795F2CE" w:rsidR="007A287E" w:rsidRPr="00CB2463" w:rsidRDefault="007A287E" w:rsidP="00902A1E">
      <w:pPr>
        <w:pStyle w:val="ListParagraph"/>
        <w:numPr>
          <w:ilvl w:val="0"/>
          <w:numId w:val="26"/>
        </w:numPr>
        <w:rPr>
          <w:color w:val="000000" w:themeColor="text1"/>
          <w:sz w:val="22"/>
          <w:szCs w:val="22"/>
        </w:rPr>
      </w:pPr>
      <w:r>
        <w:rPr>
          <w:color w:val="000000" w:themeColor="text1"/>
          <w:sz w:val="22"/>
          <w:szCs w:val="22"/>
        </w:rPr>
        <w:t>Child Labor (Article 10, General Comment No. 18)</w:t>
      </w:r>
    </w:p>
    <w:p w14:paraId="68D32238" w14:textId="77777777" w:rsidR="00902A1E" w:rsidRPr="00CB2463" w:rsidRDefault="00902A1E" w:rsidP="00902A1E">
      <w:pPr>
        <w:rPr>
          <w:sz w:val="22"/>
          <w:szCs w:val="22"/>
        </w:rPr>
      </w:pPr>
      <w:r w:rsidRPr="00CB2463">
        <w:rPr>
          <w:sz w:val="22"/>
          <w:szCs w:val="22"/>
        </w:rPr>
        <w:t xml:space="preserve">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 </w:t>
      </w:r>
    </w:p>
    <w:p w14:paraId="06D4B7E2" w14:textId="1E81285F" w:rsidR="00902A1E" w:rsidRDefault="00902A1E" w:rsidP="00902A1E">
      <w:pPr>
        <w:rPr>
          <w:sz w:val="22"/>
          <w:szCs w:val="22"/>
        </w:rPr>
      </w:pPr>
      <w:r w:rsidRPr="005700AE">
        <w:rPr>
          <w:sz w:val="22"/>
          <w:szCs w:val="22"/>
        </w:rPr>
        <w:t xml:space="preserve">In this report we provide detailed constitutional and legislative excerpts documenting our findings. These findings are followed by suggested questions </w:t>
      </w:r>
      <w:r w:rsidR="00471CDA">
        <w:rPr>
          <w:sz w:val="22"/>
          <w:szCs w:val="22"/>
        </w:rPr>
        <w:t xml:space="preserve">for </w:t>
      </w:r>
      <w:r w:rsidRPr="005700AE">
        <w:rPr>
          <w:sz w:val="22"/>
          <w:szCs w:val="22"/>
        </w:rPr>
        <w:t xml:space="preserve">the Committee </w:t>
      </w:r>
      <w:r w:rsidR="00471CDA">
        <w:rPr>
          <w:sz w:val="22"/>
          <w:szCs w:val="22"/>
        </w:rPr>
        <w:t xml:space="preserve">to </w:t>
      </w:r>
      <w:r w:rsidRPr="005700AE">
        <w:rPr>
          <w:sz w:val="22"/>
          <w:szCs w:val="22"/>
        </w:rPr>
        <w:t xml:space="preserve">ask </w:t>
      </w:r>
      <w:r w:rsidRPr="00CB2463">
        <w:rPr>
          <w:sz w:val="22"/>
          <w:szCs w:val="22"/>
        </w:rPr>
        <w:t>Panama</w:t>
      </w:r>
      <w:r w:rsidRPr="005700AE">
        <w:rPr>
          <w:sz w:val="22"/>
          <w:szCs w:val="22"/>
        </w:rPr>
        <w:t>, as well as topics we hope the Committee will address in its concluding observations. We hope the Committee will recommend that</w:t>
      </w:r>
      <w:r w:rsidRPr="00CB2463">
        <w:rPr>
          <w:sz w:val="22"/>
          <w:szCs w:val="22"/>
        </w:rPr>
        <w:t xml:space="preserve"> Panama</w:t>
      </w:r>
      <w:r w:rsidRPr="005700AE">
        <w:rPr>
          <w:sz w:val="22"/>
          <w:szCs w:val="22"/>
        </w:rPr>
        <w:t xml:space="preserve"> address any gaps in consultation and collaboration with relevant stakeholders, including civil society organizations.</w:t>
      </w:r>
      <w:r w:rsidR="005700AE">
        <w:rPr>
          <w:sz w:val="22"/>
          <w:szCs w:val="22"/>
        </w:rPr>
        <w:t xml:space="preserve"> </w:t>
      </w:r>
      <w:r w:rsidR="005700AE" w:rsidRPr="005700AE">
        <w:rPr>
          <w:sz w:val="22"/>
          <w:szCs w:val="22"/>
        </w:rPr>
        <w:t xml:space="preserve">We also recognize that while having strong laws and policies in place are necessary first steps, implementation is also of paramount importance. In areas where we have commended </w:t>
      </w:r>
      <w:r w:rsidR="002E6A4F">
        <w:rPr>
          <w:sz w:val="22"/>
          <w:szCs w:val="22"/>
        </w:rPr>
        <w:t>Panama</w:t>
      </w:r>
      <w:r w:rsidR="002E6A4F" w:rsidRPr="005700AE">
        <w:rPr>
          <w:sz w:val="22"/>
          <w:szCs w:val="22"/>
        </w:rPr>
        <w:t xml:space="preserve"> </w:t>
      </w:r>
      <w:r w:rsidR="005700AE" w:rsidRPr="005700AE">
        <w:rPr>
          <w:sz w:val="22"/>
          <w:szCs w:val="22"/>
        </w:rPr>
        <w:t xml:space="preserve">for having provisions in place, we hope the Committee will recommend that </w:t>
      </w:r>
      <w:r w:rsidR="002E6A4F">
        <w:rPr>
          <w:sz w:val="22"/>
          <w:szCs w:val="22"/>
        </w:rPr>
        <w:t>Panama</w:t>
      </w:r>
      <w:r w:rsidR="002E6A4F" w:rsidRPr="005700AE">
        <w:rPr>
          <w:sz w:val="22"/>
          <w:szCs w:val="22"/>
        </w:rPr>
        <w:t xml:space="preserve"> </w:t>
      </w:r>
      <w:r w:rsidR="005700AE" w:rsidRPr="005700AE">
        <w:rPr>
          <w:sz w:val="22"/>
          <w:szCs w:val="22"/>
        </w:rPr>
        <w:t>work with stakeholders to overcome any obstacles in implementing these provisions.</w:t>
      </w:r>
    </w:p>
    <w:p w14:paraId="15F77E59" w14:textId="6C6075EA" w:rsidR="00A74CAB" w:rsidRPr="00CB2463" w:rsidRDefault="00A74CAB" w:rsidP="00902A1E">
      <w:pPr>
        <w:rPr>
          <w:sz w:val="22"/>
          <w:szCs w:val="22"/>
        </w:rPr>
      </w:pPr>
      <w:r>
        <w:rPr>
          <w:sz w:val="22"/>
          <w:szCs w:val="22"/>
        </w:rPr>
        <w:br w:type="page"/>
      </w:r>
    </w:p>
    <w:p w14:paraId="678F390F" w14:textId="16BFEC87" w:rsidR="005700AE" w:rsidRDefault="005700AE" w:rsidP="00902A1E">
      <w:pPr>
        <w:pStyle w:val="Heading1"/>
        <w:rPr>
          <w:rFonts w:eastAsia="Times New Roman"/>
          <w:b/>
          <w:bCs/>
        </w:rPr>
      </w:pPr>
      <w:bookmarkStart w:id="31" w:name="_Toc56070607"/>
      <w:bookmarkStart w:id="32" w:name="_Toc56079790"/>
      <w:bookmarkStart w:id="33" w:name="_Hlk56078328"/>
      <w:r>
        <w:rPr>
          <w:rFonts w:eastAsia="Times New Roman"/>
          <w:b/>
          <w:bCs/>
        </w:rPr>
        <w:lastRenderedPageBreak/>
        <w:t>Summary of Findings and Recommendations</w:t>
      </w:r>
      <w:bookmarkEnd w:id="31"/>
      <w:bookmarkEnd w:id="32"/>
    </w:p>
    <w:bookmarkEnd w:id="33"/>
    <w:p w14:paraId="5BE1B4A2" w14:textId="77777777" w:rsidR="00081AE8" w:rsidRPr="00081AE8" w:rsidRDefault="00081AE8" w:rsidP="00081AE8">
      <w:pPr>
        <w:pStyle w:val="NoSpacing"/>
      </w:pPr>
    </w:p>
    <w:p w14:paraId="74B6EABA" w14:textId="77777777" w:rsidR="005700AE" w:rsidRPr="00F36456" w:rsidRDefault="005700AE" w:rsidP="005700AE">
      <w:pPr>
        <w:keepNext/>
        <w:keepLines/>
        <w:numPr>
          <w:ilvl w:val="0"/>
          <w:numId w:val="29"/>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34" w:name="_Toc56070608"/>
      <w:bookmarkStart w:id="35" w:name="_Toc56079791"/>
      <w:r w:rsidRPr="00F36456">
        <w:rPr>
          <w:rFonts w:ascii="Calibri Light" w:eastAsia="Times New Roman" w:hAnsi="Calibri Light" w:cs="Times New Roman"/>
          <w:bCs/>
          <w:color w:val="2E74B5"/>
          <w:sz w:val="26"/>
          <w:szCs w:val="26"/>
        </w:rPr>
        <w:t>Equality and Non-Discrimination (Article 2, General Comment No. 5)</w:t>
      </w:r>
      <w:bookmarkEnd w:id="34"/>
      <w:bookmarkEnd w:id="35"/>
    </w:p>
    <w:p w14:paraId="43AFBD94" w14:textId="2AE862DF" w:rsidR="005700AE" w:rsidRDefault="005700AE" w:rsidP="005700AE">
      <w:pPr>
        <w:rPr>
          <w:sz w:val="22"/>
          <w:szCs w:val="22"/>
        </w:rPr>
      </w:pPr>
      <w:r w:rsidRPr="005700AE">
        <w:rPr>
          <w:sz w:val="22"/>
          <w:szCs w:val="22"/>
        </w:rPr>
        <w:t xml:space="preserve">Panama’s constitution prohibits all forms of discrimination based on race, birth, disability, social class, sex, religion, and political beliefs. However, other characteristics protected by Article 2 and General Comment No. 5 of </w:t>
      </w:r>
      <w:r w:rsidR="00081AE8">
        <w:rPr>
          <w:sz w:val="22"/>
          <w:szCs w:val="22"/>
        </w:rPr>
        <w:t>the Covenant</w:t>
      </w:r>
      <w:r w:rsidRPr="005700AE">
        <w:rPr>
          <w:sz w:val="22"/>
          <w:szCs w:val="22"/>
        </w:rPr>
        <w:t xml:space="preserve"> are not guaranteed equal rights in Panama’s constitution, including persons facing discrimination based on language, national origin, or property status.</w:t>
      </w:r>
    </w:p>
    <w:p w14:paraId="32B6D9B8" w14:textId="77777777" w:rsidR="005700AE" w:rsidRPr="00CB2463" w:rsidRDefault="005700AE" w:rsidP="005700AE">
      <w:pPr>
        <w:rPr>
          <w:b/>
          <w:bCs/>
          <w:sz w:val="22"/>
          <w:szCs w:val="22"/>
        </w:rPr>
      </w:pPr>
      <w:r w:rsidRPr="00CB2463">
        <w:rPr>
          <w:b/>
          <w:bCs/>
          <w:sz w:val="22"/>
          <w:szCs w:val="22"/>
        </w:rPr>
        <w:t>We hope the Committee will:</w:t>
      </w:r>
    </w:p>
    <w:p w14:paraId="6CBB9596" w14:textId="6EFEA0F8" w:rsidR="005700AE" w:rsidRPr="005700AE" w:rsidRDefault="005700AE" w:rsidP="005700AE">
      <w:pPr>
        <w:pStyle w:val="ListParagraph"/>
        <w:numPr>
          <w:ilvl w:val="0"/>
          <w:numId w:val="30"/>
        </w:numPr>
        <w:rPr>
          <w:b/>
          <w:bCs/>
          <w:sz w:val="22"/>
          <w:szCs w:val="22"/>
        </w:rPr>
      </w:pPr>
      <w:r w:rsidRPr="00CB2463">
        <w:rPr>
          <w:sz w:val="22"/>
          <w:szCs w:val="22"/>
        </w:rPr>
        <w:t>Recommend in its concluding observations that Panama amend its constitution to add explicit guarantees of equality and non-discrimination for all persons regardless of language, national origin, and property status, consistent with</w:t>
      </w:r>
      <w:r w:rsidR="00081AE8" w:rsidRPr="00081AE8">
        <w:rPr>
          <w:sz w:val="22"/>
          <w:szCs w:val="22"/>
        </w:rPr>
        <w:t xml:space="preserve"> </w:t>
      </w:r>
      <w:r w:rsidR="00081AE8">
        <w:rPr>
          <w:sz w:val="22"/>
          <w:szCs w:val="22"/>
        </w:rPr>
        <w:t>the Covenant’s</w:t>
      </w:r>
      <w:r w:rsidR="00081AE8" w:rsidRPr="00DA392F">
        <w:rPr>
          <w:sz w:val="22"/>
          <w:szCs w:val="22"/>
        </w:rPr>
        <w:t xml:space="preserve"> </w:t>
      </w:r>
      <w:r w:rsidRPr="00CB2463">
        <w:rPr>
          <w:sz w:val="22"/>
          <w:szCs w:val="22"/>
        </w:rPr>
        <w:t xml:space="preserve">commitments. These guarantees may be added to Article 19 of the constitution, which already prohibits discrimination based on other characteristics. </w:t>
      </w:r>
    </w:p>
    <w:p w14:paraId="0410ACC1" w14:textId="77777777" w:rsidR="005700AE" w:rsidRPr="005700AE" w:rsidRDefault="005700AE" w:rsidP="005700AE">
      <w:pPr>
        <w:pStyle w:val="ListParagraph"/>
        <w:rPr>
          <w:b/>
          <w:bCs/>
          <w:sz w:val="22"/>
          <w:szCs w:val="22"/>
        </w:rPr>
      </w:pPr>
    </w:p>
    <w:p w14:paraId="19D32D86" w14:textId="77777777" w:rsidR="005700AE" w:rsidRPr="00F36456" w:rsidRDefault="005700AE" w:rsidP="005700AE">
      <w:pPr>
        <w:pStyle w:val="ListParagraph"/>
        <w:keepNext/>
        <w:keepLines/>
        <w:numPr>
          <w:ilvl w:val="0"/>
          <w:numId w:val="29"/>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36" w:name="_Toc56070609"/>
      <w:bookmarkStart w:id="37" w:name="_Toc56079792"/>
      <w:bookmarkStart w:id="38" w:name="_Hlk56078351"/>
      <w:r w:rsidRPr="00F36456">
        <w:rPr>
          <w:rFonts w:ascii="Calibri Light" w:eastAsia="Times New Roman" w:hAnsi="Calibri Light" w:cs="Times New Roman"/>
          <w:bCs/>
          <w:color w:val="2E74B5"/>
          <w:sz w:val="26"/>
          <w:szCs w:val="26"/>
        </w:rPr>
        <w:t>Non-Discrimination in Work and Employment (Article 7)</w:t>
      </w:r>
      <w:bookmarkEnd w:id="36"/>
      <w:bookmarkEnd w:id="37"/>
    </w:p>
    <w:bookmarkEnd w:id="38"/>
    <w:p w14:paraId="37D6B33F" w14:textId="6901A285" w:rsidR="00935B47" w:rsidRPr="001C7756" w:rsidRDefault="00935B47" w:rsidP="00935B47">
      <w:pPr>
        <w:rPr>
          <w:sz w:val="22"/>
          <w:szCs w:val="22"/>
        </w:rPr>
      </w:pPr>
      <w:r w:rsidRPr="00935B47">
        <w:rPr>
          <w:bCs/>
          <w:sz w:val="22"/>
          <w:szCs w:val="22"/>
        </w:rPr>
        <w:t>Our systematic review of legislation shows that Panama</w:t>
      </w:r>
      <w:r w:rsidRPr="00935B47">
        <w:t xml:space="preserve"> </w:t>
      </w:r>
      <w:r w:rsidRPr="00935B47">
        <w:rPr>
          <w:bCs/>
          <w:sz w:val="22"/>
          <w:szCs w:val="22"/>
        </w:rPr>
        <w:t>broadly prohibits workplace discrimination based on race, birth, disability, social class, sex, religion, and political beliefs</w:t>
      </w:r>
      <w:r w:rsidRPr="00575F1A">
        <w:rPr>
          <w:sz w:val="22"/>
          <w:szCs w:val="22"/>
        </w:rPr>
        <w:t>,</w:t>
      </w:r>
      <w:r>
        <w:rPr>
          <w:sz w:val="22"/>
          <w:szCs w:val="22"/>
        </w:rPr>
        <w:t xml:space="preserve"> but does not outline</w:t>
      </w:r>
      <w:r w:rsidR="002E6A4F">
        <w:rPr>
          <w:sz w:val="22"/>
          <w:szCs w:val="22"/>
        </w:rPr>
        <w:t xml:space="preserve"> and prohibit</w:t>
      </w:r>
      <w:r>
        <w:rPr>
          <w:sz w:val="22"/>
          <w:szCs w:val="22"/>
        </w:rPr>
        <w:t xml:space="preserve"> specific forms of discrimination that may occur during hiring, promotions and demotions, remuneration, and dismissals. Further, </w:t>
      </w:r>
      <w:r w:rsidRPr="00DA392F">
        <w:rPr>
          <w:bCs/>
          <w:sz w:val="22"/>
          <w:szCs w:val="22"/>
        </w:rPr>
        <w:t>several groups cover</w:t>
      </w:r>
      <w:r w:rsidRPr="00935B47">
        <w:rPr>
          <w:bCs/>
          <w:sz w:val="22"/>
          <w:szCs w:val="22"/>
        </w:rPr>
        <w:t xml:space="preserve">ed through </w:t>
      </w:r>
      <w:r w:rsidRPr="00935B47">
        <w:rPr>
          <w:sz w:val="22"/>
          <w:szCs w:val="22"/>
        </w:rPr>
        <w:t>the Covenant’s</w:t>
      </w:r>
      <w:r w:rsidRPr="00935B47">
        <w:rPr>
          <w:bCs/>
          <w:sz w:val="22"/>
          <w:szCs w:val="22"/>
        </w:rPr>
        <w:t xml:space="preserve"> commitments are </w:t>
      </w:r>
      <w:r>
        <w:rPr>
          <w:sz w:val="22"/>
          <w:szCs w:val="22"/>
        </w:rPr>
        <w:t>not included in any</w:t>
      </w:r>
      <w:r w:rsidRPr="00935B47">
        <w:rPr>
          <w:sz w:val="22"/>
          <w:szCs w:val="22"/>
        </w:rPr>
        <w:t xml:space="preserve"> </w:t>
      </w:r>
      <w:r w:rsidR="002E6A4F">
        <w:rPr>
          <w:sz w:val="22"/>
          <w:szCs w:val="22"/>
        </w:rPr>
        <w:t xml:space="preserve">legislative workplace non-discrimination </w:t>
      </w:r>
      <w:r w:rsidRPr="00935B47">
        <w:rPr>
          <w:sz w:val="22"/>
          <w:szCs w:val="22"/>
        </w:rPr>
        <w:t>provisions, such as workers facing discrimination based on language, national origin, and property status</w:t>
      </w:r>
      <w:r w:rsidRPr="00935B47">
        <w:rPr>
          <w:bCs/>
          <w:sz w:val="22"/>
          <w:szCs w:val="22"/>
        </w:rPr>
        <w:t xml:space="preserve">. </w:t>
      </w:r>
    </w:p>
    <w:p w14:paraId="7B27FF15" w14:textId="56557A80" w:rsidR="005700AE" w:rsidRPr="00DA392F" w:rsidRDefault="005700AE" w:rsidP="005700AE">
      <w:pPr>
        <w:rPr>
          <w:b/>
          <w:bCs/>
          <w:sz w:val="22"/>
          <w:szCs w:val="22"/>
        </w:rPr>
      </w:pPr>
      <w:r w:rsidRPr="00DA392F">
        <w:rPr>
          <w:b/>
          <w:bCs/>
          <w:sz w:val="22"/>
          <w:szCs w:val="22"/>
        </w:rPr>
        <w:t>We hope the Committee will:</w:t>
      </w:r>
    </w:p>
    <w:p w14:paraId="4871BBDE" w14:textId="3B72D934" w:rsidR="005700AE" w:rsidRPr="00575F1A" w:rsidRDefault="005700AE" w:rsidP="005700AE">
      <w:pPr>
        <w:pStyle w:val="ListParagraph"/>
        <w:numPr>
          <w:ilvl w:val="0"/>
          <w:numId w:val="30"/>
        </w:numPr>
        <w:rPr>
          <w:sz w:val="22"/>
          <w:szCs w:val="22"/>
        </w:rPr>
      </w:pPr>
      <w:r w:rsidRPr="00575F1A">
        <w:rPr>
          <w:sz w:val="22"/>
          <w:szCs w:val="22"/>
        </w:rPr>
        <w:t>In its list of issues, ask</w:t>
      </w:r>
      <w:r w:rsidRPr="00575F1A">
        <w:rPr>
          <w:color w:val="000000" w:themeColor="text1"/>
          <w:sz w:val="22"/>
          <w:szCs w:val="22"/>
        </w:rPr>
        <w:t xml:space="preserve"> Panama</w:t>
      </w:r>
      <w:r w:rsidRPr="00575F1A">
        <w:rPr>
          <w:sz w:val="22"/>
          <w:szCs w:val="22"/>
        </w:rPr>
        <w:t xml:space="preserve">: Can </w:t>
      </w:r>
      <w:r w:rsidRPr="00575F1A">
        <w:rPr>
          <w:color w:val="000000" w:themeColor="text1"/>
          <w:sz w:val="22"/>
          <w:szCs w:val="22"/>
        </w:rPr>
        <w:t xml:space="preserve">Panama </w:t>
      </w:r>
      <w:r w:rsidRPr="00575F1A">
        <w:rPr>
          <w:sz w:val="22"/>
          <w:szCs w:val="22"/>
        </w:rPr>
        <w:t xml:space="preserve">outline any concrete, near-term plans to pass legislation that explicitly prohibits workplace discrimination based on </w:t>
      </w:r>
      <w:r w:rsidRPr="00575F1A">
        <w:rPr>
          <w:bCs/>
          <w:sz w:val="22"/>
          <w:szCs w:val="22"/>
        </w:rPr>
        <w:t>language, national origin, and property status</w:t>
      </w:r>
      <w:r w:rsidRPr="00575F1A">
        <w:rPr>
          <w:sz w:val="22"/>
          <w:szCs w:val="22"/>
        </w:rPr>
        <w:t>?</w:t>
      </w:r>
    </w:p>
    <w:p w14:paraId="4E411B93" w14:textId="77777777" w:rsidR="005700AE" w:rsidRPr="00DA392F" w:rsidRDefault="005700AE" w:rsidP="005700AE">
      <w:pPr>
        <w:pStyle w:val="ListParagraph"/>
        <w:numPr>
          <w:ilvl w:val="1"/>
          <w:numId w:val="27"/>
        </w:numPr>
        <w:rPr>
          <w:sz w:val="22"/>
          <w:szCs w:val="22"/>
        </w:rPr>
      </w:pPr>
      <w:r w:rsidRPr="00DA392F">
        <w:rPr>
          <w:sz w:val="22"/>
          <w:szCs w:val="22"/>
        </w:rPr>
        <w:t xml:space="preserve">If </w:t>
      </w:r>
      <w:r>
        <w:rPr>
          <w:color w:val="000000" w:themeColor="text1"/>
          <w:sz w:val="22"/>
          <w:szCs w:val="22"/>
        </w:rPr>
        <w:t>Panama</w:t>
      </w:r>
      <w:r w:rsidRPr="00DA392F">
        <w:rPr>
          <w:color w:val="000000" w:themeColor="text1"/>
          <w:sz w:val="22"/>
          <w:szCs w:val="22"/>
        </w:rPr>
        <w:t xml:space="preserve"> </w:t>
      </w:r>
      <w:r w:rsidRPr="00DA392F">
        <w:rPr>
          <w:sz w:val="22"/>
          <w:szCs w:val="22"/>
        </w:rPr>
        <w:t xml:space="preserve">does not have concrete, near-term plans in place, recommend in its concluding observations that </w:t>
      </w:r>
      <w:r>
        <w:rPr>
          <w:sz w:val="22"/>
          <w:szCs w:val="22"/>
        </w:rPr>
        <w:t>Panama</w:t>
      </w:r>
      <w:r w:rsidRPr="00DA392F">
        <w:rPr>
          <w:sz w:val="22"/>
          <w:szCs w:val="22"/>
        </w:rPr>
        <w:t xml:space="preserve"> pass and implement legislation that explicitly prohibits discrimination based language, national origin, </w:t>
      </w:r>
      <w:r>
        <w:rPr>
          <w:sz w:val="22"/>
          <w:szCs w:val="22"/>
        </w:rPr>
        <w:t xml:space="preserve">and </w:t>
      </w:r>
      <w:r w:rsidRPr="00DA392F">
        <w:rPr>
          <w:sz w:val="22"/>
          <w:szCs w:val="22"/>
        </w:rPr>
        <w:t>property status,</w:t>
      </w:r>
      <w:r>
        <w:rPr>
          <w:sz w:val="22"/>
          <w:szCs w:val="22"/>
        </w:rPr>
        <w:t xml:space="preserve"> </w:t>
      </w:r>
      <w:r w:rsidRPr="00DA392F">
        <w:rPr>
          <w:sz w:val="22"/>
          <w:szCs w:val="22"/>
        </w:rPr>
        <w:t xml:space="preserve">particularly in the following aspects of employment: </w:t>
      </w:r>
    </w:p>
    <w:p w14:paraId="32CBADC5" w14:textId="77777777" w:rsidR="005700AE" w:rsidRPr="00DA392F" w:rsidRDefault="005700AE" w:rsidP="005700AE">
      <w:pPr>
        <w:pStyle w:val="ListParagraph"/>
        <w:numPr>
          <w:ilvl w:val="2"/>
          <w:numId w:val="27"/>
        </w:numPr>
        <w:rPr>
          <w:sz w:val="22"/>
          <w:szCs w:val="22"/>
        </w:rPr>
      </w:pPr>
      <w:r w:rsidRPr="00DA392F">
        <w:rPr>
          <w:sz w:val="22"/>
          <w:szCs w:val="22"/>
        </w:rPr>
        <w:t>Employment opportunities and hiring</w:t>
      </w:r>
    </w:p>
    <w:p w14:paraId="4AD63076" w14:textId="77777777" w:rsidR="005700AE" w:rsidRPr="00DA392F" w:rsidRDefault="005700AE" w:rsidP="005700AE">
      <w:pPr>
        <w:pStyle w:val="ListParagraph"/>
        <w:numPr>
          <w:ilvl w:val="2"/>
          <w:numId w:val="27"/>
        </w:numPr>
        <w:rPr>
          <w:sz w:val="22"/>
          <w:szCs w:val="22"/>
        </w:rPr>
      </w:pPr>
      <w:r w:rsidRPr="00DA392F">
        <w:rPr>
          <w:sz w:val="22"/>
          <w:szCs w:val="22"/>
        </w:rPr>
        <w:t>Equal remuneration for work of equal value</w:t>
      </w:r>
    </w:p>
    <w:p w14:paraId="160E0D2A" w14:textId="6413D5E2" w:rsidR="005700AE" w:rsidRPr="00DA392F" w:rsidRDefault="00417DF5" w:rsidP="005700AE">
      <w:pPr>
        <w:pStyle w:val="ListParagraph"/>
        <w:numPr>
          <w:ilvl w:val="2"/>
          <w:numId w:val="27"/>
        </w:numPr>
        <w:rPr>
          <w:sz w:val="22"/>
          <w:szCs w:val="22"/>
        </w:rPr>
      </w:pPr>
      <w:r>
        <w:rPr>
          <w:sz w:val="22"/>
          <w:szCs w:val="22"/>
        </w:rPr>
        <w:t>P</w:t>
      </w:r>
      <w:r w:rsidR="005700AE" w:rsidRPr="00DA392F">
        <w:rPr>
          <w:sz w:val="22"/>
          <w:szCs w:val="22"/>
        </w:rPr>
        <w:t>romotions and demotions</w:t>
      </w:r>
    </w:p>
    <w:p w14:paraId="341BC61F" w14:textId="77777777" w:rsidR="005700AE" w:rsidRPr="00DA392F" w:rsidRDefault="005700AE" w:rsidP="005700AE">
      <w:pPr>
        <w:pStyle w:val="ListParagraph"/>
        <w:numPr>
          <w:ilvl w:val="2"/>
          <w:numId w:val="27"/>
        </w:numPr>
        <w:rPr>
          <w:sz w:val="22"/>
          <w:szCs w:val="22"/>
        </w:rPr>
      </w:pPr>
      <w:r w:rsidRPr="00DA392F">
        <w:rPr>
          <w:sz w:val="22"/>
          <w:szCs w:val="22"/>
        </w:rPr>
        <w:t xml:space="preserve">Continuance of employment or terminations  </w:t>
      </w:r>
    </w:p>
    <w:p w14:paraId="4804CC8C" w14:textId="10034DC5" w:rsidR="005700AE" w:rsidRPr="002A05AA" w:rsidRDefault="005700AE" w:rsidP="005700AE">
      <w:pPr>
        <w:pStyle w:val="ListParagraph"/>
        <w:numPr>
          <w:ilvl w:val="0"/>
          <w:numId w:val="27"/>
        </w:numPr>
        <w:rPr>
          <w:sz w:val="22"/>
          <w:szCs w:val="22"/>
        </w:rPr>
      </w:pPr>
      <w:r w:rsidRPr="00575F1A">
        <w:rPr>
          <w:sz w:val="22"/>
          <w:szCs w:val="22"/>
        </w:rPr>
        <w:t>In its list of issues, ask Panama: Can Panama demonstrate whether broad prohibitions of workplace discrimination based on race, birth, disability, social class, sex religion, and political beliefs</w:t>
      </w:r>
      <w:r>
        <w:rPr>
          <w:sz w:val="22"/>
          <w:szCs w:val="22"/>
        </w:rPr>
        <w:t xml:space="preserve"> </w:t>
      </w:r>
      <w:r w:rsidRPr="00575F1A">
        <w:rPr>
          <w:sz w:val="22"/>
          <w:szCs w:val="22"/>
        </w:rPr>
        <w:t xml:space="preserve">have been interpreted to include specific forms of discrimination that occur during </w:t>
      </w:r>
      <w:r>
        <w:rPr>
          <w:sz w:val="22"/>
          <w:szCs w:val="22"/>
        </w:rPr>
        <w:t xml:space="preserve">hiring, </w:t>
      </w:r>
      <w:r w:rsidRPr="00575F1A">
        <w:rPr>
          <w:sz w:val="22"/>
          <w:szCs w:val="22"/>
        </w:rPr>
        <w:lastRenderedPageBreak/>
        <w:t>promotions</w:t>
      </w:r>
      <w:r>
        <w:rPr>
          <w:sz w:val="22"/>
          <w:szCs w:val="22"/>
        </w:rPr>
        <w:t xml:space="preserve"> and demotions</w:t>
      </w:r>
      <w:r w:rsidRPr="00575F1A">
        <w:rPr>
          <w:sz w:val="22"/>
          <w:szCs w:val="22"/>
        </w:rPr>
        <w:t>,</w:t>
      </w:r>
      <w:r>
        <w:rPr>
          <w:sz w:val="22"/>
          <w:szCs w:val="22"/>
        </w:rPr>
        <w:t xml:space="preserve"> remuneration</w:t>
      </w:r>
      <w:r w:rsidRPr="00575F1A">
        <w:rPr>
          <w:sz w:val="22"/>
          <w:szCs w:val="22"/>
        </w:rPr>
        <w:t xml:space="preserve">, and dismissals when these explicit prohibitions are missing? </w:t>
      </w:r>
    </w:p>
    <w:p w14:paraId="123492C9" w14:textId="096D5FAF" w:rsidR="005700AE" w:rsidRPr="00F36456" w:rsidRDefault="005700AE" w:rsidP="005700AE">
      <w:pPr>
        <w:keepNext/>
        <w:keepLines/>
        <w:numPr>
          <w:ilvl w:val="0"/>
          <w:numId w:val="29"/>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39" w:name="_Toc56070610"/>
      <w:bookmarkStart w:id="40" w:name="_Toc56079793"/>
      <w:bookmarkStart w:id="41" w:name="_Hlk56078357"/>
      <w:r w:rsidRPr="00F36456">
        <w:rPr>
          <w:rFonts w:ascii="Calibri Light" w:eastAsia="Times New Roman" w:hAnsi="Calibri Light" w:cs="Times New Roman"/>
          <w:bCs/>
          <w:color w:val="2E74B5"/>
          <w:sz w:val="26"/>
          <w:szCs w:val="26"/>
        </w:rPr>
        <w:t>Free and Compulsory Education (Article 13)</w:t>
      </w:r>
      <w:bookmarkEnd w:id="39"/>
      <w:bookmarkEnd w:id="40"/>
    </w:p>
    <w:bookmarkEnd w:id="41"/>
    <w:p w14:paraId="112971C7" w14:textId="7153B49D" w:rsidR="005700AE" w:rsidRDefault="005700AE" w:rsidP="005700AE">
      <w:pPr>
        <w:rPr>
          <w:sz w:val="22"/>
          <w:szCs w:val="22"/>
        </w:rPr>
      </w:pPr>
      <w:r w:rsidRPr="005700AE">
        <w:rPr>
          <w:sz w:val="22"/>
          <w:szCs w:val="22"/>
        </w:rPr>
        <w:t xml:space="preserve">Panama guarantees 11 years of free and compulsory education, covering primary education and lower secondary education. </w:t>
      </w:r>
      <w:r>
        <w:rPr>
          <w:sz w:val="22"/>
          <w:szCs w:val="22"/>
        </w:rPr>
        <w:t>Legislation</w:t>
      </w:r>
      <w:r w:rsidRPr="005700AE">
        <w:rPr>
          <w:sz w:val="22"/>
          <w:szCs w:val="22"/>
        </w:rPr>
        <w:t xml:space="preserve"> further specifies that upper secondary, although not compulsory, is provided free to all students. Despite these legislative guarantees, 2017 data from the UNESCO Institute for Statistics estimates that approximately 13% of </w:t>
      </w:r>
      <w:r w:rsidR="00A74CAB">
        <w:rPr>
          <w:sz w:val="22"/>
          <w:szCs w:val="22"/>
        </w:rPr>
        <w:t xml:space="preserve">both </w:t>
      </w:r>
      <w:r w:rsidRPr="005700AE">
        <w:rPr>
          <w:sz w:val="22"/>
          <w:szCs w:val="22"/>
        </w:rPr>
        <w:t xml:space="preserve">primary school age children and lower secondary age adolescents are not enrolled in school.    </w:t>
      </w:r>
    </w:p>
    <w:p w14:paraId="3054892C" w14:textId="77777777" w:rsidR="005700AE" w:rsidRPr="00CB2463" w:rsidRDefault="005700AE" w:rsidP="005700AE">
      <w:pPr>
        <w:rPr>
          <w:b/>
          <w:sz w:val="22"/>
          <w:szCs w:val="32"/>
        </w:rPr>
      </w:pPr>
      <w:r w:rsidRPr="00CB2463">
        <w:rPr>
          <w:b/>
          <w:sz w:val="22"/>
          <w:szCs w:val="32"/>
        </w:rPr>
        <w:t xml:space="preserve">We hope the Committee will: </w:t>
      </w:r>
    </w:p>
    <w:p w14:paraId="361F3061" w14:textId="77777777" w:rsidR="005700AE" w:rsidRPr="00CB2463" w:rsidRDefault="005700AE" w:rsidP="005700AE">
      <w:pPr>
        <w:pStyle w:val="ListParagraph"/>
        <w:numPr>
          <w:ilvl w:val="0"/>
          <w:numId w:val="30"/>
        </w:numPr>
        <w:rPr>
          <w:sz w:val="22"/>
          <w:szCs w:val="22"/>
        </w:rPr>
      </w:pPr>
      <w:r w:rsidRPr="00CB2463">
        <w:rPr>
          <w:sz w:val="22"/>
          <w:szCs w:val="22"/>
        </w:rPr>
        <w:t>In its list of issues, ask Panama: Can Panama demonstrate how legal guarantees of free and compulsory primary and lower secondary education are being implemented equally for all children?  What are the obstacles faced by children who remain out of school?</w:t>
      </w:r>
    </w:p>
    <w:p w14:paraId="658FD972" w14:textId="29F84E9B" w:rsidR="005700AE" w:rsidRPr="00F36456" w:rsidRDefault="005700AE" w:rsidP="005700AE">
      <w:pPr>
        <w:pStyle w:val="ListParagraph"/>
        <w:numPr>
          <w:ilvl w:val="1"/>
          <w:numId w:val="30"/>
        </w:numPr>
        <w:rPr>
          <w:rFonts w:eastAsia="Times New Roman" w:cstheme="minorHAnsi"/>
          <w:b/>
          <w:color w:val="000000"/>
          <w:sz w:val="22"/>
          <w:szCs w:val="22"/>
        </w:rPr>
      </w:pPr>
      <w:r w:rsidRPr="00CB2463">
        <w:rPr>
          <w:sz w:val="22"/>
          <w:szCs w:val="22"/>
        </w:rPr>
        <w:t xml:space="preserve">Where Panama has not been able to equally implement these guarantees to free and compulsory primary and lower secondary education for all children, recommend in its concluding observations approaches to advancing these educational guarantees fully and effectively. </w:t>
      </w:r>
    </w:p>
    <w:p w14:paraId="35EC69D9" w14:textId="77777777" w:rsidR="00F36456" w:rsidRPr="00CB2463" w:rsidRDefault="00F36456" w:rsidP="00F36456">
      <w:pPr>
        <w:pStyle w:val="ListParagraph"/>
        <w:ind w:left="1440"/>
        <w:rPr>
          <w:rFonts w:eastAsia="Times New Roman" w:cstheme="minorHAnsi"/>
          <w:b/>
          <w:color w:val="000000"/>
          <w:sz w:val="22"/>
          <w:szCs w:val="22"/>
        </w:rPr>
      </w:pPr>
    </w:p>
    <w:p w14:paraId="6D7A52BB" w14:textId="76BA6C55" w:rsidR="0086577C" w:rsidRPr="0086577C" w:rsidRDefault="0086577C" w:rsidP="0086577C">
      <w:pPr>
        <w:pStyle w:val="ListParagraph"/>
        <w:keepNext/>
        <w:keepLines/>
        <w:numPr>
          <w:ilvl w:val="0"/>
          <w:numId w:val="29"/>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r w:rsidRPr="0086577C">
        <w:rPr>
          <w:rFonts w:ascii="Calibri Light" w:eastAsia="Times New Roman" w:hAnsi="Calibri Light" w:cs="Times New Roman"/>
          <w:bCs/>
          <w:color w:val="2E74B5"/>
          <w:sz w:val="26"/>
          <w:szCs w:val="26"/>
        </w:rPr>
        <w:t>Child Labor (Article 10, General Comment No. 18)</w:t>
      </w:r>
    </w:p>
    <w:p w14:paraId="67B05495" w14:textId="27C9ADE9" w:rsidR="00F36456" w:rsidRDefault="00F36456" w:rsidP="000759D5">
      <w:pPr>
        <w:spacing w:after="0"/>
        <w:rPr>
          <w:sz w:val="22"/>
          <w:szCs w:val="22"/>
        </w:rPr>
      </w:pPr>
      <w:r w:rsidRPr="00E46C5C">
        <w:rPr>
          <w:sz w:val="22"/>
          <w:szCs w:val="22"/>
        </w:rPr>
        <w:t>Panama</w:t>
      </w:r>
      <w:r>
        <w:rPr>
          <w:sz w:val="22"/>
          <w:szCs w:val="22"/>
        </w:rPr>
        <w:t xml:space="preserve">’s legislation </w:t>
      </w:r>
      <w:r w:rsidRPr="00E46C5C">
        <w:rPr>
          <w:sz w:val="22"/>
          <w:szCs w:val="22"/>
        </w:rPr>
        <w:t xml:space="preserve">prohibits children under the age of 18 from being employed in hazardous work. However, </w:t>
      </w:r>
      <w:r>
        <w:rPr>
          <w:sz w:val="22"/>
          <w:szCs w:val="22"/>
        </w:rPr>
        <w:t>laws</w:t>
      </w:r>
      <w:r w:rsidRPr="00E46C5C">
        <w:rPr>
          <w:sz w:val="22"/>
          <w:szCs w:val="22"/>
        </w:rPr>
        <w:t xml:space="preserve"> permit children </w:t>
      </w:r>
      <w:r>
        <w:rPr>
          <w:sz w:val="22"/>
          <w:szCs w:val="22"/>
        </w:rPr>
        <w:t xml:space="preserve">to work in non-hazardous work at the age of 14 if they have completed primary education. </w:t>
      </w:r>
    </w:p>
    <w:p w14:paraId="4EF73B34" w14:textId="5AB8713E" w:rsidR="000705C1" w:rsidRPr="001C3CE2" w:rsidRDefault="000705C1" w:rsidP="001C3CE2">
      <w:pPr>
        <w:pStyle w:val="ListParagraph"/>
        <w:numPr>
          <w:ilvl w:val="0"/>
          <w:numId w:val="30"/>
        </w:numPr>
        <w:rPr>
          <w:sz w:val="22"/>
          <w:szCs w:val="22"/>
        </w:rPr>
      </w:pPr>
      <w:r w:rsidRPr="001C3CE2">
        <w:rPr>
          <w:sz w:val="22"/>
          <w:szCs w:val="22"/>
        </w:rPr>
        <w:t>In its list of issues, ask</w:t>
      </w:r>
      <w:r w:rsidRPr="001C3CE2">
        <w:rPr>
          <w:color w:val="000000" w:themeColor="text1"/>
          <w:sz w:val="22"/>
          <w:szCs w:val="22"/>
        </w:rPr>
        <w:t xml:space="preserve"> Panama</w:t>
      </w:r>
      <w:r w:rsidRPr="001C3CE2">
        <w:rPr>
          <w:sz w:val="22"/>
          <w:szCs w:val="22"/>
        </w:rPr>
        <w:t>: Can Panama</w:t>
      </w:r>
      <w:r w:rsidRPr="001C3CE2">
        <w:rPr>
          <w:color w:val="000000" w:themeColor="text1"/>
          <w:sz w:val="22"/>
          <w:szCs w:val="22"/>
        </w:rPr>
        <w:t xml:space="preserve"> </w:t>
      </w:r>
      <w:r w:rsidRPr="001C3CE2">
        <w:rPr>
          <w:sz w:val="22"/>
          <w:szCs w:val="22"/>
        </w:rPr>
        <w:t>outline any concrete, near-term plans to pass legislation that raises the minimum age for admission to employment to</w:t>
      </w:r>
      <w:r w:rsidR="002E6A4F">
        <w:rPr>
          <w:sz w:val="22"/>
          <w:szCs w:val="22"/>
        </w:rPr>
        <w:t xml:space="preserve"> at least</w:t>
      </w:r>
      <w:r w:rsidRPr="001C3CE2">
        <w:rPr>
          <w:sz w:val="22"/>
          <w:szCs w:val="22"/>
        </w:rPr>
        <w:t xml:space="preserve"> 16 years</w:t>
      </w:r>
      <w:r w:rsidR="001C3CE2" w:rsidRPr="001C3CE2">
        <w:rPr>
          <w:sz w:val="22"/>
          <w:szCs w:val="22"/>
        </w:rPr>
        <w:t>?</w:t>
      </w:r>
      <w:r w:rsidRPr="001C3CE2">
        <w:rPr>
          <w:sz w:val="22"/>
          <w:szCs w:val="22"/>
        </w:rPr>
        <w:t xml:space="preserve"> </w:t>
      </w:r>
    </w:p>
    <w:p w14:paraId="2A463238" w14:textId="1E61626C" w:rsidR="000759D5" w:rsidRDefault="000705C1" w:rsidP="002A05AA">
      <w:pPr>
        <w:pStyle w:val="ListParagraph"/>
        <w:numPr>
          <w:ilvl w:val="1"/>
          <w:numId w:val="30"/>
        </w:numPr>
        <w:rPr>
          <w:sz w:val="22"/>
          <w:szCs w:val="22"/>
        </w:rPr>
      </w:pPr>
      <w:r w:rsidRPr="001C3CE2">
        <w:rPr>
          <w:sz w:val="22"/>
          <w:szCs w:val="22"/>
        </w:rPr>
        <w:t xml:space="preserve">If </w:t>
      </w:r>
      <w:r w:rsidRPr="001C3CE2">
        <w:rPr>
          <w:color w:val="000000" w:themeColor="text1"/>
          <w:sz w:val="22"/>
          <w:szCs w:val="22"/>
        </w:rPr>
        <w:t xml:space="preserve">Panama </w:t>
      </w:r>
      <w:r w:rsidRPr="001C3CE2">
        <w:rPr>
          <w:sz w:val="22"/>
          <w:szCs w:val="22"/>
        </w:rPr>
        <w:t xml:space="preserve">does not have concrete, near-term plans in place, recommend in its concluding observations that Panama pass and implement legislation that raises the minimum age for admission to employment to </w:t>
      </w:r>
      <w:r w:rsidR="002E6A4F">
        <w:rPr>
          <w:sz w:val="22"/>
          <w:szCs w:val="22"/>
        </w:rPr>
        <w:t xml:space="preserve">at least </w:t>
      </w:r>
      <w:r w:rsidRPr="001C3CE2">
        <w:rPr>
          <w:sz w:val="22"/>
          <w:szCs w:val="22"/>
        </w:rPr>
        <w:t>16 years</w:t>
      </w:r>
      <w:r w:rsidR="001C3CE2" w:rsidRPr="001C3CE2">
        <w:rPr>
          <w:sz w:val="22"/>
          <w:szCs w:val="22"/>
        </w:rPr>
        <w:t>, consistent with commitments from Article 10 of the Covenant and General Comment No. 18</w:t>
      </w:r>
      <w:r w:rsidR="002E6A4F">
        <w:rPr>
          <w:sz w:val="22"/>
          <w:szCs w:val="22"/>
        </w:rPr>
        <w:t>.</w:t>
      </w:r>
    </w:p>
    <w:p w14:paraId="19097D9D" w14:textId="77777777" w:rsidR="002A05AA" w:rsidRDefault="002A05AA" w:rsidP="002A05AA">
      <w:pPr>
        <w:rPr>
          <w:sz w:val="22"/>
          <w:szCs w:val="22"/>
        </w:rPr>
      </w:pPr>
    </w:p>
    <w:p w14:paraId="37DC8876" w14:textId="77777777" w:rsidR="002A05AA" w:rsidRDefault="002A05AA" w:rsidP="002A05AA">
      <w:pPr>
        <w:rPr>
          <w:sz w:val="22"/>
          <w:szCs w:val="22"/>
        </w:rPr>
      </w:pPr>
    </w:p>
    <w:p w14:paraId="4F3ECB76" w14:textId="77777777" w:rsidR="002A05AA" w:rsidRDefault="002A05AA" w:rsidP="002A05AA">
      <w:pPr>
        <w:rPr>
          <w:sz w:val="22"/>
          <w:szCs w:val="22"/>
        </w:rPr>
      </w:pPr>
    </w:p>
    <w:p w14:paraId="2B01D35F" w14:textId="77777777" w:rsidR="002A05AA" w:rsidRDefault="002A05AA" w:rsidP="002A05AA">
      <w:pPr>
        <w:rPr>
          <w:sz w:val="22"/>
          <w:szCs w:val="22"/>
        </w:rPr>
      </w:pPr>
    </w:p>
    <w:p w14:paraId="0016B5F0" w14:textId="77777777" w:rsidR="002A05AA" w:rsidRDefault="002A05AA" w:rsidP="002A05AA">
      <w:pPr>
        <w:rPr>
          <w:sz w:val="22"/>
          <w:szCs w:val="22"/>
        </w:rPr>
      </w:pPr>
    </w:p>
    <w:p w14:paraId="024E642D" w14:textId="77777777" w:rsidR="002A05AA" w:rsidRPr="002A05AA" w:rsidRDefault="002A05AA" w:rsidP="002A05AA">
      <w:pPr>
        <w:rPr>
          <w:sz w:val="22"/>
          <w:szCs w:val="22"/>
        </w:rPr>
      </w:pPr>
    </w:p>
    <w:p w14:paraId="74FCD689" w14:textId="1CD30C65" w:rsidR="00902A1E" w:rsidRDefault="00902A1E" w:rsidP="00902A1E">
      <w:pPr>
        <w:pStyle w:val="Heading1"/>
        <w:rPr>
          <w:rFonts w:eastAsia="Times New Roman"/>
          <w:b/>
          <w:bCs/>
        </w:rPr>
      </w:pPr>
      <w:bookmarkStart w:id="42" w:name="_Toc56079795"/>
      <w:r w:rsidRPr="00EC4AA3">
        <w:rPr>
          <w:rFonts w:eastAsia="Times New Roman"/>
          <w:b/>
          <w:bCs/>
        </w:rPr>
        <w:lastRenderedPageBreak/>
        <w:t xml:space="preserve">Detail of Constitutional and </w:t>
      </w:r>
      <w:r w:rsidRPr="00EC4AA3">
        <w:rPr>
          <w:b/>
          <w:bCs/>
        </w:rPr>
        <w:t>Legislative</w:t>
      </w:r>
      <w:r w:rsidRPr="00EC4AA3">
        <w:rPr>
          <w:rFonts w:eastAsia="Times New Roman"/>
          <w:b/>
          <w:bCs/>
        </w:rPr>
        <w:t xml:space="preserve"> Findings</w:t>
      </w:r>
      <w:bookmarkEnd w:id="42"/>
    </w:p>
    <w:p w14:paraId="22BF4899" w14:textId="77777777" w:rsidR="00902A1E" w:rsidRPr="00621EA9" w:rsidRDefault="00902A1E" w:rsidP="00902A1E">
      <w:pPr>
        <w:pStyle w:val="NoSpacing"/>
      </w:pPr>
    </w:p>
    <w:p w14:paraId="1F50CEC1" w14:textId="7347E9E0" w:rsidR="00902A1E" w:rsidRPr="00C230D0" w:rsidRDefault="00902A1E" w:rsidP="00C230D0">
      <w:pPr>
        <w:pStyle w:val="ListParagraph"/>
        <w:keepNext/>
        <w:keepLines/>
        <w:numPr>
          <w:ilvl w:val="0"/>
          <w:numId w:val="33"/>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43" w:name="_Toc56079796"/>
      <w:r w:rsidRPr="00C230D0">
        <w:rPr>
          <w:rFonts w:ascii="Calibri Light" w:eastAsia="Times New Roman" w:hAnsi="Calibri Light" w:cs="Times New Roman"/>
          <w:bCs/>
          <w:color w:val="2E74B5"/>
          <w:sz w:val="26"/>
          <w:szCs w:val="26"/>
        </w:rPr>
        <w:t>Equality and Non-Discrimination (Articles 2, General Comment No. 5)</w:t>
      </w:r>
      <w:bookmarkEnd w:id="43"/>
    </w:p>
    <w:p w14:paraId="7A188C4A" w14:textId="77777777" w:rsidR="00902A1E" w:rsidRPr="00CB2463" w:rsidRDefault="00902A1E" w:rsidP="00902A1E">
      <w:pPr>
        <w:rPr>
          <w:sz w:val="22"/>
          <w:szCs w:val="22"/>
        </w:rPr>
      </w:pPr>
      <w:r w:rsidRPr="00CB2463">
        <w:rPr>
          <w:sz w:val="22"/>
          <w:szCs w:val="22"/>
        </w:rPr>
        <w:t>Article 2 (2) of The Covenant states that:</w:t>
      </w:r>
    </w:p>
    <w:p w14:paraId="1ACAEC58" w14:textId="77777777" w:rsidR="00902A1E" w:rsidRPr="00CB2463" w:rsidRDefault="00902A1E" w:rsidP="00902A1E">
      <w:pPr>
        <w:ind w:left="720"/>
        <w:rPr>
          <w:i/>
          <w:sz w:val="22"/>
          <w:szCs w:val="22"/>
        </w:rPr>
      </w:pPr>
      <w:r w:rsidRPr="00CB2463">
        <w:rPr>
          <w:i/>
          <w:sz w:val="22"/>
          <w:szCs w:val="22"/>
        </w:rPr>
        <w:t>The States Parties to the present Covenant undertake to guarantee that the rights enunciated in the present Covenant will be exercised without discrimination of any kind as to race, colour, sex, language, religion, political or other opinion, national or social origin, property, birth or other status.</w:t>
      </w:r>
    </w:p>
    <w:p w14:paraId="75D9B060" w14:textId="77777777" w:rsidR="00902A1E" w:rsidRPr="00CB2463" w:rsidRDefault="00902A1E" w:rsidP="00902A1E">
      <w:pPr>
        <w:rPr>
          <w:sz w:val="22"/>
          <w:szCs w:val="22"/>
        </w:rPr>
      </w:pPr>
      <w:r w:rsidRPr="00CB2463">
        <w:rPr>
          <w:sz w:val="22"/>
          <w:szCs w:val="22"/>
        </w:rPr>
        <w:t xml:space="preserve">Furthermore, General Comment No. 5, explicitly addresses non-discrimination of persons with disabilities by stating: </w:t>
      </w:r>
    </w:p>
    <w:p w14:paraId="3B504CDC" w14:textId="77777777" w:rsidR="00902A1E" w:rsidRPr="00CB2463" w:rsidRDefault="00902A1E" w:rsidP="00902A1E">
      <w:pPr>
        <w:ind w:left="720"/>
        <w:rPr>
          <w:i/>
          <w:sz w:val="22"/>
          <w:szCs w:val="22"/>
        </w:rPr>
      </w:pPr>
      <w:r w:rsidRPr="00CB2463">
        <w:rPr>
          <w:i/>
          <w:sz w:val="22"/>
          <w:szCs w:val="22"/>
        </w:rPr>
        <w:t>[…] the requirement contained in article 2 (2) of the Covenant that the rights “enunciated ... will be exercised without discrimination of any kind” based on certain specified grounds “or other status” clearly applies to discrimination on the grounds of disability.</w:t>
      </w:r>
    </w:p>
    <w:p w14:paraId="12A162AD" w14:textId="77777777" w:rsidR="00902A1E" w:rsidRPr="00CB2463" w:rsidRDefault="00902A1E" w:rsidP="00902A1E">
      <w:pPr>
        <w:rPr>
          <w:color w:val="3405DF"/>
          <w:sz w:val="22"/>
          <w:szCs w:val="22"/>
        </w:rPr>
      </w:pPr>
      <w:r w:rsidRPr="00CB2463">
        <w:rPr>
          <w:sz w:val="22"/>
          <w:szCs w:val="22"/>
        </w:rPr>
        <w:t>Constitutions state the values of a country,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 as the foundational document setting out the rights of all human beings in a country, a constitution and the rights contained therein are essential to realizing equal rights.</w:t>
      </w:r>
    </w:p>
    <w:p w14:paraId="545336A7" w14:textId="61738F17" w:rsidR="00902A1E" w:rsidRDefault="00902A1E" w:rsidP="00902A1E">
      <w:pPr>
        <w:rPr>
          <w:sz w:val="22"/>
          <w:szCs w:val="22"/>
        </w:rPr>
      </w:pPr>
      <w:r w:rsidRPr="00CB2463">
        <w:rPr>
          <w:sz w:val="22"/>
          <w:szCs w:val="22"/>
        </w:rPr>
        <w:t xml:space="preserve">We reviewed full text constitutions for all 193 UN member states available from official government sources to determine whether the constitution took any approach to equality across the grounds listed in Article 2.2 and General Comment No. 5 of the </w:t>
      </w:r>
      <w:r>
        <w:rPr>
          <w:sz w:val="22"/>
          <w:szCs w:val="22"/>
        </w:rPr>
        <w:t>Covenant</w:t>
      </w:r>
      <w:r w:rsidRPr="00CB2463">
        <w:rPr>
          <w:sz w:val="22"/>
          <w:szCs w:val="22"/>
        </w:rPr>
        <w:t xml:space="preserve"> by prohibiting discrimination based on each specific status, guaranteeing equal rights, guaranteeing equality before the law, or guaranteeing overall equality or equal opportunities. </w:t>
      </w:r>
    </w:p>
    <w:p w14:paraId="17647A2A" w14:textId="3F3198BC" w:rsidR="00902A1E" w:rsidRPr="00CB2463" w:rsidRDefault="00902A1E" w:rsidP="00902A1E">
      <w:pPr>
        <w:keepNext/>
        <w:keepLines/>
        <w:spacing w:before="40" w:afterLines="100" w:after="240"/>
        <w:outlineLvl w:val="3"/>
        <w:rPr>
          <w:rFonts w:ascii="Calibri Light" w:eastAsia="Times New Roman" w:hAnsi="Calibri Light" w:cs="Times New Roman"/>
          <w:i/>
          <w:iCs/>
          <w:color w:val="2E74B5"/>
          <w:sz w:val="22"/>
          <w:szCs w:val="22"/>
        </w:rPr>
      </w:pPr>
      <w:r w:rsidRPr="00CB2463">
        <w:rPr>
          <w:rFonts w:ascii="Calibri Light" w:eastAsia="Times New Roman" w:hAnsi="Calibri Light" w:cs="Times New Roman"/>
          <w:i/>
          <w:iCs/>
          <w:color w:val="2E74B5"/>
          <w:sz w:val="22"/>
          <w:szCs w:val="22"/>
        </w:rPr>
        <w:t xml:space="preserve">PANAMA’S </w:t>
      </w:r>
      <w:r w:rsidR="00F965EA">
        <w:rPr>
          <w:rFonts w:ascii="Calibri Light" w:eastAsia="Times New Roman" w:hAnsi="Calibri Light" w:cs="Times New Roman"/>
          <w:i/>
          <w:iCs/>
          <w:color w:val="2E74B5"/>
          <w:sz w:val="22"/>
          <w:szCs w:val="22"/>
        </w:rPr>
        <w:t>CONSTITUTIONAL</w:t>
      </w:r>
      <w:r w:rsidRPr="005E4090">
        <w:rPr>
          <w:rFonts w:ascii="Calibri Light" w:eastAsia="Times New Roman" w:hAnsi="Calibri Light" w:cs="Times New Roman"/>
          <w:i/>
          <w:iCs/>
          <w:color w:val="2E74B5"/>
          <w:sz w:val="22"/>
          <w:szCs w:val="22"/>
        </w:rPr>
        <w:t xml:space="preserve"> PROV</w:t>
      </w:r>
      <w:r w:rsidR="004C1E9F">
        <w:rPr>
          <w:rFonts w:ascii="Calibri Light" w:eastAsia="Times New Roman" w:hAnsi="Calibri Light" w:cs="Times New Roman"/>
          <w:i/>
          <w:iCs/>
          <w:color w:val="2E74B5"/>
          <w:sz w:val="22"/>
          <w:szCs w:val="22"/>
        </w:rPr>
        <w:t>I</w:t>
      </w:r>
      <w:r w:rsidRPr="005E4090">
        <w:rPr>
          <w:rFonts w:ascii="Calibri Light" w:eastAsia="Times New Roman" w:hAnsi="Calibri Light" w:cs="Times New Roman"/>
          <w:i/>
          <w:iCs/>
          <w:color w:val="2E74B5"/>
          <w:sz w:val="22"/>
          <w:szCs w:val="22"/>
        </w:rPr>
        <w:t xml:space="preserve">SIONS: </w:t>
      </w:r>
      <w:r>
        <w:rPr>
          <w:rFonts w:ascii="Calibri Light" w:eastAsia="Times New Roman" w:hAnsi="Calibri Light" w:cs="Times New Roman"/>
          <w:i/>
          <w:iCs/>
          <w:color w:val="2E74B5"/>
          <w:sz w:val="22"/>
          <w:szCs w:val="22"/>
        </w:rPr>
        <w:t>MISSING EXPLICIT GUARANTEES OF EQUALITY AND NON-DISCRIMINATION</w:t>
      </w:r>
    </w:p>
    <w:p w14:paraId="04AF5A67" w14:textId="70313EA7" w:rsidR="00902A1E" w:rsidRPr="00CB2463" w:rsidRDefault="00902A1E" w:rsidP="00902A1E">
      <w:pPr>
        <w:rPr>
          <w:sz w:val="22"/>
          <w:szCs w:val="22"/>
        </w:rPr>
      </w:pPr>
      <w:bookmarkStart w:id="44" w:name="_Hlk55494170"/>
      <w:r w:rsidRPr="00CB2463">
        <w:rPr>
          <w:sz w:val="22"/>
          <w:szCs w:val="22"/>
        </w:rPr>
        <w:t xml:space="preserve">Article 19 of Panama’s constitution prohibits all forms of discrimination based on race, birth, disability, social class, sex, religion, and political beliefs. However, other characteristics protected by Article 2 and General Comment No. 5 of </w:t>
      </w:r>
      <w:r w:rsidR="00081AE8">
        <w:rPr>
          <w:sz w:val="22"/>
          <w:szCs w:val="22"/>
        </w:rPr>
        <w:t>the Covenant a</w:t>
      </w:r>
      <w:r w:rsidRPr="00CB2463">
        <w:rPr>
          <w:sz w:val="22"/>
          <w:szCs w:val="22"/>
        </w:rPr>
        <w:t xml:space="preserve">re not guaranteed equal rights in Panama’s constitution, including persons facing discrimination based on </w:t>
      </w:r>
      <w:r w:rsidRPr="005700AE">
        <w:rPr>
          <w:b/>
          <w:sz w:val="22"/>
          <w:szCs w:val="22"/>
        </w:rPr>
        <w:t xml:space="preserve">language, national origin, or property status. </w:t>
      </w:r>
    </w:p>
    <w:bookmarkEnd w:id="44"/>
    <w:p w14:paraId="562BDD49" w14:textId="77777777" w:rsidR="00902A1E" w:rsidRDefault="00902A1E" w:rsidP="00902A1E">
      <w:pPr>
        <w:ind w:left="720"/>
        <w:rPr>
          <w:i/>
          <w:iCs/>
          <w:sz w:val="22"/>
          <w:szCs w:val="22"/>
          <w:lang w:val="es-SV"/>
        </w:rPr>
      </w:pPr>
      <w:r w:rsidRPr="00CB2463">
        <w:rPr>
          <w:i/>
          <w:iCs/>
          <w:sz w:val="22"/>
          <w:szCs w:val="22"/>
          <w:lang w:val="es-SV"/>
        </w:rPr>
        <w:t>Articulo 19.  No abra fueros o privilegios ni discriminacion por razon de raza, nacimiento, discapacidad, clase social, sexo, religion o ideas politicas.</w:t>
      </w:r>
    </w:p>
    <w:p w14:paraId="6BD51860" w14:textId="77777777" w:rsidR="00902A1E" w:rsidRPr="005700AE" w:rsidRDefault="00902A1E" w:rsidP="00902A1E">
      <w:pPr>
        <w:pStyle w:val="NoSpacing"/>
        <w:rPr>
          <w:lang w:val="es-SV"/>
        </w:rPr>
      </w:pPr>
    </w:p>
    <w:p w14:paraId="6915196D" w14:textId="45D9F6E0" w:rsidR="00902A1E" w:rsidRPr="00C230D0" w:rsidRDefault="00902A1E" w:rsidP="00C230D0">
      <w:pPr>
        <w:pStyle w:val="ListParagraph"/>
        <w:keepNext/>
        <w:keepLines/>
        <w:numPr>
          <w:ilvl w:val="0"/>
          <w:numId w:val="33"/>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45" w:name="_Toc56079797"/>
      <w:r w:rsidRPr="00C230D0">
        <w:rPr>
          <w:rFonts w:ascii="Calibri Light" w:eastAsia="Times New Roman" w:hAnsi="Calibri Light" w:cs="Times New Roman"/>
          <w:bCs/>
          <w:color w:val="2E74B5"/>
          <w:sz w:val="26"/>
          <w:szCs w:val="26"/>
        </w:rPr>
        <w:lastRenderedPageBreak/>
        <w:t>Non-Discrimination in Work and Employment (Article 7)</w:t>
      </w:r>
      <w:bookmarkEnd w:id="45"/>
    </w:p>
    <w:p w14:paraId="697D62DB" w14:textId="77777777" w:rsidR="00902A1E" w:rsidRPr="00CB2463" w:rsidRDefault="00902A1E" w:rsidP="00902A1E">
      <w:pPr>
        <w:rPr>
          <w:sz w:val="22"/>
          <w:szCs w:val="22"/>
        </w:rPr>
      </w:pPr>
      <w:r w:rsidRPr="00CB2463">
        <w:rPr>
          <w:sz w:val="22"/>
          <w:szCs w:val="22"/>
        </w:rPr>
        <w:t xml:space="preserve">In addition to Article 2(2) and General Comment No. 5 of the Covenant which guarantees equal rights regardless of race, colour, sex, language, religion, political or other opinion, national or social origin, property, birth or other status, and disability status, Article 7 of the Covenant outlines a number of specific measures States Parties shall undertake in order to eliminate discrimination in the field of employment:  </w:t>
      </w:r>
    </w:p>
    <w:p w14:paraId="0A4659DB" w14:textId="77777777" w:rsidR="00902A1E" w:rsidRPr="00CB2463" w:rsidRDefault="00902A1E" w:rsidP="00902A1E">
      <w:pPr>
        <w:ind w:left="720"/>
        <w:rPr>
          <w:i/>
          <w:iCs/>
          <w:sz w:val="22"/>
          <w:szCs w:val="22"/>
        </w:rPr>
      </w:pPr>
      <w:r w:rsidRPr="00CB2463">
        <w:rPr>
          <w:i/>
          <w:iCs/>
          <w:sz w:val="22"/>
          <w:szCs w:val="22"/>
        </w:rPr>
        <w:t>The States Parties to the present Covenant recognize the right of everyone to the enjoyment of just and favourable conditions of work which ensure, in particular:</w:t>
      </w:r>
    </w:p>
    <w:p w14:paraId="47F1E86C" w14:textId="77777777" w:rsidR="00902A1E" w:rsidRPr="00CB2463" w:rsidRDefault="00902A1E" w:rsidP="00902A1E">
      <w:pPr>
        <w:ind w:left="720"/>
        <w:rPr>
          <w:i/>
          <w:iCs/>
          <w:sz w:val="22"/>
          <w:szCs w:val="22"/>
        </w:rPr>
      </w:pPr>
      <w:r w:rsidRPr="00CB2463">
        <w:rPr>
          <w:i/>
          <w:iCs/>
          <w:sz w:val="22"/>
          <w:szCs w:val="22"/>
        </w:rPr>
        <w:t>(a) Remuneration which provides all workers, as a minimum, with:</w:t>
      </w:r>
    </w:p>
    <w:p w14:paraId="266E441D" w14:textId="77777777" w:rsidR="00902A1E" w:rsidRPr="00CB2463" w:rsidRDefault="00902A1E" w:rsidP="00902A1E">
      <w:pPr>
        <w:ind w:left="720"/>
        <w:rPr>
          <w:i/>
          <w:iCs/>
          <w:sz w:val="22"/>
          <w:szCs w:val="22"/>
        </w:rPr>
      </w:pPr>
      <w:r w:rsidRPr="00CB2463">
        <w:rPr>
          <w:i/>
          <w:iCs/>
          <w:sz w:val="22"/>
          <w:szCs w:val="22"/>
        </w:rPr>
        <w:t>(i) Fair wages and equal remuneration for work of equal value without distinction of any kind, in particular women being guaranteed conditions of work not inferior to those enjoyed by men, with equal pay for equal work;</w:t>
      </w:r>
    </w:p>
    <w:p w14:paraId="6F37CDF2" w14:textId="77777777" w:rsidR="00902A1E" w:rsidRPr="00CB2463" w:rsidRDefault="00902A1E" w:rsidP="00902A1E">
      <w:pPr>
        <w:ind w:left="720"/>
        <w:rPr>
          <w:i/>
          <w:iCs/>
          <w:sz w:val="22"/>
          <w:szCs w:val="22"/>
        </w:rPr>
      </w:pPr>
      <w:r w:rsidRPr="00CB2463">
        <w:rPr>
          <w:i/>
          <w:iCs/>
          <w:sz w:val="22"/>
          <w:szCs w:val="22"/>
        </w:rPr>
        <w:t>(ii) A decent living for themselves and their families in accordance with the provisions of the present Covenant;</w:t>
      </w:r>
    </w:p>
    <w:p w14:paraId="4AE4ACB5" w14:textId="77777777" w:rsidR="00902A1E" w:rsidRPr="00CB2463" w:rsidRDefault="00902A1E" w:rsidP="00902A1E">
      <w:pPr>
        <w:ind w:left="720"/>
        <w:rPr>
          <w:sz w:val="22"/>
          <w:szCs w:val="22"/>
        </w:rPr>
      </w:pPr>
      <w:r w:rsidRPr="00CB2463">
        <w:rPr>
          <w:i/>
          <w:iCs/>
          <w:sz w:val="22"/>
          <w:szCs w:val="22"/>
          <w:shd w:val="clear" w:color="auto" w:fill="FFFFFF"/>
        </w:rPr>
        <w:t>(b) Safe and healthy working conditions;</w:t>
      </w:r>
      <w:r w:rsidRPr="00CB2463">
        <w:rPr>
          <w:i/>
          <w:iCs/>
          <w:sz w:val="22"/>
          <w:szCs w:val="22"/>
        </w:rPr>
        <w:t>(c) Equal opportunity for everyone to be promoted in his employment to an appropriate higher level, subject to no considerations other than those of seniority and competence;</w:t>
      </w:r>
    </w:p>
    <w:p w14:paraId="41C275E5" w14:textId="77147105" w:rsidR="00902A1E" w:rsidRPr="00CB2463" w:rsidRDefault="00902A1E" w:rsidP="00902A1E">
      <w:pPr>
        <w:rPr>
          <w:sz w:val="22"/>
          <w:szCs w:val="22"/>
        </w:rPr>
      </w:pPr>
      <w:r w:rsidRPr="00CB2463">
        <w:rPr>
          <w:sz w:val="22"/>
          <w:szCs w:val="22"/>
        </w:rPr>
        <w:t xml:space="preserve">We systematically reviewed national labor codes, penal codes, equal opportunity, anti-discrimination legislation and other relevant legislation available through the International Labour Organization’s NATLEX database for all 193 UN member states to determine whether national legislation prohibited discrimination in employment across four areas covered by the </w:t>
      </w:r>
      <w:r>
        <w:rPr>
          <w:sz w:val="22"/>
          <w:szCs w:val="22"/>
        </w:rPr>
        <w:t>Covenant</w:t>
      </w:r>
      <w:r w:rsidRPr="00CB2463">
        <w:rPr>
          <w:sz w:val="22"/>
          <w:szCs w:val="22"/>
        </w:rPr>
        <w:t xml:space="preserve">: </w:t>
      </w:r>
    </w:p>
    <w:p w14:paraId="5C31995F" w14:textId="77777777" w:rsidR="00902A1E" w:rsidRPr="00CB2463" w:rsidRDefault="00902A1E" w:rsidP="00A74CAB">
      <w:pPr>
        <w:pStyle w:val="ListParagraph"/>
        <w:numPr>
          <w:ilvl w:val="0"/>
          <w:numId w:val="32"/>
        </w:numPr>
        <w:rPr>
          <w:sz w:val="22"/>
          <w:szCs w:val="22"/>
        </w:rPr>
      </w:pPr>
      <w:r w:rsidRPr="00CB2463">
        <w:rPr>
          <w:sz w:val="22"/>
          <w:szCs w:val="22"/>
        </w:rPr>
        <w:t>Employment opportunities or hiring</w:t>
      </w:r>
    </w:p>
    <w:p w14:paraId="75D5C0C7" w14:textId="77777777" w:rsidR="00902A1E" w:rsidRPr="00CB2463" w:rsidRDefault="00902A1E" w:rsidP="00A74CAB">
      <w:pPr>
        <w:pStyle w:val="ListParagraph"/>
        <w:numPr>
          <w:ilvl w:val="0"/>
          <w:numId w:val="32"/>
        </w:numPr>
        <w:rPr>
          <w:sz w:val="22"/>
          <w:szCs w:val="22"/>
        </w:rPr>
      </w:pPr>
      <w:r w:rsidRPr="00CB2463">
        <w:rPr>
          <w:sz w:val="22"/>
          <w:szCs w:val="22"/>
        </w:rPr>
        <w:t>Equal remuneration for work of equal value</w:t>
      </w:r>
    </w:p>
    <w:p w14:paraId="24518862" w14:textId="77777777" w:rsidR="00902A1E" w:rsidRPr="00CB2463" w:rsidRDefault="00902A1E" w:rsidP="00A74CAB">
      <w:pPr>
        <w:pStyle w:val="ListParagraph"/>
        <w:numPr>
          <w:ilvl w:val="0"/>
          <w:numId w:val="32"/>
        </w:numPr>
        <w:rPr>
          <w:sz w:val="22"/>
          <w:szCs w:val="22"/>
        </w:rPr>
      </w:pPr>
      <w:r w:rsidRPr="00CB2463">
        <w:rPr>
          <w:sz w:val="22"/>
          <w:szCs w:val="22"/>
        </w:rPr>
        <w:t xml:space="preserve">Promotions and demotions </w:t>
      </w:r>
    </w:p>
    <w:p w14:paraId="66E9D544" w14:textId="77777777" w:rsidR="00902A1E" w:rsidRPr="00CB2463" w:rsidRDefault="00902A1E" w:rsidP="00A74CAB">
      <w:pPr>
        <w:pStyle w:val="ListParagraph"/>
        <w:numPr>
          <w:ilvl w:val="0"/>
          <w:numId w:val="32"/>
        </w:numPr>
        <w:rPr>
          <w:sz w:val="22"/>
          <w:szCs w:val="22"/>
        </w:rPr>
      </w:pPr>
      <w:r w:rsidRPr="00CB2463">
        <w:rPr>
          <w:sz w:val="22"/>
          <w:szCs w:val="22"/>
        </w:rPr>
        <w:t xml:space="preserve">Dismissals or terminations  </w:t>
      </w:r>
    </w:p>
    <w:p w14:paraId="33A77E5A" w14:textId="77777777" w:rsidR="00902A1E" w:rsidRPr="00CB2463" w:rsidRDefault="00902A1E" w:rsidP="00902A1E">
      <w:pPr>
        <w:rPr>
          <w:sz w:val="22"/>
          <w:szCs w:val="22"/>
        </w:rPr>
      </w:pPr>
      <w:r w:rsidRPr="00CB2463">
        <w:rPr>
          <w:sz w:val="22"/>
          <w:szCs w:val="22"/>
        </w:rPr>
        <w:t>For each area, we assessed whether there were explicit prohibitions from discrimination across the grounds listed in Article 2.2 and General Comment No. 5 of the Covenant.</w:t>
      </w:r>
    </w:p>
    <w:p w14:paraId="3BA704B5" w14:textId="586EE00F" w:rsidR="00902A1E" w:rsidRPr="00CB2463" w:rsidRDefault="00902A1E" w:rsidP="00902A1E">
      <w:pPr>
        <w:keepNext/>
        <w:keepLines/>
        <w:spacing w:before="40" w:afterLines="100" w:after="240"/>
        <w:outlineLvl w:val="3"/>
        <w:rPr>
          <w:rFonts w:ascii="Calibri Light" w:eastAsia="Times New Roman" w:hAnsi="Calibri Light" w:cs="Times New Roman"/>
          <w:i/>
          <w:iCs/>
          <w:color w:val="2E74B5"/>
          <w:sz w:val="22"/>
          <w:szCs w:val="22"/>
        </w:rPr>
      </w:pPr>
      <w:r w:rsidRPr="00575F1A">
        <w:rPr>
          <w:rFonts w:ascii="Calibri Light" w:eastAsia="Times New Roman" w:hAnsi="Calibri Light" w:cs="Times New Roman"/>
          <w:i/>
          <w:iCs/>
          <w:color w:val="2E74B5"/>
          <w:sz w:val="22"/>
          <w:szCs w:val="22"/>
        </w:rPr>
        <w:t>PANAMA’S LEGISLATIVE PROV</w:t>
      </w:r>
      <w:r w:rsidR="00A74CAB">
        <w:rPr>
          <w:rFonts w:ascii="Calibri Light" w:eastAsia="Times New Roman" w:hAnsi="Calibri Light" w:cs="Times New Roman"/>
          <w:i/>
          <w:iCs/>
          <w:color w:val="2E74B5"/>
          <w:sz w:val="22"/>
          <w:szCs w:val="22"/>
        </w:rPr>
        <w:t>I</w:t>
      </w:r>
      <w:r w:rsidRPr="00575F1A">
        <w:rPr>
          <w:rFonts w:ascii="Calibri Light" w:eastAsia="Times New Roman" w:hAnsi="Calibri Light" w:cs="Times New Roman"/>
          <w:i/>
          <w:iCs/>
          <w:color w:val="2E74B5"/>
          <w:sz w:val="22"/>
          <w:szCs w:val="22"/>
        </w:rPr>
        <w:t>SIONS: LIMITED</w:t>
      </w:r>
      <w:r>
        <w:rPr>
          <w:rFonts w:ascii="Calibri Light" w:eastAsia="Times New Roman" w:hAnsi="Calibri Light" w:cs="Times New Roman"/>
          <w:i/>
          <w:iCs/>
          <w:color w:val="2E74B5"/>
          <w:sz w:val="22"/>
          <w:szCs w:val="22"/>
        </w:rPr>
        <w:t xml:space="preserve"> PROTECTIONS FROM WORKPLACE DISCRIMINATION</w:t>
      </w:r>
    </w:p>
    <w:p w14:paraId="116C6E92" w14:textId="1815F500" w:rsidR="00902A1E" w:rsidRDefault="00902A1E" w:rsidP="00902A1E">
      <w:pPr>
        <w:rPr>
          <w:sz w:val="22"/>
          <w:szCs w:val="22"/>
        </w:rPr>
      </w:pPr>
      <w:r w:rsidRPr="00CB2463">
        <w:rPr>
          <w:sz w:val="22"/>
          <w:szCs w:val="22"/>
        </w:rPr>
        <w:t xml:space="preserve">Our systematic review of national legislation shows that Panama does not consistently and explicitly prohibit workplace discrimination across four keys areas of employment: employment opportunities or hiring, equal remuneration, promotions and demotions, and dismissals. </w:t>
      </w:r>
      <w:r w:rsidRPr="00CB2463">
        <w:rPr>
          <w:i/>
          <w:iCs/>
          <w:sz w:val="22"/>
          <w:szCs w:val="22"/>
        </w:rPr>
        <w:t>Ley que prohíbe la discriminación laboral y adopta otras medi</w:t>
      </w:r>
      <w:r>
        <w:rPr>
          <w:i/>
          <w:iCs/>
          <w:sz w:val="22"/>
          <w:szCs w:val="22"/>
        </w:rPr>
        <w:t>d</w:t>
      </w:r>
      <w:r w:rsidRPr="00CB2463">
        <w:rPr>
          <w:i/>
          <w:iCs/>
          <w:sz w:val="22"/>
          <w:szCs w:val="22"/>
        </w:rPr>
        <w:t>as</w:t>
      </w:r>
      <w:r w:rsidRPr="00CB2463">
        <w:rPr>
          <w:b/>
          <w:bCs/>
          <w:i/>
          <w:iCs/>
          <w:sz w:val="22"/>
          <w:szCs w:val="22"/>
        </w:rPr>
        <w:t xml:space="preserve"> </w:t>
      </w:r>
      <w:r w:rsidRPr="00575F1A">
        <w:rPr>
          <w:b/>
          <w:bCs/>
          <w:sz w:val="22"/>
          <w:szCs w:val="22"/>
        </w:rPr>
        <w:t>broadly prohibits workplace discrimination based on race, birth, disability, social class,</w:t>
      </w:r>
      <w:r>
        <w:rPr>
          <w:b/>
          <w:bCs/>
          <w:sz w:val="22"/>
          <w:szCs w:val="22"/>
        </w:rPr>
        <w:t xml:space="preserve"> sex,</w:t>
      </w:r>
      <w:r w:rsidRPr="00575F1A">
        <w:rPr>
          <w:b/>
          <w:bCs/>
          <w:sz w:val="22"/>
          <w:szCs w:val="22"/>
        </w:rPr>
        <w:t xml:space="preserve"> religion, and political beliefs</w:t>
      </w:r>
      <w:r w:rsidRPr="00575F1A">
        <w:rPr>
          <w:sz w:val="22"/>
          <w:szCs w:val="22"/>
        </w:rPr>
        <w:t>,</w:t>
      </w:r>
      <w:r>
        <w:rPr>
          <w:sz w:val="22"/>
          <w:szCs w:val="22"/>
        </w:rPr>
        <w:t xml:space="preserve"> but does not outline specific forms </w:t>
      </w:r>
      <w:r>
        <w:rPr>
          <w:sz w:val="22"/>
          <w:szCs w:val="22"/>
        </w:rPr>
        <w:lastRenderedPageBreak/>
        <w:t xml:space="preserve">of discrimination that may occur during hiring, promotions and demotions, remuneration, and dismissals. </w:t>
      </w:r>
    </w:p>
    <w:p w14:paraId="07DA9037" w14:textId="1D64C6FC" w:rsidR="00902A1E" w:rsidRDefault="00902A1E" w:rsidP="00902A1E">
      <w:pPr>
        <w:rPr>
          <w:sz w:val="22"/>
          <w:szCs w:val="22"/>
        </w:rPr>
      </w:pPr>
      <w:r w:rsidRPr="00DA392F">
        <w:rPr>
          <w:sz w:val="22"/>
          <w:szCs w:val="22"/>
        </w:rPr>
        <w:t>Two additional laws</w:t>
      </w:r>
      <w:r>
        <w:rPr>
          <w:sz w:val="22"/>
          <w:szCs w:val="22"/>
        </w:rPr>
        <w:t xml:space="preserve"> </w:t>
      </w:r>
      <w:r w:rsidRPr="00DA392F">
        <w:rPr>
          <w:sz w:val="22"/>
          <w:szCs w:val="22"/>
        </w:rPr>
        <w:t>outline more specific employment rights for women and persons with disabilities.</w:t>
      </w:r>
      <w:r>
        <w:rPr>
          <w:sz w:val="22"/>
          <w:szCs w:val="22"/>
        </w:rPr>
        <w:t xml:space="preserve"> </w:t>
      </w:r>
      <w:r w:rsidRPr="00BD537F">
        <w:rPr>
          <w:sz w:val="22"/>
          <w:szCs w:val="22"/>
        </w:rPr>
        <w:t xml:space="preserve">Specifically, Article 20 of </w:t>
      </w:r>
      <w:r w:rsidRPr="00BD537F">
        <w:rPr>
          <w:i/>
          <w:iCs/>
          <w:sz w:val="22"/>
          <w:szCs w:val="22"/>
        </w:rPr>
        <w:t xml:space="preserve">Ley que adopta medidas de prevención contra la violencia en las mujeres </w:t>
      </w:r>
      <w:r w:rsidRPr="00575F1A">
        <w:rPr>
          <w:b/>
          <w:bCs/>
          <w:sz w:val="22"/>
          <w:szCs w:val="22"/>
        </w:rPr>
        <w:t xml:space="preserve">prohibits all forms of sex-based discrimination in employment, and further requires employers to pay </w:t>
      </w:r>
      <w:r w:rsidR="005700AE">
        <w:rPr>
          <w:b/>
          <w:bCs/>
          <w:sz w:val="22"/>
          <w:szCs w:val="22"/>
        </w:rPr>
        <w:t xml:space="preserve">women </w:t>
      </w:r>
      <w:r w:rsidRPr="00575F1A">
        <w:rPr>
          <w:b/>
          <w:bCs/>
          <w:sz w:val="22"/>
          <w:szCs w:val="22"/>
        </w:rPr>
        <w:t>equal wages for comparable work</w:t>
      </w:r>
      <w:r w:rsidRPr="00BD537F">
        <w:rPr>
          <w:sz w:val="22"/>
          <w:szCs w:val="22"/>
        </w:rPr>
        <w:t xml:space="preserve">. </w:t>
      </w:r>
      <w:r w:rsidRPr="001C7756">
        <w:rPr>
          <w:i/>
          <w:iCs/>
          <w:sz w:val="22"/>
          <w:szCs w:val="22"/>
        </w:rPr>
        <w:t xml:space="preserve">Ley por la cual se establece la equiparación de oportunidades para las personas con discapacidad </w:t>
      </w:r>
      <w:r w:rsidRPr="005700AE">
        <w:rPr>
          <w:b/>
          <w:sz w:val="22"/>
          <w:szCs w:val="22"/>
        </w:rPr>
        <w:t>r</w:t>
      </w:r>
      <w:r w:rsidRPr="00575F1A">
        <w:rPr>
          <w:b/>
          <w:bCs/>
          <w:sz w:val="22"/>
          <w:szCs w:val="22"/>
        </w:rPr>
        <w:t>equires that employment practices regarding recruitment or hiring, promotions, and remuneration are equitable</w:t>
      </w:r>
      <w:r w:rsidR="005700AE">
        <w:rPr>
          <w:b/>
          <w:bCs/>
          <w:sz w:val="22"/>
          <w:szCs w:val="22"/>
        </w:rPr>
        <w:t xml:space="preserve"> for persons with disabilities</w:t>
      </w:r>
      <w:r w:rsidRPr="00575F1A">
        <w:rPr>
          <w:sz w:val="22"/>
          <w:szCs w:val="22"/>
        </w:rPr>
        <w:t>.</w:t>
      </w:r>
      <w:r w:rsidRPr="001C7756">
        <w:rPr>
          <w:sz w:val="22"/>
          <w:szCs w:val="22"/>
        </w:rPr>
        <w:t xml:space="preserve"> </w:t>
      </w:r>
    </w:p>
    <w:p w14:paraId="66DB31CB" w14:textId="4F66D9EA" w:rsidR="00902A1E" w:rsidRPr="001C7756" w:rsidRDefault="00902A1E" w:rsidP="00902A1E">
      <w:pPr>
        <w:rPr>
          <w:sz w:val="22"/>
          <w:szCs w:val="22"/>
        </w:rPr>
      </w:pPr>
      <w:r w:rsidRPr="00DA392F">
        <w:rPr>
          <w:sz w:val="22"/>
          <w:szCs w:val="22"/>
        </w:rPr>
        <w:t xml:space="preserve">However, </w:t>
      </w:r>
      <w:r w:rsidRPr="00DA392F">
        <w:rPr>
          <w:bCs/>
          <w:sz w:val="22"/>
          <w:szCs w:val="22"/>
        </w:rPr>
        <w:t xml:space="preserve">several groups covered through </w:t>
      </w:r>
      <w:r w:rsidR="00081AE8">
        <w:rPr>
          <w:sz w:val="22"/>
          <w:szCs w:val="22"/>
        </w:rPr>
        <w:t>the Covenant’s</w:t>
      </w:r>
      <w:r w:rsidRPr="00DA392F">
        <w:rPr>
          <w:bCs/>
          <w:sz w:val="22"/>
          <w:szCs w:val="22"/>
        </w:rPr>
        <w:t xml:space="preserve"> commitments are </w:t>
      </w:r>
      <w:r w:rsidRPr="00575F1A">
        <w:rPr>
          <w:b/>
          <w:sz w:val="22"/>
          <w:szCs w:val="22"/>
        </w:rPr>
        <w:t>not included in any of these provisions, such as workers facing discrimination based on language, national origin, and property status</w:t>
      </w:r>
      <w:r>
        <w:rPr>
          <w:bCs/>
          <w:sz w:val="22"/>
          <w:szCs w:val="22"/>
        </w:rPr>
        <w:t xml:space="preserve">. </w:t>
      </w:r>
    </w:p>
    <w:tbl>
      <w:tblPr>
        <w:tblStyle w:val="TableGrid"/>
        <w:tblW w:w="9625" w:type="dxa"/>
        <w:jc w:val="center"/>
        <w:tblLook w:val="04A0" w:firstRow="1" w:lastRow="0" w:firstColumn="1" w:lastColumn="0" w:noHBand="0" w:noVBand="1"/>
      </w:tblPr>
      <w:tblGrid>
        <w:gridCol w:w="1590"/>
        <w:gridCol w:w="1555"/>
        <w:gridCol w:w="1620"/>
        <w:gridCol w:w="1710"/>
        <w:gridCol w:w="1620"/>
        <w:gridCol w:w="1530"/>
      </w:tblGrid>
      <w:tr w:rsidR="00902A1E" w:rsidRPr="00CB2463" w14:paraId="0F1CDF98" w14:textId="77777777" w:rsidTr="00525CE8">
        <w:trPr>
          <w:jc w:val="center"/>
        </w:trPr>
        <w:tc>
          <w:tcPr>
            <w:tcW w:w="9625" w:type="dxa"/>
            <w:gridSpan w:val="6"/>
          </w:tcPr>
          <w:p w14:paraId="02123235" w14:textId="3ED9F07A" w:rsidR="00902A1E" w:rsidRPr="006B484A" w:rsidRDefault="00902A1E" w:rsidP="00826442">
            <w:pPr>
              <w:pStyle w:val="NoSpacing"/>
              <w:rPr>
                <w:b/>
                <w:bCs/>
              </w:rPr>
            </w:pPr>
            <w:bookmarkStart w:id="46" w:name="_Hlk56166594"/>
            <w:r w:rsidRPr="006B484A">
              <w:rPr>
                <w:b/>
                <w:bCs/>
              </w:rPr>
              <w:t xml:space="preserve">Table 1. Guaranteed </w:t>
            </w:r>
            <w:r w:rsidR="00A74CAB">
              <w:rPr>
                <w:b/>
                <w:bCs/>
              </w:rPr>
              <w:t xml:space="preserve">legal </w:t>
            </w:r>
            <w:r w:rsidRPr="006B484A">
              <w:rPr>
                <w:b/>
                <w:bCs/>
              </w:rPr>
              <w:t>provisions of non-discrimination across key areas of employment for personal characteristics covered by the Covenant</w:t>
            </w:r>
          </w:p>
        </w:tc>
      </w:tr>
      <w:tr w:rsidR="00902A1E" w:rsidRPr="00CB2463" w14:paraId="17020FB9" w14:textId="77777777" w:rsidTr="00525CE8">
        <w:trPr>
          <w:jc w:val="center"/>
        </w:trPr>
        <w:tc>
          <w:tcPr>
            <w:tcW w:w="1590" w:type="dxa"/>
          </w:tcPr>
          <w:p w14:paraId="61BA7082" w14:textId="77777777" w:rsidR="00902A1E" w:rsidRPr="00CB2463" w:rsidRDefault="00902A1E" w:rsidP="00232DAD">
            <w:pPr>
              <w:pStyle w:val="NoSpacing"/>
            </w:pPr>
          </w:p>
        </w:tc>
        <w:tc>
          <w:tcPr>
            <w:tcW w:w="1555" w:type="dxa"/>
            <w:shd w:val="clear" w:color="auto" w:fill="auto"/>
          </w:tcPr>
          <w:p w14:paraId="487B151A" w14:textId="77777777" w:rsidR="00902A1E" w:rsidRPr="00CB2463" w:rsidRDefault="00902A1E" w:rsidP="00232DAD">
            <w:pPr>
              <w:pStyle w:val="NoSpacing"/>
              <w:jc w:val="center"/>
            </w:pPr>
            <w:r w:rsidRPr="00CB2463">
              <w:t>Discrimination broadly prohibited</w:t>
            </w:r>
          </w:p>
        </w:tc>
        <w:tc>
          <w:tcPr>
            <w:tcW w:w="1620" w:type="dxa"/>
            <w:shd w:val="clear" w:color="auto" w:fill="auto"/>
          </w:tcPr>
          <w:p w14:paraId="34E5532C" w14:textId="77777777" w:rsidR="00902A1E" w:rsidRPr="00CB2463" w:rsidRDefault="00902A1E" w:rsidP="00232DAD">
            <w:pPr>
              <w:pStyle w:val="NoSpacing"/>
              <w:jc w:val="center"/>
            </w:pPr>
            <w:r w:rsidRPr="00CB2463">
              <w:t>Employment opportunities or hiring</w:t>
            </w:r>
          </w:p>
        </w:tc>
        <w:tc>
          <w:tcPr>
            <w:tcW w:w="1710" w:type="dxa"/>
            <w:shd w:val="clear" w:color="auto" w:fill="auto"/>
          </w:tcPr>
          <w:p w14:paraId="5CB498D2" w14:textId="77777777" w:rsidR="00902A1E" w:rsidRPr="00CB2463" w:rsidRDefault="00902A1E" w:rsidP="00232DAD">
            <w:pPr>
              <w:pStyle w:val="NoSpacing"/>
              <w:jc w:val="center"/>
            </w:pPr>
            <w:r w:rsidRPr="00CB2463">
              <w:t>Equal remuneration</w:t>
            </w:r>
          </w:p>
        </w:tc>
        <w:tc>
          <w:tcPr>
            <w:tcW w:w="1620" w:type="dxa"/>
            <w:shd w:val="clear" w:color="auto" w:fill="auto"/>
          </w:tcPr>
          <w:p w14:paraId="1757A854" w14:textId="77777777" w:rsidR="00902A1E" w:rsidRPr="00CB2463" w:rsidRDefault="00902A1E" w:rsidP="00232DAD">
            <w:pPr>
              <w:pStyle w:val="NoSpacing"/>
              <w:jc w:val="center"/>
            </w:pPr>
            <w:r w:rsidRPr="00CB2463">
              <w:t>Promotions and demotions</w:t>
            </w:r>
          </w:p>
        </w:tc>
        <w:tc>
          <w:tcPr>
            <w:tcW w:w="1530" w:type="dxa"/>
            <w:shd w:val="clear" w:color="auto" w:fill="auto"/>
          </w:tcPr>
          <w:p w14:paraId="18E1518B" w14:textId="77777777" w:rsidR="00902A1E" w:rsidRPr="00CB2463" w:rsidRDefault="00902A1E" w:rsidP="00232DAD">
            <w:pPr>
              <w:pStyle w:val="NoSpacing"/>
              <w:jc w:val="center"/>
            </w:pPr>
            <w:r w:rsidRPr="00CB2463">
              <w:t>Dismissals</w:t>
            </w:r>
          </w:p>
        </w:tc>
      </w:tr>
      <w:tr w:rsidR="00902A1E" w:rsidRPr="00CB2463" w14:paraId="620E4261" w14:textId="77777777" w:rsidTr="00525CE8">
        <w:trPr>
          <w:jc w:val="center"/>
        </w:trPr>
        <w:tc>
          <w:tcPr>
            <w:tcW w:w="1590" w:type="dxa"/>
          </w:tcPr>
          <w:p w14:paraId="4521F7F6" w14:textId="77777777" w:rsidR="00902A1E" w:rsidRPr="00CB2463" w:rsidRDefault="00902A1E" w:rsidP="00232DAD">
            <w:pPr>
              <w:pStyle w:val="NoSpacing"/>
            </w:pPr>
            <w:r w:rsidRPr="00CB2463">
              <w:t>Race and colour</w:t>
            </w:r>
          </w:p>
        </w:tc>
        <w:tc>
          <w:tcPr>
            <w:tcW w:w="1555" w:type="dxa"/>
            <w:shd w:val="clear" w:color="auto" w:fill="auto"/>
            <w:vAlign w:val="center"/>
          </w:tcPr>
          <w:p w14:paraId="43326458" w14:textId="77777777" w:rsidR="00902A1E" w:rsidRPr="00CB2463" w:rsidRDefault="00902A1E" w:rsidP="00232DAD">
            <w:pPr>
              <w:pStyle w:val="NoSpacing"/>
              <w:jc w:val="center"/>
            </w:pPr>
            <w:r w:rsidRPr="00CB2463">
              <w:sym w:font="Wingdings" w:char="F0FC"/>
            </w:r>
          </w:p>
        </w:tc>
        <w:tc>
          <w:tcPr>
            <w:tcW w:w="1620" w:type="dxa"/>
            <w:shd w:val="clear" w:color="auto" w:fill="auto"/>
            <w:vAlign w:val="center"/>
          </w:tcPr>
          <w:p w14:paraId="7F4064D9" w14:textId="77777777" w:rsidR="00902A1E" w:rsidRPr="00CB2463" w:rsidRDefault="00902A1E" w:rsidP="00232DAD">
            <w:pPr>
              <w:pStyle w:val="NoSpacing"/>
              <w:jc w:val="center"/>
            </w:pPr>
          </w:p>
        </w:tc>
        <w:tc>
          <w:tcPr>
            <w:tcW w:w="1710" w:type="dxa"/>
          </w:tcPr>
          <w:p w14:paraId="6469D3B6" w14:textId="77777777" w:rsidR="00902A1E" w:rsidRPr="00CB2463" w:rsidRDefault="00902A1E" w:rsidP="00232DAD">
            <w:pPr>
              <w:pStyle w:val="NoSpacing"/>
              <w:jc w:val="center"/>
            </w:pPr>
          </w:p>
        </w:tc>
        <w:tc>
          <w:tcPr>
            <w:tcW w:w="1620" w:type="dxa"/>
            <w:vAlign w:val="center"/>
          </w:tcPr>
          <w:p w14:paraId="4AEBE920" w14:textId="77777777" w:rsidR="00902A1E" w:rsidRPr="00CB2463" w:rsidRDefault="00902A1E" w:rsidP="00232DAD">
            <w:pPr>
              <w:pStyle w:val="NoSpacing"/>
              <w:jc w:val="center"/>
            </w:pPr>
          </w:p>
        </w:tc>
        <w:tc>
          <w:tcPr>
            <w:tcW w:w="1530" w:type="dxa"/>
            <w:vAlign w:val="center"/>
          </w:tcPr>
          <w:p w14:paraId="575B3BB4" w14:textId="77777777" w:rsidR="00902A1E" w:rsidRPr="00CB2463" w:rsidRDefault="00902A1E" w:rsidP="00232DAD">
            <w:pPr>
              <w:pStyle w:val="NoSpacing"/>
              <w:jc w:val="center"/>
            </w:pPr>
          </w:p>
        </w:tc>
      </w:tr>
      <w:tr w:rsidR="00902A1E" w:rsidRPr="00CB2463" w14:paraId="722B2B17" w14:textId="77777777" w:rsidTr="00525CE8">
        <w:trPr>
          <w:jc w:val="center"/>
        </w:trPr>
        <w:tc>
          <w:tcPr>
            <w:tcW w:w="1590" w:type="dxa"/>
          </w:tcPr>
          <w:p w14:paraId="581562D8" w14:textId="77777777" w:rsidR="00902A1E" w:rsidRPr="00CB2463" w:rsidRDefault="00902A1E" w:rsidP="00232DAD">
            <w:pPr>
              <w:pStyle w:val="NoSpacing"/>
            </w:pPr>
            <w:r w:rsidRPr="00CB2463">
              <w:t>Sex</w:t>
            </w:r>
          </w:p>
        </w:tc>
        <w:tc>
          <w:tcPr>
            <w:tcW w:w="1555" w:type="dxa"/>
            <w:shd w:val="clear" w:color="auto" w:fill="auto"/>
            <w:vAlign w:val="center"/>
          </w:tcPr>
          <w:p w14:paraId="477DEFFB" w14:textId="77777777" w:rsidR="00902A1E" w:rsidRPr="00CB2463" w:rsidRDefault="00902A1E" w:rsidP="00232DAD">
            <w:pPr>
              <w:pStyle w:val="NoSpacing"/>
              <w:jc w:val="center"/>
            </w:pPr>
            <w:r w:rsidRPr="00CB2463">
              <w:sym w:font="Wingdings" w:char="F0FC"/>
            </w:r>
          </w:p>
        </w:tc>
        <w:tc>
          <w:tcPr>
            <w:tcW w:w="1620" w:type="dxa"/>
            <w:shd w:val="clear" w:color="auto" w:fill="auto"/>
            <w:vAlign w:val="center"/>
          </w:tcPr>
          <w:p w14:paraId="456C3F28" w14:textId="77777777" w:rsidR="00902A1E" w:rsidRPr="00CB2463" w:rsidRDefault="00902A1E" w:rsidP="00232DAD">
            <w:pPr>
              <w:pStyle w:val="NoSpacing"/>
              <w:jc w:val="center"/>
            </w:pPr>
          </w:p>
        </w:tc>
        <w:tc>
          <w:tcPr>
            <w:tcW w:w="1710" w:type="dxa"/>
            <w:vAlign w:val="center"/>
          </w:tcPr>
          <w:p w14:paraId="64BFCC9A" w14:textId="77777777" w:rsidR="00902A1E" w:rsidRPr="00CB2463" w:rsidRDefault="00902A1E" w:rsidP="00232DAD">
            <w:pPr>
              <w:pStyle w:val="NoSpacing"/>
              <w:jc w:val="center"/>
            </w:pPr>
            <w:r w:rsidRPr="00CB2463">
              <w:sym w:font="Wingdings" w:char="F0FC"/>
            </w:r>
          </w:p>
        </w:tc>
        <w:tc>
          <w:tcPr>
            <w:tcW w:w="1620" w:type="dxa"/>
            <w:vAlign w:val="center"/>
          </w:tcPr>
          <w:p w14:paraId="2D191F71" w14:textId="77777777" w:rsidR="00902A1E" w:rsidRPr="00CB2463" w:rsidRDefault="00902A1E" w:rsidP="00232DAD">
            <w:pPr>
              <w:pStyle w:val="NoSpacing"/>
              <w:jc w:val="center"/>
            </w:pPr>
          </w:p>
        </w:tc>
        <w:tc>
          <w:tcPr>
            <w:tcW w:w="1530" w:type="dxa"/>
            <w:vAlign w:val="center"/>
          </w:tcPr>
          <w:p w14:paraId="37D7F051" w14:textId="77777777" w:rsidR="00902A1E" w:rsidRPr="00CB2463" w:rsidRDefault="00902A1E" w:rsidP="00232DAD">
            <w:pPr>
              <w:pStyle w:val="NoSpacing"/>
              <w:jc w:val="center"/>
            </w:pPr>
          </w:p>
        </w:tc>
      </w:tr>
      <w:tr w:rsidR="00902A1E" w:rsidRPr="00CB2463" w14:paraId="50461D95" w14:textId="77777777" w:rsidTr="00525CE8">
        <w:trPr>
          <w:jc w:val="center"/>
        </w:trPr>
        <w:tc>
          <w:tcPr>
            <w:tcW w:w="1590" w:type="dxa"/>
          </w:tcPr>
          <w:p w14:paraId="7D20FF1F" w14:textId="77777777" w:rsidR="00902A1E" w:rsidRPr="00CB2463" w:rsidRDefault="00902A1E" w:rsidP="00232DAD">
            <w:pPr>
              <w:pStyle w:val="NoSpacing"/>
            </w:pPr>
            <w:r w:rsidRPr="00CB2463">
              <w:t>Language</w:t>
            </w:r>
          </w:p>
        </w:tc>
        <w:tc>
          <w:tcPr>
            <w:tcW w:w="1555" w:type="dxa"/>
            <w:shd w:val="clear" w:color="auto" w:fill="auto"/>
            <w:vAlign w:val="center"/>
          </w:tcPr>
          <w:p w14:paraId="75E84C82" w14:textId="77777777" w:rsidR="00902A1E" w:rsidRPr="00CB2463" w:rsidRDefault="00902A1E" w:rsidP="00232DAD">
            <w:pPr>
              <w:pStyle w:val="NoSpacing"/>
              <w:jc w:val="center"/>
            </w:pPr>
          </w:p>
        </w:tc>
        <w:tc>
          <w:tcPr>
            <w:tcW w:w="1620" w:type="dxa"/>
            <w:shd w:val="clear" w:color="auto" w:fill="auto"/>
            <w:vAlign w:val="center"/>
          </w:tcPr>
          <w:p w14:paraId="6BCC07FE" w14:textId="77777777" w:rsidR="00902A1E" w:rsidRPr="00CB2463" w:rsidRDefault="00902A1E" w:rsidP="00232DAD">
            <w:pPr>
              <w:pStyle w:val="NoSpacing"/>
              <w:jc w:val="center"/>
            </w:pPr>
          </w:p>
        </w:tc>
        <w:tc>
          <w:tcPr>
            <w:tcW w:w="1710" w:type="dxa"/>
          </w:tcPr>
          <w:p w14:paraId="0D5B835A" w14:textId="77777777" w:rsidR="00902A1E" w:rsidRPr="00CB2463" w:rsidRDefault="00902A1E" w:rsidP="00232DAD">
            <w:pPr>
              <w:pStyle w:val="NoSpacing"/>
              <w:jc w:val="center"/>
            </w:pPr>
          </w:p>
        </w:tc>
        <w:tc>
          <w:tcPr>
            <w:tcW w:w="1620" w:type="dxa"/>
          </w:tcPr>
          <w:p w14:paraId="0ACAD2B7" w14:textId="77777777" w:rsidR="00902A1E" w:rsidRPr="00CB2463" w:rsidRDefault="00902A1E" w:rsidP="00232DAD">
            <w:pPr>
              <w:pStyle w:val="NoSpacing"/>
              <w:jc w:val="center"/>
            </w:pPr>
          </w:p>
        </w:tc>
        <w:tc>
          <w:tcPr>
            <w:tcW w:w="1530" w:type="dxa"/>
          </w:tcPr>
          <w:p w14:paraId="220260BE" w14:textId="77777777" w:rsidR="00902A1E" w:rsidRPr="00CB2463" w:rsidRDefault="00902A1E" w:rsidP="00232DAD">
            <w:pPr>
              <w:pStyle w:val="NoSpacing"/>
              <w:jc w:val="center"/>
            </w:pPr>
          </w:p>
        </w:tc>
      </w:tr>
      <w:tr w:rsidR="00902A1E" w:rsidRPr="00CB2463" w14:paraId="2780B660" w14:textId="77777777" w:rsidTr="00525CE8">
        <w:trPr>
          <w:jc w:val="center"/>
        </w:trPr>
        <w:tc>
          <w:tcPr>
            <w:tcW w:w="1590" w:type="dxa"/>
          </w:tcPr>
          <w:p w14:paraId="2CE9BEB0" w14:textId="77777777" w:rsidR="00902A1E" w:rsidRPr="00CB2463" w:rsidRDefault="00902A1E" w:rsidP="00232DAD">
            <w:pPr>
              <w:pStyle w:val="NoSpacing"/>
            </w:pPr>
            <w:r w:rsidRPr="00CB2463">
              <w:t>Religion</w:t>
            </w:r>
          </w:p>
        </w:tc>
        <w:tc>
          <w:tcPr>
            <w:tcW w:w="1555" w:type="dxa"/>
            <w:shd w:val="clear" w:color="auto" w:fill="auto"/>
            <w:vAlign w:val="center"/>
          </w:tcPr>
          <w:p w14:paraId="1E452C73" w14:textId="77777777" w:rsidR="00902A1E" w:rsidRPr="00CB2463" w:rsidRDefault="00902A1E" w:rsidP="00232DAD">
            <w:pPr>
              <w:pStyle w:val="NoSpacing"/>
              <w:jc w:val="center"/>
            </w:pPr>
            <w:r w:rsidRPr="00CB2463">
              <w:sym w:font="Wingdings" w:char="F0FC"/>
            </w:r>
          </w:p>
        </w:tc>
        <w:tc>
          <w:tcPr>
            <w:tcW w:w="1620" w:type="dxa"/>
            <w:shd w:val="clear" w:color="auto" w:fill="auto"/>
            <w:vAlign w:val="center"/>
          </w:tcPr>
          <w:p w14:paraId="5EC6E854" w14:textId="77777777" w:rsidR="00902A1E" w:rsidRPr="00CB2463" w:rsidRDefault="00902A1E" w:rsidP="00232DAD">
            <w:pPr>
              <w:pStyle w:val="NoSpacing"/>
              <w:jc w:val="center"/>
            </w:pPr>
          </w:p>
        </w:tc>
        <w:tc>
          <w:tcPr>
            <w:tcW w:w="1710" w:type="dxa"/>
          </w:tcPr>
          <w:p w14:paraId="0FCBD355" w14:textId="77777777" w:rsidR="00902A1E" w:rsidRPr="00CB2463" w:rsidRDefault="00902A1E" w:rsidP="00232DAD">
            <w:pPr>
              <w:pStyle w:val="NoSpacing"/>
              <w:jc w:val="center"/>
            </w:pPr>
          </w:p>
        </w:tc>
        <w:tc>
          <w:tcPr>
            <w:tcW w:w="1620" w:type="dxa"/>
            <w:vAlign w:val="center"/>
          </w:tcPr>
          <w:p w14:paraId="19771E2D" w14:textId="77777777" w:rsidR="00902A1E" w:rsidRPr="00CB2463" w:rsidRDefault="00902A1E" w:rsidP="00232DAD">
            <w:pPr>
              <w:pStyle w:val="NoSpacing"/>
              <w:jc w:val="center"/>
            </w:pPr>
          </w:p>
        </w:tc>
        <w:tc>
          <w:tcPr>
            <w:tcW w:w="1530" w:type="dxa"/>
            <w:vAlign w:val="center"/>
          </w:tcPr>
          <w:p w14:paraId="09CD63F7" w14:textId="77777777" w:rsidR="00902A1E" w:rsidRPr="00CB2463" w:rsidRDefault="00902A1E" w:rsidP="00232DAD">
            <w:pPr>
              <w:pStyle w:val="NoSpacing"/>
              <w:jc w:val="center"/>
            </w:pPr>
          </w:p>
        </w:tc>
      </w:tr>
      <w:tr w:rsidR="00902A1E" w:rsidRPr="00CB2463" w14:paraId="5A6D735F" w14:textId="77777777" w:rsidTr="00525CE8">
        <w:trPr>
          <w:jc w:val="center"/>
        </w:trPr>
        <w:tc>
          <w:tcPr>
            <w:tcW w:w="1590" w:type="dxa"/>
          </w:tcPr>
          <w:p w14:paraId="0FE14AD5" w14:textId="77777777" w:rsidR="00902A1E" w:rsidRPr="00CB2463" w:rsidRDefault="00902A1E" w:rsidP="00232DAD">
            <w:pPr>
              <w:pStyle w:val="NoSpacing"/>
            </w:pPr>
            <w:r w:rsidRPr="00CB2463">
              <w:t>Political opinion</w:t>
            </w:r>
          </w:p>
        </w:tc>
        <w:tc>
          <w:tcPr>
            <w:tcW w:w="1555" w:type="dxa"/>
            <w:shd w:val="clear" w:color="auto" w:fill="auto"/>
            <w:vAlign w:val="center"/>
          </w:tcPr>
          <w:p w14:paraId="51008B92" w14:textId="77777777" w:rsidR="00902A1E" w:rsidRPr="00CB2463" w:rsidRDefault="00902A1E" w:rsidP="00232DAD">
            <w:pPr>
              <w:pStyle w:val="NoSpacing"/>
              <w:jc w:val="center"/>
            </w:pPr>
            <w:r w:rsidRPr="00CB2463">
              <w:sym w:font="Wingdings" w:char="F0FC"/>
            </w:r>
          </w:p>
        </w:tc>
        <w:tc>
          <w:tcPr>
            <w:tcW w:w="1620" w:type="dxa"/>
            <w:shd w:val="clear" w:color="auto" w:fill="auto"/>
            <w:vAlign w:val="center"/>
          </w:tcPr>
          <w:p w14:paraId="1CF730BD" w14:textId="77777777" w:rsidR="00902A1E" w:rsidRPr="00CB2463" w:rsidRDefault="00902A1E" w:rsidP="00232DAD">
            <w:pPr>
              <w:pStyle w:val="NoSpacing"/>
              <w:jc w:val="center"/>
            </w:pPr>
          </w:p>
        </w:tc>
        <w:tc>
          <w:tcPr>
            <w:tcW w:w="1710" w:type="dxa"/>
          </w:tcPr>
          <w:p w14:paraId="52158E30" w14:textId="77777777" w:rsidR="00902A1E" w:rsidRPr="00CB2463" w:rsidRDefault="00902A1E" w:rsidP="00232DAD">
            <w:pPr>
              <w:pStyle w:val="NoSpacing"/>
              <w:jc w:val="center"/>
            </w:pPr>
          </w:p>
        </w:tc>
        <w:tc>
          <w:tcPr>
            <w:tcW w:w="1620" w:type="dxa"/>
          </w:tcPr>
          <w:p w14:paraId="1FFCA4E0" w14:textId="77777777" w:rsidR="00902A1E" w:rsidRPr="00CB2463" w:rsidRDefault="00902A1E" w:rsidP="00232DAD">
            <w:pPr>
              <w:pStyle w:val="NoSpacing"/>
              <w:jc w:val="center"/>
            </w:pPr>
          </w:p>
        </w:tc>
        <w:tc>
          <w:tcPr>
            <w:tcW w:w="1530" w:type="dxa"/>
          </w:tcPr>
          <w:p w14:paraId="3A4DEC42" w14:textId="77777777" w:rsidR="00902A1E" w:rsidRPr="00CB2463" w:rsidRDefault="00902A1E" w:rsidP="00232DAD">
            <w:pPr>
              <w:pStyle w:val="NoSpacing"/>
              <w:jc w:val="center"/>
            </w:pPr>
          </w:p>
        </w:tc>
      </w:tr>
      <w:tr w:rsidR="00902A1E" w:rsidRPr="00CB2463" w14:paraId="37BEA189" w14:textId="77777777" w:rsidTr="00525CE8">
        <w:trPr>
          <w:jc w:val="center"/>
        </w:trPr>
        <w:tc>
          <w:tcPr>
            <w:tcW w:w="1590" w:type="dxa"/>
          </w:tcPr>
          <w:p w14:paraId="33EFE3B9" w14:textId="77777777" w:rsidR="00902A1E" w:rsidRPr="00CB2463" w:rsidRDefault="00902A1E" w:rsidP="00232DAD">
            <w:pPr>
              <w:pStyle w:val="NoSpacing"/>
            </w:pPr>
            <w:r w:rsidRPr="00CB2463">
              <w:t>National origin</w:t>
            </w:r>
          </w:p>
        </w:tc>
        <w:tc>
          <w:tcPr>
            <w:tcW w:w="1555" w:type="dxa"/>
            <w:shd w:val="clear" w:color="auto" w:fill="auto"/>
            <w:vAlign w:val="center"/>
          </w:tcPr>
          <w:p w14:paraId="14FFEC61" w14:textId="77777777" w:rsidR="00902A1E" w:rsidRPr="00CB2463" w:rsidRDefault="00902A1E" w:rsidP="00232DAD">
            <w:pPr>
              <w:pStyle w:val="NoSpacing"/>
              <w:jc w:val="center"/>
            </w:pPr>
          </w:p>
        </w:tc>
        <w:tc>
          <w:tcPr>
            <w:tcW w:w="1620" w:type="dxa"/>
            <w:shd w:val="clear" w:color="auto" w:fill="auto"/>
            <w:vAlign w:val="center"/>
          </w:tcPr>
          <w:p w14:paraId="391BF33F" w14:textId="77777777" w:rsidR="00902A1E" w:rsidRPr="00CB2463" w:rsidRDefault="00902A1E" w:rsidP="00232DAD">
            <w:pPr>
              <w:pStyle w:val="NoSpacing"/>
              <w:jc w:val="center"/>
            </w:pPr>
          </w:p>
        </w:tc>
        <w:tc>
          <w:tcPr>
            <w:tcW w:w="1710" w:type="dxa"/>
          </w:tcPr>
          <w:p w14:paraId="004F7F99" w14:textId="77777777" w:rsidR="00902A1E" w:rsidRPr="00CB2463" w:rsidRDefault="00902A1E" w:rsidP="00232DAD">
            <w:pPr>
              <w:pStyle w:val="NoSpacing"/>
              <w:jc w:val="center"/>
            </w:pPr>
          </w:p>
        </w:tc>
        <w:tc>
          <w:tcPr>
            <w:tcW w:w="1620" w:type="dxa"/>
          </w:tcPr>
          <w:p w14:paraId="04DEBD8B" w14:textId="77777777" w:rsidR="00902A1E" w:rsidRPr="00CB2463" w:rsidRDefault="00902A1E" w:rsidP="00232DAD">
            <w:pPr>
              <w:pStyle w:val="NoSpacing"/>
              <w:jc w:val="center"/>
            </w:pPr>
          </w:p>
        </w:tc>
        <w:tc>
          <w:tcPr>
            <w:tcW w:w="1530" w:type="dxa"/>
          </w:tcPr>
          <w:p w14:paraId="701A305F" w14:textId="77777777" w:rsidR="00902A1E" w:rsidRPr="00CB2463" w:rsidRDefault="00902A1E" w:rsidP="00232DAD">
            <w:pPr>
              <w:pStyle w:val="NoSpacing"/>
              <w:jc w:val="center"/>
            </w:pPr>
          </w:p>
        </w:tc>
      </w:tr>
      <w:tr w:rsidR="00902A1E" w:rsidRPr="00CB2463" w14:paraId="191C0FAD" w14:textId="77777777" w:rsidTr="00525CE8">
        <w:trPr>
          <w:jc w:val="center"/>
        </w:trPr>
        <w:tc>
          <w:tcPr>
            <w:tcW w:w="1590" w:type="dxa"/>
          </w:tcPr>
          <w:p w14:paraId="2747E38E" w14:textId="77777777" w:rsidR="00902A1E" w:rsidRPr="00CB2463" w:rsidRDefault="00902A1E" w:rsidP="00232DAD">
            <w:pPr>
              <w:pStyle w:val="NoSpacing"/>
            </w:pPr>
            <w:r w:rsidRPr="00CB2463">
              <w:t>Social origin</w:t>
            </w:r>
          </w:p>
        </w:tc>
        <w:tc>
          <w:tcPr>
            <w:tcW w:w="1555" w:type="dxa"/>
            <w:shd w:val="clear" w:color="auto" w:fill="auto"/>
            <w:vAlign w:val="center"/>
          </w:tcPr>
          <w:p w14:paraId="0BF18FD0" w14:textId="77777777" w:rsidR="00902A1E" w:rsidRPr="00CB2463" w:rsidRDefault="00902A1E" w:rsidP="00232DAD">
            <w:pPr>
              <w:pStyle w:val="NoSpacing"/>
              <w:jc w:val="center"/>
            </w:pPr>
            <w:r w:rsidRPr="00CB2463">
              <w:sym w:font="Wingdings" w:char="F0FC"/>
            </w:r>
          </w:p>
        </w:tc>
        <w:tc>
          <w:tcPr>
            <w:tcW w:w="1620" w:type="dxa"/>
            <w:shd w:val="clear" w:color="auto" w:fill="auto"/>
            <w:vAlign w:val="center"/>
          </w:tcPr>
          <w:p w14:paraId="4D26CE24" w14:textId="77777777" w:rsidR="00902A1E" w:rsidRPr="00CB2463" w:rsidRDefault="00902A1E" w:rsidP="00232DAD">
            <w:pPr>
              <w:pStyle w:val="NoSpacing"/>
              <w:jc w:val="center"/>
            </w:pPr>
          </w:p>
        </w:tc>
        <w:tc>
          <w:tcPr>
            <w:tcW w:w="1710" w:type="dxa"/>
          </w:tcPr>
          <w:p w14:paraId="64BF2207" w14:textId="77777777" w:rsidR="00902A1E" w:rsidRPr="00CB2463" w:rsidRDefault="00902A1E" w:rsidP="00232DAD">
            <w:pPr>
              <w:pStyle w:val="NoSpacing"/>
              <w:jc w:val="center"/>
            </w:pPr>
          </w:p>
        </w:tc>
        <w:tc>
          <w:tcPr>
            <w:tcW w:w="1620" w:type="dxa"/>
          </w:tcPr>
          <w:p w14:paraId="1389566A" w14:textId="77777777" w:rsidR="00902A1E" w:rsidRPr="00CB2463" w:rsidRDefault="00902A1E" w:rsidP="00232DAD">
            <w:pPr>
              <w:pStyle w:val="NoSpacing"/>
              <w:jc w:val="center"/>
            </w:pPr>
          </w:p>
        </w:tc>
        <w:tc>
          <w:tcPr>
            <w:tcW w:w="1530" w:type="dxa"/>
          </w:tcPr>
          <w:p w14:paraId="16C4DB41" w14:textId="77777777" w:rsidR="00902A1E" w:rsidRPr="00CB2463" w:rsidRDefault="00902A1E" w:rsidP="00232DAD">
            <w:pPr>
              <w:pStyle w:val="NoSpacing"/>
              <w:jc w:val="center"/>
            </w:pPr>
          </w:p>
        </w:tc>
      </w:tr>
      <w:tr w:rsidR="00902A1E" w:rsidRPr="00CB2463" w14:paraId="4485880A" w14:textId="77777777" w:rsidTr="00525CE8">
        <w:trPr>
          <w:jc w:val="center"/>
        </w:trPr>
        <w:tc>
          <w:tcPr>
            <w:tcW w:w="1590" w:type="dxa"/>
          </w:tcPr>
          <w:p w14:paraId="64922920" w14:textId="77777777" w:rsidR="00902A1E" w:rsidRPr="00CB2463" w:rsidRDefault="00902A1E" w:rsidP="00232DAD">
            <w:pPr>
              <w:pStyle w:val="NoSpacing"/>
            </w:pPr>
            <w:r w:rsidRPr="00CB2463">
              <w:t>Property status</w:t>
            </w:r>
          </w:p>
        </w:tc>
        <w:tc>
          <w:tcPr>
            <w:tcW w:w="1555" w:type="dxa"/>
            <w:shd w:val="clear" w:color="auto" w:fill="auto"/>
            <w:vAlign w:val="center"/>
          </w:tcPr>
          <w:p w14:paraId="5640A330" w14:textId="77777777" w:rsidR="00902A1E" w:rsidRPr="00CB2463" w:rsidRDefault="00902A1E" w:rsidP="00232DAD">
            <w:pPr>
              <w:pStyle w:val="NoSpacing"/>
              <w:jc w:val="center"/>
            </w:pPr>
          </w:p>
        </w:tc>
        <w:tc>
          <w:tcPr>
            <w:tcW w:w="1620" w:type="dxa"/>
            <w:shd w:val="clear" w:color="auto" w:fill="auto"/>
            <w:vAlign w:val="center"/>
          </w:tcPr>
          <w:p w14:paraId="08C15E3A" w14:textId="77777777" w:rsidR="00902A1E" w:rsidRPr="00CB2463" w:rsidRDefault="00902A1E" w:rsidP="00232DAD">
            <w:pPr>
              <w:pStyle w:val="NoSpacing"/>
              <w:jc w:val="center"/>
            </w:pPr>
          </w:p>
        </w:tc>
        <w:tc>
          <w:tcPr>
            <w:tcW w:w="1710" w:type="dxa"/>
          </w:tcPr>
          <w:p w14:paraId="7D489F39" w14:textId="77777777" w:rsidR="00902A1E" w:rsidRPr="00CB2463" w:rsidRDefault="00902A1E" w:rsidP="00232DAD">
            <w:pPr>
              <w:pStyle w:val="NoSpacing"/>
              <w:jc w:val="center"/>
            </w:pPr>
          </w:p>
        </w:tc>
        <w:tc>
          <w:tcPr>
            <w:tcW w:w="1620" w:type="dxa"/>
          </w:tcPr>
          <w:p w14:paraId="66114AD6" w14:textId="77777777" w:rsidR="00902A1E" w:rsidRPr="00CB2463" w:rsidRDefault="00902A1E" w:rsidP="00232DAD">
            <w:pPr>
              <w:pStyle w:val="NoSpacing"/>
              <w:jc w:val="center"/>
            </w:pPr>
          </w:p>
        </w:tc>
        <w:tc>
          <w:tcPr>
            <w:tcW w:w="1530" w:type="dxa"/>
          </w:tcPr>
          <w:p w14:paraId="4070DAC5" w14:textId="77777777" w:rsidR="00902A1E" w:rsidRPr="00CB2463" w:rsidRDefault="00902A1E" w:rsidP="00232DAD">
            <w:pPr>
              <w:pStyle w:val="NoSpacing"/>
              <w:jc w:val="center"/>
            </w:pPr>
          </w:p>
        </w:tc>
      </w:tr>
      <w:tr w:rsidR="00902A1E" w:rsidRPr="00CB2463" w14:paraId="696913C0" w14:textId="77777777" w:rsidTr="00525CE8">
        <w:trPr>
          <w:jc w:val="center"/>
        </w:trPr>
        <w:tc>
          <w:tcPr>
            <w:tcW w:w="1590" w:type="dxa"/>
          </w:tcPr>
          <w:p w14:paraId="51C0C49E" w14:textId="77777777" w:rsidR="00902A1E" w:rsidRPr="00CB2463" w:rsidRDefault="00902A1E" w:rsidP="00232DAD">
            <w:pPr>
              <w:pStyle w:val="NoSpacing"/>
            </w:pPr>
            <w:r w:rsidRPr="00CB2463">
              <w:t>Birth status</w:t>
            </w:r>
          </w:p>
        </w:tc>
        <w:tc>
          <w:tcPr>
            <w:tcW w:w="1555" w:type="dxa"/>
            <w:shd w:val="clear" w:color="auto" w:fill="auto"/>
            <w:vAlign w:val="center"/>
          </w:tcPr>
          <w:p w14:paraId="6B43CB32" w14:textId="77777777" w:rsidR="00902A1E" w:rsidRPr="00CB2463" w:rsidRDefault="00902A1E" w:rsidP="00232DAD">
            <w:pPr>
              <w:pStyle w:val="NoSpacing"/>
              <w:jc w:val="center"/>
            </w:pPr>
            <w:r w:rsidRPr="00CB2463">
              <w:sym w:font="Wingdings" w:char="F0FC"/>
            </w:r>
          </w:p>
        </w:tc>
        <w:tc>
          <w:tcPr>
            <w:tcW w:w="1620" w:type="dxa"/>
            <w:shd w:val="clear" w:color="auto" w:fill="auto"/>
            <w:vAlign w:val="center"/>
          </w:tcPr>
          <w:p w14:paraId="22D7294A" w14:textId="77777777" w:rsidR="00902A1E" w:rsidRPr="00CB2463" w:rsidRDefault="00902A1E" w:rsidP="00232DAD">
            <w:pPr>
              <w:pStyle w:val="NoSpacing"/>
              <w:jc w:val="center"/>
            </w:pPr>
          </w:p>
        </w:tc>
        <w:tc>
          <w:tcPr>
            <w:tcW w:w="1710" w:type="dxa"/>
          </w:tcPr>
          <w:p w14:paraId="3357B38E" w14:textId="77777777" w:rsidR="00902A1E" w:rsidRPr="00CB2463" w:rsidRDefault="00902A1E" w:rsidP="00232DAD">
            <w:pPr>
              <w:pStyle w:val="NoSpacing"/>
              <w:jc w:val="center"/>
            </w:pPr>
          </w:p>
        </w:tc>
        <w:tc>
          <w:tcPr>
            <w:tcW w:w="1620" w:type="dxa"/>
          </w:tcPr>
          <w:p w14:paraId="469026DA" w14:textId="77777777" w:rsidR="00902A1E" w:rsidRPr="00CB2463" w:rsidRDefault="00902A1E" w:rsidP="00232DAD">
            <w:pPr>
              <w:pStyle w:val="NoSpacing"/>
              <w:jc w:val="center"/>
            </w:pPr>
          </w:p>
        </w:tc>
        <w:tc>
          <w:tcPr>
            <w:tcW w:w="1530" w:type="dxa"/>
          </w:tcPr>
          <w:p w14:paraId="232F51FD" w14:textId="77777777" w:rsidR="00902A1E" w:rsidRPr="00CB2463" w:rsidRDefault="00902A1E" w:rsidP="00232DAD">
            <w:pPr>
              <w:pStyle w:val="NoSpacing"/>
              <w:jc w:val="center"/>
            </w:pPr>
          </w:p>
        </w:tc>
      </w:tr>
      <w:tr w:rsidR="00902A1E" w:rsidRPr="00CB2463" w14:paraId="2A2E9287" w14:textId="77777777" w:rsidTr="00525CE8">
        <w:trPr>
          <w:jc w:val="center"/>
        </w:trPr>
        <w:tc>
          <w:tcPr>
            <w:tcW w:w="1590" w:type="dxa"/>
          </w:tcPr>
          <w:p w14:paraId="7F279978" w14:textId="77777777" w:rsidR="00902A1E" w:rsidRPr="00CB2463" w:rsidRDefault="00902A1E" w:rsidP="00232DAD">
            <w:pPr>
              <w:pStyle w:val="NoSpacing"/>
            </w:pPr>
            <w:r w:rsidRPr="00CB2463">
              <w:t>Disability</w:t>
            </w:r>
          </w:p>
        </w:tc>
        <w:tc>
          <w:tcPr>
            <w:tcW w:w="1555" w:type="dxa"/>
            <w:shd w:val="clear" w:color="auto" w:fill="auto"/>
            <w:vAlign w:val="center"/>
          </w:tcPr>
          <w:p w14:paraId="2D377FF0" w14:textId="77777777" w:rsidR="00902A1E" w:rsidRPr="00CB2463" w:rsidRDefault="00902A1E" w:rsidP="00232DAD">
            <w:pPr>
              <w:pStyle w:val="NoSpacing"/>
              <w:jc w:val="center"/>
            </w:pPr>
            <w:r w:rsidRPr="00CB2463">
              <w:sym w:font="Wingdings" w:char="F0FC"/>
            </w:r>
          </w:p>
        </w:tc>
        <w:tc>
          <w:tcPr>
            <w:tcW w:w="1620" w:type="dxa"/>
            <w:shd w:val="clear" w:color="auto" w:fill="auto"/>
            <w:vAlign w:val="center"/>
          </w:tcPr>
          <w:p w14:paraId="4533F108" w14:textId="77777777" w:rsidR="00902A1E" w:rsidRPr="00CB2463" w:rsidRDefault="00902A1E" w:rsidP="00232DAD">
            <w:pPr>
              <w:pStyle w:val="NoSpacing"/>
              <w:jc w:val="center"/>
            </w:pPr>
            <w:r w:rsidRPr="00CB2463">
              <w:sym w:font="Wingdings" w:char="F0FC"/>
            </w:r>
          </w:p>
        </w:tc>
        <w:tc>
          <w:tcPr>
            <w:tcW w:w="1710" w:type="dxa"/>
            <w:vAlign w:val="center"/>
          </w:tcPr>
          <w:p w14:paraId="74B28763" w14:textId="77777777" w:rsidR="00902A1E" w:rsidRPr="00CB2463" w:rsidRDefault="00902A1E" w:rsidP="00232DAD">
            <w:pPr>
              <w:pStyle w:val="NoSpacing"/>
              <w:jc w:val="center"/>
            </w:pPr>
            <w:r w:rsidRPr="00CB2463">
              <w:sym w:font="Wingdings" w:char="F0FC"/>
            </w:r>
          </w:p>
        </w:tc>
        <w:tc>
          <w:tcPr>
            <w:tcW w:w="1620" w:type="dxa"/>
            <w:vAlign w:val="center"/>
          </w:tcPr>
          <w:p w14:paraId="0000C5BF" w14:textId="77777777" w:rsidR="00902A1E" w:rsidRPr="00CB2463" w:rsidRDefault="00902A1E" w:rsidP="00232DAD">
            <w:pPr>
              <w:pStyle w:val="NoSpacing"/>
              <w:jc w:val="center"/>
            </w:pPr>
            <w:r w:rsidRPr="00CB2463">
              <w:sym w:font="Wingdings" w:char="F0FC"/>
            </w:r>
          </w:p>
        </w:tc>
        <w:tc>
          <w:tcPr>
            <w:tcW w:w="1530" w:type="dxa"/>
            <w:vAlign w:val="center"/>
          </w:tcPr>
          <w:p w14:paraId="38AEEFB4" w14:textId="77777777" w:rsidR="00902A1E" w:rsidRPr="00CB2463" w:rsidRDefault="00902A1E" w:rsidP="00232DAD">
            <w:pPr>
              <w:pStyle w:val="NoSpacing"/>
              <w:jc w:val="center"/>
            </w:pPr>
            <w:r w:rsidRPr="00CB2463">
              <w:sym w:font="Wingdings" w:char="F0FC"/>
            </w:r>
          </w:p>
        </w:tc>
      </w:tr>
      <w:tr w:rsidR="00902A1E" w:rsidRPr="00CB2463" w14:paraId="49EDBF28" w14:textId="77777777" w:rsidTr="00525CE8">
        <w:trPr>
          <w:jc w:val="center"/>
        </w:trPr>
        <w:tc>
          <w:tcPr>
            <w:tcW w:w="9625" w:type="dxa"/>
            <w:gridSpan w:val="6"/>
          </w:tcPr>
          <w:p w14:paraId="57B806E7" w14:textId="77777777" w:rsidR="00902A1E" w:rsidRPr="00826442" w:rsidRDefault="00902A1E" w:rsidP="00232DAD">
            <w:pPr>
              <w:pStyle w:val="NoSpacing"/>
              <w:rPr>
                <w:i/>
                <w:iCs/>
              </w:rPr>
            </w:pPr>
            <w:r w:rsidRPr="00826442">
              <w:rPr>
                <w:i/>
                <w:iCs/>
              </w:rPr>
              <w:t xml:space="preserve">Note: An empty cell indicates no relevant provisions were found. </w:t>
            </w:r>
          </w:p>
        </w:tc>
      </w:tr>
      <w:bookmarkEnd w:id="46"/>
    </w:tbl>
    <w:p w14:paraId="40CB494F" w14:textId="77777777" w:rsidR="00902A1E" w:rsidRDefault="00902A1E" w:rsidP="00902A1E"/>
    <w:p w14:paraId="51C82521" w14:textId="77777777" w:rsidR="00902A1E" w:rsidRPr="00CB2463" w:rsidRDefault="00902A1E" w:rsidP="00902A1E">
      <w:pPr>
        <w:rPr>
          <w:b/>
          <w:bCs/>
          <w:sz w:val="22"/>
          <w:szCs w:val="22"/>
          <w:lang w:val="es-SV"/>
        </w:rPr>
      </w:pPr>
      <w:r w:rsidRPr="00CB2463">
        <w:rPr>
          <w:b/>
          <w:bCs/>
        </w:rPr>
        <w:tab/>
      </w:r>
      <w:r w:rsidRPr="00CB2463">
        <w:rPr>
          <w:b/>
          <w:bCs/>
          <w:sz w:val="22"/>
          <w:szCs w:val="22"/>
          <w:lang w:val="es-SV"/>
        </w:rPr>
        <w:t>Ley que prohíbe la discriminación laboral y adopta otras medi</w:t>
      </w:r>
      <w:r>
        <w:rPr>
          <w:b/>
          <w:bCs/>
          <w:sz w:val="22"/>
          <w:szCs w:val="22"/>
          <w:lang w:val="es-SV"/>
        </w:rPr>
        <w:t xml:space="preserve">das </w:t>
      </w:r>
      <w:r w:rsidRPr="00CB2463">
        <w:rPr>
          <w:b/>
          <w:bCs/>
          <w:sz w:val="22"/>
          <w:szCs w:val="22"/>
          <w:lang w:val="es-SV"/>
        </w:rPr>
        <w:t xml:space="preserve"> </w:t>
      </w:r>
    </w:p>
    <w:p w14:paraId="07B94D98" w14:textId="1465B75E" w:rsidR="005700AE" w:rsidRDefault="00902A1E" w:rsidP="002A05AA">
      <w:pPr>
        <w:ind w:left="720"/>
        <w:rPr>
          <w:i/>
          <w:iCs/>
          <w:sz w:val="22"/>
          <w:szCs w:val="22"/>
          <w:lang w:val="es-SV"/>
        </w:rPr>
      </w:pPr>
      <w:r w:rsidRPr="00CB2463">
        <w:rPr>
          <w:i/>
          <w:iCs/>
          <w:sz w:val="22"/>
          <w:szCs w:val="22"/>
          <w:lang w:val="es-SV"/>
        </w:rPr>
        <w:t>Art. 1. Se prohíbe la discriminación laboral, por razones de raza, nacimiento, discapacidad, clase social, sexo, religión o ideas políticas.</w:t>
      </w:r>
    </w:p>
    <w:p w14:paraId="1F5F7AE4" w14:textId="77777777" w:rsidR="00902A1E" w:rsidRPr="006B484A" w:rsidRDefault="00902A1E" w:rsidP="00902A1E">
      <w:pPr>
        <w:ind w:left="720"/>
        <w:rPr>
          <w:b/>
          <w:bCs/>
          <w:i/>
          <w:iCs/>
          <w:sz w:val="22"/>
          <w:szCs w:val="22"/>
          <w:lang w:val="es-SV"/>
        </w:rPr>
      </w:pPr>
      <w:r w:rsidRPr="006B484A">
        <w:rPr>
          <w:b/>
          <w:bCs/>
          <w:i/>
          <w:iCs/>
          <w:sz w:val="22"/>
          <w:szCs w:val="22"/>
          <w:lang w:val="es-SV"/>
        </w:rPr>
        <w:t xml:space="preserve">Ley </w:t>
      </w:r>
      <w:bookmarkStart w:id="47" w:name="_Hlk55560060"/>
      <w:r w:rsidRPr="006B484A">
        <w:rPr>
          <w:b/>
          <w:bCs/>
          <w:i/>
          <w:iCs/>
          <w:sz w:val="22"/>
          <w:szCs w:val="22"/>
          <w:lang w:val="es-SV"/>
        </w:rPr>
        <w:t>que adopta medidas de prevención contra la violencia en las mujeres y reforma el Código Penal para tipificar el femicidio y sancionar los hechos de violencia contra la mujer</w:t>
      </w:r>
      <w:bookmarkEnd w:id="47"/>
    </w:p>
    <w:p w14:paraId="1957A141" w14:textId="4C9C54EE" w:rsidR="00902A1E" w:rsidRPr="00CB2463" w:rsidRDefault="00902A1E" w:rsidP="002A05AA">
      <w:pPr>
        <w:ind w:left="720"/>
        <w:rPr>
          <w:sz w:val="22"/>
          <w:szCs w:val="22"/>
          <w:lang w:val="es-SV"/>
        </w:rPr>
      </w:pPr>
      <w:r w:rsidRPr="00CB2463">
        <w:rPr>
          <w:i/>
          <w:iCs/>
          <w:sz w:val="22"/>
          <w:szCs w:val="22"/>
          <w:lang w:val="es-SV"/>
        </w:rPr>
        <w:t xml:space="preserve"> 20. Violencia laboral y salarial. Aquella que se ejerce por las personas que tienen un vínculo laboral con la víctima, independientemente de la relación jerárquica. Incluye acoso sexual, </w:t>
      </w:r>
      <w:r w:rsidRPr="00CB2463">
        <w:rPr>
          <w:i/>
          <w:iCs/>
          <w:sz w:val="22"/>
          <w:szCs w:val="22"/>
          <w:lang w:val="es-SV"/>
        </w:rPr>
        <w:lastRenderedPageBreak/>
        <w:t>hostigamiento por pertenencia al sexo femenino, explotación, desigualdad salarial por trabajo comparable y todo tipo de discriminación</w:t>
      </w:r>
      <w:r w:rsidRPr="00CB2463">
        <w:rPr>
          <w:sz w:val="22"/>
          <w:szCs w:val="22"/>
          <w:lang w:val="es-SV"/>
        </w:rPr>
        <w:t xml:space="preserve"> basada en su sexo.</w:t>
      </w:r>
    </w:p>
    <w:p w14:paraId="51D200E5" w14:textId="77777777" w:rsidR="00902A1E" w:rsidRPr="00CB2463" w:rsidRDefault="00902A1E" w:rsidP="00902A1E">
      <w:pPr>
        <w:ind w:left="720"/>
        <w:rPr>
          <w:b/>
          <w:bCs/>
          <w:i/>
          <w:iCs/>
          <w:sz w:val="22"/>
          <w:szCs w:val="22"/>
          <w:lang w:val="es-SV"/>
        </w:rPr>
      </w:pPr>
      <w:r w:rsidRPr="00CB2463">
        <w:rPr>
          <w:b/>
          <w:bCs/>
          <w:i/>
          <w:iCs/>
          <w:sz w:val="22"/>
          <w:szCs w:val="22"/>
          <w:lang w:val="es-SV"/>
        </w:rPr>
        <w:t xml:space="preserve">Ley por la cual se establece la equiparación de oportunidades para las personas con discapacidad </w:t>
      </w:r>
    </w:p>
    <w:p w14:paraId="00793992" w14:textId="77777777" w:rsidR="00902A1E" w:rsidRPr="00CB2463" w:rsidRDefault="00902A1E" w:rsidP="00902A1E">
      <w:pPr>
        <w:ind w:left="720"/>
        <w:rPr>
          <w:i/>
          <w:iCs/>
          <w:sz w:val="22"/>
          <w:szCs w:val="22"/>
          <w:lang w:val="es-SV"/>
        </w:rPr>
      </w:pPr>
      <w:r w:rsidRPr="00CB2463">
        <w:rPr>
          <w:i/>
          <w:iCs/>
          <w:sz w:val="22"/>
          <w:szCs w:val="22"/>
          <w:lang w:val="es-SV"/>
        </w:rPr>
        <w:t xml:space="preserve">ARTÍCULO 41: Las personas con discapacidad tienen derecho a optar por un empleo productivo y remunerado, en igualdad de condiciones. Las políticas y programas de contratación y ascenso, condiciones de empleo, tasas de remuneración, ambiente laboral y de reinserción de los trabajadores lesionados en accidentes laborales, deben ser equitativos. En los casos en que personas con discapacidad apliquen para un puesto de trabajo en igualdad de calificaciones, éstas deberán ser consideradas prioritariamente para ocupar la posición. </w:t>
      </w:r>
    </w:p>
    <w:p w14:paraId="45A24A7D" w14:textId="77777777" w:rsidR="00902A1E" w:rsidRPr="00CB2463" w:rsidRDefault="00902A1E" w:rsidP="00902A1E">
      <w:pPr>
        <w:ind w:left="720"/>
        <w:rPr>
          <w:sz w:val="22"/>
          <w:szCs w:val="22"/>
          <w:lang w:val="es-SV"/>
        </w:rPr>
      </w:pPr>
      <w:r w:rsidRPr="00CB2463">
        <w:rPr>
          <w:i/>
          <w:iCs/>
          <w:sz w:val="22"/>
          <w:szCs w:val="22"/>
          <w:lang w:val="es-SV"/>
        </w:rPr>
        <w:t>ARTÍCULO 43: El trabajador cuya discapacidad haya sido diagnosticada por autoridades competentes, tendrá derecho a permanecer en su puesto de trabajo, y de no poder ejercerlo, a que se tomen las medidas para lograr su readaptación profesional u ocupacional. De igual forma, tendrá derecho a la adaptación del puesto de trabajo que ocupa dentro de la empresa o institución. Cuando el puesto de trabajo no pueda ser readaptado, el trabajador deberá ser reubicado de acuerdo con sus posibilidades y potencialidades, sin menoscabo de su salario</w:t>
      </w:r>
    </w:p>
    <w:p w14:paraId="7E107CF1" w14:textId="6AE276D7" w:rsidR="00902A1E" w:rsidRPr="00F36456" w:rsidRDefault="00902A1E" w:rsidP="0073493C">
      <w:pPr>
        <w:keepNext/>
        <w:keepLines/>
        <w:numPr>
          <w:ilvl w:val="0"/>
          <w:numId w:val="33"/>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48" w:name="_Toc56079798"/>
      <w:r w:rsidRPr="00F36456">
        <w:rPr>
          <w:rFonts w:ascii="Calibri Light" w:eastAsia="Times New Roman" w:hAnsi="Calibri Light" w:cs="Times New Roman"/>
          <w:bCs/>
          <w:color w:val="2E74B5"/>
          <w:sz w:val="26"/>
          <w:szCs w:val="26"/>
        </w:rPr>
        <w:t>Free and Compulsory Education (Article 13)</w:t>
      </w:r>
      <w:bookmarkEnd w:id="48"/>
    </w:p>
    <w:p w14:paraId="5996258E" w14:textId="77777777" w:rsidR="00902A1E" w:rsidRPr="00621EA9" w:rsidRDefault="00902A1E" w:rsidP="00902A1E">
      <w:pPr>
        <w:rPr>
          <w:sz w:val="22"/>
          <w:szCs w:val="22"/>
        </w:rPr>
      </w:pPr>
      <w:r w:rsidRPr="00621EA9">
        <w:rPr>
          <w:sz w:val="22"/>
          <w:szCs w:val="22"/>
        </w:rPr>
        <w:t xml:space="preserve">Article 13 of the Covenant states that: </w:t>
      </w:r>
    </w:p>
    <w:p w14:paraId="702BAA1A" w14:textId="77777777" w:rsidR="00902A1E" w:rsidRPr="00621EA9" w:rsidRDefault="00902A1E" w:rsidP="00902A1E">
      <w:pPr>
        <w:ind w:left="720"/>
        <w:rPr>
          <w:i/>
          <w:iCs/>
          <w:sz w:val="22"/>
          <w:szCs w:val="22"/>
        </w:rPr>
      </w:pPr>
      <w:r w:rsidRPr="00621EA9">
        <w:rPr>
          <w:i/>
          <w:iCs/>
          <w:sz w:val="22"/>
          <w:szCs w:val="22"/>
        </w:rPr>
        <w:t>1. The States Parties to the present Covenant recognize the right of everyone to education. They agree that education shall be directed to the full development of the human personality and the sense of its dignity, and shall strengthen the respect for human rights and fundamental freedoms. They further agree that education shall enable all persons to participate effectively in a free society, promote understanding, tolerance and friendship among all nations and all racial, ethnic or religious groups, and further the activities of the United Nations for the maintenance of peace.</w:t>
      </w:r>
    </w:p>
    <w:p w14:paraId="56298867" w14:textId="77777777" w:rsidR="00902A1E" w:rsidRPr="00621EA9" w:rsidRDefault="00902A1E" w:rsidP="00902A1E">
      <w:pPr>
        <w:ind w:left="720"/>
        <w:rPr>
          <w:i/>
          <w:iCs/>
          <w:sz w:val="22"/>
          <w:szCs w:val="22"/>
        </w:rPr>
      </w:pPr>
      <w:r w:rsidRPr="00621EA9">
        <w:rPr>
          <w:i/>
          <w:iCs/>
          <w:sz w:val="22"/>
          <w:szCs w:val="22"/>
        </w:rPr>
        <w:t>2. The States Parties to the present Covenant recognize that, with a view to achieving the full realization of this right:</w:t>
      </w:r>
    </w:p>
    <w:p w14:paraId="1262B30F" w14:textId="77777777" w:rsidR="00902A1E" w:rsidRPr="00621EA9" w:rsidRDefault="00902A1E" w:rsidP="00902A1E">
      <w:pPr>
        <w:ind w:left="720"/>
        <w:rPr>
          <w:i/>
          <w:iCs/>
          <w:sz w:val="22"/>
          <w:szCs w:val="22"/>
        </w:rPr>
      </w:pPr>
      <w:r w:rsidRPr="00621EA9">
        <w:rPr>
          <w:i/>
          <w:iCs/>
          <w:sz w:val="22"/>
          <w:szCs w:val="22"/>
        </w:rPr>
        <w:t>(a) Primary education shall be compulsory and available free to all;</w:t>
      </w:r>
    </w:p>
    <w:p w14:paraId="6F7BFF8B" w14:textId="77777777" w:rsidR="00902A1E" w:rsidRPr="00621EA9" w:rsidRDefault="00902A1E" w:rsidP="00902A1E">
      <w:pPr>
        <w:ind w:left="720"/>
        <w:rPr>
          <w:i/>
          <w:iCs/>
          <w:sz w:val="22"/>
          <w:szCs w:val="22"/>
        </w:rPr>
      </w:pPr>
      <w:r w:rsidRPr="00621EA9">
        <w:rPr>
          <w:i/>
          <w:iCs/>
          <w:sz w:val="22"/>
          <w:szCs w:val="22"/>
        </w:rPr>
        <w:t>(b) Secondary education in its different forms, including technical and vocational secondary education, shall be made generally available and accessible to all by every appropriate means, and in particular by the progressive introduction of free education;</w:t>
      </w:r>
    </w:p>
    <w:p w14:paraId="03076113" w14:textId="77777777" w:rsidR="00902A1E" w:rsidRPr="00621EA9" w:rsidRDefault="00902A1E" w:rsidP="00902A1E">
      <w:pPr>
        <w:rPr>
          <w:sz w:val="22"/>
          <w:szCs w:val="22"/>
        </w:rPr>
      </w:pPr>
      <w:r w:rsidRPr="00621EA9">
        <w:rPr>
          <w:sz w:val="22"/>
          <w:szCs w:val="22"/>
        </w:rPr>
        <w:t xml:space="preserve">For all 193 UN member states, we systematically reviewed education acts and child protection laws available online through UNESCO’s Observatory on the Right to Education Library and International Labour Organization’s NATLEX database. Through the review we determined whether national legislation guaranteed free and compulsory education at the primary and secondary level. </w:t>
      </w:r>
    </w:p>
    <w:p w14:paraId="4D23C6D4" w14:textId="49EB4379" w:rsidR="00902A1E" w:rsidRPr="00621EA9" w:rsidRDefault="00902A1E" w:rsidP="00902A1E">
      <w:pPr>
        <w:keepNext/>
        <w:keepLines/>
        <w:spacing w:before="40" w:afterLines="100" w:after="240"/>
        <w:outlineLvl w:val="3"/>
        <w:rPr>
          <w:rFonts w:ascii="Calibri Light" w:eastAsia="Times New Roman" w:hAnsi="Calibri Light" w:cs="Times New Roman"/>
          <w:i/>
          <w:iCs/>
          <w:color w:val="2E74B5"/>
          <w:sz w:val="22"/>
          <w:szCs w:val="22"/>
        </w:rPr>
      </w:pPr>
      <w:r w:rsidRPr="00575F1A">
        <w:rPr>
          <w:rFonts w:ascii="Calibri Light" w:eastAsia="Times New Roman" w:hAnsi="Calibri Light" w:cs="Times New Roman"/>
          <w:i/>
          <w:iCs/>
          <w:color w:val="2E74B5"/>
          <w:sz w:val="22"/>
          <w:szCs w:val="22"/>
        </w:rPr>
        <w:lastRenderedPageBreak/>
        <w:t>PANAMA’S LEGISLATIVE PROV</w:t>
      </w:r>
      <w:r w:rsidR="00826442">
        <w:rPr>
          <w:rFonts w:ascii="Calibri Light" w:eastAsia="Times New Roman" w:hAnsi="Calibri Light" w:cs="Times New Roman"/>
          <w:i/>
          <w:iCs/>
          <w:color w:val="2E74B5"/>
          <w:sz w:val="22"/>
          <w:szCs w:val="22"/>
        </w:rPr>
        <w:t>I</w:t>
      </w:r>
      <w:r w:rsidRPr="00575F1A">
        <w:rPr>
          <w:rFonts w:ascii="Calibri Light" w:eastAsia="Times New Roman" w:hAnsi="Calibri Light" w:cs="Times New Roman"/>
          <w:i/>
          <w:iCs/>
          <w:color w:val="2E74B5"/>
          <w:sz w:val="22"/>
          <w:szCs w:val="22"/>
        </w:rPr>
        <w:t>SIONS:</w:t>
      </w:r>
      <w:r w:rsidRPr="005E4090">
        <w:rPr>
          <w:rFonts w:ascii="Calibri Light" w:eastAsia="Times New Roman" w:hAnsi="Calibri Light" w:cs="Times New Roman"/>
          <w:i/>
          <w:iCs/>
          <w:color w:val="2E74B5"/>
          <w:sz w:val="22"/>
          <w:szCs w:val="22"/>
        </w:rPr>
        <w:t xml:space="preserve"> </w:t>
      </w:r>
      <w:r>
        <w:rPr>
          <w:rFonts w:ascii="Calibri Light" w:eastAsia="Times New Roman" w:hAnsi="Calibri Light" w:cs="Times New Roman"/>
          <w:i/>
          <w:iCs/>
          <w:color w:val="2E74B5"/>
          <w:sz w:val="22"/>
          <w:szCs w:val="22"/>
        </w:rPr>
        <w:t>GUARANTEED FREE AND COMPULSORY EDUCATION THROUGH LOWER SECONDARY LEVEL</w:t>
      </w:r>
    </w:p>
    <w:p w14:paraId="519F4DC1" w14:textId="2472F9B1" w:rsidR="00902A1E" w:rsidRDefault="00902A1E" w:rsidP="002A05AA">
      <w:pPr>
        <w:spacing w:after="0"/>
        <w:rPr>
          <w:sz w:val="22"/>
          <w:szCs w:val="22"/>
        </w:rPr>
      </w:pPr>
      <w:r w:rsidRPr="00621EA9">
        <w:rPr>
          <w:sz w:val="22"/>
          <w:szCs w:val="22"/>
        </w:rPr>
        <w:t xml:space="preserve">According to the </w:t>
      </w:r>
      <w:r w:rsidRPr="00621EA9">
        <w:rPr>
          <w:i/>
          <w:iCs/>
          <w:sz w:val="22"/>
          <w:szCs w:val="22"/>
        </w:rPr>
        <w:t>Ley Orgánica de Educación</w:t>
      </w:r>
      <w:r w:rsidRPr="00621EA9">
        <w:rPr>
          <w:sz w:val="22"/>
          <w:szCs w:val="22"/>
        </w:rPr>
        <w:t>, Panama guarantees 11 years of free and compulsory education, covering primary education and lower secondary education. The law further specifies that upper secondary, although not compulsory, is provided free to all students. Despite these legislative guarantees, 2017 data from the UNESCO Institute for Statistics estimates that approximately 13% of</w:t>
      </w:r>
      <w:r w:rsidR="00F36456">
        <w:rPr>
          <w:sz w:val="22"/>
          <w:szCs w:val="22"/>
        </w:rPr>
        <w:t xml:space="preserve"> both</w:t>
      </w:r>
      <w:r w:rsidRPr="00621EA9">
        <w:rPr>
          <w:sz w:val="22"/>
          <w:szCs w:val="22"/>
        </w:rPr>
        <w:t xml:space="preserve"> primary school age children and lower secondary age adolescents are not enrolled in school.</w:t>
      </w:r>
      <w:r w:rsidRPr="00621EA9">
        <w:rPr>
          <w:rStyle w:val="FootnoteReference"/>
          <w:sz w:val="22"/>
          <w:szCs w:val="22"/>
        </w:rPr>
        <w:footnoteReference w:id="1"/>
      </w:r>
      <w:r w:rsidRPr="00621EA9">
        <w:rPr>
          <w:sz w:val="22"/>
          <w:szCs w:val="22"/>
        </w:rPr>
        <w:t xml:space="preserve"> </w:t>
      </w:r>
    </w:p>
    <w:p w14:paraId="69E1BCDC" w14:textId="77777777" w:rsidR="002A05AA" w:rsidRPr="00621EA9" w:rsidRDefault="002A05AA" w:rsidP="002A05AA">
      <w:pPr>
        <w:spacing w:after="0"/>
        <w:rPr>
          <w:sz w:val="22"/>
          <w:szCs w:val="22"/>
        </w:rPr>
      </w:pPr>
    </w:p>
    <w:p w14:paraId="6776C40C" w14:textId="77777777" w:rsidR="00902A1E" w:rsidRPr="00621EA9" w:rsidRDefault="00902A1E" w:rsidP="00902A1E">
      <w:pPr>
        <w:ind w:left="720"/>
        <w:rPr>
          <w:b/>
          <w:bCs/>
          <w:i/>
          <w:iCs/>
          <w:sz w:val="22"/>
          <w:szCs w:val="22"/>
          <w:lang w:val="es-SV"/>
        </w:rPr>
      </w:pPr>
      <w:r w:rsidRPr="00621EA9">
        <w:rPr>
          <w:b/>
          <w:bCs/>
          <w:i/>
          <w:iCs/>
          <w:sz w:val="22"/>
          <w:szCs w:val="22"/>
          <w:lang w:val="es-SV"/>
        </w:rPr>
        <w:t>Ley Orgánica de Educación</w:t>
      </w:r>
    </w:p>
    <w:p w14:paraId="524BDF84" w14:textId="77777777" w:rsidR="00902A1E" w:rsidRPr="00621EA9" w:rsidRDefault="00902A1E" w:rsidP="00902A1E">
      <w:pPr>
        <w:ind w:left="720"/>
        <w:rPr>
          <w:i/>
          <w:iCs/>
          <w:sz w:val="22"/>
          <w:szCs w:val="22"/>
          <w:lang w:val="es-SV"/>
        </w:rPr>
      </w:pPr>
      <w:r w:rsidRPr="00621EA9">
        <w:rPr>
          <w:i/>
          <w:iCs/>
          <w:sz w:val="22"/>
          <w:szCs w:val="22"/>
          <w:lang w:val="es-SV"/>
        </w:rPr>
        <w:t>Articulo 3</w:t>
      </w:r>
      <w:r>
        <w:rPr>
          <w:i/>
          <w:iCs/>
          <w:sz w:val="22"/>
          <w:szCs w:val="22"/>
          <w:lang w:val="es-SV"/>
        </w:rPr>
        <w:t xml:space="preserve">. </w:t>
      </w:r>
      <w:r w:rsidRPr="00621EA9">
        <w:rPr>
          <w:i/>
          <w:iCs/>
          <w:sz w:val="22"/>
          <w:szCs w:val="22"/>
          <w:lang w:val="es-SV"/>
        </w:rPr>
        <w:t xml:space="preserve">La educación sistematizada que los planteles oficiales imparten se divide en preescolar o pre-primaria, primaria, secundaria y universitaria. </w:t>
      </w:r>
    </w:p>
    <w:p w14:paraId="43CABF04" w14:textId="77777777" w:rsidR="00902A1E" w:rsidRPr="00621EA9" w:rsidRDefault="00902A1E" w:rsidP="00902A1E">
      <w:pPr>
        <w:ind w:left="720"/>
        <w:rPr>
          <w:i/>
          <w:iCs/>
          <w:sz w:val="22"/>
          <w:szCs w:val="22"/>
          <w:lang w:val="es-SV"/>
        </w:rPr>
      </w:pPr>
      <w:r w:rsidRPr="00621EA9">
        <w:rPr>
          <w:i/>
          <w:iCs/>
          <w:sz w:val="22"/>
          <w:szCs w:val="22"/>
          <w:lang w:val="es-SV"/>
        </w:rPr>
        <w:t>Articulo 64.</w:t>
      </w:r>
      <w:r>
        <w:rPr>
          <w:i/>
          <w:iCs/>
          <w:sz w:val="22"/>
          <w:szCs w:val="22"/>
          <w:lang w:val="es-SV"/>
        </w:rPr>
        <w:t xml:space="preserve"> </w:t>
      </w:r>
      <w:r w:rsidRPr="00621EA9">
        <w:rPr>
          <w:i/>
          <w:iCs/>
          <w:sz w:val="22"/>
          <w:szCs w:val="22"/>
          <w:lang w:val="es-SV"/>
        </w:rPr>
        <w:t>El subsistema regular se organiza en tres niveles:</w:t>
      </w:r>
    </w:p>
    <w:p w14:paraId="540EE427" w14:textId="77777777" w:rsidR="00902A1E" w:rsidRPr="00621EA9" w:rsidRDefault="00902A1E" w:rsidP="00902A1E">
      <w:pPr>
        <w:ind w:left="720"/>
        <w:rPr>
          <w:i/>
          <w:iCs/>
          <w:sz w:val="22"/>
          <w:szCs w:val="22"/>
          <w:lang w:val="es-SV"/>
        </w:rPr>
      </w:pPr>
      <w:r w:rsidRPr="00621EA9">
        <w:rPr>
          <w:i/>
          <w:iCs/>
          <w:sz w:val="22"/>
          <w:szCs w:val="22"/>
          <w:lang w:val="es-SV"/>
        </w:rPr>
        <w:t>1. Primer nivel de enseñanza o educación básica general, que es de carácter universal, gratuito y obligatorio, con una duración de once (11) anos e incluye:</w:t>
      </w:r>
    </w:p>
    <w:p w14:paraId="5A5394FE" w14:textId="77777777" w:rsidR="00902A1E" w:rsidRPr="00621EA9" w:rsidRDefault="00902A1E" w:rsidP="00902A1E">
      <w:pPr>
        <w:ind w:left="720"/>
        <w:rPr>
          <w:i/>
          <w:iCs/>
          <w:sz w:val="22"/>
          <w:szCs w:val="22"/>
          <w:lang w:val="es-SV"/>
        </w:rPr>
      </w:pPr>
      <w:r w:rsidRPr="00621EA9">
        <w:rPr>
          <w:i/>
          <w:iCs/>
          <w:sz w:val="22"/>
          <w:szCs w:val="22"/>
          <w:lang w:val="es-SV"/>
        </w:rPr>
        <w:t>a. Educacion presescolar, para menores de cuatro (4) a cinco (5) anos, con duraction de dos (2) andos,</w:t>
      </w:r>
    </w:p>
    <w:p w14:paraId="5387B288" w14:textId="77777777" w:rsidR="00902A1E" w:rsidRPr="00621EA9" w:rsidRDefault="00902A1E" w:rsidP="00902A1E">
      <w:pPr>
        <w:ind w:left="720"/>
        <w:rPr>
          <w:i/>
          <w:iCs/>
          <w:sz w:val="22"/>
          <w:szCs w:val="22"/>
          <w:lang w:val="es-SV"/>
        </w:rPr>
      </w:pPr>
      <w:r w:rsidRPr="00621EA9">
        <w:rPr>
          <w:i/>
          <w:iCs/>
          <w:sz w:val="22"/>
          <w:szCs w:val="22"/>
          <w:lang w:val="es-SV"/>
        </w:rPr>
        <w:t>b. Educacion primaria, con una duración de seis (6) anos</w:t>
      </w:r>
    </w:p>
    <w:p w14:paraId="17D8F894" w14:textId="77777777" w:rsidR="00902A1E" w:rsidRPr="00621EA9" w:rsidRDefault="00902A1E" w:rsidP="00902A1E">
      <w:pPr>
        <w:ind w:left="720"/>
        <w:rPr>
          <w:i/>
          <w:iCs/>
          <w:sz w:val="22"/>
          <w:szCs w:val="22"/>
          <w:lang w:val="es-SV"/>
        </w:rPr>
      </w:pPr>
      <w:r w:rsidRPr="00621EA9">
        <w:rPr>
          <w:i/>
          <w:iCs/>
          <w:sz w:val="22"/>
          <w:szCs w:val="22"/>
          <w:lang w:val="es-SV"/>
        </w:rPr>
        <w:t>c. Educacion premedia, con una duración de tres (3) anos</w:t>
      </w:r>
    </w:p>
    <w:p w14:paraId="79C51230" w14:textId="77777777" w:rsidR="00902A1E" w:rsidRPr="00621EA9" w:rsidRDefault="00902A1E" w:rsidP="00902A1E">
      <w:pPr>
        <w:ind w:left="720"/>
        <w:rPr>
          <w:i/>
          <w:iCs/>
          <w:sz w:val="22"/>
          <w:szCs w:val="22"/>
          <w:lang w:val="es-SV"/>
        </w:rPr>
      </w:pPr>
      <w:r w:rsidRPr="00621EA9">
        <w:rPr>
          <w:i/>
          <w:iCs/>
          <w:sz w:val="22"/>
          <w:szCs w:val="22"/>
          <w:lang w:val="es-SV"/>
        </w:rPr>
        <w:t>2. Segundo nivel de enseñanza o educación media, de carácter gratuito con una duración de tres anos</w:t>
      </w:r>
    </w:p>
    <w:p w14:paraId="1857C622" w14:textId="77777777" w:rsidR="00902A1E" w:rsidRPr="00621EA9" w:rsidRDefault="00902A1E" w:rsidP="00902A1E">
      <w:pPr>
        <w:ind w:left="720"/>
        <w:rPr>
          <w:i/>
          <w:iCs/>
          <w:sz w:val="22"/>
          <w:szCs w:val="22"/>
          <w:lang w:val="es-SV"/>
        </w:rPr>
      </w:pPr>
      <w:r w:rsidRPr="00621EA9">
        <w:rPr>
          <w:i/>
          <w:iCs/>
          <w:sz w:val="22"/>
          <w:szCs w:val="22"/>
          <w:lang w:val="es-SV"/>
        </w:rPr>
        <w:t>Articulo 71. La educación primaria es gratuita y obligatoria. La obligatoriedad de la enseñanza se refiere no solo a la obligación del niño de recibirla, sino también a la obligación que tiene el Estado de impartirla.</w:t>
      </w:r>
    </w:p>
    <w:p w14:paraId="7A58C237" w14:textId="77777777" w:rsidR="00902A1E" w:rsidRPr="00621EA9" w:rsidRDefault="00902A1E" w:rsidP="00902A1E">
      <w:pPr>
        <w:ind w:left="720"/>
        <w:rPr>
          <w:sz w:val="22"/>
          <w:szCs w:val="22"/>
          <w:lang w:val="es-SV"/>
        </w:rPr>
      </w:pPr>
      <w:r w:rsidRPr="00621EA9">
        <w:rPr>
          <w:i/>
          <w:iCs/>
          <w:sz w:val="22"/>
          <w:szCs w:val="22"/>
          <w:lang w:val="es-SV"/>
        </w:rPr>
        <w:t>Articulo 81. El segundo nivel de ensenanza o educacion media es de caracter gratuito y diversificado, con una duracion de trees (3) anos lectivos.</w:t>
      </w:r>
    </w:p>
    <w:p w14:paraId="3A1FBD34" w14:textId="54189C0D" w:rsidR="00902A1E" w:rsidRDefault="00902A1E" w:rsidP="00902A1E">
      <w:pPr>
        <w:spacing w:after="0"/>
        <w:rPr>
          <w:lang w:val="es-SV"/>
        </w:rPr>
      </w:pPr>
    </w:p>
    <w:p w14:paraId="141741A8" w14:textId="77777777" w:rsidR="002A05AA" w:rsidRDefault="002A05AA" w:rsidP="00902A1E">
      <w:pPr>
        <w:spacing w:after="0"/>
        <w:rPr>
          <w:lang w:val="es-SV"/>
        </w:rPr>
      </w:pPr>
    </w:p>
    <w:p w14:paraId="5B3E7590" w14:textId="77777777" w:rsidR="002A05AA" w:rsidRDefault="002A05AA" w:rsidP="00902A1E">
      <w:pPr>
        <w:spacing w:after="0"/>
        <w:rPr>
          <w:lang w:val="es-SV"/>
        </w:rPr>
      </w:pPr>
    </w:p>
    <w:p w14:paraId="0631039C" w14:textId="77777777" w:rsidR="002A05AA" w:rsidRDefault="002A05AA" w:rsidP="00902A1E">
      <w:pPr>
        <w:spacing w:after="0"/>
        <w:rPr>
          <w:lang w:val="es-SV"/>
        </w:rPr>
      </w:pPr>
    </w:p>
    <w:p w14:paraId="673E4C27" w14:textId="1503D36E" w:rsidR="00525CE8" w:rsidRPr="00F36456" w:rsidRDefault="00525CE8" w:rsidP="0073493C">
      <w:pPr>
        <w:keepNext/>
        <w:keepLines/>
        <w:numPr>
          <w:ilvl w:val="0"/>
          <w:numId w:val="33"/>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1" w:name="_Toc56079799"/>
      <w:bookmarkStart w:id="52" w:name="_Hlk56078265"/>
      <w:r w:rsidRPr="00F36456">
        <w:rPr>
          <w:rFonts w:ascii="Calibri Light" w:eastAsia="Times New Roman" w:hAnsi="Calibri Light" w:cs="Times New Roman"/>
          <w:bCs/>
          <w:color w:val="2E74B5"/>
          <w:sz w:val="26"/>
          <w:szCs w:val="26"/>
        </w:rPr>
        <w:lastRenderedPageBreak/>
        <w:t>Child Labor (Article 1</w:t>
      </w:r>
      <w:r w:rsidR="00C85983" w:rsidRPr="00F36456">
        <w:rPr>
          <w:rFonts w:ascii="Calibri Light" w:eastAsia="Times New Roman" w:hAnsi="Calibri Light" w:cs="Times New Roman"/>
          <w:bCs/>
          <w:color w:val="2E74B5"/>
          <w:sz w:val="26"/>
          <w:szCs w:val="26"/>
        </w:rPr>
        <w:t>0</w:t>
      </w:r>
      <w:r w:rsidR="00290E11" w:rsidRPr="00F36456">
        <w:rPr>
          <w:rFonts w:ascii="Calibri Light" w:eastAsia="Times New Roman" w:hAnsi="Calibri Light" w:cs="Times New Roman"/>
          <w:bCs/>
          <w:color w:val="2E74B5"/>
          <w:sz w:val="26"/>
          <w:szCs w:val="26"/>
        </w:rPr>
        <w:t>, General Comment No. 18</w:t>
      </w:r>
      <w:r w:rsidRPr="00F36456">
        <w:rPr>
          <w:rFonts w:ascii="Calibri Light" w:eastAsia="Times New Roman" w:hAnsi="Calibri Light" w:cs="Times New Roman"/>
          <w:bCs/>
          <w:color w:val="2E74B5"/>
          <w:sz w:val="26"/>
          <w:szCs w:val="26"/>
        </w:rPr>
        <w:t>)</w:t>
      </w:r>
      <w:bookmarkEnd w:id="51"/>
    </w:p>
    <w:p w14:paraId="63064BB9" w14:textId="1170E75C" w:rsidR="00525CE8" w:rsidRPr="00BD11ED" w:rsidRDefault="007A287E" w:rsidP="00BD11ED">
      <w:pPr>
        <w:rPr>
          <w:sz w:val="22"/>
          <w:szCs w:val="22"/>
        </w:rPr>
      </w:pPr>
      <w:bookmarkStart w:id="53" w:name="_Hlk56078299"/>
      <w:bookmarkEnd w:id="52"/>
      <w:r w:rsidRPr="00BD11ED">
        <w:rPr>
          <w:sz w:val="22"/>
          <w:szCs w:val="22"/>
        </w:rPr>
        <w:t>A</w:t>
      </w:r>
      <w:r w:rsidR="00BD11ED" w:rsidRPr="00BD11ED">
        <w:rPr>
          <w:sz w:val="22"/>
          <w:szCs w:val="22"/>
        </w:rPr>
        <w:t xml:space="preserve">rticle 10 of the Covenant requires States Parties to recognize the special measures needed to protect children for economic exploitation. Specifically, the Article states: </w:t>
      </w:r>
    </w:p>
    <w:p w14:paraId="3368643A" w14:textId="1463F0A2" w:rsidR="00BD11ED" w:rsidRPr="00BD11ED" w:rsidRDefault="00BD11ED" w:rsidP="00BD11ED">
      <w:pPr>
        <w:ind w:left="720"/>
        <w:rPr>
          <w:i/>
          <w:iCs/>
          <w:sz w:val="22"/>
          <w:szCs w:val="22"/>
        </w:rPr>
      </w:pPr>
      <w:r w:rsidRPr="00BD11ED">
        <w:rPr>
          <w:i/>
          <w:iCs/>
          <w:sz w:val="22"/>
          <w:szCs w:val="22"/>
        </w:rPr>
        <w:t>Their employment in work harmful to their morals or health or dangerous to life or likely to hamper their normal development should be punishable by law. States should also set age limits below which the paid employment of child labour should be prohibited and punishable by law.</w:t>
      </w:r>
    </w:p>
    <w:p w14:paraId="7DAAF596" w14:textId="5A3E90AF" w:rsidR="00BD11ED" w:rsidRPr="00BD11ED" w:rsidRDefault="00BD11ED" w:rsidP="00BD11ED">
      <w:pPr>
        <w:rPr>
          <w:sz w:val="22"/>
          <w:szCs w:val="22"/>
        </w:rPr>
      </w:pPr>
      <w:r w:rsidRPr="00BD11ED">
        <w:rPr>
          <w:sz w:val="22"/>
          <w:szCs w:val="22"/>
        </w:rPr>
        <w:t>In addition, General Comment No. 18 obligates State Parties to implement Article 10 of the Covenant by taking “effective measures, in particular legislative measures, to prohibit labour of children under the age of 16.”</w:t>
      </w:r>
    </w:p>
    <w:p w14:paraId="198E57C7" w14:textId="3A2F3A2E" w:rsidR="00BD11ED" w:rsidRPr="00BD11ED" w:rsidRDefault="00BD11ED" w:rsidP="00BD11ED">
      <w:pPr>
        <w:spacing w:after="0"/>
        <w:rPr>
          <w:sz w:val="22"/>
          <w:szCs w:val="22"/>
        </w:rPr>
      </w:pPr>
      <w:r w:rsidRPr="00BD11ED">
        <w:rPr>
          <w:sz w:val="22"/>
          <w:szCs w:val="22"/>
        </w:rPr>
        <w:t>We systematically reviewed national labor and child-related legislation available through the International Labo</w:t>
      </w:r>
      <w:r w:rsidR="00061250">
        <w:rPr>
          <w:sz w:val="22"/>
          <w:szCs w:val="22"/>
        </w:rPr>
        <w:t>u</w:t>
      </w:r>
      <w:r w:rsidRPr="00BD11ED">
        <w:rPr>
          <w:sz w:val="22"/>
          <w:szCs w:val="22"/>
        </w:rPr>
        <w:t>r Organization’s NATLEX database for all 193 UN member states to determine whether national legislation established a minimum age for admission to employment</w:t>
      </w:r>
      <w:r>
        <w:rPr>
          <w:sz w:val="22"/>
          <w:szCs w:val="22"/>
        </w:rPr>
        <w:t xml:space="preserve"> and</w:t>
      </w:r>
      <w:r w:rsidRPr="00BD11ED">
        <w:rPr>
          <w:sz w:val="22"/>
          <w:szCs w:val="22"/>
        </w:rPr>
        <w:t xml:space="preserve"> hazardous </w:t>
      </w:r>
      <w:r w:rsidR="00290E11">
        <w:rPr>
          <w:sz w:val="22"/>
          <w:szCs w:val="22"/>
        </w:rPr>
        <w:t>employment</w:t>
      </w:r>
      <w:r>
        <w:rPr>
          <w:sz w:val="22"/>
          <w:szCs w:val="22"/>
        </w:rPr>
        <w:t xml:space="preserve">. </w:t>
      </w:r>
    </w:p>
    <w:bookmarkEnd w:id="53"/>
    <w:p w14:paraId="319F9199" w14:textId="77777777" w:rsidR="007A287E" w:rsidRDefault="007A287E" w:rsidP="00902A1E">
      <w:pPr>
        <w:spacing w:after="0"/>
      </w:pPr>
    </w:p>
    <w:p w14:paraId="4A64FF0F" w14:textId="7121864B" w:rsidR="007A287E" w:rsidRDefault="00290E11" w:rsidP="00902A1E">
      <w:pPr>
        <w:spacing w:after="0"/>
        <w:rPr>
          <w:rFonts w:ascii="Calibri Light" w:eastAsia="Times New Roman" w:hAnsi="Calibri Light" w:cs="Times New Roman"/>
          <w:i/>
          <w:iCs/>
          <w:color w:val="2E74B5"/>
          <w:sz w:val="22"/>
          <w:szCs w:val="22"/>
        </w:rPr>
      </w:pPr>
      <w:bookmarkStart w:id="54" w:name="_Hlk57131219"/>
      <w:r w:rsidRPr="00575F1A">
        <w:rPr>
          <w:rFonts w:ascii="Calibri Light" w:eastAsia="Times New Roman" w:hAnsi="Calibri Light" w:cs="Times New Roman"/>
          <w:i/>
          <w:iCs/>
          <w:color w:val="2E74B5"/>
          <w:sz w:val="22"/>
          <w:szCs w:val="22"/>
        </w:rPr>
        <w:t>PANAMA’S LEGISLATIVE PROV</w:t>
      </w:r>
      <w:r w:rsidR="00935B47">
        <w:rPr>
          <w:rFonts w:ascii="Calibri Light" w:eastAsia="Times New Roman" w:hAnsi="Calibri Light" w:cs="Times New Roman"/>
          <w:i/>
          <w:iCs/>
          <w:color w:val="2E74B5"/>
          <w:sz w:val="22"/>
          <w:szCs w:val="22"/>
        </w:rPr>
        <w:t>I</w:t>
      </w:r>
      <w:r w:rsidRPr="00575F1A">
        <w:rPr>
          <w:rFonts w:ascii="Calibri Light" w:eastAsia="Times New Roman" w:hAnsi="Calibri Light" w:cs="Times New Roman"/>
          <w:i/>
          <w:iCs/>
          <w:color w:val="2E74B5"/>
          <w:sz w:val="22"/>
          <w:szCs w:val="22"/>
        </w:rPr>
        <w:t>SIONS:</w:t>
      </w:r>
      <w:r>
        <w:rPr>
          <w:rFonts w:ascii="Calibri Light" w:eastAsia="Times New Roman" w:hAnsi="Calibri Light" w:cs="Times New Roman"/>
          <w:i/>
          <w:iCs/>
          <w:color w:val="2E74B5"/>
          <w:sz w:val="22"/>
          <w:szCs w:val="22"/>
        </w:rPr>
        <w:t xml:space="preserve"> </w:t>
      </w:r>
      <w:r w:rsidR="00F36456">
        <w:rPr>
          <w:rFonts w:ascii="Calibri Light" w:eastAsia="Times New Roman" w:hAnsi="Calibri Light" w:cs="Times New Roman"/>
          <w:i/>
          <w:iCs/>
          <w:color w:val="2E74B5"/>
          <w:sz w:val="22"/>
          <w:szCs w:val="22"/>
        </w:rPr>
        <w:t>CHILDREN CAN WORK AT THE AGE OF 14</w:t>
      </w:r>
    </w:p>
    <w:p w14:paraId="3E05F1B6" w14:textId="7904771F" w:rsidR="00E46C5C" w:rsidRPr="00E46C5C" w:rsidRDefault="00290E11" w:rsidP="00902A1E">
      <w:pPr>
        <w:spacing w:after="0"/>
        <w:rPr>
          <w:sz w:val="22"/>
          <w:szCs w:val="22"/>
        </w:rPr>
      </w:pPr>
      <w:r w:rsidRPr="00E46C5C">
        <w:rPr>
          <w:sz w:val="22"/>
          <w:szCs w:val="22"/>
        </w:rPr>
        <w:t xml:space="preserve">Based on our review, </w:t>
      </w:r>
      <w:r w:rsidR="00E46C5C" w:rsidRPr="00E46C5C">
        <w:rPr>
          <w:sz w:val="22"/>
          <w:szCs w:val="22"/>
        </w:rPr>
        <w:t xml:space="preserve">Article 118 </w:t>
      </w:r>
      <w:r w:rsidR="00F36456" w:rsidRPr="00E46C5C">
        <w:rPr>
          <w:sz w:val="22"/>
          <w:szCs w:val="22"/>
        </w:rPr>
        <w:t xml:space="preserve">of Panama’s Código de Trabajo </w:t>
      </w:r>
      <w:r w:rsidR="00E46C5C" w:rsidRPr="00E46C5C">
        <w:rPr>
          <w:sz w:val="22"/>
          <w:szCs w:val="22"/>
        </w:rPr>
        <w:t xml:space="preserve">prohibits children under the age of 18 from being employed in hazardous work. However, Article 83 and Article 117 </w:t>
      </w:r>
      <w:r w:rsidR="00F36456">
        <w:rPr>
          <w:sz w:val="22"/>
          <w:szCs w:val="22"/>
        </w:rPr>
        <w:t>of the law</w:t>
      </w:r>
      <w:r w:rsidR="00E46C5C" w:rsidRPr="00E46C5C">
        <w:rPr>
          <w:sz w:val="22"/>
          <w:szCs w:val="22"/>
        </w:rPr>
        <w:t xml:space="preserve"> permit children </w:t>
      </w:r>
      <w:r w:rsidR="00F36456">
        <w:rPr>
          <w:sz w:val="22"/>
          <w:szCs w:val="22"/>
        </w:rPr>
        <w:t>to work in non-hazardous work</w:t>
      </w:r>
      <w:r w:rsidR="00F36456" w:rsidRPr="00F36456">
        <w:rPr>
          <w:sz w:val="22"/>
          <w:szCs w:val="22"/>
        </w:rPr>
        <w:t xml:space="preserve"> </w:t>
      </w:r>
      <w:r w:rsidR="00F36456">
        <w:rPr>
          <w:sz w:val="22"/>
          <w:szCs w:val="22"/>
        </w:rPr>
        <w:t xml:space="preserve">at the age of 14 if they have completed primary education. </w:t>
      </w:r>
    </w:p>
    <w:bookmarkEnd w:id="54"/>
    <w:p w14:paraId="28D0997C" w14:textId="77777777" w:rsidR="00E46C5C" w:rsidRDefault="00E46C5C" w:rsidP="00902A1E">
      <w:pPr>
        <w:spacing w:after="0"/>
      </w:pPr>
    </w:p>
    <w:p w14:paraId="6846ABA9" w14:textId="64E86D42" w:rsidR="00E46C5C" w:rsidRPr="00E46C5C" w:rsidRDefault="00E46C5C" w:rsidP="00E46C5C">
      <w:pPr>
        <w:spacing w:after="0"/>
        <w:ind w:left="720"/>
        <w:rPr>
          <w:b/>
          <w:bCs/>
          <w:i/>
          <w:iCs/>
          <w:sz w:val="22"/>
          <w:szCs w:val="22"/>
          <w:lang w:val="es-SV"/>
        </w:rPr>
      </w:pPr>
      <w:r w:rsidRPr="00E46C5C">
        <w:rPr>
          <w:b/>
          <w:bCs/>
          <w:i/>
          <w:iCs/>
          <w:sz w:val="22"/>
          <w:szCs w:val="22"/>
          <w:lang w:val="es-SV"/>
        </w:rPr>
        <w:t>Código de Trabajo</w:t>
      </w:r>
    </w:p>
    <w:p w14:paraId="7A346508" w14:textId="77777777" w:rsidR="00E46C5C" w:rsidRPr="00E46C5C" w:rsidRDefault="00E46C5C" w:rsidP="00E46C5C">
      <w:pPr>
        <w:spacing w:after="0"/>
        <w:ind w:left="720"/>
        <w:rPr>
          <w:i/>
          <w:iCs/>
          <w:sz w:val="22"/>
          <w:szCs w:val="22"/>
          <w:lang w:val="es-SV"/>
        </w:rPr>
      </w:pPr>
      <w:r w:rsidRPr="00E46C5C">
        <w:rPr>
          <w:i/>
          <w:iCs/>
          <w:sz w:val="22"/>
          <w:szCs w:val="22"/>
          <w:lang w:val="es-SV"/>
        </w:rPr>
        <w:t>Artículo 83.  Toda persona que haya cumplido catorce años de edad puede obligarse como trabajador, con las limitaciones establecidas en este Código.</w:t>
      </w:r>
    </w:p>
    <w:p w14:paraId="7967B69A" w14:textId="77777777" w:rsidR="00E46C5C" w:rsidRDefault="00E46C5C" w:rsidP="00E46C5C">
      <w:pPr>
        <w:spacing w:after="0"/>
        <w:ind w:left="720"/>
        <w:rPr>
          <w:i/>
          <w:iCs/>
          <w:sz w:val="22"/>
          <w:szCs w:val="22"/>
          <w:lang w:val="es-SV"/>
        </w:rPr>
      </w:pPr>
    </w:p>
    <w:p w14:paraId="4714E0A9" w14:textId="43B45D2F" w:rsidR="00E46C5C" w:rsidRPr="00E46C5C" w:rsidRDefault="00E46C5C" w:rsidP="00E46C5C">
      <w:pPr>
        <w:spacing w:after="0"/>
        <w:ind w:left="720"/>
        <w:rPr>
          <w:i/>
          <w:iCs/>
          <w:sz w:val="22"/>
          <w:szCs w:val="22"/>
          <w:lang w:val="es-SV"/>
        </w:rPr>
      </w:pPr>
      <w:r w:rsidRPr="00E46C5C">
        <w:rPr>
          <w:i/>
          <w:iCs/>
          <w:sz w:val="22"/>
          <w:szCs w:val="22"/>
          <w:lang w:val="es-SV"/>
        </w:rPr>
        <w:t xml:space="preserve">Artículo 117.  Es prohibido el trabajo: </w:t>
      </w:r>
    </w:p>
    <w:p w14:paraId="06FB9DDF" w14:textId="77777777" w:rsidR="00E46C5C" w:rsidRPr="00E46C5C" w:rsidRDefault="00E46C5C" w:rsidP="00E46C5C">
      <w:pPr>
        <w:spacing w:after="0"/>
        <w:ind w:left="720"/>
        <w:rPr>
          <w:i/>
          <w:iCs/>
          <w:sz w:val="22"/>
          <w:szCs w:val="22"/>
          <w:lang w:val="es-SV"/>
        </w:rPr>
      </w:pPr>
      <w:r w:rsidRPr="00E46C5C">
        <w:rPr>
          <w:i/>
          <w:iCs/>
          <w:sz w:val="22"/>
          <w:szCs w:val="22"/>
          <w:lang w:val="es-SV"/>
        </w:rPr>
        <w:t xml:space="preserve">1. De los menores que no hayan cumplido catorce años. </w:t>
      </w:r>
    </w:p>
    <w:p w14:paraId="51CDC29B" w14:textId="2F3E7BD9" w:rsidR="00E46C5C" w:rsidRDefault="00E46C5C" w:rsidP="00E46C5C">
      <w:pPr>
        <w:spacing w:after="0"/>
        <w:ind w:left="720"/>
        <w:rPr>
          <w:sz w:val="22"/>
          <w:szCs w:val="22"/>
          <w:lang w:val="es-SV"/>
        </w:rPr>
      </w:pPr>
      <w:r w:rsidRPr="00E46C5C">
        <w:rPr>
          <w:i/>
          <w:iCs/>
          <w:sz w:val="22"/>
          <w:szCs w:val="22"/>
          <w:lang w:val="es-SV"/>
        </w:rPr>
        <w:t>2. De menores hasta de quince años que no hayan completado la</w:t>
      </w:r>
      <w:r w:rsidRPr="00E46C5C">
        <w:rPr>
          <w:sz w:val="22"/>
          <w:szCs w:val="22"/>
          <w:lang w:val="es-SV"/>
        </w:rPr>
        <w:t xml:space="preserve"> instrucción primaria.</w:t>
      </w:r>
    </w:p>
    <w:p w14:paraId="0B220A9A" w14:textId="33FD7676" w:rsidR="00E46C5C" w:rsidRDefault="00E46C5C" w:rsidP="00E46C5C">
      <w:pPr>
        <w:spacing w:after="0"/>
        <w:ind w:left="720"/>
        <w:rPr>
          <w:sz w:val="22"/>
          <w:szCs w:val="22"/>
          <w:lang w:val="es-SV"/>
        </w:rPr>
      </w:pPr>
    </w:p>
    <w:p w14:paraId="4609351A" w14:textId="77777777" w:rsidR="00E46C5C" w:rsidRPr="00E46C5C" w:rsidRDefault="00E46C5C" w:rsidP="00E46C5C">
      <w:pPr>
        <w:spacing w:after="0"/>
        <w:ind w:left="720"/>
        <w:rPr>
          <w:i/>
          <w:iCs/>
          <w:sz w:val="22"/>
          <w:szCs w:val="22"/>
          <w:lang w:val="es-SV"/>
        </w:rPr>
      </w:pPr>
      <w:r w:rsidRPr="00E46C5C">
        <w:rPr>
          <w:i/>
          <w:iCs/>
          <w:sz w:val="22"/>
          <w:szCs w:val="22"/>
          <w:lang w:val="es-SV"/>
        </w:rPr>
        <w:t xml:space="preserve">Artículo 118.  Queda prohibido a los que tengan menos de dieciocho años los trabajos que, por su naturaleza o por las condiciones en que se efectúen, sean peligrosos para la vida, salud o moralidad de las personas que los desempeñan, especialmente los siguientes: </w:t>
      </w:r>
    </w:p>
    <w:p w14:paraId="6A470DC5" w14:textId="77777777" w:rsidR="00E46C5C" w:rsidRPr="00E46C5C" w:rsidRDefault="00E46C5C" w:rsidP="00E46C5C">
      <w:pPr>
        <w:spacing w:after="0"/>
        <w:ind w:left="720"/>
        <w:rPr>
          <w:i/>
          <w:iCs/>
          <w:sz w:val="22"/>
          <w:szCs w:val="22"/>
          <w:lang w:val="es-SV"/>
        </w:rPr>
      </w:pPr>
      <w:r w:rsidRPr="00E46C5C">
        <w:rPr>
          <w:i/>
          <w:iCs/>
          <w:sz w:val="22"/>
          <w:szCs w:val="22"/>
          <w:lang w:val="es-SV"/>
        </w:rPr>
        <w:t xml:space="preserve">1. Trabajos en clubes, cantinas y demás lugares donde se expendan al por menor bebidas alcohólicas. </w:t>
      </w:r>
    </w:p>
    <w:p w14:paraId="42E82AEA" w14:textId="77777777" w:rsidR="00E46C5C" w:rsidRPr="00E46C5C" w:rsidRDefault="00E46C5C" w:rsidP="00E46C5C">
      <w:pPr>
        <w:spacing w:after="0"/>
        <w:ind w:left="720"/>
        <w:rPr>
          <w:i/>
          <w:iCs/>
          <w:sz w:val="22"/>
          <w:szCs w:val="22"/>
          <w:lang w:val="es-SV"/>
        </w:rPr>
      </w:pPr>
      <w:r w:rsidRPr="00E46C5C">
        <w:rPr>
          <w:i/>
          <w:iCs/>
          <w:sz w:val="22"/>
          <w:szCs w:val="22"/>
          <w:lang w:val="es-SV"/>
        </w:rPr>
        <w:t xml:space="preserve">2. Transporte de pasajeros y mercancías por carretera, ferrocarriles, aeronavegación, vías de agua interior y trabajos en muelles, embarcaderos y almacenes de depósitos. </w:t>
      </w:r>
    </w:p>
    <w:p w14:paraId="5FC31F82" w14:textId="77777777" w:rsidR="00E46C5C" w:rsidRPr="00E46C5C" w:rsidRDefault="00E46C5C" w:rsidP="00E46C5C">
      <w:pPr>
        <w:spacing w:after="0"/>
        <w:ind w:left="720"/>
        <w:rPr>
          <w:i/>
          <w:iCs/>
          <w:sz w:val="22"/>
          <w:szCs w:val="22"/>
          <w:lang w:val="es-SV"/>
        </w:rPr>
      </w:pPr>
      <w:r w:rsidRPr="00E46C5C">
        <w:rPr>
          <w:i/>
          <w:iCs/>
          <w:sz w:val="22"/>
          <w:szCs w:val="22"/>
          <w:lang w:val="es-SV"/>
        </w:rPr>
        <w:lastRenderedPageBreak/>
        <w:t xml:space="preserve">3. Trabajos relacionados con la generación, transformación y transmisión de energía eléctrica. </w:t>
      </w:r>
    </w:p>
    <w:p w14:paraId="5B9CA986" w14:textId="77777777" w:rsidR="00E46C5C" w:rsidRPr="00E46C5C" w:rsidRDefault="00E46C5C" w:rsidP="00E46C5C">
      <w:pPr>
        <w:spacing w:after="0"/>
        <w:ind w:left="720"/>
        <w:rPr>
          <w:i/>
          <w:iCs/>
          <w:sz w:val="22"/>
          <w:szCs w:val="22"/>
          <w:lang w:val="es-SV"/>
        </w:rPr>
      </w:pPr>
      <w:r w:rsidRPr="00E46C5C">
        <w:rPr>
          <w:i/>
          <w:iCs/>
          <w:sz w:val="22"/>
          <w:szCs w:val="22"/>
          <w:lang w:val="es-SV"/>
        </w:rPr>
        <w:t xml:space="preserve">4. Manejo de sustancias explosivas o inflamables. </w:t>
      </w:r>
    </w:p>
    <w:p w14:paraId="242057B7" w14:textId="77777777" w:rsidR="00E46C5C" w:rsidRPr="00E46C5C" w:rsidRDefault="00E46C5C" w:rsidP="00E46C5C">
      <w:pPr>
        <w:spacing w:after="0"/>
        <w:ind w:left="720"/>
        <w:rPr>
          <w:i/>
          <w:iCs/>
          <w:sz w:val="22"/>
          <w:szCs w:val="22"/>
          <w:lang w:val="es-SV"/>
        </w:rPr>
      </w:pPr>
      <w:r w:rsidRPr="00E46C5C">
        <w:rPr>
          <w:i/>
          <w:iCs/>
          <w:sz w:val="22"/>
          <w:szCs w:val="22"/>
          <w:lang w:val="es-SV"/>
        </w:rPr>
        <w:t xml:space="preserve">5. Trabajos subterráneos en minas, canteras, túneles o cloacas. </w:t>
      </w:r>
    </w:p>
    <w:p w14:paraId="1DB64F68" w14:textId="07D1DFC0" w:rsidR="00E46C5C" w:rsidRPr="00E46C5C" w:rsidRDefault="00E46C5C" w:rsidP="00E46C5C">
      <w:pPr>
        <w:spacing w:after="0"/>
        <w:ind w:left="720"/>
        <w:rPr>
          <w:i/>
          <w:iCs/>
          <w:sz w:val="22"/>
          <w:szCs w:val="22"/>
          <w:lang w:val="es-SV"/>
        </w:rPr>
      </w:pPr>
      <w:r w:rsidRPr="00E46C5C">
        <w:rPr>
          <w:i/>
          <w:iCs/>
          <w:sz w:val="22"/>
          <w:szCs w:val="22"/>
          <w:lang w:val="es-SV"/>
        </w:rPr>
        <w:t>6. Manejo de sustancias, dispositivos o aparatos que lo exponga a los efectos de radiactividad.</w:t>
      </w:r>
    </w:p>
    <w:p w14:paraId="140F6ADD" w14:textId="77777777" w:rsidR="00E46C5C" w:rsidRPr="00E46C5C" w:rsidRDefault="00E46C5C" w:rsidP="00E46C5C">
      <w:pPr>
        <w:spacing w:after="0"/>
        <w:rPr>
          <w:i/>
          <w:iCs/>
          <w:lang w:val="es-SV"/>
        </w:rPr>
      </w:pPr>
    </w:p>
    <w:p w14:paraId="3BBA427B" w14:textId="1065EA47" w:rsidR="00621EA9" w:rsidRPr="00C60115" w:rsidRDefault="002A05AA" w:rsidP="00417DF5">
      <w:pPr>
        <w:pStyle w:val="Heading4"/>
        <w:rPr>
          <w:rStyle w:val="IntenseEmphasis"/>
          <w:color w:val="3405DF"/>
        </w:rPr>
      </w:pPr>
      <w:r>
        <w:rPr>
          <w:i/>
          <w:sz w:val="18"/>
          <w:szCs w:val="18"/>
        </w:rPr>
        <w:t>Brief</w:t>
      </w:r>
      <w:r w:rsidR="00902A1E" w:rsidRPr="000E03A6">
        <w:rPr>
          <w:i/>
          <w:sz w:val="18"/>
          <w:szCs w:val="18"/>
        </w:rPr>
        <w:t xml:space="preserve"> prepared by the WORLD Policy Analysis Center, Unive</w:t>
      </w:r>
      <w:r w:rsidR="00902A1E">
        <w:rPr>
          <w:i/>
          <w:sz w:val="18"/>
          <w:szCs w:val="18"/>
        </w:rPr>
        <w:t>rsity of California, Los Angel</w:t>
      </w:r>
      <w:r w:rsidR="005700AE">
        <w:rPr>
          <w:i/>
          <w:sz w:val="18"/>
          <w:szCs w:val="18"/>
        </w:rPr>
        <w:t>E</w:t>
      </w:r>
      <w:r w:rsidR="00417DF5">
        <w:rPr>
          <w:i/>
          <w:sz w:val="18"/>
          <w:szCs w:val="18"/>
        </w:rPr>
        <w:t>s</w:t>
      </w:r>
    </w:p>
    <w:sectPr w:rsidR="00621EA9" w:rsidRPr="00C60115" w:rsidSect="002A05AA">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BF56D0" w14:textId="77777777" w:rsidR="001A0BE9" w:rsidRDefault="001A0BE9" w:rsidP="00263795">
      <w:pPr>
        <w:spacing w:after="0" w:line="240" w:lineRule="auto"/>
      </w:pPr>
      <w:r>
        <w:separator/>
      </w:r>
    </w:p>
  </w:endnote>
  <w:endnote w:type="continuationSeparator" w:id="0">
    <w:p w14:paraId="2FB5F669" w14:textId="77777777" w:rsidR="001A0BE9" w:rsidRDefault="001A0BE9"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55464" w14:textId="2EF46AD5" w:rsidR="002A05AA" w:rsidRDefault="002A05AA">
    <w:pPr>
      <w:pStyle w:val="Footer"/>
      <w:jc w:val="right"/>
    </w:pPr>
  </w:p>
  <w:p w14:paraId="70A031C7" w14:textId="19916375" w:rsidR="009F0937" w:rsidRPr="002A05AA" w:rsidRDefault="002A05AA" w:rsidP="002A05AA">
    <w:pPr>
      <w:pStyle w:val="Footer"/>
      <w:tabs>
        <w:tab w:val="clear" w:pos="4680"/>
        <w:tab w:val="clear" w:pos="9360"/>
        <w:tab w:val="left" w:pos="7965"/>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0741251"/>
      <w:docPartObj>
        <w:docPartGallery w:val="Page Numbers (Bottom of Page)"/>
        <w:docPartUnique/>
      </w:docPartObj>
    </w:sdtPr>
    <w:sdtEndPr>
      <w:rPr>
        <w:noProof/>
      </w:rPr>
    </w:sdtEndPr>
    <w:sdtContent>
      <w:p w14:paraId="186626DE" w14:textId="3CB38A52" w:rsidR="002A05AA" w:rsidRDefault="002A05AA">
        <w:pPr>
          <w:pStyle w:val="Footer"/>
          <w:jc w:val="right"/>
        </w:pPr>
        <w:r>
          <w:fldChar w:fldCharType="begin"/>
        </w:r>
        <w:r>
          <w:instrText xml:space="preserve"> PAGE   \* MERGEFORMAT </w:instrText>
        </w:r>
        <w:r>
          <w:fldChar w:fldCharType="separate"/>
        </w:r>
        <w:r w:rsidR="00F17358">
          <w:rPr>
            <w:noProof/>
          </w:rPr>
          <w:t>10</w:t>
        </w:r>
        <w:r>
          <w:rPr>
            <w:noProof/>
          </w:rPr>
          <w:fldChar w:fldCharType="end"/>
        </w:r>
      </w:p>
    </w:sdtContent>
  </w:sdt>
  <w:p w14:paraId="10571DD1" w14:textId="31DD788A" w:rsidR="002A05AA" w:rsidRPr="002A05AA" w:rsidRDefault="002A05AA" w:rsidP="002A05AA">
    <w:pPr>
      <w:pStyle w:val="Footer"/>
      <w:tabs>
        <w:tab w:val="clear" w:pos="4680"/>
        <w:tab w:val="clear" w:pos="9360"/>
        <w:tab w:val="left" w:pos="796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C902F3" w14:textId="77777777" w:rsidR="001A0BE9" w:rsidRDefault="001A0BE9" w:rsidP="00263795">
      <w:pPr>
        <w:spacing w:after="0" w:line="240" w:lineRule="auto"/>
      </w:pPr>
      <w:r>
        <w:separator/>
      </w:r>
    </w:p>
  </w:footnote>
  <w:footnote w:type="continuationSeparator" w:id="0">
    <w:p w14:paraId="58D78807" w14:textId="77777777" w:rsidR="001A0BE9" w:rsidRDefault="001A0BE9" w:rsidP="00263795">
      <w:pPr>
        <w:spacing w:after="0" w:line="240" w:lineRule="auto"/>
      </w:pPr>
      <w:r>
        <w:continuationSeparator/>
      </w:r>
    </w:p>
  </w:footnote>
  <w:footnote w:id="1">
    <w:p w14:paraId="346045A3" w14:textId="77777777" w:rsidR="00902A1E" w:rsidRDefault="00902A1E" w:rsidP="00902A1E">
      <w:pPr>
        <w:pStyle w:val="FootnoteText"/>
      </w:pPr>
      <w:r>
        <w:rPr>
          <w:rStyle w:val="FootnoteReference"/>
        </w:rPr>
        <w:footnoteRef/>
      </w:r>
      <w:r>
        <w:t xml:space="preserve"> </w:t>
      </w:r>
      <w:bookmarkStart w:id="49" w:name="_Hlk48560189"/>
      <w:r>
        <w:t xml:space="preserve">UNESCO Institute for Statistics. </w:t>
      </w:r>
      <w:r w:rsidRPr="00681C69">
        <w:t>Education: Out-of</w:t>
      </w:r>
      <w:r>
        <w:t>-school rate for children of primary school age, 2017. Web.</w:t>
      </w:r>
      <w:bookmarkStart w:id="50" w:name="_GoBack"/>
      <w:bookmarkEnd w:id="50"/>
      <w:r>
        <w:t xml:space="preserve"> 5 November 2020.</w:t>
      </w:r>
      <w:r w:rsidRPr="00681C69">
        <w:t xml:space="preserve"> </w:t>
      </w:r>
      <w:r>
        <w:t>&lt;</w:t>
      </w:r>
      <w:r w:rsidRPr="00681C69">
        <w:t>http://data.uis.unesco.org/</w:t>
      </w:r>
      <w:r>
        <w:t>&gt;</w:t>
      </w:r>
      <w:bookmarkEnd w:id="49"/>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D7E35" w14:textId="13A3FB6C" w:rsidR="009F0937" w:rsidRPr="00530EEA" w:rsidRDefault="009F0937" w:rsidP="005B7FB6">
    <w:pPr>
      <w:pStyle w:val="Header"/>
      <w:jc w:val="right"/>
      <w:rPr>
        <w:color w:val="000000" w:themeColor="text1"/>
      </w:rPr>
    </w:pPr>
    <w:r w:rsidRPr="00530EEA">
      <w:rPr>
        <w:noProof/>
        <w:color w:val="000000" w:themeColor="text1"/>
      </w:rPr>
      <w:drawing>
        <wp:anchor distT="0" distB="0" distL="114300" distR="114300" simplePos="0" relativeHeight="251658240"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530EEA" w:rsidRPr="00530EEA">
      <w:rPr>
        <w:color w:val="000000" w:themeColor="text1"/>
      </w:rPr>
      <w:t>December 1, 2020</w:t>
    </w:r>
    <w:r w:rsidR="00250846" w:rsidRPr="00530EEA">
      <w:rPr>
        <w:color w:val="000000" w:themeColor="text1"/>
      </w:rPr>
      <w:t xml:space="preserve"> </w:t>
    </w:r>
  </w:p>
  <w:p w14:paraId="288FAFE4" w14:textId="77777777" w:rsidR="009F0937" w:rsidRDefault="009F0937" w:rsidP="00D73703">
    <w:pPr>
      <w:pStyle w:val="Header"/>
      <w:tabs>
        <w:tab w:val="clear" w:pos="4680"/>
        <w:tab w:val="clear" w:pos="9360"/>
        <w:tab w:val="left" w:pos="162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B14D4"/>
    <w:multiLevelType w:val="hybridMultilevel"/>
    <w:tmpl w:val="B2ACF8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755F71"/>
    <w:multiLevelType w:val="hybridMultilevel"/>
    <w:tmpl w:val="C01C6A66"/>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9"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8E3564D"/>
    <w:multiLevelType w:val="hybridMultilevel"/>
    <w:tmpl w:val="CC7079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9239CA"/>
    <w:multiLevelType w:val="hybridMultilevel"/>
    <w:tmpl w:val="3F0C00F0"/>
    <w:lvl w:ilvl="0" w:tplc="722EEF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3742E1C"/>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9D4F4A"/>
    <w:multiLevelType w:val="hybridMultilevel"/>
    <w:tmpl w:val="6554A2DE"/>
    <w:lvl w:ilvl="0" w:tplc="E722C2BE">
      <w:start w:val="1"/>
      <w:numFmt w:val="decimal"/>
      <w:lvlText w:val="%1."/>
      <w:lvlJc w:val="left"/>
      <w:pPr>
        <w:ind w:left="2610" w:hanging="360"/>
      </w:pPr>
      <w:rPr>
        <w:rFonts w:hint="default"/>
        <w:color w:val="3405D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600CA6"/>
    <w:multiLevelType w:val="hybridMultilevel"/>
    <w:tmpl w:val="672809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BB00E7"/>
    <w:multiLevelType w:val="hybridMultilevel"/>
    <w:tmpl w:val="3E3624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1E1DFB"/>
    <w:multiLevelType w:val="hybridMultilevel"/>
    <w:tmpl w:val="DF06750E"/>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8"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5AE694C"/>
    <w:multiLevelType w:val="hybridMultilevel"/>
    <w:tmpl w:val="392A8B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5"/>
  </w:num>
  <w:num w:numId="3">
    <w:abstractNumId w:val="6"/>
  </w:num>
  <w:num w:numId="4">
    <w:abstractNumId w:val="23"/>
  </w:num>
  <w:num w:numId="5">
    <w:abstractNumId w:val="2"/>
  </w:num>
  <w:num w:numId="6">
    <w:abstractNumId w:val="17"/>
  </w:num>
  <w:num w:numId="7">
    <w:abstractNumId w:val="9"/>
  </w:num>
  <w:num w:numId="8">
    <w:abstractNumId w:val="5"/>
  </w:num>
  <w:num w:numId="9">
    <w:abstractNumId w:val="26"/>
  </w:num>
  <w:num w:numId="10">
    <w:abstractNumId w:val="28"/>
  </w:num>
  <w:num w:numId="11">
    <w:abstractNumId w:val="30"/>
  </w:num>
  <w:num w:numId="12">
    <w:abstractNumId w:val="32"/>
  </w:num>
  <w:num w:numId="13">
    <w:abstractNumId w:val="29"/>
  </w:num>
  <w:num w:numId="14">
    <w:abstractNumId w:val="16"/>
  </w:num>
  <w:num w:numId="15">
    <w:abstractNumId w:val="14"/>
  </w:num>
  <w:num w:numId="16">
    <w:abstractNumId w:val="13"/>
  </w:num>
  <w:num w:numId="17">
    <w:abstractNumId w:val="22"/>
  </w:num>
  <w:num w:numId="18">
    <w:abstractNumId w:val="3"/>
  </w:num>
  <w:num w:numId="19">
    <w:abstractNumId w:val="27"/>
  </w:num>
  <w:num w:numId="20">
    <w:abstractNumId w:val="20"/>
  </w:num>
  <w:num w:numId="21">
    <w:abstractNumId w:val="1"/>
  </w:num>
  <w:num w:numId="22">
    <w:abstractNumId w:val="24"/>
  </w:num>
  <w:num w:numId="23">
    <w:abstractNumId w:val="18"/>
  </w:num>
  <w:num w:numId="24">
    <w:abstractNumId w:val="11"/>
  </w:num>
  <w:num w:numId="25">
    <w:abstractNumId w:val="7"/>
  </w:num>
  <w:num w:numId="26">
    <w:abstractNumId w:val="4"/>
  </w:num>
  <w:num w:numId="27">
    <w:abstractNumId w:val="19"/>
  </w:num>
  <w:num w:numId="28">
    <w:abstractNumId w:val="0"/>
  </w:num>
  <w:num w:numId="29">
    <w:abstractNumId w:val="25"/>
  </w:num>
  <w:num w:numId="30">
    <w:abstractNumId w:val="21"/>
  </w:num>
  <w:num w:numId="31">
    <w:abstractNumId w:val="31"/>
  </w:num>
  <w:num w:numId="32">
    <w:abstractNumId w:val="12"/>
  </w:num>
  <w:num w:numId="33">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19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2431"/>
    <w:rsid w:val="00003F3F"/>
    <w:rsid w:val="00004C6B"/>
    <w:rsid w:val="00005342"/>
    <w:rsid w:val="00010F66"/>
    <w:rsid w:val="000115C9"/>
    <w:rsid w:val="00015AF4"/>
    <w:rsid w:val="00021FBA"/>
    <w:rsid w:val="000257A1"/>
    <w:rsid w:val="00027A33"/>
    <w:rsid w:val="00033457"/>
    <w:rsid w:val="000365E8"/>
    <w:rsid w:val="00040181"/>
    <w:rsid w:val="00045E08"/>
    <w:rsid w:val="0004640A"/>
    <w:rsid w:val="00047F6B"/>
    <w:rsid w:val="00054A9A"/>
    <w:rsid w:val="0005538C"/>
    <w:rsid w:val="00061250"/>
    <w:rsid w:val="0006644E"/>
    <w:rsid w:val="000676FE"/>
    <w:rsid w:val="000705C1"/>
    <w:rsid w:val="000753D3"/>
    <w:rsid w:val="00075804"/>
    <w:rsid w:val="000759D5"/>
    <w:rsid w:val="00076542"/>
    <w:rsid w:val="00076E69"/>
    <w:rsid w:val="00081AE8"/>
    <w:rsid w:val="00081CB9"/>
    <w:rsid w:val="0008349B"/>
    <w:rsid w:val="000835E9"/>
    <w:rsid w:val="00087AC9"/>
    <w:rsid w:val="0009490A"/>
    <w:rsid w:val="000A17BA"/>
    <w:rsid w:val="000A21B5"/>
    <w:rsid w:val="000A46FF"/>
    <w:rsid w:val="000B2CBC"/>
    <w:rsid w:val="000B48F5"/>
    <w:rsid w:val="000B5F58"/>
    <w:rsid w:val="000C38B1"/>
    <w:rsid w:val="000D58F3"/>
    <w:rsid w:val="000E0BE3"/>
    <w:rsid w:val="000E5FB7"/>
    <w:rsid w:val="000F1FC4"/>
    <w:rsid w:val="000F4CDB"/>
    <w:rsid w:val="000F5C02"/>
    <w:rsid w:val="000F7D43"/>
    <w:rsid w:val="0010092B"/>
    <w:rsid w:val="0010334A"/>
    <w:rsid w:val="00104146"/>
    <w:rsid w:val="00110604"/>
    <w:rsid w:val="00112EC9"/>
    <w:rsid w:val="00113913"/>
    <w:rsid w:val="00121A28"/>
    <w:rsid w:val="00142CD4"/>
    <w:rsid w:val="00146C2C"/>
    <w:rsid w:val="00162979"/>
    <w:rsid w:val="00164BC5"/>
    <w:rsid w:val="00167021"/>
    <w:rsid w:val="00170358"/>
    <w:rsid w:val="00173FE4"/>
    <w:rsid w:val="00175C10"/>
    <w:rsid w:val="00182E96"/>
    <w:rsid w:val="00186A0B"/>
    <w:rsid w:val="001973C4"/>
    <w:rsid w:val="001A0BE9"/>
    <w:rsid w:val="001A2E34"/>
    <w:rsid w:val="001B6472"/>
    <w:rsid w:val="001C3CE2"/>
    <w:rsid w:val="001C4F65"/>
    <w:rsid w:val="001C6765"/>
    <w:rsid w:val="001C7756"/>
    <w:rsid w:val="001D1C9A"/>
    <w:rsid w:val="001D42D7"/>
    <w:rsid w:val="001D6139"/>
    <w:rsid w:val="001E0AB3"/>
    <w:rsid w:val="001E205C"/>
    <w:rsid w:val="001F0EE8"/>
    <w:rsid w:val="001F1A7A"/>
    <w:rsid w:val="001F37DD"/>
    <w:rsid w:val="001F6FEE"/>
    <w:rsid w:val="00215540"/>
    <w:rsid w:val="00216A01"/>
    <w:rsid w:val="00216F3A"/>
    <w:rsid w:val="00217985"/>
    <w:rsid w:val="00224C9F"/>
    <w:rsid w:val="00225A6E"/>
    <w:rsid w:val="00231DD4"/>
    <w:rsid w:val="00231FF8"/>
    <w:rsid w:val="0023280B"/>
    <w:rsid w:val="00233C05"/>
    <w:rsid w:val="00235B98"/>
    <w:rsid w:val="002363A5"/>
    <w:rsid w:val="002447D6"/>
    <w:rsid w:val="0024557C"/>
    <w:rsid w:val="00246DE7"/>
    <w:rsid w:val="00250846"/>
    <w:rsid w:val="00251BF0"/>
    <w:rsid w:val="002529A1"/>
    <w:rsid w:val="00262139"/>
    <w:rsid w:val="0026260D"/>
    <w:rsid w:val="00262B3E"/>
    <w:rsid w:val="00263795"/>
    <w:rsid w:val="00267D06"/>
    <w:rsid w:val="00270D67"/>
    <w:rsid w:val="00277988"/>
    <w:rsid w:val="00280964"/>
    <w:rsid w:val="002822B0"/>
    <w:rsid w:val="0028362A"/>
    <w:rsid w:val="002842F2"/>
    <w:rsid w:val="00285913"/>
    <w:rsid w:val="00290E11"/>
    <w:rsid w:val="00293C07"/>
    <w:rsid w:val="002A05AA"/>
    <w:rsid w:val="002A27CB"/>
    <w:rsid w:val="002A409D"/>
    <w:rsid w:val="002B3260"/>
    <w:rsid w:val="002C79FD"/>
    <w:rsid w:val="002D3CE2"/>
    <w:rsid w:val="002E3152"/>
    <w:rsid w:val="002E6A4F"/>
    <w:rsid w:val="002F2002"/>
    <w:rsid w:val="002F6E5A"/>
    <w:rsid w:val="003130C5"/>
    <w:rsid w:val="00313689"/>
    <w:rsid w:val="003205E2"/>
    <w:rsid w:val="00322571"/>
    <w:rsid w:val="0032490B"/>
    <w:rsid w:val="0032592A"/>
    <w:rsid w:val="00325AE2"/>
    <w:rsid w:val="003270AB"/>
    <w:rsid w:val="003271F0"/>
    <w:rsid w:val="00331DB8"/>
    <w:rsid w:val="00334B4E"/>
    <w:rsid w:val="00344630"/>
    <w:rsid w:val="00346925"/>
    <w:rsid w:val="0034764A"/>
    <w:rsid w:val="0035238B"/>
    <w:rsid w:val="00352BFF"/>
    <w:rsid w:val="003538CE"/>
    <w:rsid w:val="00360485"/>
    <w:rsid w:val="00363CED"/>
    <w:rsid w:val="003660C0"/>
    <w:rsid w:val="003723BD"/>
    <w:rsid w:val="00385C06"/>
    <w:rsid w:val="00386703"/>
    <w:rsid w:val="00391573"/>
    <w:rsid w:val="00392C2D"/>
    <w:rsid w:val="00395D4F"/>
    <w:rsid w:val="003A10F5"/>
    <w:rsid w:val="003A4107"/>
    <w:rsid w:val="003A495A"/>
    <w:rsid w:val="003B6DD4"/>
    <w:rsid w:val="003C0D0F"/>
    <w:rsid w:val="003C2AB7"/>
    <w:rsid w:val="003C55BE"/>
    <w:rsid w:val="003C6F66"/>
    <w:rsid w:val="003D0C2E"/>
    <w:rsid w:val="003D79EE"/>
    <w:rsid w:val="003E08C7"/>
    <w:rsid w:val="003E5444"/>
    <w:rsid w:val="003F0ACD"/>
    <w:rsid w:val="003F1428"/>
    <w:rsid w:val="003F7B4B"/>
    <w:rsid w:val="004033AC"/>
    <w:rsid w:val="00403572"/>
    <w:rsid w:val="00407785"/>
    <w:rsid w:val="004126B4"/>
    <w:rsid w:val="00416DA2"/>
    <w:rsid w:val="00416F1B"/>
    <w:rsid w:val="0041722A"/>
    <w:rsid w:val="00417DF5"/>
    <w:rsid w:val="00423808"/>
    <w:rsid w:val="004264A5"/>
    <w:rsid w:val="00426C4A"/>
    <w:rsid w:val="00431FB0"/>
    <w:rsid w:val="0043347C"/>
    <w:rsid w:val="00437B1F"/>
    <w:rsid w:val="00446391"/>
    <w:rsid w:val="00447DDB"/>
    <w:rsid w:val="00452B6A"/>
    <w:rsid w:val="00453198"/>
    <w:rsid w:val="0045756F"/>
    <w:rsid w:val="00457740"/>
    <w:rsid w:val="00465987"/>
    <w:rsid w:val="00466174"/>
    <w:rsid w:val="00470C88"/>
    <w:rsid w:val="00470F7F"/>
    <w:rsid w:val="00471CDA"/>
    <w:rsid w:val="00473A77"/>
    <w:rsid w:val="00473BDF"/>
    <w:rsid w:val="004771BE"/>
    <w:rsid w:val="00483B8A"/>
    <w:rsid w:val="00484603"/>
    <w:rsid w:val="0048479D"/>
    <w:rsid w:val="00487C6E"/>
    <w:rsid w:val="004A1C51"/>
    <w:rsid w:val="004A2C19"/>
    <w:rsid w:val="004A4181"/>
    <w:rsid w:val="004B412B"/>
    <w:rsid w:val="004B4D32"/>
    <w:rsid w:val="004B5485"/>
    <w:rsid w:val="004B6971"/>
    <w:rsid w:val="004B6F48"/>
    <w:rsid w:val="004B7D6E"/>
    <w:rsid w:val="004C1E9F"/>
    <w:rsid w:val="004C26E6"/>
    <w:rsid w:val="004D0347"/>
    <w:rsid w:val="004D1D1F"/>
    <w:rsid w:val="004D2AE1"/>
    <w:rsid w:val="004D47C0"/>
    <w:rsid w:val="004D567D"/>
    <w:rsid w:val="004E16A9"/>
    <w:rsid w:val="004E65BF"/>
    <w:rsid w:val="004E7D61"/>
    <w:rsid w:val="004F12D2"/>
    <w:rsid w:val="004F12FC"/>
    <w:rsid w:val="004F6012"/>
    <w:rsid w:val="004F6CB6"/>
    <w:rsid w:val="00502CB9"/>
    <w:rsid w:val="005110AF"/>
    <w:rsid w:val="005131F1"/>
    <w:rsid w:val="00517C84"/>
    <w:rsid w:val="00520F0D"/>
    <w:rsid w:val="00525CE8"/>
    <w:rsid w:val="00525DC6"/>
    <w:rsid w:val="00530EEA"/>
    <w:rsid w:val="0053116B"/>
    <w:rsid w:val="00531558"/>
    <w:rsid w:val="005335E4"/>
    <w:rsid w:val="00533BCF"/>
    <w:rsid w:val="00533ED9"/>
    <w:rsid w:val="005359EF"/>
    <w:rsid w:val="00540E80"/>
    <w:rsid w:val="005430B4"/>
    <w:rsid w:val="00543280"/>
    <w:rsid w:val="0054599A"/>
    <w:rsid w:val="005506E0"/>
    <w:rsid w:val="00551962"/>
    <w:rsid w:val="00562FEE"/>
    <w:rsid w:val="0056673C"/>
    <w:rsid w:val="005700AE"/>
    <w:rsid w:val="00571F4B"/>
    <w:rsid w:val="00572361"/>
    <w:rsid w:val="00572A08"/>
    <w:rsid w:val="00573459"/>
    <w:rsid w:val="00575F1A"/>
    <w:rsid w:val="00585DF5"/>
    <w:rsid w:val="00586201"/>
    <w:rsid w:val="00592497"/>
    <w:rsid w:val="005940D1"/>
    <w:rsid w:val="005A1053"/>
    <w:rsid w:val="005A1810"/>
    <w:rsid w:val="005A54B4"/>
    <w:rsid w:val="005A770F"/>
    <w:rsid w:val="005B618C"/>
    <w:rsid w:val="005B7FB6"/>
    <w:rsid w:val="005D00FA"/>
    <w:rsid w:val="005D2DDE"/>
    <w:rsid w:val="005E1C2A"/>
    <w:rsid w:val="005E2D74"/>
    <w:rsid w:val="005E3766"/>
    <w:rsid w:val="005F228A"/>
    <w:rsid w:val="005F33AD"/>
    <w:rsid w:val="005F50CA"/>
    <w:rsid w:val="00600C48"/>
    <w:rsid w:val="00600F19"/>
    <w:rsid w:val="00603957"/>
    <w:rsid w:val="00610BDB"/>
    <w:rsid w:val="006140D1"/>
    <w:rsid w:val="006200B3"/>
    <w:rsid w:val="00621EA9"/>
    <w:rsid w:val="00625F18"/>
    <w:rsid w:val="00636146"/>
    <w:rsid w:val="00644722"/>
    <w:rsid w:val="00645D74"/>
    <w:rsid w:val="006533BE"/>
    <w:rsid w:val="00655768"/>
    <w:rsid w:val="00656B5B"/>
    <w:rsid w:val="0065723F"/>
    <w:rsid w:val="00662B05"/>
    <w:rsid w:val="006652D1"/>
    <w:rsid w:val="006657E9"/>
    <w:rsid w:val="00680944"/>
    <w:rsid w:val="006818DE"/>
    <w:rsid w:val="0068670B"/>
    <w:rsid w:val="00687D68"/>
    <w:rsid w:val="006905DF"/>
    <w:rsid w:val="00692631"/>
    <w:rsid w:val="006A4D85"/>
    <w:rsid w:val="006A5ACC"/>
    <w:rsid w:val="006A7993"/>
    <w:rsid w:val="006B0A03"/>
    <w:rsid w:val="006B0F03"/>
    <w:rsid w:val="006B3877"/>
    <w:rsid w:val="006B44D9"/>
    <w:rsid w:val="006B484A"/>
    <w:rsid w:val="006C2730"/>
    <w:rsid w:val="006C75D7"/>
    <w:rsid w:val="006D4E5A"/>
    <w:rsid w:val="006D6FEB"/>
    <w:rsid w:val="006E2B6E"/>
    <w:rsid w:val="006E4F2D"/>
    <w:rsid w:val="00703950"/>
    <w:rsid w:val="00703E7A"/>
    <w:rsid w:val="00710A71"/>
    <w:rsid w:val="007118BA"/>
    <w:rsid w:val="0071584C"/>
    <w:rsid w:val="007237E3"/>
    <w:rsid w:val="00723CF9"/>
    <w:rsid w:val="00724A59"/>
    <w:rsid w:val="00725F4E"/>
    <w:rsid w:val="007335F6"/>
    <w:rsid w:val="0073432D"/>
    <w:rsid w:val="0073493C"/>
    <w:rsid w:val="00734FE4"/>
    <w:rsid w:val="00735DD6"/>
    <w:rsid w:val="007418A9"/>
    <w:rsid w:val="00744566"/>
    <w:rsid w:val="00745FB9"/>
    <w:rsid w:val="007505FD"/>
    <w:rsid w:val="00751A2B"/>
    <w:rsid w:val="00752719"/>
    <w:rsid w:val="007531F9"/>
    <w:rsid w:val="00762D7F"/>
    <w:rsid w:val="0076474D"/>
    <w:rsid w:val="007654FC"/>
    <w:rsid w:val="007718E9"/>
    <w:rsid w:val="00776BFA"/>
    <w:rsid w:val="007772D0"/>
    <w:rsid w:val="00791D51"/>
    <w:rsid w:val="007949D4"/>
    <w:rsid w:val="007974E4"/>
    <w:rsid w:val="007A287E"/>
    <w:rsid w:val="007A7B6B"/>
    <w:rsid w:val="007B4719"/>
    <w:rsid w:val="007C2046"/>
    <w:rsid w:val="007C25AA"/>
    <w:rsid w:val="007C5F61"/>
    <w:rsid w:val="007D7530"/>
    <w:rsid w:val="007F76B3"/>
    <w:rsid w:val="008033DD"/>
    <w:rsid w:val="0081407D"/>
    <w:rsid w:val="00820D97"/>
    <w:rsid w:val="0082449C"/>
    <w:rsid w:val="00826442"/>
    <w:rsid w:val="00826FE7"/>
    <w:rsid w:val="00831E58"/>
    <w:rsid w:val="0084482D"/>
    <w:rsid w:val="00847DC2"/>
    <w:rsid w:val="008532EA"/>
    <w:rsid w:val="00857EE2"/>
    <w:rsid w:val="008648F9"/>
    <w:rsid w:val="0086577C"/>
    <w:rsid w:val="00866191"/>
    <w:rsid w:val="008665D9"/>
    <w:rsid w:val="00875DD9"/>
    <w:rsid w:val="0088553C"/>
    <w:rsid w:val="00886BD7"/>
    <w:rsid w:val="00893624"/>
    <w:rsid w:val="00893C39"/>
    <w:rsid w:val="008952C8"/>
    <w:rsid w:val="008A116A"/>
    <w:rsid w:val="008C7413"/>
    <w:rsid w:val="008C7459"/>
    <w:rsid w:val="008D4CB1"/>
    <w:rsid w:val="008D53FD"/>
    <w:rsid w:val="008E34A4"/>
    <w:rsid w:val="008E4188"/>
    <w:rsid w:val="008E6427"/>
    <w:rsid w:val="008F0363"/>
    <w:rsid w:val="008F3122"/>
    <w:rsid w:val="008F5EC5"/>
    <w:rsid w:val="00902A1E"/>
    <w:rsid w:val="00911A05"/>
    <w:rsid w:val="00912519"/>
    <w:rsid w:val="009133AE"/>
    <w:rsid w:val="009238DC"/>
    <w:rsid w:val="00935B47"/>
    <w:rsid w:val="0094183C"/>
    <w:rsid w:val="00945D7A"/>
    <w:rsid w:val="009518E1"/>
    <w:rsid w:val="00957756"/>
    <w:rsid w:val="00960BFC"/>
    <w:rsid w:val="00962F82"/>
    <w:rsid w:val="00963799"/>
    <w:rsid w:val="00972640"/>
    <w:rsid w:val="00972E1B"/>
    <w:rsid w:val="009761DE"/>
    <w:rsid w:val="009768A5"/>
    <w:rsid w:val="00980DF4"/>
    <w:rsid w:val="009812AD"/>
    <w:rsid w:val="00995882"/>
    <w:rsid w:val="009A3D07"/>
    <w:rsid w:val="009B1E47"/>
    <w:rsid w:val="009B39AB"/>
    <w:rsid w:val="009B4122"/>
    <w:rsid w:val="009B46C8"/>
    <w:rsid w:val="009B61FB"/>
    <w:rsid w:val="009C161B"/>
    <w:rsid w:val="009D2F67"/>
    <w:rsid w:val="009D407C"/>
    <w:rsid w:val="009E2678"/>
    <w:rsid w:val="009E5C20"/>
    <w:rsid w:val="009E7E06"/>
    <w:rsid w:val="009F0937"/>
    <w:rsid w:val="009F0C73"/>
    <w:rsid w:val="009F0E0C"/>
    <w:rsid w:val="009F3E47"/>
    <w:rsid w:val="009F4B94"/>
    <w:rsid w:val="009F7774"/>
    <w:rsid w:val="00A0398B"/>
    <w:rsid w:val="00A202A5"/>
    <w:rsid w:val="00A20A34"/>
    <w:rsid w:val="00A24FA5"/>
    <w:rsid w:val="00A30864"/>
    <w:rsid w:val="00A37643"/>
    <w:rsid w:val="00A406C0"/>
    <w:rsid w:val="00A421AF"/>
    <w:rsid w:val="00A47B0E"/>
    <w:rsid w:val="00A5371B"/>
    <w:rsid w:val="00A54613"/>
    <w:rsid w:val="00A5461F"/>
    <w:rsid w:val="00A56206"/>
    <w:rsid w:val="00A56FC4"/>
    <w:rsid w:val="00A637E1"/>
    <w:rsid w:val="00A65C64"/>
    <w:rsid w:val="00A74CAB"/>
    <w:rsid w:val="00A751C6"/>
    <w:rsid w:val="00A75F80"/>
    <w:rsid w:val="00A7664F"/>
    <w:rsid w:val="00A805BB"/>
    <w:rsid w:val="00A92EFA"/>
    <w:rsid w:val="00A949AD"/>
    <w:rsid w:val="00A94BC7"/>
    <w:rsid w:val="00A95328"/>
    <w:rsid w:val="00A95AC0"/>
    <w:rsid w:val="00AA392A"/>
    <w:rsid w:val="00AC0211"/>
    <w:rsid w:val="00AC43DF"/>
    <w:rsid w:val="00AC4C1A"/>
    <w:rsid w:val="00AC703A"/>
    <w:rsid w:val="00AD3A22"/>
    <w:rsid w:val="00AE78BD"/>
    <w:rsid w:val="00AF1850"/>
    <w:rsid w:val="00B009FE"/>
    <w:rsid w:val="00B03679"/>
    <w:rsid w:val="00B05810"/>
    <w:rsid w:val="00B1300D"/>
    <w:rsid w:val="00B200D6"/>
    <w:rsid w:val="00B20384"/>
    <w:rsid w:val="00B2114E"/>
    <w:rsid w:val="00B215BF"/>
    <w:rsid w:val="00B31D86"/>
    <w:rsid w:val="00B359E6"/>
    <w:rsid w:val="00B402B7"/>
    <w:rsid w:val="00B4416D"/>
    <w:rsid w:val="00B4650B"/>
    <w:rsid w:val="00B47EFF"/>
    <w:rsid w:val="00B5014D"/>
    <w:rsid w:val="00B535A1"/>
    <w:rsid w:val="00B60393"/>
    <w:rsid w:val="00B6632A"/>
    <w:rsid w:val="00B66FE1"/>
    <w:rsid w:val="00B67FA2"/>
    <w:rsid w:val="00B70F5E"/>
    <w:rsid w:val="00B72DAF"/>
    <w:rsid w:val="00B740C9"/>
    <w:rsid w:val="00B75136"/>
    <w:rsid w:val="00B84294"/>
    <w:rsid w:val="00B94EB6"/>
    <w:rsid w:val="00BA17D9"/>
    <w:rsid w:val="00BA23F8"/>
    <w:rsid w:val="00BA51E9"/>
    <w:rsid w:val="00BB0A34"/>
    <w:rsid w:val="00BB64E6"/>
    <w:rsid w:val="00BB6C59"/>
    <w:rsid w:val="00BC0D20"/>
    <w:rsid w:val="00BC1939"/>
    <w:rsid w:val="00BC2209"/>
    <w:rsid w:val="00BC651C"/>
    <w:rsid w:val="00BD11ED"/>
    <w:rsid w:val="00BD3C7A"/>
    <w:rsid w:val="00BD4234"/>
    <w:rsid w:val="00BD537F"/>
    <w:rsid w:val="00BE1C81"/>
    <w:rsid w:val="00BE75A0"/>
    <w:rsid w:val="00BE77AC"/>
    <w:rsid w:val="00BE790F"/>
    <w:rsid w:val="00BF388A"/>
    <w:rsid w:val="00C00413"/>
    <w:rsid w:val="00C024C5"/>
    <w:rsid w:val="00C12618"/>
    <w:rsid w:val="00C14A5E"/>
    <w:rsid w:val="00C1572B"/>
    <w:rsid w:val="00C22851"/>
    <w:rsid w:val="00C230D0"/>
    <w:rsid w:val="00C232AC"/>
    <w:rsid w:val="00C24A35"/>
    <w:rsid w:val="00C46FCF"/>
    <w:rsid w:val="00C54C79"/>
    <w:rsid w:val="00C60115"/>
    <w:rsid w:val="00C65C72"/>
    <w:rsid w:val="00C739CA"/>
    <w:rsid w:val="00C7613B"/>
    <w:rsid w:val="00C80973"/>
    <w:rsid w:val="00C80E4A"/>
    <w:rsid w:val="00C85983"/>
    <w:rsid w:val="00C861CF"/>
    <w:rsid w:val="00C93D2E"/>
    <w:rsid w:val="00C93F09"/>
    <w:rsid w:val="00CA1407"/>
    <w:rsid w:val="00CA6E6C"/>
    <w:rsid w:val="00CB0973"/>
    <w:rsid w:val="00CB2298"/>
    <w:rsid w:val="00CB2463"/>
    <w:rsid w:val="00CB5807"/>
    <w:rsid w:val="00CC0DD3"/>
    <w:rsid w:val="00CC4242"/>
    <w:rsid w:val="00CC6606"/>
    <w:rsid w:val="00CC706A"/>
    <w:rsid w:val="00CD071B"/>
    <w:rsid w:val="00D01A42"/>
    <w:rsid w:val="00D02292"/>
    <w:rsid w:val="00D127DB"/>
    <w:rsid w:val="00D17BD9"/>
    <w:rsid w:val="00D20580"/>
    <w:rsid w:val="00D23173"/>
    <w:rsid w:val="00D23A66"/>
    <w:rsid w:val="00D262AA"/>
    <w:rsid w:val="00D27882"/>
    <w:rsid w:val="00D319AC"/>
    <w:rsid w:val="00D324BD"/>
    <w:rsid w:val="00D40B2E"/>
    <w:rsid w:val="00D45CBC"/>
    <w:rsid w:val="00D50654"/>
    <w:rsid w:val="00D53CBF"/>
    <w:rsid w:val="00D56602"/>
    <w:rsid w:val="00D609FF"/>
    <w:rsid w:val="00D62E1E"/>
    <w:rsid w:val="00D66C06"/>
    <w:rsid w:val="00D71331"/>
    <w:rsid w:val="00D72C56"/>
    <w:rsid w:val="00D73014"/>
    <w:rsid w:val="00D73703"/>
    <w:rsid w:val="00D7552B"/>
    <w:rsid w:val="00D8218E"/>
    <w:rsid w:val="00D82FDA"/>
    <w:rsid w:val="00D86633"/>
    <w:rsid w:val="00D8684A"/>
    <w:rsid w:val="00D93BBC"/>
    <w:rsid w:val="00DB0AD1"/>
    <w:rsid w:val="00DC6A87"/>
    <w:rsid w:val="00DD0C5C"/>
    <w:rsid w:val="00DD2FEA"/>
    <w:rsid w:val="00DE2A48"/>
    <w:rsid w:val="00DF5CA1"/>
    <w:rsid w:val="00DF621A"/>
    <w:rsid w:val="00DF737B"/>
    <w:rsid w:val="00E0349F"/>
    <w:rsid w:val="00E064C7"/>
    <w:rsid w:val="00E07BF3"/>
    <w:rsid w:val="00E123F4"/>
    <w:rsid w:val="00E14433"/>
    <w:rsid w:val="00E15F0E"/>
    <w:rsid w:val="00E1726A"/>
    <w:rsid w:val="00E22B53"/>
    <w:rsid w:val="00E26543"/>
    <w:rsid w:val="00E32410"/>
    <w:rsid w:val="00E32B6B"/>
    <w:rsid w:val="00E34925"/>
    <w:rsid w:val="00E46C5C"/>
    <w:rsid w:val="00E5079A"/>
    <w:rsid w:val="00E5194C"/>
    <w:rsid w:val="00E5516F"/>
    <w:rsid w:val="00E57329"/>
    <w:rsid w:val="00E6566B"/>
    <w:rsid w:val="00E674E0"/>
    <w:rsid w:val="00E736C7"/>
    <w:rsid w:val="00E766E1"/>
    <w:rsid w:val="00E841F9"/>
    <w:rsid w:val="00E9264E"/>
    <w:rsid w:val="00E94851"/>
    <w:rsid w:val="00E95027"/>
    <w:rsid w:val="00E966FF"/>
    <w:rsid w:val="00EC2807"/>
    <w:rsid w:val="00EE2157"/>
    <w:rsid w:val="00EE3467"/>
    <w:rsid w:val="00EF7398"/>
    <w:rsid w:val="00F03CDE"/>
    <w:rsid w:val="00F073DC"/>
    <w:rsid w:val="00F10066"/>
    <w:rsid w:val="00F115B1"/>
    <w:rsid w:val="00F1408D"/>
    <w:rsid w:val="00F15F63"/>
    <w:rsid w:val="00F17358"/>
    <w:rsid w:val="00F22521"/>
    <w:rsid w:val="00F260A3"/>
    <w:rsid w:val="00F309D6"/>
    <w:rsid w:val="00F323AB"/>
    <w:rsid w:val="00F36456"/>
    <w:rsid w:val="00F40347"/>
    <w:rsid w:val="00F408E8"/>
    <w:rsid w:val="00F42DA9"/>
    <w:rsid w:val="00F44D67"/>
    <w:rsid w:val="00F4614B"/>
    <w:rsid w:val="00F4681D"/>
    <w:rsid w:val="00F51489"/>
    <w:rsid w:val="00F61FDE"/>
    <w:rsid w:val="00F61FFE"/>
    <w:rsid w:val="00F71D82"/>
    <w:rsid w:val="00F72D15"/>
    <w:rsid w:val="00F77539"/>
    <w:rsid w:val="00F85E96"/>
    <w:rsid w:val="00F93A51"/>
    <w:rsid w:val="00F965EA"/>
    <w:rsid w:val="00F9774B"/>
    <w:rsid w:val="00FA4DB0"/>
    <w:rsid w:val="00FB324F"/>
    <w:rsid w:val="00FD3E6F"/>
    <w:rsid w:val="00FD4882"/>
    <w:rsid w:val="00FD4BF7"/>
    <w:rsid w:val="00FD55CD"/>
    <w:rsid w:val="00FE5E28"/>
    <w:rsid w:val="00FF5FEA"/>
    <w:rsid w:val="00FF6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1985"/>
    <o:shapelayout v:ext="edit">
      <o:idmap v:ext="edit" data="1"/>
    </o:shapelayout>
  </w:shapeDefaults>
  <w:decimalSymbol w:val="."/>
  <w:listSeparator w:val=","/>
  <w14:docId w14:val="463C2D12"/>
  <w15:chartTrackingRefBased/>
  <w15:docId w15:val="{84A4AB09-1F78-40D8-8D7A-53510A671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2463"/>
  </w:style>
  <w:style w:type="paragraph" w:styleId="Heading1">
    <w:name w:val="heading 1"/>
    <w:basedOn w:val="Normal"/>
    <w:next w:val="Normal"/>
    <w:link w:val="Heading1Char"/>
    <w:uiPriority w:val="9"/>
    <w:qFormat/>
    <w:rsid w:val="00CB2463"/>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CB2463"/>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CB2463"/>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CB2463"/>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CB2463"/>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CB2463"/>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CB2463"/>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CB246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B246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CB2463"/>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CB2463"/>
    <w:rPr>
      <w:color w:val="4A66AC" w:themeColor="accent1"/>
      <w:sz w:val="24"/>
      <w:szCs w:val="24"/>
    </w:rPr>
  </w:style>
  <w:style w:type="paragraph" w:styleId="ListParagraph">
    <w:name w:val="List Paragraph"/>
    <w:basedOn w:val="Normal"/>
    <w:uiPriority w:val="34"/>
    <w:qFormat/>
    <w:rsid w:val="00263795"/>
    <w:pPr>
      <w:ind w:left="720"/>
      <w:contextualSpacing/>
    </w:pPr>
  </w:style>
  <w:style w:type="character" w:styleId="IntenseReference">
    <w:name w:val="Intense Reference"/>
    <w:uiPriority w:val="32"/>
    <w:qFormat/>
    <w:rsid w:val="00CB2463"/>
    <w:rPr>
      <w:b/>
      <w:bCs/>
      <w:i/>
      <w:iCs/>
      <w:caps/>
      <w:color w:val="4A66AC" w:themeColor="accent1"/>
    </w:rPr>
  </w:style>
  <w:style w:type="character" w:customStyle="1" w:styleId="Heading2Char">
    <w:name w:val="Heading 2 Char"/>
    <w:basedOn w:val="DefaultParagraphFont"/>
    <w:link w:val="Heading2"/>
    <w:uiPriority w:val="9"/>
    <w:rsid w:val="00CB2463"/>
    <w:rPr>
      <w:caps/>
      <w:spacing w:val="15"/>
      <w:shd w:val="clear" w:color="auto" w:fill="D9DFEF" w:themeFill="accent1" w:themeFillTint="33"/>
    </w:rPr>
  </w:style>
  <w:style w:type="character" w:customStyle="1" w:styleId="Heading1Char">
    <w:name w:val="Heading 1 Char"/>
    <w:basedOn w:val="DefaultParagraphFont"/>
    <w:link w:val="Heading1"/>
    <w:uiPriority w:val="9"/>
    <w:rsid w:val="00CB2463"/>
    <w:rPr>
      <w:caps/>
      <w:color w:val="FFFFFF" w:themeColor="background1"/>
      <w:spacing w:val="15"/>
      <w:sz w:val="22"/>
      <w:szCs w:val="22"/>
      <w:shd w:val="clear" w:color="auto" w:fill="4A66AC" w:themeFill="accent1"/>
    </w:rPr>
  </w:style>
  <w:style w:type="character" w:styleId="IntenseEmphasis">
    <w:name w:val="Intense Emphasis"/>
    <w:uiPriority w:val="21"/>
    <w:qFormat/>
    <w:rsid w:val="00CB2463"/>
    <w:rPr>
      <w:b/>
      <w:bCs/>
      <w:caps/>
      <w:color w:val="243255" w:themeColor="accent1" w:themeShade="7F"/>
      <w:spacing w:val="10"/>
    </w:rPr>
  </w:style>
  <w:style w:type="paragraph" w:styleId="FootnoteText">
    <w:name w:val="footnote text"/>
    <w:aliases w:val="5_G"/>
    <w:basedOn w:val="Normal"/>
    <w:link w:val="FootnoteTextChar"/>
    <w:unhideWhenUsed/>
    <w:rsid w:val="008952C8"/>
    <w:pPr>
      <w:spacing w:after="0" w:line="240" w:lineRule="auto"/>
    </w:p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CB2463"/>
    <w:rPr>
      <w:caps/>
      <w:color w:val="243255" w:themeColor="accent1" w:themeShade="7F"/>
      <w:spacing w:val="15"/>
    </w:rPr>
  </w:style>
  <w:style w:type="paragraph" w:customStyle="1" w:styleId="SingleTxtG">
    <w:name w:val="_ Single Txt_G"/>
    <w:basedOn w:val="Normal"/>
    <w:link w:val="SingleTxtGChar"/>
    <w:rsid w:val="00776BFA"/>
    <w:pPr>
      <w:spacing w:after="120" w:line="240" w:lineRule="auto"/>
      <w:ind w:left="1134" w:right="1134"/>
      <w:jc w:val="both"/>
    </w:pPr>
    <w:rPr>
      <w:rFonts w:ascii="Times New Roman" w:hAnsi="Times New Roman" w:cs="Times New Roman"/>
      <w:lang w:val="fr-CH"/>
    </w:rPr>
  </w:style>
  <w:style w:type="paragraph" w:customStyle="1" w:styleId="ng-scope">
    <w:name w:val="ng-scope"/>
    <w:basedOn w:val="Normal"/>
    <w:rsid w:val="001C4F65"/>
    <w:pPr>
      <w:spacing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CB2463"/>
    <w:rPr>
      <w:caps/>
      <w:color w:val="374C80" w:themeColor="accent1" w:themeShade="BF"/>
      <w:spacing w:val="10"/>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CB2463"/>
    <w:pPr>
      <w:spacing w:after="0" w:line="240" w:lineRule="auto"/>
    </w:pPr>
  </w:style>
  <w:style w:type="paragraph" w:styleId="TOCHeading">
    <w:name w:val="TOC Heading"/>
    <w:basedOn w:val="Heading1"/>
    <w:next w:val="Normal"/>
    <w:uiPriority w:val="39"/>
    <w:unhideWhenUsed/>
    <w:qFormat/>
    <w:rsid w:val="00CB2463"/>
    <w:pPr>
      <w:outlineLvl w:val="9"/>
    </w:pPr>
  </w:style>
  <w:style w:type="paragraph" w:styleId="TOC1">
    <w:name w:val="toc 1"/>
    <w:basedOn w:val="Normal"/>
    <w:next w:val="Normal"/>
    <w:autoRedefine/>
    <w:uiPriority w:val="39"/>
    <w:unhideWhenUsed/>
    <w:rsid w:val="000B5F58"/>
    <w:pPr>
      <w:spacing w:after="100"/>
      <w:ind w:left="270" w:hanging="270"/>
    </w:pPr>
    <w:rPr>
      <w:bCs/>
    </w:rPr>
  </w:style>
  <w:style w:type="paragraph" w:styleId="TOC2">
    <w:name w:val="toc 2"/>
    <w:basedOn w:val="Normal"/>
    <w:next w:val="Normal"/>
    <w:autoRedefine/>
    <w:uiPriority w:val="39"/>
    <w:unhideWhenUsed/>
    <w:rsid w:val="004B412B"/>
    <w:pPr>
      <w:spacing w:after="100"/>
      <w:ind w:left="220"/>
    </w:pPr>
  </w:style>
  <w:style w:type="paragraph" w:styleId="TOC3">
    <w:name w:val="toc 3"/>
    <w:basedOn w:val="Normal"/>
    <w:next w:val="Normal"/>
    <w:autoRedefine/>
    <w:uiPriority w:val="39"/>
    <w:unhideWhenUsed/>
    <w:rsid w:val="00EC2807"/>
    <w:pPr>
      <w:spacing w:after="100"/>
      <w:ind w:left="440"/>
    </w:pPr>
    <w:rPr>
      <w:rFonts w:cs="Times New Roman"/>
    </w:rPr>
  </w:style>
  <w:style w:type="character" w:customStyle="1" w:styleId="NoSpacingChar">
    <w:name w:val="No Spacing Char"/>
    <w:basedOn w:val="DefaultParagraphFont"/>
    <w:link w:val="NoSpacing"/>
    <w:uiPriority w:val="1"/>
    <w:rsid w:val="00F85E96"/>
  </w:style>
  <w:style w:type="table" w:styleId="TableGrid">
    <w:name w:val="Table Grid"/>
    <w:basedOn w:val="TableNormal"/>
    <w:uiPriority w:val="39"/>
    <w:rsid w:val="00751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CB2463"/>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CB2463"/>
    <w:rPr>
      <w:rFonts w:asciiTheme="majorHAnsi" w:eastAsiaTheme="majorEastAsia" w:hAnsiTheme="majorHAnsi" w:cstheme="majorBidi"/>
      <w:caps/>
      <w:color w:val="4A66AC" w:themeColor="accent1"/>
      <w:spacing w:val="10"/>
      <w:sz w:val="52"/>
      <w:szCs w:val="52"/>
    </w:rPr>
  </w:style>
  <w:style w:type="character" w:customStyle="1" w:styleId="Heading5Char">
    <w:name w:val="Heading 5 Char"/>
    <w:basedOn w:val="DefaultParagraphFont"/>
    <w:link w:val="Heading5"/>
    <w:uiPriority w:val="9"/>
    <w:semiHidden/>
    <w:rsid w:val="00CB2463"/>
    <w:rPr>
      <w:caps/>
      <w:color w:val="374C80" w:themeColor="accent1" w:themeShade="BF"/>
      <w:spacing w:val="10"/>
    </w:rPr>
  </w:style>
  <w:style w:type="character" w:customStyle="1" w:styleId="Heading6Char">
    <w:name w:val="Heading 6 Char"/>
    <w:basedOn w:val="DefaultParagraphFont"/>
    <w:link w:val="Heading6"/>
    <w:uiPriority w:val="9"/>
    <w:semiHidden/>
    <w:rsid w:val="00CB2463"/>
    <w:rPr>
      <w:caps/>
      <w:color w:val="374C80" w:themeColor="accent1" w:themeShade="BF"/>
      <w:spacing w:val="10"/>
    </w:rPr>
  </w:style>
  <w:style w:type="character" w:customStyle="1" w:styleId="Heading7Char">
    <w:name w:val="Heading 7 Char"/>
    <w:basedOn w:val="DefaultParagraphFont"/>
    <w:link w:val="Heading7"/>
    <w:uiPriority w:val="9"/>
    <w:semiHidden/>
    <w:rsid w:val="00CB2463"/>
    <w:rPr>
      <w:caps/>
      <w:color w:val="374C80" w:themeColor="accent1" w:themeShade="BF"/>
      <w:spacing w:val="10"/>
    </w:rPr>
  </w:style>
  <w:style w:type="character" w:customStyle="1" w:styleId="Heading8Char">
    <w:name w:val="Heading 8 Char"/>
    <w:basedOn w:val="DefaultParagraphFont"/>
    <w:link w:val="Heading8"/>
    <w:uiPriority w:val="9"/>
    <w:semiHidden/>
    <w:rsid w:val="00CB2463"/>
    <w:rPr>
      <w:caps/>
      <w:spacing w:val="10"/>
      <w:sz w:val="18"/>
      <w:szCs w:val="18"/>
    </w:rPr>
  </w:style>
  <w:style w:type="character" w:customStyle="1" w:styleId="Heading9Char">
    <w:name w:val="Heading 9 Char"/>
    <w:basedOn w:val="DefaultParagraphFont"/>
    <w:link w:val="Heading9"/>
    <w:uiPriority w:val="9"/>
    <w:semiHidden/>
    <w:rsid w:val="00CB2463"/>
    <w:rPr>
      <w:i/>
      <w:iCs/>
      <w:caps/>
      <w:spacing w:val="10"/>
      <w:sz w:val="18"/>
      <w:szCs w:val="18"/>
    </w:rPr>
  </w:style>
  <w:style w:type="paragraph" w:styleId="Caption">
    <w:name w:val="caption"/>
    <w:basedOn w:val="Normal"/>
    <w:next w:val="Normal"/>
    <w:uiPriority w:val="35"/>
    <w:semiHidden/>
    <w:unhideWhenUsed/>
    <w:qFormat/>
    <w:rsid w:val="00CB2463"/>
    <w:rPr>
      <w:b/>
      <w:bCs/>
      <w:color w:val="374C80" w:themeColor="accent1" w:themeShade="BF"/>
      <w:sz w:val="16"/>
      <w:szCs w:val="16"/>
    </w:rPr>
  </w:style>
  <w:style w:type="paragraph" w:styleId="Subtitle">
    <w:name w:val="Subtitle"/>
    <w:basedOn w:val="Normal"/>
    <w:next w:val="Normal"/>
    <w:link w:val="SubtitleChar"/>
    <w:uiPriority w:val="11"/>
    <w:qFormat/>
    <w:rsid w:val="00CB246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CB2463"/>
    <w:rPr>
      <w:caps/>
      <w:color w:val="595959" w:themeColor="text1" w:themeTint="A6"/>
      <w:spacing w:val="10"/>
      <w:sz w:val="21"/>
      <w:szCs w:val="21"/>
    </w:rPr>
  </w:style>
  <w:style w:type="character" w:styleId="Strong">
    <w:name w:val="Strong"/>
    <w:uiPriority w:val="22"/>
    <w:qFormat/>
    <w:rsid w:val="00CB2463"/>
    <w:rPr>
      <w:b/>
      <w:bCs/>
    </w:rPr>
  </w:style>
  <w:style w:type="character" w:styleId="Emphasis">
    <w:name w:val="Emphasis"/>
    <w:uiPriority w:val="20"/>
    <w:qFormat/>
    <w:rsid w:val="00CB2463"/>
    <w:rPr>
      <w:caps/>
      <w:color w:val="243255" w:themeColor="accent1" w:themeShade="7F"/>
      <w:spacing w:val="5"/>
    </w:rPr>
  </w:style>
  <w:style w:type="paragraph" w:styleId="Quote">
    <w:name w:val="Quote"/>
    <w:basedOn w:val="Normal"/>
    <w:next w:val="Normal"/>
    <w:link w:val="QuoteChar"/>
    <w:uiPriority w:val="29"/>
    <w:qFormat/>
    <w:rsid w:val="00CB2463"/>
    <w:rPr>
      <w:i/>
      <w:iCs/>
      <w:sz w:val="24"/>
      <w:szCs w:val="24"/>
    </w:rPr>
  </w:style>
  <w:style w:type="character" w:customStyle="1" w:styleId="QuoteChar">
    <w:name w:val="Quote Char"/>
    <w:basedOn w:val="DefaultParagraphFont"/>
    <w:link w:val="Quote"/>
    <w:uiPriority w:val="29"/>
    <w:rsid w:val="00CB2463"/>
    <w:rPr>
      <w:i/>
      <w:iCs/>
      <w:sz w:val="24"/>
      <w:szCs w:val="24"/>
    </w:rPr>
  </w:style>
  <w:style w:type="character" w:styleId="SubtleEmphasis">
    <w:name w:val="Subtle Emphasis"/>
    <w:uiPriority w:val="19"/>
    <w:qFormat/>
    <w:rsid w:val="00CB2463"/>
    <w:rPr>
      <w:i/>
      <w:iCs/>
      <w:color w:val="243255" w:themeColor="accent1" w:themeShade="7F"/>
    </w:rPr>
  </w:style>
  <w:style w:type="character" w:styleId="SubtleReference">
    <w:name w:val="Subtle Reference"/>
    <w:uiPriority w:val="31"/>
    <w:qFormat/>
    <w:rsid w:val="00CB2463"/>
    <w:rPr>
      <w:b/>
      <w:bCs/>
      <w:color w:val="4A66AC" w:themeColor="accent1"/>
    </w:rPr>
  </w:style>
  <w:style w:type="character" w:styleId="BookTitle">
    <w:name w:val="Book Title"/>
    <w:uiPriority w:val="33"/>
    <w:qFormat/>
    <w:rsid w:val="00CB2463"/>
    <w:rPr>
      <w:b/>
      <w:bCs/>
      <w:i/>
      <w:iC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314652742">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156458038">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29098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452699925">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92932422">
      <w:bodyDiv w:val="1"/>
      <w:marLeft w:val="0"/>
      <w:marRight w:val="0"/>
      <w:marTop w:val="0"/>
      <w:marBottom w:val="0"/>
      <w:divBdr>
        <w:top w:val="none" w:sz="0" w:space="0" w:color="auto"/>
        <w:left w:val="none" w:sz="0" w:space="0" w:color="auto"/>
        <w:bottom w:val="none" w:sz="0" w:space="0" w:color="auto"/>
        <w:right w:val="none" w:sz="0" w:space="0" w:color="auto"/>
      </w:divBdr>
    </w:div>
    <w:div w:id="1679841901">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6EC1CA-FF9B-492F-818C-089E61811A98}">
  <ds:schemaRefs>
    <ds:schemaRef ds:uri="http://schemas.openxmlformats.org/officeDocument/2006/bibliography"/>
  </ds:schemaRefs>
</ds:datastoreItem>
</file>

<file path=customXml/itemProps2.xml><?xml version="1.0" encoding="utf-8"?>
<ds:datastoreItem xmlns:ds="http://schemas.openxmlformats.org/officeDocument/2006/customXml" ds:itemID="{1B5CBB28-C8E6-44A2-AEC2-71687F81ABF2}"/>
</file>

<file path=customXml/itemProps3.xml><?xml version="1.0" encoding="utf-8"?>
<ds:datastoreItem xmlns:ds="http://schemas.openxmlformats.org/officeDocument/2006/customXml" ds:itemID="{28D59895-94BA-4A19-A0E2-68FBAD3ACD48}"/>
</file>

<file path=customXml/itemProps4.xml><?xml version="1.0" encoding="utf-8"?>
<ds:datastoreItem xmlns:ds="http://schemas.openxmlformats.org/officeDocument/2006/customXml" ds:itemID="{6D0EC5BD-014C-432C-9B9A-86F81371E2C9}"/>
</file>

<file path=docProps/app.xml><?xml version="1.0" encoding="utf-8"?>
<Properties xmlns="http://schemas.openxmlformats.org/officeDocument/2006/extended-properties" xmlns:vt="http://schemas.openxmlformats.org/officeDocument/2006/docPropsVTypes">
  <Template>Normal.dotm</Template>
  <TotalTime>0</TotalTime>
  <Pages>12</Pages>
  <Words>3393</Words>
  <Characters>19344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22692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2</cp:revision>
  <cp:lastPrinted>2019-02-08T19:26:00Z</cp:lastPrinted>
  <dcterms:created xsi:type="dcterms:W3CDTF">2020-12-01T15:32:00Z</dcterms:created>
  <dcterms:modified xsi:type="dcterms:W3CDTF">2020-12-01T15:32:00Z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