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A814E" w14:textId="77777777" w:rsidR="00554D12" w:rsidRPr="00554D12" w:rsidRDefault="00554D12" w:rsidP="00554D12">
      <w:pPr>
        <w:rPr>
          <w:rFonts w:asciiTheme="majorBidi" w:hAnsiTheme="majorBidi" w:cstheme="majorBidi"/>
          <w:b/>
          <w:bCs/>
          <w:sz w:val="24"/>
          <w:szCs w:val="24"/>
          <w:u w:val="single"/>
        </w:rPr>
      </w:pPr>
    </w:p>
    <w:p w14:paraId="6A56007E" w14:textId="77777777" w:rsidR="00651CDC" w:rsidRDefault="00651CDC" w:rsidP="00651CDC">
      <w:pPr>
        <w:jc w:val="center"/>
        <w:rPr>
          <w:rFonts w:asciiTheme="majorBidi" w:hAnsiTheme="majorBidi" w:cstheme="majorBidi"/>
          <w:b/>
          <w:bCs/>
          <w:color w:val="0070C0"/>
          <w:sz w:val="24"/>
          <w:szCs w:val="24"/>
          <w:u w:val="single"/>
        </w:rPr>
      </w:pPr>
      <w:r w:rsidRPr="00651CDC">
        <w:rPr>
          <w:rFonts w:asciiTheme="majorBidi" w:hAnsiTheme="majorBidi" w:cstheme="majorBidi"/>
          <w:b/>
          <w:bCs/>
          <w:color w:val="0070C0"/>
          <w:sz w:val="24"/>
          <w:szCs w:val="24"/>
          <w:u w:val="single"/>
        </w:rPr>
        <w:t xml:space="preserve">Report submitted to the Committee on the Elimination of Racial Discrimination regarding the follow-up to the concluding observations of Germany </w:t>
      </w:r>
    </w:p>
    <w:p w14:paraId="5E71D7AC" w14:textId="2FD06F99" w:rsidR="00554D12" w:rsidRPr="00554D12" w:rsidRDefault="00554D12" w:rsidP="00651CDC">
      <w:pPr>
        <w:rPr>
          <w:rFonts w:asciiTheme="majorBidi" w:hAnsiTheme="majorBidi" w:cstheme="majorBidi"/>
          <w:sz w:val="24"/>
          <w:szCs w:val="24"/>
        </w:rPr>
      </w:pPr>
      <w:r w:rsidRPr="00554D12">
        <w:rPr>
          <w:rFonts w:asciiTheme="majorBidi" w:hAnsiTheme="majorBidi" w:cstheme="majorBidi"/>
          <w:b/>
          <w:bCs/>
          <w:sz w:val="24"/>
          <w:szCs w:val="24"/>
        </w:rPr>
        <w:t xml:space="preserve">Submitted to: </w:t>
      </w:r>
      <w:r w:rsidR="00080A2B" w:rsidRPr="00080A2B">
        <w:rPr>
          <w:rFonts w:asciiTheme="majorBidi" w:hAnsiTheme="majorBidi" w:cstheme="majorBidi"/>
          <w:sz w:val="24"/>
          <w:szCs w:val="24"/>
        </w:rPr>
        <w:t>Committee on the Elimination of Racial Discrimination</w:t>
      </w:r>
    </w:p>
    <w:p w14:paraId="506BC97C" w14:textId="77777777" w:rsidR="00554D12" w:rsidRDefault="00554D12" w:rsidP="00554D12">
      <w:pPr>
        <w:jc w:val="both"/>
        <w:rPr>
          <w:rFonts w:asciiTheme="majorBidi" w:hAnsiTheme="majorBidi" w:cstheme="majorBidi"/>
          <w:sz w:val="24"/>
          <w:szCs w:val="24"/>
        </w:rPr>
      </w:pPr>
      <w:r w:rsidRPr="00554D12">
        <w:rPr>
          <w:rFonts w:asciiTheme="majorBidi" w:hAnsiTheme="majorBidi" w:cstheme="majorBidi"/>
          <w:b/>
          <w:bCs/>
          <w:sz w:val="24"/>
          <w:szCs w:val="24"/>
        </w:rPr>
        <w:t>Submitted by:</w:t>
      </w:r>
      <w:r w:rsidRPr="00554D12">
        <w:rPr>
          <w:rFonts w:asciiTheme="majorBidi" w:hAnsiTheme="majorBidi" w:cstheme="majorBidi"/>
          <w:sz w:val="24"/>
          <w:szCs w:val="24"/>
        </w:rPr>
        <w:t xml:space="preserve"> Partners for Transparency (granted consultative status with the ECOSOC)</w:t>
      </w:r>
    </w:p>
    <w:p w14:paraId="4FA01560" w14:textId="77777777" w:rsidR="00554D12" w:rsidRPr="00554D12" w:rsidRDefault="00554D12" w:rsidP="00554D12">
      <w:pPr>
        <w:shd w:val="clear" w:color="auto" w:fill="002060"/>
        <w:rPr>
          <w:rFonts w:asciiTheme="majorBidi" w:hAnsiTheme="majorBidi" w:cstheme="majorBidi"/>
          <w:b/>
          <w:bCs/>
          <w:sz w:val="24"/>
          <w:szCs w:val="24"/>
        </w:rPr>
      </w:pPr>
      <w:r w:rsidRPr="00554D12">
        <w:rPr>
          <w:rFonts w:asciiTheme="majorBidi" w:hAnsiTheme="majorBidi" w:cstheme="majorBidi"/>
          <w:b/>
          <w:bCs/>
          <w:sz w:val="24"/>
          <w:szCs w:val="24"/>
        </w:rPr>
        <w:t>Introduction</w:t>
      </w:r>
    </w:p>
    <w:p w14:paraId="4FEE769B" w14:textId="3C6C26AB" w:rsidR="00651CDC" w:rsidRDefault="00651CDC" w:rsidP="00651CDC">
      <w:pPr>
        <w:jc w:val="both"/>
        <w:rPr>
          <w:rFonts w:asciiTheme="majorBidi" w:hAnsiTheme="majorBidi" w:cstheme="majorBidi"/>
          <w:sz w:val="24"/>
          <w:szCs w:val="24"/>
        </w:rPr>
      </w:pPr>
      <w:r w:rsidRPr="00651CDC">
        <w:rPr>
          <w:rFonts w:asciiTheme="majorBidi" w:hAnsiTheme="majorBidi" w:cstheme="majorBidi"/>
          <w:sz w:val="24"/>
          <w:szCs w:val="24"/>
        </w:rPr>
        <w:t xml:space="preserve">The Committee considered the combined </w:t>
      </w:r>
      <w:r>
        <w:rPr>
          <w:rFonts w:asciiTheme="majorBidi" w:hAnsiTheme="majorBidi" w:cstheme="majorBidi"/>
          <w:sz w:val="24"/>
          <w:szCs w:val="24"/>
        </w:rPr>
        <w:t>23</w:t>
      </w:r>
      <w:r w:rsidRPr="00651CDC">
        <w:rPr>
          <w:rFonts w:asciiTheme="majorBidi" w:hAnsiTheme="majorBidi" w:cstheme="majorBidi"/>
          <w:sz w:val="24"/>
          <w:szCs w:val="24"/>
        </w:rPr>
        <w:t xml:space="preserve"> to </w:t>
      </w:r>
      <w:r>
        <w:rPr>
          <w:rFonts w:asciiTheme="majorBidi" w:hAnsiTheme="majorBidi" w:cstheme="majorBidi"/>
          <w:sz w:val="24"/>
          <w:szCs w:val="24"/>
        </w:rPr>
        <w:t>26</w:t>
      </w:r>
      <w:r w:rsidRPr="00651CDC">
        <w:rPr>
          <w:rFonts w:asciiTheme="majorBidi" w:hAnsiTheme="majorBidi" w:cstheme="majorBidi"/>
          <w:sz w:val="24"/>
          <w:szCs w:val="24"/>
        </w:rPr>
        <w:t xml:space="preserve"> periodic reports of the Federal Republic of Germany at its 3027th and 3028th meetings, held on 23 and 24 November 2023. At its 3042nd meeting, held on 5 December 2023, the Committee adopted its recommendations and concluding observations, which Germany should implement in order to fulfill its obligations under the International Convention on the Elimination of All Forms of Racial Discrimination. In response to the Committee's concluding observations, Germany submitted a follow-up report on 5 December 2024.</w:t>
      </w:r>
    </w:p>
    <w:p w14:paraId="51B91E91" w14:textId="77777777" w:rsidR="00651CDC" w:rsidRDefault="00651CDC" w:rsidP="00651CDC">
      <w:pPr>
        <w:jc w:val="both"/>
        <w:rPr>
          <w:rFonts w:asciiTheme="majorBidi" w:hAnsiTheme="majorBidi" w:cstheme="majorBidi"/>
          <w:sz w:val="24"/>
          <w:szCs w:val="24"/>
        </w:rPr>
      </w:pPr>
      <w:r w:rsidRPr="00651CDC">
        <w:rPr>
          <w:rFonts w:asciiTheme="majorBidi" w:hAnsiTheme="majorBidi" w:cstheme="majorBidi"/>
          <w:sz w:val="24"/>
          <w:szCs w:val="24"/>
        </w:rPr>
        <w:t xml:space="preserve">Partners Foundation submits this report in the context of follow-up to the concluding observations issued by the Committee on the Elimination of Racial Discrimination on the combined </w:t>
      </w:r>
      <w:r>
        <w:rPr>
          <w:rFonts w:asciiTheme="majorBidi" w:hAnsiTheme="majorBidi" w:cstheme="majorBidi"/>
          <w:sz w:val="24"/>
          <w:szCs w:val="24"/>
        </w:rPr>
        <w:t>23</w:t>
      </w:r>
      <w:r w:rsidRPr="00651CDC">
        <w:rPr>
          <w:rFonts w:asciiTheme="majorBidi" w:hAnsiTheme="majorBidi" w:cstheme="majorBidi"/>
          <w:sz w:val="24"/>
          <w:szCs w:val="24"/>
        </w:rPr>
        <w:t xml:space="preserve"> to </w:t>
      </w:r>
      <w:r>
        <w:rPr>
          <w:rFonts w:asciiTheme="majorBidi" w:hAnsiTheme="majorBidi" w:cstheme="majorBidi"/>
          <w:sz w:val="24"/>
          <w:szCs w:val="24"/>
        </w:rPr>
        <w:t>26</w:t>
      </w:r>
      <w:r w:rsidRPr="00651CDC">
        <w:rPr>
          <w:rFonts w:asciiTheme="majorBidi" w:hAnsiTheme="majorBidi" w:cstheme="majorBidi"/>
          <w:sz w:val="24"/>
          <w:szCs w:val="24"/>
        </w:rPr>
        <w:t xml:space="preserve"> periodic reports of the Federal Republic of Germany. The report is based on a review of the Committee’s concluding observations, in addition to information provided by Germany on the implementation of these observations. The report specifically reviews the recent measures taken by Germany to implement the recommendations contained in paragraphs 14 (a), (b), and (c) of the concluding observations, concerning the General Equal Treatment Act, in addition to following up on the implementation of the recommendations contained in paragraphs 38 (b) and (c), concerning discrimination against non-citizens. The Committee requested Germany, in paragraph 57 of its concluding observations, to provide information on the measures it has taken to implement the aforementioned recommendations specifically within one year of the date of adoption of the concluding observations.</w:t>
      </w:r>
    </w:p>
    <w:p w14:paraId="1431B46B" w14:textId="45D68993" w:rsidR="00A05A9A" w:rsidRDefault="00651CDC" w:rsidP="00651CDC">
      <w:pPr>
        <w:jc w:val="both"/>
        <w:rPr>
          <w:rFonts w:asciiTheme="majorBidi" w:hAnsiTheme="majorBidi" w:cstheme="majorBidi"/>
          <w:sz w:val="24"/>
          <w:szCs w:val="24"/>
        </w:rPr>
      </w:pPr>
      <w:r w:rsidRPr="00651CDC">
        <w:rPr>
          <w:rFonts w:asciiTheme="majorBidi" w:hAnsiTheme="majorBidi" w:cstheme="majorBidi"/>
          <w:sz w:val="24"/>
          <w:szCs w:val="24"/>
        </w:rPr>
        <w:t>The report will also seek to provide additional information on the overall status of implementation of the recommendations contained in paragraph 16 of the concluding observations on combating racist hate speech and hate crimes. In paragraph 58 of its concluding observations, the Committee urged Germany to provide detailed information on the concrete measures taken to implement these recommendations in its next periodic report, due in June 2027.</w:t>
      </w:r>
    </w:p>
    <w:p w14:paraId="391E3D1F" w14:textId="38269DF4" w:rsidR="007C7092" w:rsidRPr="007C7092" w:rsidRDefault="007C7092" w:rsidP="007C7092">
      <w:pPr>
        <w:shd w:val="clear" w:color="auto" w:fill="002060"/>
        <w:jc w:val="both"/>
        <w:rPr>
          <w:rFonts w:asciiTheme="majorBidi" w:hAnsiTheme="majorBidi" w:cstheme="majorBidi"/>
          <w:b/>
          <w:bCs/>
          <w:sz w:val="24"/>
          <w:szCs w:val="24"/>
        </w:rPr>
      </w:pPr>
      <w:r w:rsidRPr="007C7092">
        <w:rPr>
          <w:rFonts w:asciiTheme="majorBidi" w:hAnsiTheme="majorBidi" w:cstheme="majorBidi"/>
          <w:b/>
          <w:bCs/>
          <w:sz w:val="24"/>
          <w:szCs w:val="24"/>
        </w:rPr>
        <w:t>Paragraphs 14 (a), (b) and (c): Amendment to the General Law on Equal Treatment</w:t>
      </w:r>
    </w:p>
    <w:p w14:paraId="52C348D9" w14:textId="64713C8F" w:rsidR="007C7092" w:rsidRDefault="007C7092" w:rsidP="007C7092">
      <w:pPr>
        <w:jc w:val="both"/>
        <w:rPr>
          <w:rFonts w:asciiTheme="majorBidi" w:hAnsiTheme="majorBidi" w:cstheme="majorBidi"/>
          <w:sz w:val="24"/>
          <w:szCs w:val="24"/>
        </w:rPr>
      </w:pPr>
      <w:r w:rsidRPr="007C7092">
        <w:rPr>
          <w:rFonts w:asciiTheme="majorBidi" w:hAnsiTheme="majorBidi" w:cstheme="majorBidi"/>
          <w:sz w:val="24"/>
          <w:szCs w:val="24"/>
        </w:rPr>
        <w:t xml:space="preserve">In paragraphs 14 (a), (b), and (c) of the Concluding Observations, the Committee recommended that the German authorities expedite the amendment of the General Equal Treatment Act (GAG), ensure its full compliance with the Convention and all other human rights instruments, expand the scope of the law's </w:t>
      </w:r>
      <w:r w:rsidRPr="007C7092">
        <w:rPr>
          <w:rFonts w:asciiTheme="majorBidi" w:hAnsiTheme="majorBidi" w:cstheme="majorBidi"/>
          <w:sz w:val="24"/>
          <w:szCs w:val="24"/>
        </w:rPr>
        <w:lastRenderedPageBreak/>
        <w:t>application to cover all areas of life, particularly discrimination by public authorities, and consult with civil society organizations and all other relevant bodies during the amendment process.</w:t>
      </w:r>
      <w:r>
        <w:rPr>
          <w:rStyle w:val="FootnoteReference"/>
          <w:rFonts w:asciiTheme="majorBidi" w:hAnsiTheme="majorBidi" w:cstheme="majorBidi"/>
          <w:sz w:val="24"/>
          <w:szCs w:val="24"/>
        </w:rPr>
        <w:footnoteReference w:id="1"/>
      </w:r>
      <w:r w:rsidRPr="007C7092">
        <w:rPr>
          <w:rFonts w:asciiTheme="majorBidi" w:hAnsiTheme="majorBidi" w:cstheme="majorBidi"/>
          <w:sz w:val="24"/>
          <w:szCs w:val="24"/>
        </w:rPr>
        <w:t xml:space="preserve"> </w:t>
      </w:r>
    </w:p>
    <w:p w14:paraId="50AC4C9B" w14:textId="7B4C1DAC" w:rsidR="007C7092" w:rsidRDefault="007C7092" w:rsidP="007C7092">
      <w:pPr>
        <w:jc w:val="both"/>
        <w:rPr>
          <w:rFonts w:asciiTheme="majorBidi" w:hAnsiTheme="majorBidi" w:cstheme="majorBidi"/>
          <w:sz w:val="24"/>
          <w:szCs w:val="24"/>
        </w:rPr>
      </w:pPr>
      <w:r w:rsidRPr="007C7092">
        <w:rPr>
          <w:rFonts w:asciiTheme="majorBidi" w:hAnsiTheme="majorBidi" w:cstheme="majorBidi"/>
          <w:sz w:val="24"/>
          <w:szCs w:val="24"/>
        </w:rPr>
        <w:t xml:space="preserve">However, Partners </w:t>
      </w:r>
      <w:r>
        <w:rPr>
          <w:rFonts w:asciiTheme="majorBidi" w:hAnsiTheme="majorBidi" w:cstheme="majorBidi"/>
          <w:sz w:val="24"/>
          <w:szCs w:val="24"/>
        </w:rPr>
        <w:t xml:space="preserve">foundation </w:t>
      </w:r>
      <w:r w:rsidRPr="007C7092">
        <w:rPr>
          <w:rFonts w:asciiTheme="majorBidi" w:hAnsiTheme="majorBidi" w:cstheme="majorBidi"/>
          <w:sz w:val="24"/>
          <w:szCs w:val="24"/>
        </w:rPr>
        <w:t>noted with concern the German government's responses to these recommendations in paragraphs 3 and 4 of Germany's follow-up report. The German government confirmed that it had made no progress in reforming the General Equal Treatment Act (GAG), that the reform process was still under discussion in parliamentary circles, and that various consultations on amending the law had not yet been concluded. It stated that there was no specific timetable for amending the law, especially in light of the expected early elections for the Bundestag, making it unlikely that the law would be amended during the current legislative period.</w:t>
      </w:r>
      <w:r>
        <w:rPr>
          <w:rStyle w:val="FootnoteReference"/>
          <w:rFonts w:asciiTheme="majorBidi" w:hAnsiTheme="majorBidi" w:cstheme="majorBidi"/>
          <w:sz w:val="24"/>
          <w:szCs w:val="24"/>
        </w:rPr>
        <w:footnoteReference w:id="2"/>
      </w:r>
      <w:r w:rsidRPr="007C7092">
        <w:rPr>
          <w:rFonts w:asciiTheme="majorBidi" w:hAnsiTheme="majorBidi" w:cstheme="majorBidi"/>
          <w:sz w:val="24"/>
          <w:szCs w:val="24"/>
        </w:rPr>
        <w:t xml:space="preserve"> </w:t>
      </w:r>
    </w:p>
    <w:p w14:paraId="36AEAA58" w14:textId="77777777" w:rsidR="007C7092" w:rsidRDefault="007C7092" w:rsidP="007C7092">
      <w:pPr>
        <w:jc w:val="both"/>
        <w:rPr>
          <w:rFonts w:asciiTheme="majorBidi" w:hAnsiTheme="majorBidi" w:cstheme="majorBidi"/>
          <w:sz w:val="24"/>
          <w:szCs w:val="24"/>
        </w:rPr>
      </w:pPr>
      <w:r w:rsidRPr="007C7092">
        <w:rPr>
          <w:rFonts w:asciiTheme="majorBidi" w:hAnsiTheme="majorBidi" w:cstheme="majorBidi"/>
          <w:sz w:val="24"/>
          <w:szCs w:val="24"/>
        </w:rPr>
        <w:t>The German authorities' failure to amend the General Equal Treatment Act (GES) comes despite the fact that the law is considered one of the weakest anti-discrimination laws in Europe, and its substance has not been reformed since its enactment in 2006.</w:t>
      </w:r>
      <w:r>
        <w:rPr>
          <w:rStyle w:val="FootnoteReference"/>
          <w:rFonts w:asciiTheme="majorBidi" w:hAnsiTheme="majorBidi" w:cstheme="majorBidi"/>
          <w:sz w:val="24"/>
          <w:szCs w:val="24"/>
        </w:rPr>
        <w:footnoteReference w:id="3"/>
      </w:r>
      <w:r w:rsidRPr="007C7092">
        <w:rPr>
          <w:rFonts w:asciiTheme="majorBidi" w:hAnsiTheme="majorBidi" w:cstheme="majorBidi"/>
          <w:sz w:val="24"/>
          <w:szCs w:val="24"/>
        </w:rPr>
        <w:t xml:space="preserve"> </w:t>
      </w:r>
    </w:p>
    <w:p w14:paraId="03DA1F1B" w14:textId="72B32839" w:rsidR="007C7092" w:rsidRDefault="007C7092" w:rsidP="007C7092">
      <w:pPr>
        <w:jc w:val="both"/>
        <w:rPr>
          <w:rFonts w:asciiTheme="majorBidi" w:hAnsiTheme="majorBidi" w:cstheme="majorBidi"/>
          <w:sz w:val="24"/>
          <w:szCs w:val="24"/>
        </w:rPr>
      </w:pPr>
      <w:r w:rsidRPr="007C7092">
        <w:rPr>
          <w:rFonts w:asciiTheme="majorBidi" w:hAnsiTheme="majorBidi" w:cstheme="majorBidi"/>
          <w:sz w:val="24"/>
          <w:szCs w:val="24"/>
        </w:rPr>
        <w:t>Although the federal government announced in the 2021 coalition agreement its intention to review the GES, address gaps in protection, and expand its scope, no action has been taken in this regard, despite numerous opportunities to do so.</w:t>
      </w:r>
      <w:r>
        <w:rPr>
          <w:rStyle w:val="FootnoteReference"/>
          <w:rFonts w:asciiTheme="majorBidi" w:hAnsiTheme="majorBidi" w:cstheme="majorBidi"/>
          <w:sz w:val="24"/>
          <w:szCs w:val="24"/>
        </w:rPr>
        <w:footnoteReference w:id="4"/>
      </w:r>
    </w:p>
    <w:p w14:paraId="0D28A5F0" w14:textId="32815A3A" w:rsidR="007C7092" w:rsidRDefault="007C7092" w:rsidP="007C7092">
      <w:pPr>
        <w:jc w:val="both"/>
        <w:rPr>
          <w:rFonts w:asciiTheme="majorBidi" w:hAnsiTheme="majorBidi" w:cstheme="majorBidi"/>
          <w:sz w:val="24"/>
          <w:szCs w:val="24"/>
        </w:rPr>
      </w:pPr>
      <w:r w:rsidRPr="007C7092">
        <w:rPr>
          <w:rFonts w:asciiTheme="majorBidi" w:hAnsiTheme="majorBidi" w:cstheme="majorBidi"/>
          <w:sz w:val="24"/>
          <w:szCs w:val="24"/>
        </w:rPr>
        <w:t xml:space="preserve">Partners </w:t>
      </w:r>
      <w:r>
        <w:rPr>
          <w:rFonts w:asciiTheme="majorBidi" w:hAnsiTheme="majorBidi" w:cstheme="majorBidi"/>
          <w:sz w:val="24"/>
          <w:szCs w:val="24"/>
        </w:rPr>
        <w:t xml:space="preserve">foundation </w:t>
      </w:r>
      <w:r w:rsidRPr="007C7092">
        <w:rPr>
          <w:rFonts w:asciiTheme="majorBidi" w:hAnsiTheme="majorBidi" w:cstheme="majorBidi"/>
          <w:sz w:val="24"/>
          <w:szCs w:val="24"/>
        </w:rPr>
        <w:t>expresses its concern about the lack of progress so far at the legislative level regarding amending the law, the lack of a clear timetable for amending it, and the unlikely achievement of concrete results regarding its amendment during the current legislative session of the German parliament in light of the expected early elections for the Bundestag. Partners also supports the position of the Independent Federal Commissioner for the Prevention of Discrimination and the President of the Federal Anti-Discrimination Agency in Germany, who issued a position paper in mid-July 2023 on reforming the General Equal Treatment Act. The paper recommended expanding the scope of protection against discrimination to include protection against discrimination by public authorities, as well as protection against discrimination resulting from artificial intelligence.</w:t>
      </w:r>
      <w:r>
        <w:rPr>
          <w:rStyle w:val="FootnoteReference"/>
          <w:rFonts w:asciiTheme="majorBidi" w:hAnsiTheme="majorBidi" w:cstheme="majorBidi"/>
          <w:sz w:val="24"/>
          <w:szCs w:val="24"/>
        </w:rPr>
        <w:footnoteReference w:id="5"/>
      </w:r>
    </w:p>
    <w:p w14:paraId="21E53D13" w14:textId="210FC80D" w:rsidR="007C7092" w:rsidRPr="007C7092" w:rsidRDefault="007C7092" w:rsidP="007C7092">
      <w:pPr>
        <w:shd w:val="clear" w:color="auto" w:fill="002060"/>
        <w:jc w:val="both"/>
        <w:rPr>
          <w:rFonts w:asciiTheme="majorBidi" w:hAnsiTheme="majorBidi" w:cstheme="majorBidi"/>
          <w:b/>
          <w:bCs/>
          <w:sz w:val="24"/>
          <w:szCs w:val="24"/>
        </w:rPr>
      </w:pPr>
      <w:r w:rsidRPr="007C7092">
        <w:rPr>
          <w:rFonts w:asciiTheme="majorBidi" w:hAnsiTheme="majorBidi" w:cstheme="majorBidi"/>
          <w:b/>
          <w:bCs/>
          <w:sz w:val="24"/>
          <w:szCs w:val="24"/>
        </w:rPr>
        <w:t>Paragraph 38 (b), (c): Discrimination against non-citizens</w:t>
      </w:r>
    </w:p>
    <w:p w14:paraId="5C3C1CD9" w14:textId="77777777" w:rsidR="007C7092" w:rsidRDefault="007C7092" w:rsidP="007C7092">
      <w:pPr>
        <w:jc w:val="both"/>
        <w:rPr>
          <w:rFonts w:asciiTheme="majorBidi" w:hAnsiTheme="majorBidi" w:cstheme="majorBidi"/>
          <w:sz w:val="24"/>
          <w:szCs w:val="24"/>
        </w:rPr>
      </w:pPr>
      <w:r w:rsidRPr="007C7092">
        <w:rPr>
          <w:rFonts w:asciiTheme="majorBidi" w:hAnsiTheme="majorBidi" w:cstheme="majorBidi"/>
          <w:sz w:val="24"/>
          <w:szCs w:val="24"/>
        </w:rPr>
        <w:t xml:space="preserve">In paragraph 38 (b) and (c) of the concluding observations, the Committee recommended that the German authorities take all necessary measures to ensure that migrants and asylum seekers receive adequate social protection and enjoy an adequate standard of living, including access to health-care services. The Committee also recommended that services responsible for reimbursing health-related treatment be required to report undocumented migrants. The Committee also recommended that they take appropriate measures to ensure respect for the right of asylum seekers to freedom of movement by repealing legislation requiring asylum seekers to live in specific reception centers and remain within specific geographical areas. </w:t>
      </w:r>
    </w:p>
    <w:p w14:paraId="554C1F9A" w14:textId="77777777" w:rsidR="007C7092" w:rsidRDefault="007C7092" w:rsidP="007C7092">
      <w:pPr>
        <w:jc w:val="both"/>
        <w:rPr>
          <w:rFonts w:asciiTheme="majorBidi" w:hAnsiTheme="majorBidi" w:cstheme="majorBidi"/>
          <w:sz w:val="24"/>
          <w:szCs w:val="24"/>
        </w:rPr>
      </w:pPr>
      <w:r w:rsidRPr="007C7092">
        <w:rPr>
          <w:rFonts w:asciiTheme="majorBidi" w:hAnsiTheme="majorBidi" w:cstheme="majorBidi"/>
          <w:sz w:val="24"/>
          <w:szCs w:val="24"/>
        </w:rPr>
        <w:lastRenderedPageBreak/>
        <w:t xml:space="preserve">However, Partners </w:t>
      </w:r>
      <w:r>
        <w:rPr>
          <w:rFonts w:asciiTheme="majorBidi" w:hAnsiTheme="majorBidi" w:cstheme="majorBidi"/>
          <w:sz w:val="24"/>
          <w:szCs w:val="24"/>
        </w:rPr>
        <w:t xml:space="preserve">foundation </w:t>
      </w:r>
      <w:r w:rsidRPr="007C7092">
        <w:rPr>
          <w:rFonts w:asciiTheme="majorBidi" w:hAnsiTheme="majorBidi" w:cstheme="majorBidi"/>
          <w:sz w:val="24"/>
          <w:szCs w:val="24"/>
        </w:rPr>
        <w:t>noted with concern the German government's responses to these recommendations in paragraph 18 of the follow-up report on Germany, in which the German government confirmed that Article 87 of the Residence Act (</w:t>
      </w:r>
      <w:proofErr w:type="spellStart"/>
      <w:r w:rsidRPr="007C7092">
        <w:rPr>
          <w:rFonts w:asciiTheme="majorBidi" w:hAnsiTheme="majorBidi" w:cstheme="majorBidi"/>
          <w:sz w:val="24"/>
          <w:szCs w:val="24"/>
        </w:rPr>
        <w:t>Aufenthaltsgesetz</w:t>
      </w:r>
      <w:proofErr w:type="spellEnd"/>
      <w:r w:rsidRPr="007C7092">
        <w:rPr>
          <w:rFonts w:asciiTheme="majorBidi" w:hAnsiTheme="majorBidi" w:cstheme="majorBidi"/>
          <w:sz w:val="24"/>
          <w:szCs w:val="24"/>
        </w:rPr>
        <w:t xml:space="preserve">) remains in force and that there are no plans to amend it at this time. According to this article, public entities that cover the costs of treating asylum seekers and migrants without a residence permit are obligated to report them to the competent immigration authorities for deportation for lack of legal residence permits. </w:t>
      </w:r>
    </w:p>
    <w:p w14:paraId="1B1B8008" w14:textId="77777777" w:rsidR="007C7092" w:rsidRDefault="007C7092" w:rsidP="007C7092">
      <w:pPr>
        <w:jc w:val="both"/>
        <w:rPr>
          <w:rFonts w:asciiTheme="majorBidi" w:hAnsiTheme="majorBidi" w:cstheme="majorBidi"/>
          <w:sz w:val="24"/>
          <w:szCs w:val="24"/>
        </w:rPr>
      </w:pPr>
      <w:r w:rsidRPr="007C7092">
        <w:rPr>
          <w:rFonts w:asciiTheme="majorBidi" w:hAnsiTheme="majorBidi" w:cstheme="majorBidi"/>
          <w:sz w:val="24"/>
          <w:szCs w:val="24"/>
        </w:rPr>
        <w:t xml:space="preserve">While the Partners Foundation asserts that the continued implementation of this article by the German authorities without amendment severely restricts migrants and asylum seekers' access to healthcare, as migrants and asylum seekers without a residence permit are reluctant to seek necessary healthcare services for fear of being reported to immigration authorities and ultimately deported, Germany denied in its follow-up report any negative impact of this law on access to healthcare. </w:t>
      </w:r>
    </w:p>
    <w:p w14:paraId="75580FAC" w14:textId="54B02492" w:rsidR="007C7092" w:rsidRDefault="007C7092" w:rsidP="007C7092">
      <w:pPr>
        <w:jc w:val="both"/>
        <w:rPr>
          <w:rFonts w:asciiTheme="majorBidi" w:hAnsiTheme="majorBidi" w:cstheme="majorBidi"/>
          <w:sz w:val="24"/>
          <w:szCs w:val="24"/>
        </w:rPr>
      </w:pPr>
      <w:r w:rsidRPr="007C7092">
        <w:rPr>
          <w:rFonts w:asciiTheme="majorBidi" w:hAnsiTheme="majorBidi" w:cstheme="majorBidi"/>
          <w:sz w:val="24"/>
          <w:szCs w:val="24"/>
        </w:rPr>
        <w:t xml:space="preserve">Partners Foundation also followed with concern Germany's responses to recommendations calling for the repeal of legislation requiring asylum seekers to live in specific reception centers and remain within specific geographical areas (Articles 47, 56-59b of the Asylum Act, </w:t>
      </w:r>
      <w:proofErr w:type="spellStart"/>
      <w:r w:rsidRPr="007C7092">
        <w:rPr>
          <w:rFonts w:asciiTheme="majorBidi" w:hAnsiTheme="majorBidi" w:cstheme="majorBidi"/>
          <w:sz w:val="24"/>
          <w:szCs w:val="24"/>
        </w:rPr>
        <w:t>Asylgesetz</w:t>
      </w:r>
      <w:proofErr w:type="spellEnd"/>
      <w:r w:rsidRPr="007C7092">
        <w:rPr>
          <w:rFonts w:asciiTheme="majorBidi" w:hAnsiTheme="majorBidi" w:cstheme="majorBidi"/>
          <w:sz w:val="24"/>
          <w:szCs w:val="24"/>
        </w:rPr>
        <w:t>). In paragraphs 19 and 20 of the follow-up report, Germany acknowledged that it has no intention or current plans to repeal this legal framework, allegedly to address concerns about security, public order, and security threats that may arise from the influx of asylum seekers and migrants into German society, which imposes unjustified restrictions on asylum seekers' right to freedom of movement.</w:t>
      </w:r>
    </w:p>
    <w:p w14:paraId="11DDE966" w14:textId="20AF9CE5" w:rsidR="007C7092" w:rsidRDefault="007C7092" w:rsidP="007C7092">
      <w:pPr>
        <w:jc w:val="both"/>
        <w:rPr>
          <w:rFonts w:asciiTheme="majorBidi" w:hAnsiTheme="majorBidi" w:cstheme="majorBidi"/>
          <w:sz w:val="24"/>
          <w:szCs w:val="24"/>
        </w:rPr>
      </w:pPr>
      <w:r w:rsidRPr="007C7092">
        <w:rPr>
          <w:rFonts w:asciiTheme="majorBidi" w:hAnsiTheme="majorBidi" w:cstheme="majorBidi"/>
          <w:sz w:val="24"/>
          <w:szCs w:val="24"/>
        </w:rPr>
        <w:t>Moreover, immigrants and people of ethnic, racial, and religious backgrounds continue to experience institutional discrimination. According to a recent study published in 2024, 68% of Muslims with a migrant background in Germany experienced discrimination in the labor market and when searching for housing.</w:t>
      </w:r>
      <w:r w:rsidR="00512C8B">
        <w:rPr>
          <w:rStyle w:val="FootnoteReference"/>
          <w:rFonts w:asciiTheme="majorBidi" w:hAnsiTheme="majorBidi" w:cstheme="majorBidi"/>
          <w:sz w:val="24"/>
          <w:szCs w:val="24"/>
        </w:rPr>
        <w:footnoteReference w:id="6"/>
      </w:r>
      <w:r w:rsidRPr="007C7092">
        <w:rPr>
          <w:rFonts w:asciiTheme="majorBidi" w:hAnsiTheme="majorBidi" w:cstheme="majorBidi"/>
          <w:sz w:val="24"/>
          <w:szCs w:val="24"/>
        </w:rPr>
        <w:t xml:space="preserve"> A survey conducted in 2024 revealed that more than 35% of Muslims with a migrant background surveyed reported experiencing housing discrimination when buying or renting a home, compared to about 22% in 2016.</w:t>
      </w:r>
      <w:r w:rsidR="00512C8B">
        <w:rPr>
          <w:rStyle w:val="FootnoteReference"/>
          <w:rFonts w:asciiTheme="majorBidi" w:hAnsiTheme="majorBidi" w:cstheme="majorBidi"/>
          <w:sz w:val="24"/>
          <w:szCs w:val="24"/>
        </w:rPr>
        <w:footnoteReference w:id="7"/>
      </w:r>
      <w:r w:rsidRPr="007C7092">
        <w:rPr>
          <w:rFonts w:asciiTheme="majorBidi" w:hAnsiTheme="majorBidi" w:cstheme="majorBidi"/>
          <w:sz w:val="24"/>
          <w:szCs w:val="24"/>
        </w:rPr>
        <w:t xml:space="preserve"> A study based on interviews with 500 people with a migrant background about their experiences in the German labor market and workplace indicated that more than 40% of people with a migrant background experienced racial discrimination in the German labor market and workplace.</w:t>
      </w:r>
      <w:r w:rsidR="00512C8B">
        <w:rPr>
          <w:rStyle w:val="FootnoteReference"/>
          <w:rFonts w:asciiTheme="majorBidi" w:hAnsiTheme="majorBidi" w:cstheme="majorBidi"/>
          <w:sz w:val="24"/>
          <w:szCs w:val="24"/>
        </w:rPr>
        <w:footnoteReference w:id="8"/>
      </w:r>
      <w:r w:rsidRPr="007C7092">
        <w:rPr>
          <w:rFonts w:asciiTheme="majorBidi" w:hAnsiTheme="majorBidi" w:cstheme="majorBidi"/>
          <w:sz w:val="24"/>
          <w:szCs w:val="24"/>
        </w:rPr>
        <w:t xml:space="preserve"> In the same context, a recent study conducted by the Institute for Employment Research in 2024 showed that 40% of migrant workers felt discriminated against while searching for housing in Germany.</w:t>
      </w:r>
      <w:r w:rsidR="00512C8B">
        <w:rPr>
          <w:rStyle w:val="FootnoteReference"/>
          <w:rFonts w:asciiTheme="majorBidi" w:hAnsiTheme="majorBidi" w:cstheme="majorBidi"/>
          <w:sz w:val="24"/>
          <w:szCs w:val="24"/>
        </w:rPr>
        <w:footnoteReference w:id="9"/>
      </w:r>
      <w:r w:rsidRPr="007C7092">
        <w:rPr>
          <w:rFonts w:asciiTheme="majorBidi" w:hAnsiTheme="majorBidi" w:cstheme="majorBidi"/>
          <w:sz w:val="24"/>
          <w:szCs w:val="24"/>
        </w:rPr>
        <w:t xml:space="preserve"> </w:t>
      </w:r>
    </w:p>
    <w:p w14:paraId="755D763D" w14:textId="1D8E0AC2" w:rsidR="00512C8B" w:rsidRDefault="007C7092" w:rsidP="007C7092">
      <w:pPr>
        <w:jc w:val="both"/>
        <w:rPr>
          <w:rFonts w:asciiTheme="majorBidi" w:hAnsiTheme="majorBidi" w:cstheme="majorBidi"/>
          <w:sz w:val="24"/>
          <w:szCs w:val="24"/>
        </w:rPr>
      </w:pPr>
      <w:r w:rsidRPr="007C7092">
        <w:rPr>
          <w:rFonts w:asciiTheme="majorBidi" w:hAnsiTheme="majorBidi" w:cstheme="majorBidi"/>
          <w:sz w:val="24"/>
          <w:szCs w:val="24"/>
        </w:rPr>
        <w:t xml:space="preserve">In addition, German authorities clearly discriminate between citizens and non-citizens in access to healthcare services. Several groups of non-citizens are legally excluded from comprehensive healthcare services based on their national origin and residence status. They also discriminate against asylum seekers on the basis of national origin in accessing comprehensive healthcare services. In this context, Germany's Asylum Seekers' Benefits Act (ABAA) excludes asylum seekers from access to comprehensive healthcare services on an equal footing with citizens. Under this law, asylum seekers are </w:t>
      </w:r>
      <w:r w:rsidRPr="007C7092">
        <w:rPr>
          <w:rFonts w:asciiTheme="majorBidi" w:hAnsiTheme="majorBidi" w:cstheme="majorBidi"/>
          <w:sz w:val="24"/>
          <w:szCs w:val="24"/>
        </w:rPr>
        <w:lastRenderedPageBreak/>
        <w:t>entitled to only limited medical care, as defined in Section 4, which limits asylum seekers' access to healthcare in cases of acute illness or pain, healthcare related to pregnancy and childbirth, and medically required vaccinations and preventive examinations during the first 18 months of their stay in Germany. This constitutes unacceptable discrimination between citizens and non-citizens in access to healthcare services and adversely affects asylum seekers' enjoyment of the right to health in Germany.</w:t>
      </w:r>
      <w:r w:rsidR="00512C8B">
        <w:rPr>
          <w:rStyle w:val="FootnoteReference"/>
          <w:rFonts w:asciiTheme="majorBidi" w:hAnsiTheme="majorBidi" w:cstheme="majorBidi"/>
          <w:sz w:val="24"/>
          <w:szCs w:val="24"/>
        </w:rPr>
        <w:footnoteReference w:id="10"/>
      </w:r>
      <w:r w:rsidRPr="007C7092">
        <w:rPr>
          <w:rFonts w:asciiTheme="majorBidi" w:hAnsiTheme="majorBidi" w:cstheme="majorBidi"/>
          <w:sz w:val="24"/>
          <w:szCs w:val="24"/>
        </w:rPr>
        <w:t xml:space="preserve"> </w:t>
      </w:r>
    </w:p>
    <w:p w14:paraId="5BC1F174" w14:textId="272E792A" w:rsidR="00512C8B" w:rsidRDefault="007C7092" w:rsidP="00512C8B">
      <w:pPr>
        <w:jc w:val="both"/>
        <w:rPr>
          <w:rFonts w:asciiTheme="majorBidi" w:hAnsiTheme="majorBidi" w:cstheme="majorBidi"/>
          <w:sz w:val="24"/>
          <w:szCs w:val="24"/>
        </w:rPr>
      </w:pPr>
      <w:r w:rsidRPr="007C7092">
        <w:rPr>
          <w:rFonts w:asciiTheme="majorBidi" w:hAnsiTheme="majorBidi" w:cstheme="majorBidi"/>
          <w:sz w:val="24"/>
          <w:szCs w:val="24"/>
        </w:rPr>
        <w:t>In addition, German authorities discriminate against asylum seekers based on national origin in accessing healthcare services. As of June 2022, German authorities granted asylum seekers fleeing Russian aggression in Ukraine access to all social services, including comprehensive healthcare services, without complying with the Asylum Seekers' Benefits Act, which provides limited medical services for asylum seekers. However, German authorities continue to exclude all other asylum seekers, including Syrians and Afghans, from accessing these services, including comprehensive healthcare services. This constitutes discrimination based on national origin among asylum seekers in accessing healthcare services.</w:t>
      </w:r>
      <w:r w:rsidR="00512C8B">
        <w:rPr>
          <w:rStyle w:val="FootnoteReference"/>
          <w:rFonts w:asciiTheme="majorBidi" w:hAnsiTheme="majorBidi" w:cstheme="majorBidi"/>
          <w:sz w:val="24"/>
          <w:szCs w:val="24"/>
        </w:rPr>
        <w:footnoteReference w:id="11"/>
      </w:r>
      <w:r w:rsidRPr="007C7092">
        <w:rPr>
          <w:rFonts w:asciiTheme="majorBidi" w:hAnsiTheme="majorBidi" w:cstheme="majorBidi"/>
          <w:sz w:val="24"/>
          <w:szCs w:val="24"/>
        </w:rPr>
        <w:t xml:space="preserve"> </w:t>
      </w:r>
    </w:p>
    <w:p w14:paraId="3189C0DD" w14:textId="4501E059" w:rsidR="007C7092" w:rsidRDefault="007C7092" w:rsidP="00512C8B">
      <w:pPr>
        <w:jc w:val="both"/>
        <w:rPr>
          <w:rFonts w:asciiTheme="majorBidi" w:hAnsiTheme="majorBidi" w:cstheme="majorBidi"/>
          <w:sz w:val="24"/>
          <w:szCs w:val="24"/>
        </w:rPr>
      </w:pPr>
      <w:r w:rsidRPr="007C7092">
        <w:rPr>
          <w:rFonts w:asciiTheme="majorBidi" w:hAnsiTheme="majorBidi" w:cstheme="majorBidi"/>
          <w:sz w:val="24"/>
          <w:szCs w:val="24"/>
        </w:rPr>
        <w:t>In the same context, immigrants in Germany face a greater risk of poverty and a lower standard of living than the rest of the population due to discrimination and racism. In this regard, a recent study published in May 2024 showed that immigrants in Germany, particularly those of African and Asian origins and Muslims, face a greater risk of poverty than others due to structural, institutional, and individual forms of racial discrimination. The study revealed that while about 10% of Germans were close to the poverty line, the percentages were much higher among immigrants of Black, Asian, and Muslim descent, reaching 26% among men and women of African origin, 30% and 26% among men and women of Asian origin, and 41% and 38% among Muslim men and women, respectively.</w:t>
      </w:r>
      <w:r w:rsidR="00512C8B">
        <w:rPr>
          <w:rStyle w:val="FootnoteReference"/>
          <w:rFonts w:asciiTheme="majorBidi" w:hAnsiTheme="majorBidi" w:cstheme="majorBidi"/>
          <w:sz w:val="24"/>
          <w:szCs w:val="24"/>
        </w:rPr>
        <w:footnoteReference w:id="12"/>
      </w:r>
    </w:p>
    <w:p w14:paraId="15F3A264" w14:textId="0968F1E4" w:rsidR="00512C8B" w:rsidRPr="00512C8B" w:rsidRDefault="00512C8B" w:rsidP="00512C8B">
      <w:pPr>
        <w:shd w:val="clear" w:color="auto" w:fill="002060"/>
        <w:jc w:val="both"/>
        <w:rPr>
          <w:rFonts w:asciiTheme="majorBidi" w:hAnsiTheme="majorBidi" w:cstheme="majorBidi"/>
          <w:b/>
          <w:bCs/>
          <w:sz w:val="24"/>
          <w:szCs w:val="24"/>
        </w:rPr>
      </w:pPr>
      <w:r w:rsidRPr="00512C8B">
        <w:rPr>
          <w:rFonts w:asciiTheme="majorBidi" w:hAnsiTheme="majorBidi" w:cstheme="majorBidi"/>
          <w:b/>
          <w:bCs/>
          <w:sz w:val="24"/>
          <w:szCs w:val="24"/>
        </w:rPr>
        <w:t>Paragraph 58: Hate crimes and racist hate speech</w:t>
      </w:r>
    </w:p>
    <w:p w14:paraId="1482A28F" w14:textId="77777777" w:rsidR="00512C8B" w:rsidRPr="00512C8B" w:rsidRDefault="00512C8B" w:rsidP="00512C8B">
      <w:pPr>
        <w:jc w:val="both"/>
        <w:rPr>
          <w:rFonts w:asciiTheme="majorBidi" w:hAnsiTheme="majorBidi" w:cstheme="majorBidi"/>
          <w:sz w:val="24"/>
          <w:szCs w:val="24"/>
        </w:rPr>
      </w:pPr>
      <w:r w:rsidRPr="00512C8B">
        <w:rPr>
          <w:rFonts w:asciiTheme="majorBidi" w:hAnsiTheme="majorBidi" w:cstheme="majorBidi"/>
          <w:sz w:val="24"/>
          <w:szCs w:val="24"/>
        </w:rPr>
        <w:t>In paragraph 58 of its concluding observations, the Committee called on Germany to provide detailed information on the measures taken to implement the recommendations contained in paragraph 16 of the concluding observations, regarding combating racist hate speech and hate crimes, in its next periodic report, due in June 2027.</w:t>
      </w:r>
    </w:p>
    <w:p w14:paraId="40F3EC3D" w14:textId="77777777" w:rsidR="00512C8B" w:rsidRDefault="00512C8B" w:rsidP="00512C8B">
      <w:pPr>
        <w:jc w:val="both"/>
        <w:rPr>
          <w:rFonts w:asciiTheme="majorBidi" w:hAnsiTheme="majorBidi" w:cstheme="majorBidi"/>
          <w:sz w:val="24"/>
          <w:szCs w:val="24"/>
        </w:rPr>
      </w:pPr>
      <w:r w:rsidRPr="00512C8B">
        <w:rPr>
          <w:rFonts w:asciiTheme="majorBidi" w:hAnsiTheme="majorBidi" w:cstheme="majorBidi"/>
          <w:sz w:val="24"/>
          <w:szCs w:val="24"/>
        </w:rPr>
        <w:t xml:space="preserve">Although the German government has had sufficient time to adopt effective policies and measures to combat racist hate crimes and to evaluate the measures adopted, the Partners Foundation expresses its deep concern about the continued rise in racist hate crimes against refugees, migrants, and members of ethnic and religious minorities in Germany at the present time. </w:t>
      </w:r>
    </w:p>
    <w:p w14:paraId="5CC97754" w14:textId="121C489D" w:rsidR="00512C8B" w:rsidRDefault="00512C8B" w:rsidP="00512C8B">
      <w:pPr>
        <w:jc w:val="both"/>
        <w:rPr>
          <w:rFonts w:asciiTheme="majorBidi" w:hAnsiTheme="majorBidi" w:cstheme="majorBidi"/>
          <w:sz w:val="24"/>
          <w:szCs w:val="24"/>
        </w:rPr>
      </w:pPr>
      <w:r w:rsidRPr="00512C8B">
        <w:rPr>
          <w:rFonts w:asciiTheme="majorBidi" w:hAnsiTheme="majorBidi" w:cstheme="majorBidi"/>
          <w:sz w:val="24"/>
          <w:szCs w:val="24"/>
        </w:rPr>
        <w:t xml:space="preserve">In this regard, official statistics issued in January 2025 showed that German authorities recorded approximately 33,963 racist crimes motivated by extreme right-wing politics in 2024, an increase of 17.34%, compared to approximately 28,945 cases in 2023. These crimes included propaganda activities inciting racial hatred against refugees, migrants, asylum seekers, and other ethnic and racial minority </w:t>
      </w:r>
      <w:r w:rsidRPr="00512C8B">
        <w:rPr>
          <w:rFonts w:asciiTheme="majorBidi" w:hAnsiTheme="majorBidi" w:cstheme="majorBidi"/>
          <w:sz w:val="24"/>
          <w:szCs w:val="24"/>
        </w:rPr>
        <w:lastRenderedPageBreak/>
        <w:t>communities. This increase is attributed to the rise of extremist sentiments, influenced by far-right movements such as the Alternative for Germany party.</w:t>
      </w:r>
      <w:r>
        <w:rPr>
          <w:rStyle w:val="FootnoteReference"/>
          <w:rFonts w:asciiTheme="majorBidi" w:hAnsiTheme="majorBidi" w:cstheme="majorBidi"/>
          <w:sz w:val="24"/>
          <w:szCs w:val="24"/>
        </w:rPr>
        <w:footnoteReference w:id="13"/>
      </w:r>
      <w:r w:rsidRPr="00512C8B">
        <w:rPr>
          <w:rFonts w:asciiTheme="majorBidi" w:hAnsiTheme="majorBidi" w:cstheme="majorBidi"/>
          <w:sz w:val="24"/>
          <w:szCs w:val="24"/>
        </w:rPr>
        <w:t xml:space="preserve"> </w:t>
      </w:r>
    </w:p>
    <w:p w14:paraId="45FD6397" w14:textId="498359E9" w:rsidR="00512C8B" w:rsidRDefault="00512C8B" w:rsidP="00512C8B">
      <w:pPr>
        <w:jc w:val="both"/>
        <w:rPr>
          <w:rFonts w:asciiTheme="majorBidi" w:hAnsiTheme="majorBidi" w:cstheme="majorBidi"/>
          <w:sz w:val="24"/>
          <w:szCs w:val="24"/>
        </w:rPr>
      </w:pPr>
      <w:r w:rsidRPr="00512C8B">
        <w:rPr>
          <w:rFonts w:asciiTheme="majorBidi" w:hAnsiTheme="majorBidi" w:cstheme="majorBidi"/>
          <w:sz w:val="24"/>
          <w:szCs w:val="24"/>
        </w:rPr>
        <w:t xml:space="preserve">Muslims in Germany, in particular, are facing a rise in racist hate crimes. According to official data released in February 2025, more than 1,554 hate crimes and attacks against Muslims in Germany occurred in 2024, compared to approximately 1,536 in 2023. These incidents included harassment via social media, threatening messages, disruption of religious services, physical assaults, and property damage. </w:t>
      </w:r>
      <w:r>
        <w:rPr>
          <w:rFonts w:asciiTheme="majorBidi" w:hAnsiTheme="majorBidi" w:cstheme="majorBidi"/>
          <w:sz w:val="24"/>
          <w:szCs w:val="24"/>
        </w:rPr>
        <w:t>54</w:t>
      </w:r>
      <w:r w:rsidRPr="00512C8B">
        <w:rPr>
          <w:rFonts w:asciiTheme="majorBidi" w:hAnsiTheme="majorBidi" w:cstheme="majorBidi"/>
          <w:sz w:val="24"/>
          <w:szCs w:val="24"/>
        </w:rPr>
        <w:t xml:space="preserve"> mosques were also subjected to racist attacks, resulting in 53 people being injured as a result of anti-Islamic violence.</w:t>
      </w:r>
      <w:r>
        <w:rPr>
          <w:rStyle w:val="FootnoteReference"/>
          <w:rFonts w:asciiTheme="majorBidi" w:hAnsiTheme="majorBidi" w:cstheme="majorBidi"/>
          <w:sz w:val="24"/>
          <w:szCs w:val="24"/>
        </w:rPr>
        <w:footnoteReference w:id="14"/>
      </w:r>
      <w:r w:rsidRPr="00512C8B">
        <w:rPr>
          <w:rFonts w:asciiTheme="majorBidi" w:hAnsiTheme="majorBidi" w:cstheme="majorBidi"/>
          <w:sz w:val="24"/>
          <w:szCs w:val="24"/>
        </w:rPr>
        <w:t xml:space="preserve"> </w:t>
      </w:r>
    </w:p>
    <w:p w14:paraId="34F5BF92" w14:textId="3B86519B" w:rsidR="00512C8B" w:rsidRDefault="00512C8B" w:rsidP="00512C8B">
      <w:pPr>
        <w:jc w:val="both"/>
        <w:rPr>
          <w:rFonts w:asciiTheme="majorBidi" w:hAnsiTheme="majorBidi" w:cstheme="majorBidi"/>
          <w:sz w:val="24"/>
          <w:szCs w:val="24"/>
        </w:rPr>
      </w:pPr>
      <w:r w:rsidRPr="00512C8B">
        <w:rPr>
          <w:rFonts w:asciiTheme="majorBidi" w:hAnsiTheme="majorBidi" w:cstheme="majorBidi"/>
          <w:sz w:val="24"/>
          <w:szCs w:val="24"/>
        </w:rPr>
        <w:t xml:space="preserve">Furthermore, racist hate speech and incitement against foreigners and refugees is on the rise at the political level in Germany, with a worrying trend emerging among political leaders and government officials of refusing to accept refugees and migrants and persistently calling for their deportation from German territory. Partners </w:t>
      </w:r>
      <w:r>
        <w:rPr>
          <w:rFonts w:asciiTheme="majorBidi" w:hAnsiTheme="majorBidi" w:cstheme="majorBidi"/>
          <w:sz w:val="24"/>
          <w:szCs w:val="24"/>
        </w:rPr>
        <w:t xml:space="preserve">foundation </w:t>
      </w:r>
      <w:r w:rsidRPr="00512C8B">
        <w:rPr>
          <w:rFonts w:asciiTheme="majorBidi" w:hAnsiTheme="majorBidi" w:cstheme="majorBidi"/>
          <w:sz w:val="24"/>
          <w:szCs w:val="24"/>
        </w:rPr>
        <w:t>notes that this rhetoric reflects a widespread belief among officials and a large segment of the public that individuals of foreign origin, particularly young people of Arab origin, do not fit into German society. This racist climate has led to increased hostile attitudes toward Muslims, with 50% of German citizens admitting to hostile attitudes toward them. Muslims are exposed to daily discrimination and racism in employment, education, and public places.</w:t>
      </w:r>
      <w:r>
        <w:rPr>
          <w:rStyle w:val="FootnoteReference"/>
          <w:rFonts w:asciiTheme="majorBidi" w:hAnsiTheme="majorBidi" w:cstheme="majorBidi"/>
          <w:sz w:val="24"/>
          <w:szCs w:val="24"/>
        </w:rPr>
        <w:footnoteReference w:id="15"/>
      </w:r>
      <w:r w:rsidRPr="00512C8B">
        <w:rPr>
          <w:rFonts w:asciiTheme="majorBidi" w:hAnsiTheme="majorBidi" w:cstheme="majorBidi"/>
          <w:sz w:val="24"/>
          <w:szCs w:val="24"/>
        </w:rPr>
        <w:t xml:space="preserve"> </w:t>
      </w:r>
    </w:p>
    <w:p w14:paraId="1C48A24E" w14:textId="1870A250" w:rsidR="00512C8B" w:rsidRDefault="00512C8B" w:rsidP="00512C8B">
      <w:pPr>
        <w:jc w:val="both"/>
        <w:rPr>
          <w:rFonts w:asciiTheme="majorBidi" w:hAnsiTheme="majorBidi" w:cstheme="majorBidi"/>
          <w:sz w:val="24"/>
          <w:szCs w:val="24"/>
        </w:rPr>
      </w:pPr>
      <w:r w:rsidRPr="00512C8B">
        <w:rPr>
          <w:rFonts w:asciiTheme="majorBidi" w:hAnsiTheme="majorBidi" w:cstheme="majorBidi"/>
          <w:sz w:val="24"/>
          <w:szCs w:val="24"/>
        </w:rPr>
        <w:t>In specific instances that support this, in December 2024, Friedrich Merz, leader of the Christian Democratic Union (CDU) and candidate for German chancellor, called for a halt to the admission of new refugees and the deportation of refugees and migrants to countries such as Syria and Afghanistan. He pledged, if he became chancellor after the 2025 Bundestag elections, to impose stricter immigration regulations, abolish expedited naturalization processes, and revoke German citizenship from naturalized individuals who commit crimes. He emphasized that current immigration policies are insufficient to ensure the successful integration of migrants into German society.</w:t>
      </w:r>
      <w:r>
        <w:rPr>
          <w:rStyle w:val="FootnoteReference"/>
          <w:rFonts w:asciiTheme="majorBidi" w:hAnsiTheme="majorBidi" w:cstheme="majorBidi"/>
          <w:sz w:val="24"/>
          <w:szCs w:val="24"/>
        </w:rPr>
        <w:footnoteReference w:id="16"/>
      </w:r>
    </w:p>
    <w:p w14:paraId="38CFE3F7" w14:textId="35E489BE" w:rsidR="00512C8B" w:rsidRPr="00512C8B" w:rsidRDefault="00512C8B" w:rsidP="00512C8B">
      <w:pPr>
        <w:shd w:val="clear" w:color="auto" w:fill="002060"/>
        <w:jc w:val="both"/>
        <w:rPr>
          <w:rFonts w:asciiTheme="majorBidi" w:hAnsiTheme="majorBidi" w:cstheme="majorBidi"/>
          <w:b/>
          <w:bCs/>
          <w:sz w:val="24"/>
          <w:szCs w:val="24"/>
        </w:rPr>
      </w:pPr>
      <w:r w:rsidRPr="00512C8B">
        <w:rPr>
          <w:rFonts w:asciiTheme="majorBidi" w:hAnsiTheme="majorBidi" w:cstheme="majorBidi"/>
          <w:b/>
          <w:bCs/>
          <w:sz w:val="24"/>
          <w:szCs w:val="24"/>
        </w:rPr>
        <w:t xml:space="preserve">Recommendations </w:t>
      </w:r>
    </w:p>
    <w:p w14:paraId="0C5799E6" w14:textId="77777777" w:rsidR="00512C8B" w:rsidRPr="00512C8B" w:rsidRDefault="00512C8B" w:rsidP="00512C8B">
      <w:pPr>
        <w:jc w:val="both"/>
        <w:rPr>
          <w:rFonts w:asciiTheme="majorBidi" w:hAnsiTheme="majorBidi" w:cstheme="majorBidi"/>
          <w:sz w:val="24"/>
          <w:szCs w:val="24"/>
        </w:rPr>
      </w:pPr>
      <w:r w:rsidRPr="00512C8B">
        <w:rPr>
          <w:rFonts w:asciiTheme="majorBidi" w:hAnsiTheme="majorBidi" w:cstheme="majorBidi"/>
          <w:sz w:val="24"/>
          <w:szCs w:val="24"/>
        </w:rPr>
        <w:t>In light of the above, Partners for Transparency makes the following recommendations to the German government:</w:t>
      </w:r>
    </w:p>
    <w:p w14:paraId="17B7B518" w14:textId="03F59EA9" w:rsidR="00512C8B" w:rsidRPr="00512C8B" w:rsidRDefault="00512C8B" w:rsidP="00512C8B">
      <w:pPr>
        <w:pStyle w:val="ListParagraph"/>
        <w:numPr>
          <w:ilvl w:val="0"/>
          <w:numId w:val="16"/>
        </w:numPr>
        <w:bidi w:val="0"/>
        <w:jc w:val="both"/>
        <w:rPr>
          <w:rFonts w:asciiTheme="majorBidi" w:hAnsiTheme="majorBidi" w:cstheme="majorBidi"/>
          <w:sz w:val="24"/>
          <w:szCs w:val="24"/>
        </w:rPr>
      </w:pPr>
      <w:r w:rsidRPr="00512C8B">
        <w:rPr>
          <w:rFonts w:asciiTheme="majorBidi" w:hAnsiTheme="majorBidi" w:cstheme="majorBidi"/>
          <w:sz w:val="24"/>
          <w:szCs w:val="24"/>
        </w:rPr>
        <w:t>Accelerate the amendment of the General Equal Treatment Act to include all areas of life, including discrimination by public authorities.</w:t>
      </w:r>
    </w:p>
    <w:p w14:paraId="7DAB1775" w14:textId="72EDFB53" w:rsidR="00512C8B" w:rsidRPr="00512C8B" w:rsidRDefault="00512C8B" w:rsidP="00512C8B">
      <w:pPr>
        <w:pStyle w:val="ListParagraph"/>
        <w:numPr>
          <w:ilvl w:val="0"/>
          <w:numId w:val="16"/>
        </w:numPr>
        <w:bidi w:val="0"/>
        <w:jc w:val="both"/>
        <w:rPr>
          <w:rFonts w:asciiTheme="majorBidi" w:hAnsiTheme="majorBidi" w:cstheme="majorBidi"/>
          <w:sz w:val="24"/>
          <w:szCs w:val="24"/>
        </w:rPr>
      </w:pPr>
      <w:r w:rsidRPr="00512C8B">
        <w:rPr>
          <w:rFonts w:asciiTheme="majorBidi" w:hAnsiTheme="majorBidi" w:cstheme="majorBidi"/>
          <w:sz w:val="24"/>
          <w:szCs w:val="24"/>
        </w:rPr>
        <w:t>Amend Article 87 of the Residence Act (</w:t>
      </w:r>
      <w:proofErr w:type="spellStart"/>
      <w:r w:rsidRPr="00512C8B">
        <w:rPr>
          <w:rFonts w:asciiTheme="majorBidi" w:hAnsiTheme="majorBidi" w:cstheme="majorBidi"/>
          <w:sz w:val="24"/>
          <w:szCs w:val="24"/>
        </w:rPr>
        <w:t>Aufenthaltsgesetz</w:t>
      </w:r>
      <w:proofErr w:type="spellEnd"/>
      <w:r w:rsidRPr="00512C8B">
        <w:rPr>
          <w:rFonts w:asciiTheme="majorBidi" w:hAnsiTheme="majorBidi" w:cstheme="majorBidi"/>
          <w:sz w:val="24"/>
          <w:szCs w:val="24"/>
        </w:rPr>
        <w:t>) to prohibit public authorities from being required to report migrants without residence permits when seeking healthcare.</w:t>
      </w:r>
    </w:p>
    <w:p w14:paraId="27AFD71F" w14:textId="6BD9BD85" w:rsidR="00512C8B" w:rsidRPr="00512C8B" w:rsidRDefault="00512C8B" w:rsidP="00512C8B">
      <w:pPr>
        <w:pStyle w:val="ListParagraph"/>
        <w:numPr>
          <w:ilvl w:val="0"/>
          <w:numId w:val="16"/>
        </w:numPr>
        <w:bidi w:val="0"/>
        <w:jc w:val="both"/>
        <w:rPr>
          <w:rFonts w:asciiTheme="majorBidi" w:hAnsiTheme="majorBidi" w:cstheme="majorBidi"/>
          <w:sz w:val="24"/>
          <w:szCs w:val="24"/>
        </w:rPr>
      </w:pPr>
      <w:r w:rsidRPr="00512C8B">
        <w:rPr>
          <w:rFonts w:asciiTheme="majorBidi" w:hAnsiTheme="majorBidi" w:cstheme="majorBidi"/>
          <w:sz w:val="24"/>
          <w:szCs w:val="24"/>
        </w:rPr>
        <w:t>Repeal Articles 47, 56, and 59b of the Asylum Act, which require asylum seekers to live in a reception center and impose restrictions on freedom of movement, ensuring asylum seekers' freedom to choose their place of residence.</w:t>
      </w:r>
    </w:p>
    <w:p w14:paraId="1FDC7E3B" w14:textId="49938A61" w:rsidR="00512C8B" w:rsidRPr="00512C8B" w:rsidRDefault="00512C8B" w:rsidP="00512C8B">
      <w:pPr>
        <w:pStyle w:val="ListParagraph"/>
        <w:numPr>
          <w:ilvl w:val="0"/>
          <w:numId w:val="16"/>
        </w:numPr>
        <w:bidi w:val="0"/>
        <w:jc w:val="both"/>
        <w:rPr>
          <w:rFonts w:asciiTheme="majorBidi" w:hAnsiTheme="majorBidi" w:cstheme="majorBidi"/>
          <w:sz w:val="24"/>
          <w:szCs w:val="24"/>
        </w:rPr>
      </w:pPr>
      <w:r w:rsidRPr="00512C8B">
        <w:rPr>
          <w:rFonts w:asciiTheme="majorBidi" w:hAnsiTheme="majorBidi" w:cstheme="majorBidi"/>
          <w:sz w:val="24"/>
          <w:szCs w:val="24"/>
        </w:rPr>
        <w:lastRenderedPageBreak/>
        <w:t>Ensure equal treatment for all asylum seekers in social and health services, regardless of their national origin, and provide them with comprehensive healthcare.</w:t>
      </w:r>
    </w:p>
    <w:p w14:paraId="68E35939" w14:textId="2B1DD112" w:rsidR="00512C8B" w:rsidRPr="00512C8B" w:rsidRDefault="00512C8B" w:rsidP="00512C8B">
      <w:pPr>
        <w:pStyle w:val="ListParagraph"/>
        <w:numPr>
          <w:ilvl w:val="0"/>
          <w:numId w:val="16"/>
        </w:numPr>
        <w:bidi w:val="0"/>
        <w:jc w:val="both"/>
        <w:rPr>
          <w:rFonts w:asciiTheme="majorBidi" w:hAnsiTheme="majorBidi" w:cstheme="majorBidi"/>
          <w:sz w:val="24"/>
          <w:szCs w:val="24"/>
        </w:rPr>
      </w:pPr>
      <w:r w:rsidRPr="00512C8B">
        <w:rPr>
          <w:rFonts w:asciiTheme="majorBidi" w:hAnsiTheme="majorBidi" w:cstheme="majorBidi"/>
          <w:sz w:val="24"/>
          <w:szCs w:val="24"/>
        </w:rPr>
        <w:t>Take concrete measures to combat discrimination against people of immigrant background in employment and housing, and strengthen oversight and accountability mechanisms in these areas.</w:t>
      </w:r>
    </w:p>
    <w:p w14:paraId="32D23C0B" w14:textId="77777777" w:rsidR="00512C8B" w:rsidRPr="00512C8B" w:rsidRDefault="00512C8B" w:rsidP="00512C8B">
      <w:pPr>
        <w:pStyle w:val="ListParagraph"/>
        <w:numPr>
          <w:ilvl w:val="0"/>
          <w:numId w:val="16"/>
        </w:numPr>
        <w:bidi w:val="0"/>
        <w:jc w:val="both"/>
        <w:rPr>
          <w:rFonts w:asciiTheme="majorBidi" w:hAnsiTheme="majorBidi" w:cstheme="majorBidi"/>
          <w:sz w:val="24"/>
          <w:szCs w:val="24"/>
          <w:rtl/>
        </w:rPr>
      </w:pPr>
      <w:r w:rsidRPr="00512C8B">
        <w:rPr>
          <w:rFonts w:asciiTheme="majorBidi" w:hAnsiTheme="majorBidi" w:cstheme="majorBidi"/>
          <w:sz w:val="24"/>
          <w:szCs w:val="24"/>
        </w:rPr>
        <w:t xml:space="preserve">Provide economic support programs targeting immigrants and ethnic and religious minorities to help them improve their living conditions. </w:t>
      </w:r>
    </w:p>
    <w:p w14:paraId="597BC747" w14:textId="4B987520" w:rsidR="00512C8B" w:rsidRPr="00512C8B" w:rsidRDefault="00512C8B" w:rsidP="00512C8B">
      <w:pPr>
        <w:pStyle w:val="ListParagraph"/>
        <w:numPr>
          <w:ilvl w:val="0"/>
          <w:numId w:val="16"/>
        </w:numPr>
        <w:bidi w:val="0"/>
        <w:jc w:val="both"/>
        <w:rPr>
          <w:rFonts w:asciiTheme="majorBidi" w:hAnsiTheme="majorBidi" w:cstheme="majorBidi"/>
          <w:sz w:val="24"/>
          <w:szCs w:val="24"/>
        </w:rPr>
      </w:pPr>
      <w:r w:rsidRPr="00512C8B">
        <w:rPr>
          <w:rFonts w:asciiTheme="majorBidi" w:hAnsiTheme="majorBidi" w:cstheme="majorBidi"/>
          <w:sz w:val="24"/>
          <w:szCs w:val="24"/>
        </w:rPr>
        <w:t>Strengthen security measures to confront the rise in hate crimes and racist hate speech, especially against Muslims and immigrants, and impose strict penalties on perpetrators of these crimes.</w:t>
      </w:r>
    </w:p>
    <w:sectPr w:rsidR="00512C8B" w:rsidRPr="00512C8B" w:rsidSect="00D869E9">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DAB96" w14:textId="77777777" w:rsidR="005819B4" w:rsidRDefault="005819B4" w:rsidP="0076180A">
      <w:pPr>
        <w:spacing w:after="0" w:line="240" w:lineRule="auto"/>
      </w:pPr>
      <w:r>
        <w:separator/>
      </w:r>
    </w:p>
  </w:endnote>
  <w:endnote w:type="continuationSeparator" w:id="0">
    <w:p w14:paraId="79584849" w14:textId="77777777" w:rsidR="005819B4" w:rsidRDefault="005819B4"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D0964" w14:textId="77777777" w:rsidR="00DE52E3" w:rsidRDefault="00DE52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01F8F" w14:textId="77777777" w:rsidR="00D869E9" w:rsidRPr="00D869E9" w:rsidRDefault="00D869E9"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00440E3B" w:rsidRPr="00D87309">
      <w:rPr>
        <w:b/>
        <w:bCs/>
        <w:sz w:val="24"/>
        <w:szCs w:val="24"/>
      </w:rPr>
      <w:fldChar w:fldCharType="begin"/>
    </w:r>
    <w:r w:rsidRPr="00D87309">
      <w:rPr>
        <w:b/>
        <w:bCs/>
        <w:sz w:val="24"/>
        <w:szCs w:val="24"/>
      </w:rPr>
      <w:instrText>PAGE   \* MERGEFORMAT</w:instrText>
    </w:r>
    <w:r w:rsidR="00440E3B" w:rsidRPr="00D87309">
      <w:rPr>
        <w:b/>
        <w:bCs/>
        <w:sz w:val="24"/>
        <w:szCs w:val="24"/>
      </w:rPr>
      <w:fldChar w:fldCharType="separate"/>
    </w:r>
    <w:r w:rsidR="006042B5" w:rsidRPr="006042B5">
      <w:rPr>
        <w:rFonts w:cs="Calibri"/>
        <w:b/>
        <w:bCs/>
        <w:noProof/>
        <w:sz w:val="24"/>
        <w:szCs w:val="24"/>
        <w:rtl/>
        <w:lang w:val="ar-SA"/>
      </w:rPr>
      <w:t>2</w:t>
    </w:r>
    <w:r w:rsidR="00440E3B" w:rsidRPr="00D87309">
      <w:rPr>
        <w:b/>
        <w:bCs/>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D869E9" w:rsidRPr="00B026C1" w14:paraId="740774A9" w14:textId="77777777" w:rsidTr="00B026C1">
      <w:trPr>
        <w:trHeight w:val="510"/>
      </w:trPr>
      <w:tc>
        <w:tcPr>
          <w:tcW w:w="9974" w:type="dxa"/>
          <w:gridSpan w:val="5"/>
          <w:tcBorders>
            <w:bottom w:val="nil"/>
          </w:tcBorders>
          <w:vAlign w:val="center"/>
        </w:tcPr>
        <w:p w14:paraId="66ED27A1" w14:textId="77777777" w:rsidR="00D869E9" w:rsidRPr="006042B5" w:rsidRDefault="001A50DF"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rPr>
            <mc:AlternateContent>
              <mc:Choice Requires="wps">
                <w:drawing>
                  <wp:anchor distT="0" distB="0" distL="114300" distR="114300" simplePos="0" relativeHeight="251657728" behindDoc="0" locked="0" layoutInCell="1" allowOverlap="1" wp14:anchorId="1EBFAD97" wp14:editId="3A732C82">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39ADA0"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00D869E9" w:rsidRPr="006042B5">
            <w:rPr>
              <w:rFonts w:ascii="Times New Roman" w:hAnsi="Times New Roman" w:cs="Times New Roman"/>
              <w:b/>
              <w:bCs/>
              <w:color w:val="E48527"/>
              <w:sz w:val="28"/>
              <w:szCs w:val="28"/>
            </w:rPr>
            <w:t>A</w:t>
          </w:r>
          <w:r w:rsidR="00D869E9" w:rsidRPr="006042B5">
            <w:rPr>
              <w:rFonts w:ascii="Times New Roman" w:hAnsi="Times New Roman" w:cs="Times New Roman"/>
              <w:b/>
              <w:bCs/>
              <w:color w:val="E48527"/>
              <w:sz w:val="32"/>
              <w:szCs w:val="32"/>
            </w:rPr>
            <w:t>.</w:t>
          </w:r>
        </w:p>
        <w:p w14:paraId="331627F3" w14:textId="557D4B6E" w:rsidR="00D869E9" w:rsidRPr="006042B5" w:rsidRDefault="00D869E9" w:rsidP="007E19CB">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w:t>
          </w:r>
          <w:r w:rsidR="007E19CB" w:rsidRPr="006042B5">
            <w:rPr>
              <w:rFonts w:ascii="Times New Roman" w:hAnsi="Times New Roman" w:cs="Times New Roman"/>
              <w:b/>
              <w:bCs/>
              <w:color w:val="006B86"/>
              <w:sz w:val="20"/>
              <w:szCs w:val="20"/>
            </w:rPr>
            <w:t>32</w:t>
          </w:r>
          <w:r w:rsidRPr="006042B5">
            <w:rPr>
              <w:rFonts w:ascii="Times New Roman" w:hAnsi="Times New Roman" w:cs="Times New Roman"/>
              <w:b/>
              <w:bCs/>
              <w:color w:val="006B86"/>
              <w:sz w:val="20"/>
              <w:szCs w:val="20"/>
            </w:rPr>
            <w:t xml:space="preserve"> Misr Helwan El-</w:t>
          </w:r>
          <w:proofErr w:type="spellStart"/>
          <w:r w:rsidRPr="006042B5">
            <w:rPr>
              <w:rFonts w:ascii="Times New Roman" w:hAnsi="Times New Roman" w:cs="Times New Roman"/>
              <w:b/>
              <w:bCs/>
              <w:color w:val="006B86"/>
              <w:sz w:val="20"/>
              <w:szCs w:val="20"/>
            </w:rPr>
            <w:t>Zyrae</w:t>
          </w:r>
          <w:proofErr w:type="spellEnd"/>
          <w:r w:rsidRPr="006042B5">
            <w:rPr>
              <w:rFonts w:ascii="Times New Roman" w:hAnsi="Times New Roman" w:cs="Times New Roman"/>
              <w:b/>
              <w:bCs/>
              <w:color w:val="006B86"/>
              <w:sz w:val="20"/>
              <w:szCs w:val="20"/>
            </w:rPr>
            <w:t xml:space="preserve"> Road, El </w:t>
          </w:r>
          <w:proofErr w:type="spellStart"/>
          <w:r w:rsidRPr="006042B5">
            <w:rPr>
              <w:rFonts w:ascii="Times New Roman" w:hAnsi="Times New Roman" w:cs="Times New Roman"/>
              <w:b/>
              <w:bCs/>
              <w:color w:val="006B86"/>
              <w:sz w:val="20"/>
              <w:szCs w:val="20"/>
            </w:rPr>
            <w:t>Matbaa</w:t>
          </w:r>
          <w:proofErr w:type="spellEnd"/>
          <w:r w:rsidRPr="006042B5">
            <w:rPr>
              <w:rFonts w:ascii="Times New Roman" w:hAnsi="Times New Roman" w:cs="Times New Roman" w:hint="cs"/>
              <w:b/>
              <w:bCs/>
              <w:color w:val="006B86"/>
              <w:sz w:val="20"/>
              <w:szCs w:val="20"/>
              <w:rtl/>
            </w:rPr>
            <w:t xml:space="preserve"> </w:t>
          </w:r>
          <w:r w:rsidRPr="006042B5">
            <w:rPr>
              <w:rFonts w:ascii="Times New Roman" w:hAnsi="Times New Roman" w:cs="Times New Roman"/>
              <w:b/>
              <w:bCs/>
              <w:color w:val="006B86"/>
              <w:sz w:val="20"/>
              <w:szCs w:val="20"/>
            </w:rPr>
            <w:t xml:space="preserve">Sq, </w:t>
          </w:r>
          <w:proofErr w:type="spellStart"/>
          <w:proofErr w:type="gramStart"/>
          <w:r w:rsidRPr="006042B5">
            <w:rPr>
              <w:rFonts w:ascii="Times New Roman" w:hAnsi="Times New Roman" w:cs="Times New Roman"/>
              <w:b/>
              <w:bCs/>
              <w:color w:val="006B86"/>
              <w:sz w:val="20"/>
              <w:szCs w:val="20"/>
            </w:rPr>
            <w:t>H</w:t>
          </w:r>
          <w:r w:rsidR="007E19CB" w:rsidRPr="006042B5">
            <w:rPr>
              <w:rFonts w:ascii="Times New Roman" w:hAnsi="Times New Roman" w:cs="Times New Roman"/>
              <w:b/>
              <w:bCs/>
              <w:color w:val="006B86"/>
              <w:sz w:val="20"/>
              <w:szCs w:val="20"/>
            </w:rPr>
            <w:t>.</w:t>
          </w:r>
          <w:r w:rsidRPr="006042B5">
            <w:rPr>
              <w:rFonts w:ascii="Times New Roman" w:hAnsi="Times New Roman" w:cs="Times New Roman"/>
              <w:b/>
              <w:bCs/>
              <w:color w:val="006B86"/>
              <w:sz w:val="20"/>
              <w:szCs w:val="20"/>
            </w:rPr>
            <w:t>El</w:t>
          </w:r>
          <w:proofErr w:type="spellEnd"/>
          <w:proofErr w:type="gramEnd"/>
          <w:r w:rsidRPr="006042B5">
            <w:rPr>
              <w:rFonts w:ascii="Times New Roman" w:hAnsi="Times New Roman" w:cs="Times New Roman"/>
              <w:b/>
              <w:bCs/>
              <w:color w:val="006B86"/>
              <w:sz w:val="20"/>
              <w:szCs w:val="20"/>
            </w:rPr>
            <w:t xml:space="preserve"> Maadi, </w:t>
          </w:r>
          <w:r w:rsidR="007E19CB" w:rsidRPr="006042B5">
            <w:rPr>
              <w:rFonts w:ascii="Times New Roman" w:hAnsi="Times New Roman" w:cs="Times New Roman"/>
              <w:b/>
              <w:bCs/>
              <w:color w:val="006B86"/>
              <w:sz w:val="20"/>
              <w:szCs w:val="20"/>
            </w:rPr>
            <w:t>3</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112 , Cairo, Egypt </w:t>
          </w:r>
        </w:p>
      </w:tc>
    </w:tr>
    <w:tr w:rsidR="00D869E9" w:rsidRPr="00B026C1" w14:paraId="69C33E2A" w14:textId="77777777" w:rsidTr="00B026C1">
      <w:trPr>
        <w:trHeight w:val="510"/>
      </w:trPr>
      <w:tc>
        <w:tcPr>
          <w:tcW w:w="1842" w:type="dxa"/>
          <w:tcBorders>
            <w:bottom w:val="nil"/>
            <w:right w:val="single" w:sz="12" w:space="0" w:color="auto"/>
          </w:tcBorders>
          <w:vAlign w:val="center"/>
        </w:tcPr>
        <w:p w14:paraId="5D135A00"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4EEA756A" w:rsidR="00D869E9" w:rsidRPr="006042B5" w:rsidRDefault="00D869E9"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w:t>
          </w:r>
          <w:r w:rsidR="00694C5A">
            <w:rPr>
              <w:rStyle w:val="apple-style-span"/>
              <w:rFonts w:hint="cs"/>
              <w:b/>
              <w:bCs/>
              <w:color w:val="006B86"/>
              <w:sz w:val="18"/>
              <w:szCs w:val="18"/>
              <w:rtl/>
            </w:rPr>
            <w:t>277050886</w:t>
          </w:r>
        </w:p>
      </w:tc>
      <w:tc>
        <w:tcPr>
          <w:tcW w:w="1843" w:type="dxa"/>
          <w:tcBorders>
            <w:left w:val="single" w:sz="12" w:space="0" w:color="auto"/>
            <w:bottom w:val="nil"/>
            <w:right w:val="single" w:sz="12" w:space="0" w:color="auto"/>
          </w:tcBorders>
          <w:vAlign w:val="center"/>
        </w:tcPr>
        <w:p w14:paraId="5AEB0631"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680C8181"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D869E9" w:rsidRDefault="00D869E9">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42D1D" w14:textId="77777777" w:rsidR="005819B4" w:rsidRDefault="005819B4" w:rsidP="0076180A">
      <w:pPr>
        <w:spacing w:after="0" w:line="240" w:lineRule="auto"/>
      </w:pPr>
      <w:r>
        <w:separator/>
      </w:r>
    </w:p>
  </w:footnote>
  <w:footnote w:type="continuationSeparator" w:id="0">
    <w:p w14:paraId="64DE64CD" w14:textId="77777777" w:rsidR="005819B4" w:rsidRDefault="005819B4" w:rsidP="0076180A">
      <w:pPr>
        <w:spacing w:after="0" w:line="240" w:lineRule="auto"/>
      </w:pPr>
      <w:r>
        <w:continuationSeparator/>
      </w:r>
    </w:p>
  </w:footnote>
  <w:footnote w:id="1">
    <w:p w14:paraId="672D1F66" w14:textId="5836FDF9" w:rsidR="007C7092" w:rsidRDefault="007C7092">
      <w:pPr>
        <w:pStyle w:val="FootnoteText"/>
      </w:pPr>
      <w:r>
        <w:rPr>
          <w:rStyle w:val="FootnoteReference"/>
        </w:rPr>
        <w:footnoteRef/>
      </w:r>
      <w:r>
        <w:t xml:space="preserve"> </w:t>
      </w:r>
      <w:r w:rsidRPr="00B85982">
        <w:t>Concluding observations on the combined twenty-third to twenty-sixth reports of Germany, CERD/C/DEU/CO/23-26</w:t>
      </w:r>
      <w:r>
        <w:t xml:space="preserve">. Link: </w:t>
      </w:r>
      <w:hyperlink r:id="rId1" w:history="1">
        <w:r w:rsidRPr="000E36DD">
          <w:rPr>
            <w:rStyle w:val="Hyperlink"/>
          </w:rPr>
          <w:t>https://tinyl.io/CCa0</w:t>
        </w:r>
      </w:hyperlink>
    </w:p>
  </w:footnote>
  <w:footnote w:id="2">
    <w:p w14:paraId="321B589B" w14:textId="7A0D65F2" w:rsidR="007C7092" w:rsidRDefault="007C7092">
      <w:pPr>
        <w:pStyle w:val="FootnoteText"/>
      </w:pPr>
      <w:r>
        <w:rPr>
          <w:rStyle w:val="FootnoteReference"/>
        </w:rPr>
        <w:footnoteRef/>
      </w:r>
      <w:r>
        <w:t xml:space="preserve"> </w:t>
      </w:r>
      <w:r w:rsidRPr="00FF3DAB">
        <w:t>Information received from Germany on follow-up to the concluding observations on its twenty-third to twenty-sixth periodic reports, CERD/C/DEU/FCO/23-26</w:t>
      </w:r>
      <w:r>
        <w:t xml:space="preserve">. Link: </w:t>
      </w:r>
      <w:hyperlink r:id="rId2" w:history="1">
        <w:r w:rsidRPr="000E36DD">
          <w:rPr>
            <w:rStyle w:val="Hyperlink"/>
          </w:rPr>
          <w:t>https://tinyl.io/CCa2</w:t>
        </w:r>
      </w:hyperlink>
    </w:p>
  </w:footnote>
  <w:footnote w:id="3">
    <w:p w14:paraId="7DD6A29A" w14:textId="53BFD854" w:rsidR="007C7092" w:rsidRDefault="007C7092">
      <w:pPr>
        <w:pStyle w:val="FootnoteText"/>
      </w:pPr>
      <w:r>
        <w:rPr>
          <w:rStyle w:val="FootnoteReference"/>
        </w:rPr>
        <w:footnoteRef/>
      </w:r>
      <w:r>
        <w:t xml:space="preserve"> </w:t>
      </w:r>
      <w:r w:rsidRPr="005B6795">
        <w:t>The General Act on Equal Treatment needs to be reformed urgently, Bosch, 1 February, 2024</w:t>
      </w:r>
      <w:r>
        <w:t xml:space="preserve">. link: </w:t>
      </w:r>
      <w:hyperlink r:id="rId3" w:history="1">
        <w:r w:rsidRPr="000E36DD">
          <w:rPr>
            <w:rStyle w:val="Hyperlink"/>
          </w:rPr>
          <w:t>https://tinyl.io/CCaA</w:t>
        </w:r>
      </w:hyperlink>
      <w:r>
        <w:t xml:space="preserve">  </w:t>
      </w:r>
    </w:p>
  </w:footnote>
  <w:footnote w:id="4">
    <w:p w14:paraId="5E1AFFA7" w14:textId="6275F1D2" w:rsidR="007C7092" w:rsidRDefault="007C7092">
      <w:pPr>
        <w:pStyle w:val="FootnoteText"/>
      </w:pPr>
      <w:r>
        <w:rPr>
          <w:rStyle w:val="FootnoteReference"/>
        </w:rPr>
        <w:footnoteRef/>
      </w:r>
      <w:r>
        <w:t xml:space="preserve"> </w:t>
      </w:r>
      <w:r w:rsidRPr="005B6795">
        <w:t>Position paper of the Federal Anti-Discrimination Agency: what could the reform of the General Equal Treatment Act (AGG) look like? Littler, September 2023</w:t>
      </w:r>
      <w:r>
        <w:t xml:space="preserve">. Link: </w:t>
      </w:r>
      <w:hyperlink r:id="rId4" w:history="1">
        <w:r w:rsidRPr="000E36DD">
          <w:rPr>
            <w:rStyle w:val="Hyperlink"/>
          </w:rPr>
          <w:t>https://tinyl.io/CCaD</w:t>
        </w:r>
      </w:hyperlink>
    </w:p>
  </w:footnote>
  <w:footnote w:id="5">
    <w:p w14:paraId="61FCBBAF" w14:textId="6E756E49" w:rsidR="007C7092" w:rsidRDefault="007C7092">
      <w:pPr>
        <w:pStyle w:val="FootnoteText"/>
      </w:pPr>
      <w:r>
        <w:rPr>
          <w:rStyle w:val="FootnoteReference"/>
        </w:rPr>
        <w:footnoteRef/>
      </w:r>
      <w:r>
        <w:t xml:space="preserve"> Ibid.</w:t>
      </w:r>
    </w:p>
  </w:footnote>
  <w:footnote w:id="6">
    <w:p w14:paraId="3FC53B9C" w14:textId="6026B8D9" w:rsidR="00512C8B" w:rsidRDefault="00512C8B">
      <w:pPr>
        <w:pStyle w:val="FootnoteText"/>
      </w:pPr>
      <w:r>
        <w:rPr>
          <w:rStyle w:val="FootnoteReference"/>
        </w:rPr>
        <w:footnoteRef/>
      </w:r>
      <w:r>
        <w:t xml:space="preserve"> </w:t>
      </w:r>
      <w:r w:rsidRPr="00212A35">
        <w:t>Muslims in Europe experiencing ‘worrying surge’ in racism, survey finds</w:t>
      </w:r>
      <w:r>
        <w:t>.</w:t>
      </w:r>
      <w:r w:rsidRPr="00B04252">
        <w:t xml:space="preserve"> The</w:t>
      </w:r>
      <w:r>
        <w:t xml:space="preserve"> </w:t>
      </w:r>
      <w:r w:rsidRPr="00B04252">
        <w:t>guardian</w:t>
      </w:r>
      <w:r>
        <w:t xml:space="preserve">. </w:t>
      </w:r>
      <w:r w:rsidRPr="00B04252">
        <w:t>24 Oct 2024</w:t>
      </w:r>
      <w:r>
        <w:t xml:space="preserve">. Link: </w:t>
      </w:r>
      <w:hyperlink r:id="rId5" w:history="1">
        <w:r w:rsidRPr="00694B0D">
          <w:rPr>
            <w:rStyle w:val="Hyperlink"/>
          </w:rPr>
          <w:t>https://tinyl.io/BzMG</w:t>
        </w:r>
      </w:hyperlink>
    </w:p>
  </w:footnote>
  <w:footnote w:id="7">
    <w:p w14:paraId="5DDA9E2A" w14:textId="2DC3854A" w:rsidR="00512C8B" w:rsidRDefault="00512C8B">
      <w:pPr>
        <w:pStyle w:val="FootnoteText"/>
      </w:pPr>
      <w:r>
        <w:rPr>
          <w:rStyle w:val="FootnoteReference"/>
        </w:rPr>
        <w:footnoteRef/>
      </w:r>
      <w:r>
        <w:t xml:space="preserve"> </w:t>
      </w:r>
      <w:r w:rsidRPr="004C36E3">
        <w:t>Muslims in Europe experiencing ‘worrying surge’ in racism, survey finds</w:t>
      </w:r>
      <w:r>
        <w:t xml:space="preserve">. </w:t>
      </w:r>
      <w:r w:rsidRPr="004C36E3">
        <w:t>The</w:t>
      </w:r>
      <w:r>
        <w:t xml:space="preserve"> </w:t>
      </w:r>
      <w:r w:rsidRPr="004C36E3">
        <w:t>guardian</w:t>
      </w:r>
      <w:r>
        <w:t xml:space="preserve">. </w:t>
      </w:r>
      <w:r w:rsidRPr="004C36E3">
        <w:t>24 Oct 2024</w:t>
      </w:r>
      <w:r>
        <w:t xml:space="preserve">. Link: </w:t>
      </w:r>
      <w:hyperlink r:id="rId6" w:history="1">
        <w:r w:rsidRPr="000E36DD">
          <w:rPr>
            <w:rStyle w:val="Hyperlink"/>
          </w:rPr>
          <w:t>https://tinyl.io/CCxI</w:t>
        </w:r>
      </w:hyperlink>
      <w:r>
        <w:t xml:space="preserve">  </w:t>
      </w:r>
    </w:p>
  </w:footnote>
  <w:footnote w:id="8">
    <w:p w14:paraId="09852D66" w14:textId="5EDD1806" w:rsidR="00512C8B" w:rsidRDefault="00512C8B">
      <w:pPr>
        <w:pStyle w:val="FootnoteText"/>
      </w:pPr>
      <w:r>
        <w:rPr>
          <w:rStyle w:val="FootnoteReference"/>
        </w:rPr>
        <w:footnoteRef/>
      </w:r>
      <w:r>
        <w:t xml:space="preserve"> </w:t>
      </w:r>
      <w:r w:rsidRPr="005B04F6">
        <w:t xml:space="preserve">In Germany, People </w:t>
      </w:r>
      <w:proofErr w:type="gramStart"/>
      <w:r w:rsidRPr="005B04F6">
        <w:t>With</w:t>
      </w:r>
      <w:proofErr w:type="gramEnd"/>
      <w:r w:rsidRPr="005B04F6">
        <w:t xml:space="preserve"> Migration Background Feel Significant Discrimination In The Jobs Market, FORBE, Aug 24, 2021, link: </w:t>
      </w:r>
      <w:hyperlink r:id="rId7" w:history="1">
        <w:r w:rsidRPr="00694B0D">
          <w:rPr>
            <w:rStyle w:val="Hyperlink"/>
          </w:rPr>
          <w:t>https://tinyl.io/BzMH</w:t>
        </w:r>
      </w:hyperlink>
    </w:p>
  </w:footnote>
  <w:footnote w:id="9">
    <w:p w14:paraId="0C22BA69" w14:textId="7A92014C" w:rsidR="00512C8B" w:rsidRDefault="00512C8B">
      <w:pPr>
        <w:pStyle w:val="FootnoteText"/>
      </w:pPr>
      <w:r>
        <w:rPr>
          <w:rStyle w:val="FootnoteReference"/>
        </w:rPr>
        <w:footnoteRef/>
      </w:r>
      <w:r>
        <w:t xml:space="preserve"> </w:t>
      </w:r>
      <w:r w:rsidRPr="00D129A5">
        <w:t>Skilled foreign workers face discrimination in Germany, study finds</w:t>
      </w:r>
      <w:r>
        <w:t>.</w:t>
      </w:r>
      <w:r w:rsidRPr="00D129A5">
        <w:t xml:space="preserve"> Anadolu</w:t>
      </w:r>
      <w:r>
        <w:t xml:space="preserve">. </w:t>
      </w:r>
      <w:r w:rsidRPr="00D129A5">
        <w:t>October 25, 2024</w:t>
      </w:r>
      <w:r>
        <w:t xml:space="preserve">. Link: </w:t>
      </w:r>
      <w:hyperlink r:id="rId8" w:history="1">
        <w:r w:rsidRPr="000E36DD">
          <w:rPr>
            <w:rStyle w:val="Hyperlink"/>
          </w:rPr>
          <w:t>https://tinyl.io/CCxS</w:t>
        </w:r>
      </w:hyperlink>
    </w:p>
  </w:footnote>
  <w:footnote w:id="10">
    <w:p w14:paraId="6D3F6D0C" w14:textId="6F00C7F0" w:rsidR="00512C8B" w:rsidRDefault="00512C8B">
      <w:pPr>
        <w:pStyle w:val="FootnoteText"/>
      </w:pPr>
      <w:r>
        <w:rPr>
          <w:rStyle w:val="FootnoteReference"/>
        </w:rPr>
        <w:footnoteRef/>
      </w:r>
      <w:r>
        <w:t xml:space="preserve"> </w:t>
      </w:r>
      <w:r w:rsidRPr="007A2736">
        <w:t>Healthcare for Refugees and Asylum Seekers in Germany</w:t>
      </w:r>
      <w:r>
        <w:t xml:space="preserve">, </w:t>
      </w:r>
      <w:r w:rsidRPr="007A2736">
        <w:t>Visa</w:t>
      </w:r>
      <w:r>
        <w:t xml:space="preserve"> </w:t>
      </w:r>
      <w:r w:rsidRPr="007A2736">
        <w:t>Guide</w:t>
      </w:r>
      <w:r>
        <w:t xml:space="preserve">, link: </w:t>
      </w:r>
      <w:hyperlink r:id="rId9" w:history="1">
        <w:r w:rsidRPr="00CF2FB3">
          <w:rPr>
            <w:rStyle w:val="Hyperlink"/>
          </w:rPr>
          <w:t>https://bit.ly/3pXSVWR</w:t>
        </w:r>
      </w:hyperlink>
    </w:p>
  </w:footnote>
  <w:footnote w:id="11">
    <w:p w14:paraId="3CEB0F4F" w14:textId="06D628E5" w:rsidR="00512C8B" w:rsidRDefault="00512C8B">
      <w:pPr>
        <w:pStyle w:val="FootnoteText"/>
      </w:pPr>
      <w:r>
        <w:rPr>
          <w:rStyle w:val="FootnoteReference"/>
        </w:rPr>
        <w:footnoteRef/>
      </w:r>
      <w:r>
        <w:t xml:space="preserve"> </w:t>
      </w:r>
      <w:r w:rsidRPr="00C00E47">
        <w:t xml:space="preserve">Access to basic social assistance, </w:t>
      </w:r>
      <w:proofErr w:type="gramStart"/>
      <w:r w:rsidRPr="00C00E47">
        <w:t>students</w:t>
      </w:r>
      <w:proofErr w:type="gramEnd"/>
      <w:r w:rsidRPr="00C00E47">
        <w:t xml:space="preserve"> assistance, and health insurance for Ukrainian refugees</w:t>
      </w:r>
      <w:r>
        <w:t xml:space="preserve">, </w:t>
      </w:r>
      <w:proofErr w:type="spellStart"/>
      <w:r w:rsidRPr="00C00E47">
        <w:t>Eurofound</w:t>
      </w:r>
      <w:proofErr w:type="spellEnd"/>
      <w:r>
        <w:t xml:space="preserve">, link: </w:t>
      </w:r>
      <w:hyperlink r:id="rId10" w:history="1">
        <w:r w:rsidRPr="00CF2FB3">
          <w:rPr>
            <w:rStyle w:val="Hyperlink"/>
          </w:rPr>
          <w:t>https://bit.ly/3YbWMw3</w:t>
        </w:r>
      </w:hyperlink>
    </w:p>
  </w:footnote>
  <w:footnote w:id="12">
    <w:p w14:paraId="74088946" w14:textId="7FD7598B" w:rsidR="00512C8B" w:rsidRDefault="00512C8B">
      <w:pPr>
        <w:pStyle w:val="FootnoteText"/>
      </w:pPr>
      <w:r>
        <w:rPr>
          <w:rStyle w:val="FootnoteReference"/>
        </w:rPr>
        <w:footnoteRef/>
      </w:r>
      <w:r>
        <w:t xml:space="preserve"> </w:t>
      </w:r>
      <w:r w:rsidRPr="00F2376C">
        <w:t>Migrants in Germany face greater risk of poverty due to racism, study finds</w:t>
      </w:r>
      <w:r>
        <w:t>.</w:t>
      </w:r>
      <w:r w:rsidRPr="00533BB0">
        <w:t xml:space="preserve"> Anadolu Agency</w:t>
      </w:r>
      <w:r>
        <w:t xml:space="preserve">. </w:t>
      </w:r>
      <w:r w:rsidRPr="00576ACB">
        <w:t>May 07,2024</w:t>
      </w:r>
      <w:r>
        <w:t xml:space="preserve">. Link: </w:t>
      </w:r>
      <w:hyperlink r:id="rId11" w:history="1">
        <w:r w:rsidRPr="000E36DD">
          <w:rPr>
            <w:rStyle w:val="Hyperlink"/>
          </w:rPr>
          <w:t>https://tinyl.io/CCy4</w:t>
        </w:r>
      </w:hyperlink>
      <w:r>
        <w:t xml:space="preserve">  </w:t>
      </w:r>
    </w:p>
  </w:footnote>
  <w:footnote w:id="13">
    <w:p w14:paraId="621A6D39" w14:textId="0B414D28" w:rsidR="00512C8B" w:rsidRDefault="00512C8B">
      <w:pPr>
        <w:pStyle w:val="FootnoteText"/>
      </w:pPr>
      <w:r>
        <w:rPr>
          <w:rStyle w:val="FootnoteReference"/>
        </w:rPr>
        <w:footnoteRef/>
      </w:r>
      <w:r>
        <w:t xml:space="preserve"> </w:t>
      </w:r>
      <w:r w:rsidRPr="0064460E">
        <w:t>Right-wing extremist crimes in Germany reached new high last year</w:t>
      </w:r>
      <w:r>
        <w:t xml:space="preserve">. </w:t>
      </w:r>
      <w:r w:rsidRPr="0064460E">
        <w:t>Anadolu Agency</w:t>
      </w:r>
      <w:r>
        <w:t xml:space="preserve">. </w:t>
      </w:r>
      <w:r w:rsidRPr="0064460E">
        <w:t>January 06,2025</w:t>
      </w:r>
      <w:r>
        <w:t xml:space="preserve">. Link: </w:t>
      </w:r>
      <w:hyperlink r:id="rId12" w:history="1">
        <w:r w:rsidRPr="000E36DD">
          <w:rPr>
            <w:rStyle w:val="Hyperlink"/>
          </w:rPr>
          <w:t>https://tinyl.io/CCya</w:t>
        </w:r>
      </w:hyperlink>
    </w:p>
  </w:footnote>
  <w:footnote w:id="14">
    <w:p w14:paraId="4F1D1104" w14:textId="7A2C341B" w:rsidR="00512C8B" w:rsidRDefault="00512C8B">
      <w:pPr>
        <w:pStyle w:val="FootnoteText"/>
      </w:pPr>
      <w:r>
        <w:rPr>
          <w:rStyle w:val="FootnoteReference"/>
        </w:rPr>
        <w:footnoteRef/>
      </w:r>
      <w:r>
        <w:t xml:space="preserve"> </w:t>
      </w:r>
      <w:r w:rsidRPr="00683955">
        <w:t>Germany sees rise in Islamophobic crimes</w:t>
      </w:r>
      <w:r>
        <w:t xml:space="preserve">. </w:t>
      </w:r>
      <w:r w:rsidRPr="00683955">
        <w:t>Anadolu Agency</w:t>
      </w:r>
      <w:r>
        <w:t xml:space="preserve">. </w:t>
      </w:r>
      <w:r w:rsidRPr="00683955">
        <w:t>February 7, 2025</w:t>
      </w:r>
      <w:r>
        <w:t xml:space="preserve">. Link: </w:t>
      </w:r>
      <w:hyperlink r:id="rId13" w:history="1">
        <w:r w:rsidRPr="000E36DD">
          <w:rPr>
            <w:rStyle w:val="Hyperlink"/>
          </w:rPr>
          <w:t>https://tinyl.io/CCyn</w:t>
        </w:r>
      </w:hyperlink>
    </w:p>
  </w:footnote>
  <w:footnote w:id="15">
    <w:p w14:paraId="2AF58B31" w14:textId="170E7ACA" w:rsidR="00512C8B" w:rsidRDefault="00512C8B">
      <w:pPr>
        <w:pStyle w:val="FootnoteText"/>
      </w:pPr>
      <w:r>
        <w:rPr>
          <w:rStyle w:val="FootnoteReference"/>
        </w:rPr>
        <w:footnoteRef/>
      </w:r>
      <w:r>
        <w:t xml:space="preserve"> </w:t>
      </w:r>
      <w:r w:rsidRPr="00BC4775">
        <w:t>New Study reveals 50% of the German population regards Muslims as a threat</w:t>
      </w:r>
      <w:r>
        <w:t>,</w:t>
      </w:r>
      <w:r w:rsidRPr="00CB0029">
        <w:t xml:space="preserve"> </w:t>
      </w:r>
      <w:r w:rsidR="006D5D01" w:rsidRPr="00CB0029">
        <w:t>Islam</w:t>
      </w:r>
      <w:r>
        <w:t xml:space="preserve"> </w:t>
      </w:r>
      <w:r w:rsidRPr="00CB0029">
        <w:t>channel</w:t>
      </w:r>
      <w:r>
        <w:t xml:space="preserve">, </w:t>
      </w:r>
      <w:r w:rsidRPr="00BC4775">
        <w:t>July 3, 2023</w:t>
      </w:r>
      <w:r>
        <w:t xml:space="preserve">. Link: </w:t>
      </w:r>
      <w:hyperlink r:id="rId14" w:history="1">
        <w:r w:rsidRPr="00D01C81">
          <w:rPr>
            <w:rStyle w:val="Hyperlink"/>
          </w:rPr>
          <w:t>https://tinyl.io/Byqu</w:t>
        </w:r>
      </w:hyperlink>
    </w:p>
  </w:footnote>
  <w:footnote w:id="16">
    <w:p w14:paraId="340F9EEB" w14:textId="2789F773" w:rsidR="00512C8B" w:rsidRDefault="00512C8B">
      <w:pPr>
        <w:pStyle w:val="FootnoteText"/>
      </w:pPr>
      <w:r>
        <w:rPr>
          <w:rStyle w:val="FootnoteReference"/>
        </w:rPr>
        <w:footnoteRef/>
      </w:r>
      <w:r>
        <w:t xml:space="preserve"> </w:t>
      </w:r>
      <w:r w:rsidRPr="00E1225E">
        <w:t xml:space="preserve">Will Deport Asylum Seekers </w:t>
      </w:r>
      <w:proofErr w:type="gramStart"/>
      <w:r w:rsidRPr="00E1225E">
        <w:t>To</w:t>
      </w:r>
      <w:proofErr w:type="gramEnd"/>
      <w:r w:rsidRPr="00E1225E">
        <w:t xml:space="preserve"> Afghanistan, Syria, Says German Chancellor's Candidate</w:t>
      </w:r>
      <w:r>
        <w:t xml:space="preserve">. </w:t>
      </w:r>
      <w:r w:rsidRPr="00981A99">
        <w:t>Dec 30, 202</w:t>
      </w:r>
      <w:r>
        <w:t xml:space="preserve">4. Link: </w:t>
      </w:r>
      <w:hyperlink r:id="rId15" w:history="1">
        <w:r w:rsidRPr="00D01C81">
          <w:rPr>
            <w:rStyle w:val="Hyperlink"/>
          </w:rPr>
          <w:t>https://tinyl.io/Byqw</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23818" w14:textId="77777777" w:rsidR="00DE52E3" w:rsidRDefault="00DE52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50C6A" w14:textId="77777777" w:rsidR="00DE52E3" w:rsidRDefault="00DE52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E1E0A" w14:textId="6A698932" w:rsidR="00D869E9" w:rsidRDefault="00554D12" w:rsidP="00554D12">
    <w:pPr>
      <w:pStyle w:val="a"/>
      <w:bidi w:val="0"/>
    </w:pPr>
    <w:r w:rsidRPr="004C074D">
      <w:rPr>
        <w:noProof/>
      </w:rPr>
      <w:drawing>
        <wp:inline distT="0" distB="0" distL="0" distR="0" wp14:anchorId="6DC13940" wp14:editId="28BE3048">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r w:rsidR="000269F3">
      <w:rPr>
        <w:noProof/>
        <w:sz w:val="24"/>
        <w:szCs w:val="24"/>
      </w:rPr>
      <w:t xml:space="preserve">   </w:t>
    </w:r>
    <w:r w:rsidR="000269F3">
      <w:t xml:space="preserve">                                                                         </w:t>
    </w:r>
    <w:r w:rsidR="000269F3">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15D53FFC"/>
    <w:multiLevelType w:val="hybridMultilevel"/>
    <w:tmpl w:val="F3C0A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C412CA"/>
    <w:multiLevelType w:val="hybridMultilevel"/>
    <w:tmpl w:val="050011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344896"/>
    <w:multiLevelType w:val="hybridMultilevel"/>
    <w:tmpl w:val="BF465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411DDF"/>
    <w:multiLevelType w:val="hybridMultilevel"/>
    <w:tmpl w:val="6B68E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A90C10"/>
    <w:multiLevelType w:val="hybridMultilevel"/>
    <w:tmpl w:val="EC703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3B614A"/>
    <w:multiLevelType w:val="hybridMultilevel"/>
    <w:tmpl w:val="5E509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3258940">
    <w:abstractNumId w:val="12"/>
  </w:num>
  <w:num w:numId="2" w16cid:durableId="81529909">
    <w:abstractNumId w:val="11"/>
  </w:num>
  <w:num w:numId="3" w16cid:durableId="1885369276">
    <w:abstractNumId w:val="9"/>
  </w:num>
  <w:num w:numId="4" w16cid:durableId="2136630136">
    <w:abstractNumId w:val="6"/>
  </w:num>
  <w:num w:numId="5" w16cid:durableId="1862356528">
    <w:abstractNumId w:val="3"/>
  </w:num>
  <w:num w:numId="6" w16cid:durableId="1393887156">
    <w:abstractNumId w:val="14"/>
  </w:num>
  <w:num w:numId="7" w16cid:durableId="2015375546">
    <w:abstractNumId w:val="5"/>
  </w:num>
  <w:num w:numId="8" w16cid:durableId="1077902050">
    <w:abstractNumId w:val="15"/>
  </w:num>
  <w:num w:numId="9" w16cid:durableId="698510169">
    <w:abstractNumId w:val="13"/>
  </w:num>
  <w:num w:numId="10" w16cid:durableId="1746490680">
    <w:abstractNumId w:val="0"/>
  </w:num>
  <w:num w:numId="11" w16cid:durableId="1010447030">
    <w:abstractNumId w:val="2"/>
  </w:num>
  <w:num w:numId="12" w16cid:durableId="2108037366">
    <w:abstractNumId w:val="4"/>
  </w:num>
  <w:num w:numId="13" w16cid:durableId="901021452">
    <w:abstractNumId w:val="7"/>
  </w:num>
  <w:num w:numId="14" w16cid:durableId="1695763886">
    <w:abstractNumId w:val="10"/>
  </w:num>
  <w:num w:numId="15" w16cid:durableId="1612735698">
    <w:abstractNumId w:val="1"/>
  </w:num>
  <w:num w:numId="16" w16cid:durableId="20646747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309C"/>
    <w:rsid w:val="0002639C"/>
    <w:rsid w:val="000269F3"/>
    <w:rsid w:val="00041C4C"/>
    <w:rsid w:val="000730E0"/>
    <w:rsid w:val="00080A2B"/>
    <w:rsid w:val="00092DF9"/>
    <w:rsid w:val="000A2523"/>
    <w:rsid w:val="000A7F20"/>
    <w:rsid w:val="000E1BCD"/>
    <w:rsid w:val="00101815"/>
    <w:rsid w:val="00106234"/>
    <w:rsid w:val="001436B5"/>
    <w:rsid w:val="00145F87"/>
    <w:rsid w:val="001A50DF"/>
    <w:rsid w:val="001C5F7D"/>
    <w:rsid w:val="001C64AB"/>
    <w:rsid w:val="001F28D8"/>
    <w:rsid w:val="00210CB7"/>
    <w:rsid w:val="002527B0"/>
    <w:rsid w:val="0028203C"/>
    <w:rsid w:val="002A29DA"/>
    <w:rsid w:val="002E2E4A"/>
    <w:rsid w:val="002E3893"/>
    <w:rsid w:val="002E3FF3"/>
    <w:rsid w:val="002F0247"/>
    <w:rsid w:val="003064CC"/>
    <w:rsid w:val="00343A35"/>
    <w:rsid w:val="003B03BD"/>
    <w:rsid w:val="003B299B"/>
    <w:rsid w:val="003E3C8F"/>
    <w:rsid w:val="003F09CF"/>
    <w:rsid w:val="003F3D81"/>
    <w:rsid w:val="003F665D"/>
    <w:rsid w:val="00404238"/>
    <w:rsid w:val="00432973"/>
    <w:rsid w:val="00436E3A"/>
    <w:rsid w:val="00440E3B"/>
    <w:rsid w:val="00455B7A"/>
    <w:rsid w:val="004B17BD"/>
    <w:rsid w:val="004B4B2E"/>
    <w:rsid w:val="004E33FF"/>
    <w:rsid w:val="00512C8B"/>
    <w:rsid w:val="00512DB7"/>
    <w:rsid w:val="00517683"/>
    <w:rsid w:val="005303EB"/>
    <w:rsid w:val="00543A40"/>
    <w:rsid w:val="0054502C"/>
    <w:rsid w:val="00554D12"/>
    <w:rsid w:val="00567D23"/>
    <w:rsid w:val="005709FF"/>
    <w:rsid w:val="005819B4"/>
    <w:rsid w:val="00592EBC"/>
    <w:rsid w:val="005C60E0"/>
    <w:rsid w:val="005F646D"/>
    <w:rsid w:val="006042B5"/>
    <w:rsid w:val="0062180F"/>
    <w:rsid w:val="00621DAA"/>
    <w:rsid w:val="0063737F"/>
    <w:rsid w:val="00651CDC"/>
    <w:rsid w:val="00694C5A"/>
    <w:rsid w:val="006A54D1"/>
    <w:rsid w:val="006C58D1"/>
    <w:rsid w:val="006C5F85"/>
    <w:rsid w:val="006D5D01"/>
    <w:rsid w:val="006E67C2"/>
    <w:rsid w:val="00722FA1"/>
    <w:rsid w:val="00733B24"/>
    <w:rsid w:val="0076180A"/>
    <w:rsid w:val="007C0349"/>
    <w:rsid w:val="007C7092"/>
    <w:rsid w:val="007C7D03"/>
    <w:rsid w:val="007E19CB"/>
    <w:rsid w:val="00800762"/>
    <w:rsid w:val="00800B20"/>
    <w:rsid w:val="00810AC5"/>
    <w:rsid w:val="008726AC"/>
    <w:rsid w:val="008A7131"/>
    <w:rsid w:val="008E1981"/>
    <w:rsid w:val="008E6262"/>
    <w:rsid w:val="008F16E2"/>
    <w:rsid w:val="0095372F"/>
    <w:rsid w:val="009844BD"/>
    <w:rsid w:val="009907BE"/>
    <w:rsid w:val="00992754"/>
    <w:rsid w:val="009E4B4B"/>
    <w:rsid w:val="00A05A9A"/>
    <w:rsid w:val="00A36A7F"/>
    <w:rsid w:val="00A46196"/>
    <w:rsid w:val="00A55239"/>
    <w:rsid w:val="00A6641C"/>
    <w:rsid w:val="00A7639C"/>
    <w:rsid w:val="00AA1D01"/>
    <w:rsid w:val="00AB138E"/>
    <w:rsid w:val="00AC414B"/>
    <w:rsid w:val="00AC7A72"/>
    <w:rsid w:val="00AD4150"/>
    <w:rsid w:val="00AE20E2"/>
    <w:rsid w:val="00B026C1"/>
    <w:rsid w:val="00B07B2A"/>
    <w:rsid w:val="00B1114F"/>
    <w:rsid w:val="00B17D22"/>
    <w:rsid w:val="00B35444"/>
    <w:rsid w:val="00B478F5"/>
    <w:rsid w:val="00B60CEB"/>
    <w:rsid w:val="00BA1579"/>
    <w:rsid w:val="00BD06ED"/>
    <w:rsid w:val="00C014FB"/>
    <w:rsid w:val="00C05380"/>
    <w:rsid w:val="00C06B6E"/>
    <w:rsid w:val="00C66D57"/>
    <w:rsid w:val="00C769F0"/>
    <w:rsid w:val="00CA17E2"/>
    <w:rsid w:val="00CB2FB6"/>
    <w:rsid w:val="00CC66BC"/>
    <w:rsid w:val="00CE0CCF"/>
    <w:rsid w:val="00CF60A1"/>
    <w:rsid w:val="00CF78E0"/>
    <w:rsid w:val="00D157B9"/>
    <w:rsid w:val="00D33A6D"/>
    <w:rsid w:val="00D36472"/>
    <w:rsid w:val="00D750C4"/>
    <w:rsid w:val="00D869E9"/>
    <w:rsid w:val="00D86EB3"/>
    <w:rsid w:val="00D90F9A"/>
    <w:rsid w:val="00DB0CAF"/>
    <w:rsid w:val="00DB2C5D"/>
    <w:rsid w:val="00DC50FD"/>
    <w:rsid w:val="00DD2C33"/>
    <w:rsid w:val="00DE52E3"/>
    <w:rsid w:val="00DF214E"/>
    <w:rsid w:val="00DF42F3"/>
    <w:rsid w:val="00E26840"/>
    <w:rsid w:val="00E46063"/>
    <w:rsid w:val="00E77729"/>
    <w:rsid w:val="00E93E75"/>
    <w:rsid w:val="00ED1C5B"/>
    <w:rsid w:val="00EF6266"/>
    <w:rsid w:val="00F039A7"/>
    <w:rsid w:val="00F1007E"/>
    <w:rsid w:val="00F25704"/>
    <w:rsid w:val="00F41133"/>
    <w:rsid w:val="00F64F2E"/>
    <w:rsid w:val="00F811AF"/>
    <w:rsid w:val="00F85392"/>
    <w:rsid w:val="00F97806"/>
    <w:rsid w:val="00FD2FA8"/>
    <w:rsid w:val="00FD7C38"/>
    <w:rsid w:val="00FE10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F58D2"/>
  <w15:chartTrackingRefBased/>
  <w15:docId w15:val="{A8D19F8E-A95E-455D-9F0A-4FAD41C9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customStyle="1" w:styleId="Default">
    <w:name w:val="Default"/>
    <w:rsid w:val="00BA1579"/>
    <w:pPr>
      <w:autoSpaceDE w:val="0"/>
      <w:autoSpaceDN w:val="0"/>
      <w:adjustRightInd w:val="0"/>
    </w:pPr>
    <w:rPr>
      <w:rFonts w:cs="Calibri"/>
      <w:color w:val="000000"/>
      <w:sz w:val="24"/>
      <w:szCs w:val="24"/>
    </w:rPr>
  </w:style>
  <w:style w:type="paragraph" w:styleId="FootnoteText">
    <w:name w:val="footnote text"/>
    <w:aliases w:val="5_G"/>
    <w:basedOn w:val="Normal"/>
    <w:link w:val="FootnoteTextChar"/>
    <w:uiPriority w:val="99"/>
    <w:unhideWhenUsed/>
    <w:qFormat/>
    <w:rsid w:val="00554D12"/>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554D12"/>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554D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inyl.io/CCxS" TargetMode="External"/><Relationship Id="rId13" Type="http://schemas.openxmlformats.org/officeDocument/2006/relationships/hyperlink" Target="https://tinyl.io/CCyn" TargetMode="External"/><Relationship Id="rId3" Type="http://schemas.openxmlformats.org/officeDocument/2006/relationships/hyperlink" Target="https://tinyl.io/CCaA" TargetMode="External"/><Relationship Id="rId7" Type="http://schemas.openxmlformats.org/officeDocument/2006/relationships/hyperlink" Target="https://tinyl.io/BzMH" TargetMode="External"/><Relationship Id="rId12" Type="http://schemas.openxmlformats.org/officeDocument/2006/relationships/hyperlink" Target="https://tinyl.io/CCya" TargetMode="External"/><Relationship Id="rId2" Type="http://schemas.openxmlformats.org/officeDocument/2006/relationships/hyperlink" Target="https://tinyl.io/CCa2" TargetMode="External"/><Relationship Id="rId1" Type="http://schemas.openxmlformats.org/officeDocument/2006/relationships/hyperlink" Target="https://tinyl.io/CCa0" TargetMode="External"/><Relationship Id="rId6" Type="http://schemas.openxmlformats.org/officeDocument/2006/relationships/hyperlink" Target="https://tinyl.io/CCxI" TargetMode="External"/><Relationship Id="rId11" Type="http://schemas.openxmlformats.org/officeDocument/2006/relationships/hyperlink" Target="https://tinyl.io/CCy4" TargetMode="External"/><Relationship Id="rId5" Type="http://schemas.openxmlformats.org/officeDocument/2006/relationships/hyperlink" Target="https://tinyl.io/BzMG" TargetMode="External"/><Relationship Id="rId15" Type="http://schemas.openxmlformats.org/officeDocument/2006/relationships/hyperlink" Target="https://tinyl.io/Byqw" TargetMode="External"/><Relationship Id="rId10" Type="http://schemas.openxmlformats.org/officeDocument/2006/relationships/hyperlink" Target="https://bit.ly/3YbWMw3" TargetMode="External"/><Relationship Id="rId4" Type="http://schemas.openxmlformats.org/officeDocument/2006/relationships/hyperlink" Target="https://tinyl.io/CCaD" TargetMode="External"/><Relationship Id="rId9" Type="http://schemas.openxmlformats.org/officeDocument/2006/relationships/hyperlink" Target="https://bit.ly/3pXSVWR" TargetMode="External"/><Relationship Id="rId14" Type="http://schemas.openxmlformats.org/officeDocument/2006/relationships/hyperlink" Target="https://tinyl.io/Byq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2025-04-01T17:30:08+00:00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04AB007-3AAF-478B-B994-4937CF3E9E81}">
  <ds:schemaRefs>
    <ds:schemaRef ds:uri="http://schemas.openxmlformats.org/officeDocument/2006/bibliography"/>
  </ds:schemaRefs>
</ds:datastoreItem>
</file>

<file path=customXml/itemProps2.xml><?xml version="1.0" encoding="utf-8"?>
<ds:datastoreItem xmlns:ds="http://schemas.openxmlformats.org/officeDocument/2006/customXml" ds:itemID="{9E4F04CE-9435-4D3D-942B-8D6C1C9B7521}"/>
</file>

<file path=customXml/itemProps3.xml><?xml version="1.0" encoding="utf-8"?>
<ds:datastoreItem xmlns:ds="http://schemas.openxmlformats.org/officeDocument/2006/customXml" ds:itemID="{3E392133-655A-4340-8BB4-26829D7A8EED}"/>
</file>

<file path=customXml/itemProps4.xml><?xml version="1.0" encoding="utf-8"?>
<ds:datastoreItem xmlns:ds="http://schemas.openxmlformats.org/officeDocument/2006/customXml" ds:itemID="{9A70F07F-1623-4113-A00E-1ECB6DC814C9}"/>
</file>

<file path=docProps/app.xml><?xml version="1.0" encoding="utf-8"?>
<Properties xmlns="http://schemas.openxmlformats.org/officeDocument/2006/extended-properties" xmlns:vt="http://schemas.openxmlformats.org/officeDocument/2006/docPropsVTypes">
  <Template>Temp</Template>
  <TotalTime>101</TotalTime>
  <Pages>6</Pages>
  <Words>2357</Words>
  <Characters>13436</Characters>
  <Application>Microsoft Office Word</Application>
  <DocSecurity>0</DocSecurity>
  <Lines>111</Lines>
  <Paragraphs>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cp:lastModifiedBy>merna shalash</cp:lastModifiedBy>
  <cp:revision>18</cp:revision>
  <cp:lastPrinted>2015-08-01T10:34:00Z</cp:lastPrinted>
  <dcterms:created xsi:type="dcterms:W3CDTF">2020-06-04T11:16:00Z</dcterms:created>
  <dcterms:modified xsi:type="dcterms:W3CDTF">2025-03-31T14:17:00Z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