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8"/>
          <w:szCs w:val="28"/>
        </w:rPr>
      </w:pPr>
      <w:r w:rsidDel="00000000" w:rsidR="00000000" w:rsidRPr="00000000">
        <w:rPr>
          <w:b w:val="1"/>
          <w:sz w:val="28"/>
          <w:szCs w:val="28"/>
        </w:rPr>
        <w:drawing>
          <wp:inline distB="114300" distT="114300" distL="114300" distR="114300">
            <wp:extent cx="1428750" cy="1314450"/>
            <wp:effectExtent b="0" l="0" r="0" t="0"/>
            <wp:docPr id="116094495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428750" cy="131445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1439187</wp:posOffset>
            </wp:positionH>
            <wp:positionV relativeFrom="paragraph">
              <wp:posOffset>133019</wp:posOffset>
            </wp:positionV>
            <wp:extent cx="1009650" cy="1009650"/>
            <wp:effectExtent b="0" l="0" r="0" t="0"/>
            <wp:wrapSquare wrapText="bothSides" distB="0" distT="0" distL="114300" distR="114300"/>
            <wp:docPr descr="Une image contenant Police, Graphique, capture d’écran, logo&#10;&#10;Description générée automatiquement" id="1160944952" name="image2.png"/>
            <a:graphic>
              <a:graphicData uri="http://schemas.openxmlformats.org/drawingml/2006/picture">
                <pic:pic>
                  <pic:nvPicPr>
                    <pic:cNvPr descr="Une image contenant Police, Graphique, capture d’écran, logo&#10;&#10;Description générée automatiquement" id="0" name="image2.png"/>
                    <pic:cNvPicPr preferRelativeResize="0"/>
                  </pic:nvPicPr>
                  <pic:blipFill>
                    <a:blip r:embed="rId9"/>
                    <a:srcRect b="0" l="0" r="0" t="0"/>
                    <a:stretch>
                      <a:fillRect/>
                    </a:stretch>
                  </pic:blipFill>
                  <pic:spPr>
                    <a:xfrm>
                      <a:off x="0" y="0"/>
                      <a:ext cx="1009650" cy="1009650"/>
                    </a:xfrm>
                    <a:prstGeom prst="rect"/>
                    <a:ln/>
                  </pic:spPr>
                </pic:pic>
              </a:graphicData>
            </a:graphic>
          </wp:anchor>
        </w:drawing>
      </w:r>
    </w:p>
    <w:p w:rsidR="00000000" w:rsidDel="00000000" w:rsidP="00000000" w:rsidRDefault="00000000" w:rsidRPr="00000000" w14:paraId="00000002">
      <w:pPr>
        <w:jc w:val="center"/>
        <w:rPr>
          <w:b w:val="1"/>
          <w:sz w:val="28"/>
          <w:szCs w:val="28"/>
        </w:rPr>
      </w:pP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rtl w:val="0"/>
        </w:rPr>
      </w:r>
    </w:p>
    <w:p w:rsidR="00000000" w:rsidDel="00000000" w:rsidP="00000000" w:rsidRDefault="00000000" w:rsidRPr="00000000" w14:paraId="00000004">
      <w:pPr>
        <w:jc w:val="center"/>
        <w:rPr>
          <w:b w:val="1"/>
          <w:sz w:val="28"/>
          <w:szCs w:val="28"/>
        </w:rPr>
      </w:pPr>
      <w:r w:rsidDel="00000000" w:rsidR="00000000" w:rsidRPr="00000000">
        <w:rPr>
          <w:rtl w:val="0"/>
        </w:rPr>
      </w:r>
    </w:p>
    <w:p w:rsidR="00000000" w:rsidDel="00000000" w:rsidP="00000000" w:rsidRDefault="00000000" w:rsidRPr="00000000" w14:paraId="00000005">
      <w:pPr>
        <w:jc w:val="center"/>
        <w:rPr>
          <w:b w:val="1"/>
          <w:sz w:val="28"/>
          <w:szCs w:val="28"/>
        </w:rPr>
      </w:pPr>
      <w:r w:rsidDel="00000000" w:rsidR="00000000" w:rsidRPr="00000000">
        <w:rPr>
          <w:rtl w:val="0"/>
        </w:rPr>
      </w:r>
    </w:p>
    <w:p w:rsidR="00000000" w:rsidDel="00000000" w:rsidP="00000000" w:rsidRDefault="00000000" w:rsidRPr="00000000" w14:paraId="00000006">
      <w:pPr>
        <w:jc w:val="center"/>
        <w:rPr>
          <w:b w:val="1"/>
          <w:sz w:val="28"/>
          <w:szCs w:val="28"/>
        </w:rPr>
      </w:pPr>
      <w:r w:rsidDel="00000000" w:rsidR="00000000" w:rsidRPr="00000000">
        <w:rPr>
          <w:rtl w:val="0"/>
        </w:rPr>
      </w:r>
    </w:p>
    <w:p w:rsidR="00000000" w:rsidDel="00000000" w:rsidP="00000000" w:rsidRDefault="00000000" w:rsidRPr="00000000" w14:paraId="00000007">
      <w:pPr>
        <w:jc w:val="center"/>
        <w:rPr>
          <w:b w:val="1"/>
          <w:sz w:val="28"/>
          <w:szCs w:val="28"/>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Soumission conjointe pour la Liste de points à traiter concernant le Tchad en vue de la 143</w:t>
      </w:r>
      <w:r w:rsidDel="00000000" w:rsidR="00000000" w:rsidRPr="00000000">
        <w:rPr>
          <w:rFonts w:ascii="Times New Roman" w:cs="Times New Roman" w:eastAsia="Times New Roman" w:hAnsi="Times New Roman"/>
          <w:b w:val="1"/>
          <w:sz w:val="28"/>
          <w:szCs w:val="28"/>
          <w:vertAlign w:val="superscript"/>
          <w:rtl w:val="0"/>
        </w:rPr>
        <w:t xml:space="preserve">ème</w:t>
      </w:r>
      <w:r w:rsidDel="00000000" w:rsidR="00000000" w:rsidRPr="00000000">
        <w:rPr>
          <w:rFonts w:ascii="Times New Roman" w:cs="Times New Roman" w:eastAsia="Times New Roman" w:hAnsi="Times New Roman"/>
          <w:b w:val="1"/>
          <w:sz w:val="28"/>
          <w:szCs w:val="28"/>
          <w:rtl w:val="0"/>
        </w:rPr>
        <w:t xml:space="preserve"> session du Comité des Droits de l’Homme des Nations-Unies </w:t>
      </w:r>
    </w:p>
    <w:p w:rsidR="00000000" w:rsidDel="00000000" w:rsidP="00000000" w:rsidRDefault="00000000" w:rsidRPr="00000000" w14:paraId="00000009">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Janvier 2025</w:t>
      </w:r>
    </w:p>
    <w:p w:rsidR="00000000" w:rsidDel="00000000" w:rsidP="00000000" w:rsidRDefault="00000000" w:rsidRPr="00000000" w14:paraId="0000000C">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organisations partenaires à la rédaction de cette soumission sont :</w:t>
      </w:r>
    </w:p>
    <w:p w:rsidR="00000000" w:rsidDel="00000000" w:rsidP="00000000" w:rsidRDefault="00000000" w:rsidRPr="00000000" w14:paraId="0000000F">
      <w:pPr>
        <w:spacing w:after="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La Ligue Tchadienne des droits de l’homme (LTDH)</w:t>
      </w:r>
    </w:p>
    <w:p w:rsidR="00000000" w:rsidDel="00000000" w:rsidP="00000000" w:rsidRDefault="00000000" w:rsidRPr="00000000" w14:paraId="00000011">
      <w:pPr>
        <w:spacing w:after="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LTDH est l’une des plus anciennes organisations de défense des droits humains au Tchad, et membre du Réseau SOS-Torture de l’OMCT. Elle surveille et documente les cas de violations des droits humains au Tchad, notamment dans le contexte de la crise et d'usage excessif de la force.</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Organisation Mondiale Contre la Torture (OMCT)</w:t>
      </w:r>
    </w:p>
    <w:p w:rsidR="00000000" w:rsidDel="00000000" w:rsidP="00000000" w:rsidRDefault="00000000" w:rsidRPr="00000000" w14:paraId="00000014">
      <w:pPr>
        <w:spacing w:after="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L’Organisation mondiale contre la torture (OMCT) travaille avec environ 200 organisations membres qui constituent le réseau SOS-Torture et œuvrent pour mettre fin à la torture, combattre l’impunité et protéger les défenseur.e.s des droits humains à travers le monde. Ensemble, nous formons le plus grand groupe qui lutte activement contre la torture, dans plus de 90 pays. Nous soutenons nos partenaires sur le terrain, les aidons à faire entendre leur voix, et fournissons une assistance directe aux victimes.</w:t>
      </w:r>
    </w:p>
    <w:p w:rsidR="00000000" w:rsidDel="00000000" w:rsidP="00000000" w:rsidRDefault="00000000" w:rsidRPr="00000000" w14:paraId="00000015">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spacing w:after="0" w:line="240" w:lineRule="auto"/>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Introduction et méthodologie</w:t>
      </w:r>
    </w:p>
    <w:p w:rsidR="00000000" w:rsidDel="00000000" w:rsidP="00000000" w:rsidRDefault="00000000" w:rsidRPr="00000000" w14:paraId="00000018">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9">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Les organisations signataires souhaitent porter à la connaissance du Comité des droits de l’Homme un certain nombre de points en vue de l’</w:t>
      </w:r>
      <w:r w:rsidDel="00000000" w:rsidR="00000000" w:rsidRPr="00000000">
        <w:rPr>
          <w:rFonts w:ascii="Times New Roman" w:cs="Times New Roman" w:eastAsia="Times New Roman" w:hAnsi="Times New Roman"/>
          <w:rtl w:val="0"/>
        </w:rPr>
        <w:t xml:space="preserve">adoption de la liste de points lors de sa 143ème session</w:t>
      </w:r>
      <w:r w:rsidDel="00000000" w:rsidR="00000000" w:rsidRPr="00000000">
        <w:rPr>
          <w:rFonts w:ascii="Times New Roman" w:cs="Times New Roman" w:eastAsia="Times New Roman" w:hAnsi="Times New Roman"/>
          <w:color w:val="000000"/>
          <w:rtl w:val="0"/>
        </w:rPr>
        <w:t xml:space="preserve">, et suite au dépôt d</w:t>
      </w:r>
      <w:r w:rsidDel="00000000" w:rsidR="00000000" w:rsidRPr="00000000">
        <w:rPr>
          <w:rFonts w:ascii="Times New Roman" w:cs="Times New Roman" w:eastAsia="Times New Roman" w:hAnsi="Times New Roman"/>
          <w:rtl w:val="0"/>
        </w:rPr>
        <w:t xml:space="preserve">u</w:t>
      </w:r>
      <w:r w:rsidDel="00000000" w:rsidR="00000000" w:rsidRPr="00000000">
        <w:rPr>
          <w:rFonts w:ascii="Times New Roman" w:cs="Times New Roman" w:eastAsia="Times New Roman" w:hAnsi="Times New Roman"/>
          <w:color w:val="000000"/>
          <w:rtl w:val="0"/>
        </w:rPr>
        <w:t xml:space="preserve"> troisième rapport périodique du Tchad en 2023. </w:t>
      </w:r>
    </w:p>
    <w:p w:rsidR="00000000" w:rsidDel="00000000" w:rsidP="00000000" w:rsidRDefault="00000000" w:rsidRPr="00000000" w14:paraId="0000001A">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B">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Cette soumission traite principalement des articles 6, 7 et 10 du Pacte international relatif aux droits civil et politiques concernant le droit à la vie, </w:t>
      </w:r>
      <w:r w:rsidDel="00000000" w:rsidR="00000000" w:rsidRPr="00000000">
        <w:rPr>
          <w:rFonts w:ascii="Times New Roman" w:cs="Times New Roman" w:eastAsia="Times New Roman" w:hAnsi="Times New Roman"/>
          <w:color w:val="000000"/>
          <w:rtl w:val="0"/>
        </w:rPr>
        <w:t xml:space="preserve">l’interdiction de la torture et autres peines ou traitements cruels, inhumains ou dégradants, ainsi que le traitement des personnes privées de liberté et les conditions de détention</w:t>
      </w:r>
      <w:r w:rsidDel="00000000" w:rsidR="00000000" w:rsidRPr="00000000">
        <w:rPr>
          <w:rFonts w:ascii="Times New Roman" w:cs="Times New Roman" w:eastAsia="Times New Roman" w:hAnsi="Times New Roman"/>
          <w:rtl w:val="0"/>
        </w:rPr>
        <w:t xml:space="preserve">. Elle </w:t>
      </w:r>
      <w:r w:rsidDel="00000000" w:rsidR="00000000" w:rsidRPr="00000000">
        <w:rPr>
          <w:rFonts w:ascii="Times New Roman" w:cs="Times New Roman" w:eastAsia="Times New Roman" w:hAnsi="Times New Roman"/>
          <w:color w:val="000000"/>
          <w:rtl w:val="0"/>
        </w:rPr>
        <w:t xml:space="preserve">s’appuie sur les expériences et documentations effectuées par la Ligue Tchadienne des Droits de l’Homme avec l’appui de l’Organisation Mondiale contre la Torture, notamment un rapport d’enquête publié au mois d’avril 2023,</w:t>
      </w:r>
      <w:r w:rsidDel="00000000" w:rsidR="00000000" w:rsidRPr="00000000">
        <w:rPr>
          <w:rFonts w:ascii="Times New Roman" w:cs="Times New Roman" w:eastAsia="Times New Roman" w:hAnsi="Times New Roman"/>
          <w:color w:val="000000"/>
          <w:vertAlign w:val="superscript"/>
        </w:rPr>
        <w:footnoteReference w:customMarkFollows="0" w:id="0"/>
      </w:r>
      <w:r w:rsidDel="00000000" w:rsidR="00000000" w:rsidRPr="00000000">
        <w:rPr>
          <w:rFonts w:ascii="Times New Roman" w:cs="Times New Roman" w:eastAsia="Times New Roman" w:hAnsi="Times New Roman"/>
          <w:color w:val="000000"/>
          <w:rtl w:val="0"/>
        </w:rPr>
        <w:t xml:space="preserve"> ainsi qu’une mission d’une délégation de l’OMCT effectuée à N’Djamena au Tchad au mois de septembre 2024.</w:t>
      </w:r>
      <w:r w:rsidDel="00000000" w:rsidR="00000000" w:rsidRPr="00000000">
        <w:rPr>
          <w:rFonts w:ascii="Times New Roman" w:cs="Times New Roman" w:eastAsia="Times New Roman" w:hAnsi="Times New Roman"/>
          <w:color w:val="000000"/>
          <w:vertAlign w:val="superscript"/>
        </w:rPr>
        <w:footnoteReference w:customMarkFollows="0" w:id="1"/>
      </w: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Peine de mort</w:t>
      </w:r>
    </w:p>
    <w:p w:rsidR="00000000" w:rsidDel="00000000" w:rsidP="00000000" w:rsidRDefault="00000000" w:rsidRPr="00000000" w14:paraId="0000001E">
      <w:pPr>
        <w:spacing w:after="0" w:line="240" w:lineRule="auto"/>
        <w:jc w:val="both"/>
        <w:rPr>
          <w:rFonts w:ascii="Times New Roman" w:cs="Times New Roman" w:eastAsia="Times New Roman" w:hAnsi="Times New Roman"/>
          <w:color w:val="000000"/>
          <w:u w:val="single"/>
        </w:rPr>
      </w:pPr>
      <w:r w:rsidDel="00000000" w:rsidR="00000000" w:rsidRPr="00000000">
        <w:rPr>
          <w:rtl w:val="0"/>
        </w:rPr>
      </w:r>
    </w:p>
    <w:p w:rsidR="00000000" w:rsidDel="00000000" w:rsidP="00000000" w:rsidRDefault="00000000" w:rsidRPr="00000000" w14:paraId="0000001F">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Bien que le Code pénal adopté en 2017 ne prévoyait plus l’application de la peine de mort, celle-ci est restée en vigueur dans la loi anti-terroriste jusqu’en 2020 au moment de l’adoption à l’unanimité par l’Assemblée nationale d’une nouvelle loi portant répression des actes de terrorisme qui a confirmé son abolition, comme cela a été souligné par l’État partie dans son troisième rapport périodique.</w:t>
      </w:r>
      <w:r w:rsidDel="00000000" w:rsidR="00000000" w:rsidRPr="00000000">
        <w:rPr>
          <w:rFonts w:ascii="Times New Roman" w:cs="Times New Roman" w:eastAsia="Times New Roman" w:hAnsi="Times New Roman"/>
          <w:color w:val="000000"/>
          <w:vertAlign w:val="superscript"/>
        </w:rPr>
        <w:footnoteReference w:customMarkFollows="0" w:id="2"/>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20">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Toutefois, l’abolition de la peine de mort n’est toujours pas constitutionnalisée et le Tchad n’a pas ratifié le deuxième Protocole facultatif se rapportant au Pacte International relatif aux Droits Civils et Politiques pour l’abolition de la peine de mort. Elle peut donc aisément être réintroduite à tout moment, puisque qu’au cours du dialogue national inclusif et souverain qui s’est déroulé à N’Djamena en septembre 2022, </w:t>
      </w:r>
      <w:r w:rsidDel="00000000" w:rsidR="00000000" w:rsidRPr="00000000">
        <w:rPr>
          <w:rFonts w:ascii="Times New Roman" w:cs="Times New Roman" w:eastAsia="Times New Roman" w:hAnsi="Times New Roman"/>
          <w:color w:val="000000"/>
          <w:rtl w:val="0"/>
        </w:rPr>
        <w:t xml:space="preserve">des participants en ont clairement fait la demande</w:t>
      </w:r>
      <w:r w:rsidDel="00000000" w:rsidR="00000000" w:rsidRPr="00000000">
        <w:rPr>
          <w:rFonts w:ascii="Times New Roman" w:cs="Times New Roman" w:eastAsia="Times New Roman" w:hAnsi="Times New Roman"/>
          <w:color w:val="000000"/>
          <w:vertAlign w:val="superscript"/>
        </w:rPr>
        <w:footnoteReference w:customMarkFollows="0" w:id="3"/>
      </w:r>
      <w:r w:rsidDel="00000000" w:rsidR="00000000" w:rsidRPr="00000000">
        <w:rPr>
          <w:rFonts w:ascii="Times New Roman" w:cs="Times New Roman" w:eastAsia="Times New Roman" w:hAnsi="Times New Roman"/>
          <w:color w:val="000000"/>
          <w:rtl w:val="0"/>
        </w:rPr>
        <w:t xml:space="preserve">.</w:t>
      </w:r>
      <w:r w:rsidDel="00000000" w:rsidR="00000000" w:rsidRPr="00000000">
        <w:rPr>
          <w:rtl w:val="0"/>
        </w:rPr>
      </w:r>
    </w:p>
    <w:p w:rsidR="00000000" w:rsidDel="00000000" w:rsidP="00000000" w:rsidRDefault="00000000" w:rsidRPr="00000000" w14:paraId="00000022">
      <w:pPr>
        <w:spacing w:after="0" w:line="240" w:lineRule="auto"/>
        <w:jc w:val="both"/>
        <w:rPr>
          <w:rFonts w:ascii="Times New Roman" w:cs="Times New Roman" w:eastAsia="Times New Roman" w:hAnsi="Times New Roman"/>
          <w:color w:val="000000"/>
        </w:rPr>
      </w:pPr>
      <w:r w:rsidDel="00000000" w:rsidR="00000000" w:rsidRPr="00000000">
        <w:rPr>
          <w:rtl w:val="0"/>
        </w:rPr>
      </w:r>
    </w:p>
    <w:tbl>
      <w:tblPr>
        <w:tblStyle w:val="Table1"/>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62"/>
        <w:tblGridChange w:id="0">
          <w:tblGrid>
            <w:gridCol w:w="9062"/>
          </w:tblGrid>
        </w:tblGridChange>
      </w:tblGrid>
      <w:tr>
        <w:trPr>
          <w:cantSplit w:val="0"/>
          <w:tblHeader w:val="0"/>
        </w:trPr>
        <w:tc>
          <w:tcPr/>
          <w:p w:rsidR="00000000" w:rsidDel="00000000" w:rsidP="00000000" w:rsidRDefault="00000000" w:rsidRPr="00000000" w14:paraId="00000023">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Nous demandons au Comité des droits de l’Homme de solliciter à l'État partie de fournir des informations sur les points suivants :</w:t>
            </w:r>
          </w:p>
          <w:p w:rsidR="00000000" w:rsidDel="00000000" w:rsidP="00000000" w:rsidRDefault="00000000" w:rsidRPr="00000000" w14:paraId="0000002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Quels efforts ont été entrepris en vue de l’inscription dans la Constitution tchadienne du 17 décembre 2023 de l’abolition de la peine de mort ainsi que la ratification du deuxième Protocole facultatif se rapportant au Pacte International relatif aux Droits Civils et Politiques pour l’abolition de la peine de mort.</w:t>
            </w:r>
          </w:p>
          <w:p w:rsidR="00000000" w:rsidDel="00000000" w:rsidP="00000000" w:rsidRDefault="00000000" w:rsidRPr="00000000" w14:paraId="00000026">
            <w:pP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027">
      <w:pPr>
        <w:spacing w:after="0" w:line="240" w:lineRule="auto"/>
        <w:jc w:val="both"/>
        <w:rPr>
          <w:rFonts w:ascii="Times New Roman" w:cs="Times New Roman" w:eastAsia="Times New Roman" w:hAnsi="Times New Roman"/>
          <w:color w:val="000000"/>
          <w:u w:val="singl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Usage excessif de la force pendant les manifestations, enquêtes, poursuites et sanctions des auteurs de violations graves des droits humains</w:t>
      </w:r>
    </w:p>
    <w:p w:rsidR="00000000" w:rsidDel="00000000" w:rsidP="00000000" w:rsidRDefault="00000000" w:rsidRPr="00000000" w14:paraId="00000029">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Usage excessif de la force pendant les manifestations et autres violations graves</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B">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La répression des manifestations pacifiques par un recours excessif à la force armée répond à une doctrine policière, voire militaire, ancrée dans un appareil sécuritaire habitué à la violence. Il s’appuie sur des unités spéciales de la police telles que le Groupement d’intervention de la police (GMIP), et d’autres forces de défense et de sécurité comme la Garde nationale et nomade du Tchad (GNNT). Le régime mobilise également l’armée et les services de renseignement (ANS) lors d’opérations de maintien de l’ordre. Ce recours systématique aux forces de l’ordre et de renseignement explique la réponse brutale faite aux manifestations pacifiques mais aussi l’absence de responsabilité.</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Depuis 2018, le pays n’a cessé d’utiliser la force de manière disproportionnée contre les manifestants pacifiques, les défenseurs des droits humains, les partis politiques de l’opposition et les syndicats. Les manifestations du printemps 2021 et de l’automne 2022 ont été marquées par de multiples allégations d’usage excessif de la force par les forces de l’ordre entrainant en octobre 2022 la mort de plus de 218 personnes, des milliers d’arrestations, des dizaines de cas de torture</w:t>
      </w:r>
      <w:r w:rsidDel="00000000" w:rsidR="00000000" w:rsidRPr="00000000">
        <w:rPr>
          <w:rFonts w:ascii="Times New Roman" w:cs="Times New Roman" w:eastAsia="Times New Roman" w:hAnsi="Times New Roman"/>
          <w:rtl w:val="0"/>
        </w:rPr>
        <w:t xml:space="preserve">, au moins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40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disparitions forcées et plusieurs centaines de blessés.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 Comité contre la torture a établi en 2022 que le Code de déontologie de la police du 15 juin 2016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 suffit pas à encadrer le recours à la force en conformité avec les standards internationaux</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Plusieurs rapports, dont celui publié par l’OMCT et la LTDH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indiquent des blessures graves infligées à des manifestants pacifiques, y compris par l’utilisation de gaz lacrymogène, de balles en caoutchouc et de dispositifs sonores de dispersion. En outre, des arrestations massives ont eu lieu sans base légale claire, accompagnées d’allégations de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traitements inhumains.</w:t>
      </w:r>
    </w:p>
    <w:p w:rsidR="00000000" w:rsidDel="00000000" w:rsidP="00000000" w:rsidRDefault="00000000" w:rsidRPr="00000000" w14:paraId="0000002F">
      <w:pPr>
        <w:spacing w:after="0" w:line="240" w:lineRule="auto"/>
        <w:jc w:val="both"/>
        <w:rPr>
          <w:rFonts w:ascii="Times New Roman" w:cs="Times New Roman" w:eastAsia="Times New Roman" w:hAnsi="Times New Roman"/>
          <w:color w:val="000000"/>
        </w:rPr>
      </w:pPr>
      <w:r w:rsidDel="00000000" w:rsidR="00000000" w:rsidRPr="00000000">
        <w:rPr>
          <w:rtl w:val="0"/>
        </w:rPr>
      </w:r>
    </w:p>
    <w:tbl>
      <w:tblPr>
        <w:tblStyle w:val="Table2"/>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62"/>
        <w:tblGridChange w:id="0">
          <w:tblGrid>
            <w:gridCol w:w="9062"/>
          </w:tblGrid>
        </w:tblGridChange>
      </w:tblGrid>
      <w:tr>
        <w:trPr>
          <w:cantSplit w:val="0"/>
          <w:tblHeader w:val="0"/>
        </w:trPr>
        <w:tc>
          <w:tcPr/>
          <w:p w:rsidR="00000000" w:rsidDel="00000000" w:rsidP="00000000" w:rsidRDefault="00000000" w:rsidRPr="00000000" w14:paraId="0000003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Il est demandé au Comité des droits de l’Homme de demander à l’État partie des informations sur les points suivants :</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Quelles mesures ont été prises pour garantir que les forces de l'ordre n'utilisent pas d'armes létales et à létalité réduite, notamment des balles en caoutchouc et des gaz lacrymogènes, pour commettre des actes de torture ou d'autres mauvais traitements ;</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Quelles mesures ont été prises pour adopter et appliquer des protocoles stricts sur l’usage de la force conformément aux normes internationales, notamment les Principes de base des Nations Unies sur le recours à la force et l’utilisation des armes à feu par les responsables de l’application des lois ;</w:t>
            </w:r>
          </w:p>
          <w:p w:rsidR="00000000" w:rsidDel="00000000" w:rsidP="00000000" w:rsidRDefault="00000000" w:rsidRPr="00000000" w14:paraId="0000003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Quelles mesures ont été prises pour renforcer la formation des forces de </w:t>
            </w:r>
            <w:r w:rsidDel="00000000" w:rsidR="00000000" w:rsidRPr="00000000">
              <w:rPr>
                <w:rFonts w:ascii="Times New Roman" w:cs="Times New Roman" w:eastAsia="Times New Roman" w:hAnsi="Times New Roman"/>
                <w:rtl w:val="0"/>
              </w:rPr>
              <w:t xml:space="preserve">police et de sécurité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sur le maintien de l’ordre respectueu</w:t>
            </w:r>
            <w:r w:rsidDel="00000000" w:rsidR="00000000" w:rsidRPr="00000000">
              <w:rPr>
                <w:rFonts w:ascii="Times New Roman" w:cs="Times New Roman" w:eastAsia="Times New Roman" w:hAnsi="Times New Roman"/>
                <w:rtl w:val="0"/>
              </w:rPr>
              <w:t xml:space="preserve">x</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 droits de l’homme et conform</w:t>
            </w:r>
            <w:r w:rsidDel="00000000" w:rsidR="00000000" w:rsidRPr="00000000">
              <w:rPr>
                <w:rFonts w:ascii="Times New Roman" w:cs="Times New Roman" w:eastAsia="Times New Roman" w:hAnsi="Times New Roman"/>
                <w:rtl w:val="0"/>
              </w:rPr>
              <w:t xml:space="preserv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aux principes de nécessité, légalité et proportionnalité.</w:t>
            </w:r>
          </w:p>
          <w:p w:rsidR="00000000" w:rsidDel="00000000" w:rsidP="00000000" w:rsidRDefault="00000000" w:rsidRPr="00000000" w14:paraId="00000034">
            <w:pP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035">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Enquêtes, poursuites et sanctions</w:t>
      </w:r>
      <w:r w:rsidDel="00000000" w:rsidR="00000000" w:rsidRPr="00000000">
        <w:rPr>
          <w:rtl w:val="0"/>
        </w:rPr>
      </w:r>
    </w:p>
    <w:p w:rsidR="00000000" w:rsidDel="00000000" w:rsidP="00000000" w:rsidRDefault="00000000" w:rsidRPr="00000000" w14:paraId="00000037">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38">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Les autorités tchadiennes n'ont pris aucune mesure pour identifier les auteurs des graves violations des droits humains d</w:t>
      </w:r>
      <w:r w:rsidDel="00000000" w:rsidR="00000000" w:rsidRPr="00000000">
        <w:rPr>
          <w:rFonts w:ascii="Times New Roman" w:cs="Times New Roman" w:eastAsia="Times New Roman" w:hAnsi="Times New Roman"/>
          <w:rtl w:val="0"/>
        </w:rPr>
        <w:t xml:space="preserve">urant les évènements du 20 octobre 2022</w:t>
      </w:r>
      <w:r w:rsidDel="00000000" w:rsidR="00000000" w:rsidRPr="00000000">
        <w:rPr>
          <w:rFonts w:ascii="Times New Roman" w:cs="Times New Roman" w:eastAsia="Times New Roman" w:hAnsi="Times New Roman"/>
          <w:color w:val="000000"/>
          <w:rtl w:val="0"/>
        </w:rPr>
        <w:t xml:space="preserve">, en dépit des promesses formulées. Malgré les nombreuses allégations des victimes et des organisations de la société civile, aucune enquête n'a abouti à l'arrestation de suspects et rien n'a été fait pour apporter réparation aux victimes. </w:t>
      </w:r>
    </w:p>
    <w:p w:rsidR="00000000" w:rsidDel="00000000" w:rsidP="00000000" w:rsidRDefault="00000000" w:rsidRPr="00000000" w14:paraId="00000039">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3A">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En outre, le Conseil national de transition de la République du Tchad a adopté, le 23 novembre 2023, une loi d’amnistie, promulguée le 5 décembre 2023. Elle vise à amnistier les civils et militaires impliqués dans les événements violents du 20 octobre 2022, au nom de la réconciliation nationale. </w:t>
      </w:r>
    </w:p>
    <w:p w:rsidR="00000000" w:rsidDel="00000000" w:rsidP="00000000" w:rsidRDefault="00000000" w:rsidRPr="00000000" w14:paraId="0000003B">
      <w:pPr>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3C">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Toutefois, cette loi, en dépit de ses objectifs affichés, </w:t>
      </w:r>
      <w:r w:rsidDel="00000000" w:rsidR="00000000" w:rsidRPr="00000000">
        <w:rPr>
          <w:rFonts w:ascii="Times New Roman" w:cs="Times New Roman" w:eastAsia="Times New Roman" w:hAnsi="Times New Roman"/>
          <w:rtl w:val="0"/>
        </w:rPr>
        <w:t xml:space="preserve">semble</w:t>
      </w:r>
      <w:r w:rsidDel="00000000" w:rsidR="00000000" w:rsidRPr="00000000">
        <w:rPr>
          <w:rFonts w:ascii="Times New Roman" w:cs="Times New Roman" w:eastAsia="Times New Roman" w:hAnsi="Times New Roman"/>
          <w:color w:val="000000"/>
          <w:rtl w:val="0"/>
        </w:rPr>
        <w:t xml:space="preserve"> en contradiction avec les principes constitutionnels, les normes internationales ratifiées par le Tchad, ainsi que les droits et libertés fondamentaux garantis par la Constitution de la République du Tchad et prive les victimes de leurs droits d’accès à la justice, à la vérité et à la réparation.</w:t>
      </w:r>
    </w:p>
    <w:p w:rsidR="00000000" w:rsidDel="00000000" w:rsidP="00000000" w:rsidRDefault="00000000" w:rsidRPr="00000000" w14:paraId="0000003D">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3E">
      <w:pPr>
        <w:spacing w:after="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Au mois de décembre 2024, la LTDH, l’OMCT et un groupe d’avocats tchadiens ont déposé une plainte au nom d’un groupe de victimes devant le tribunal de grande instance de N’Djamena contre une vingtaine de hauts responsables civils et militaires afin qu’ils soient poursuivis et traduits en justice pour leur implication dans les massacres du 20 octobre 2022.</w:t>
      </w:r>
      <w:r w:rsidDel="00000000" w:rsidR="00000000" w:rsidRPr="00000000">
        <w:rPr>
          <w:rFonts w:ascii="Times New Roman" w:cs="Times New Roman" w:eastAsia="Times New Roman" w:hAnsi="Times New Roman"/>
          <w:color w:val="000000"/>
          <w:vertAlign w:val="superscript"/>
        </w:rPr>
        <w:footnoteReference w:customMarkFollows="0" w:id="7"/>
      </w:r>
      <w:r w:rsidDel="00000000" w:rsidR="00000000" w:rsidRPr="00000000">
        <w:rPr>
          <w:rFonts w:ascii="Times New Roman" w:cs="Times New Roman" w:eastAsia="Times New Roman" w:hAnsi="Times New Roman"/>
          <w:color w:val="000000"/>
          <w:rtl w:val="0"/>
        </w:rPr>
        <w:t xml:space="preserve"> À ce jour, aucun</w:t>
      </w:r>
      <w:r w:rsidDel="00000000" w:rsidR="00000000" w:rsidRPr="00000000">
        <w:rPr>
          <w:rFonts w:ascii="Times New Roman" w:cs="Times New Roman" w:eastAsia="Times New Roman" w:hAnsi="Times New Roman"/>
          <w:rtl w:val="0"/>
        </w:rPr>
        <w:t xml:space="preserve">e </w:t>
      </w:r>
      <w:r w:rsidDel="00000000" w:rsidR="00000000" w:rsidRPr="00000000">
        <w:rPr>
          <w:rFonts w:ascii="Times New Roman" w:cs="Times New Roman" w:eastAsia="Times New Roman" w:hAnsi="Times New Roman"/>
          <w:color w:val="000000"/>
          <w:rtl w:val="0"/>
        </w:rPr>
        <w:t xml:space="preserve">enquête n’a été </w:t>
      </w:r>
      <w:r w:rsidDel="00000000" w:rsidR="00000000" w:rsidRPr="00000000">
        <w:rPr>
          <w:rFonts w:ascii="Times New Roman" w:cs="Times New Roman" w:eastAsia="Times New Roman" w:hAnsi="Times New Roman"/>
          <w:rtl w:val="0"/>
        </w:rPr>
        <w:t xml:space="preserve">ouverte</w:t>
      </w:r>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3F">
      <w:pPr>
        <w:spacing w:after="0" w:line="240" w:lineRule="auto"/>
        <w:jc w:val="both"/>
        <w:rPr>
          <w:rFonts w:ascii="Times New Roman" w:cs="Times New Roman" w:eastAsia="Times New Roman" w:hAnsi="Times New Roman"/>
          <w:color w:val="000000"/>
        </w:rPr>
      </w:pPr>
      <w:r w:rsidDel="00000000" w:rsidR="00000000" w:rsidRPr="00000000">
        <w:rPr>
          <w:rtl w:val="0"/>
        </w:rPr>
      </w:r>
    </w:p>
    <w:tbl>
      <w:tblPr>
        <w:tblStyle w:val="Table3"/>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62"/>
        <w:tblGridChange w:id="0">
          <w:tblGrid>
            <w:gridCol w:w="9062"/>
          </w:tblGrid>
        </w:tblGridChange>
      </w:tblGrid>
      <w:tr>
        <w:trPr>
          <w:cantSplit w:val="0"/>
          <w:tblHeader w:val="0"/>
        </w:trPr>
        <w:tc>
          <w:tcPr/>
          <w:p w:rsidR="00000000" w:rsidDel="00000000" w:rsidP="00000000" w:rsidRDefault="00000000" w:rsidRPr="00000000" w14:paraId="00000040">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Il est demandé au Comité des droits de l’Homme de solliciter à l'État partie de fournir des informations sur :</w:t>
            </w:r>
          </w:p>
          <w:p w:rsidR="00000000" w:rsidDel="00000000" w:rsidP="00000000" w:rsidRDefault="00000000" w:rsidRPr="00000000" w14:paraId="0000004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rtl w:val="0"/>
              </w:rPr>
              <w:t xml:space="preserve">Les progrès accomplis afin de s’assurer que dans tous les cas d’allégations d’exécutions extrajudiciaires, de torture et de mauvais traitements et de disparitions forcées, en particulier lors des évènements du 20 octobre 2022, des enquêtes promptes, impartiales et indépendantes soient menées pour identifier les responsables, indépendamment de leur statut, les poursuivre et, s’ils sont reconnus coupables, les condamner à des sanctions appropriées et donner réparation à toutes les victimes ;</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possibilité d’abroger la loi d’amnistie du 23 novembre 2023 qui a été adoptée en contradiction avec les engagements internationaux du Tchad et en violation des droits des victimes à la justice, la vérité et la réparation.</w:t>
            </w:r>
          </w:p>
          <w:p w:rsidR="00000000" w:rsidDel="00000000" w:rsidP="00000000" w:rsidRDefault="00000000" w:rsidRPr="00000000" w14:paraId="00000043">
            <w:pP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044">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45">
      <w:pPr>
        <w:spacing w:after="0" w:line="240" w:lineRule="auto"/>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46">
      <w:pPr>
        <w:spacing w:after="0" w:line="240" w:lineRule="auto"/>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47">
      <w:pPr>
        <w:spacing w:after="0" w:line="240" w:lineRule="auto"/>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48">
      <w:pPr>
        <w:spacing w:after="0" w:line="240" w:lineRule="auto"/>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Conditions de détention et traitement des personnes privées de liberté</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Les conditions de détention dans certains établissements pénitentiaires posent de graves inquiétudes concernant le respect des normes internationales. L</w:t>
      </w:r>
      <w:r w:rsidDel="00000000" w:rsidR="00000000" w:rsidRPr="00000000">
        <w:rPr>
          <w:rFonts w:ascii="Times New Roman" w:cs="Times New Roman" w:eastAsia="Times New Roman" w:hAnsi="Times New Roman"/>
          <w:rtl w:val="0"/>
        </w:rPr>
        <w:t xml:space="preserve">’absence de mesures alternatives à la détention provoque une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surpopulation carcérale</w:t>
      </w:r>
      <w:r w:rsidDel="00000000" w:rsidR="00000000" w:rsidRPr="00000000">
        <w:rPr>
          <w:rFonts w:ascii="Times New Roman" w:cs="Times New Roman" w:eastAsia="Times New Roman" w:hAnsi="Times New Roman"/>
          <w:rtl w:val="0"/>
        </w:rPr>
        <w:t xml:space="preserve">, comme cela a été relevé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 l’État du Tchad lui-même dans son troisième rapport périodique</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Fonts w:ascii="Times New Roman" w:cs="Times New Roman" w:eastAsia="Times New Roman" w:hAnsi="Times New Roman"/>
          <w:rtl w:val="0"/>
        </w:rPr>
        <w:t xml:space="preserve"> et qui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 exacerbé par les arrestations massives. </w:t>
      </w:r>
      <w:r w:rsidDel="00000000" w:rsidR="00000000" w:rsidRPr="00000000">
        <w:rPr>
          <w:rFonts w:ascii="Times New Roman" w:cs="Times New Roman" w:eastAsia="Times New Roman" w:hAnsi="Times New Roman"/>
          <w:rtl w:val="0"/>
        </w:rPr>
        <w:t xml:space="preserve">Les personnes privées de liberté, y compris les détenus mineurs, souffrent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également </w:t>
      </w:r>
      <w:r w:rsidDel="00000000" w:rsidR="00000000" w:rsidRPr="00000000">
        <w:rPr>
          <w:rFonts w:ascii="Times New Roman" w:cs="Times New Roman" w:eastAsia="Times New Roman" w:hAnsi="Times New Roman"/>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 accès insuffisant aux soins médicaux, à une alimentation correcte et à des conditions sanitaires de base.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Lors d’une mission au Tchad au mois de septembre 2024, une délégation de l’OMCT a effectué une mission conjointe avec des membres de la CNDH au sein de la prison de Klessoum, qui accueillait à cette date 3.223 détenus pour une capacité d’accueil officielle de 1.200 places. La majorité des détenus rencontrés ont affirmé ne pas avoir accès à un avocat. Ce qui encourage les détentions préventives de longue durée excessive, cause principale de la surpopulation carcérale. La prison compte un infirmier et un médecin qui y viennent 2 fois par semaine. Les détenus ont accès à deux repas par jours de mauvaise qualité. Les délégués de l’OMCT ont aussi constaté des problèmes d’absence de couchages et de literie. La situation particulière des 28 mineurs de cette prison a retenu l’attention des délégués de l’OMCT, puisqu’ils sont exposés aux intempéries, sans couchettes adéquates et 4 d’entre eux ont moins de 13 ans, âge </w:t>
      </w:r>
      <w:r w:rsidDel="00000000" w:rsidR="00000000" w:rsidRPr="00000000">
        <w:rPr>
          <w:rFonts w:ascii="Times New Roman" w:cs="Times New Roman" w:eastAsia="Times New Roman" w:hAnsi="Times New Roman"/>
          <w:rtl w:val="0"/>
        </w:rPr>
        <w:t xml:space="preserve">légal de la responsabilité pénale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9"/>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 ailleurs, les conditions de détention déplorables ont conduit à plusieurs décès. Human Rights Watch a documenté la mort d'au moins 11 personnes à la prison de Koro Toro, soit pendant le trajet vers l'établissement, soit sur place, entre 2023 et 2024. Ces décès sont souvent attribués à des traitements inhumains, notamment des passages à tabac, le manque de soins médicaux et des conditions de transport inappropriées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bl>
      <w:tblPr>
        <w:tblStyle w:val="Table4"/>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62"/>
        <w:tblGridChange w:id="0">
          <w:tblGrid>
            <w:gridCol w:w="9062"/>
          </w:tblGrid>
        </w:tblGridChange>
      </w:tblGrid>
      <w:tr>
        <w:trPr>
          <w:cantSplit w:val="0"/>
          <w:tblHeader w:val="0"/>
        </w:trPr>
        <w:tc>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Il est demandé au Comité des droits de l’Homme de solliciter à l’État partie des informations sur les points suivants : </w:t>
            </w:r>
          </w:p>
          <w:p w:rsidR="00000000" w:rsidDel="00000000" w:rsidP="00000000" w:rsidRDefault="00000000" w:rsidRPr="00000000" w14:paraId="0000004F">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Quels efforts ont été entrepris afin d’adopter un cadre législatif prévoyant des mesures alternatives à la détention </w:t>
            </w:r>
            <w:r w:rsidDel="00000000" w:rsidR="00000000" w:rsidRPr="00000000">
              <w:rPr>
                <w:rFonts w:ascii="Times New Roman" w:cs="Times New Roman" w:eastAsia="Times New Roman" w:hAnsi="Times New Roman"/>
                <w:rtl w:val="0"/>
              </w:rPr>
              <w:t xml:space="preserve">en vue 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réduire la surpopulation carcérale ;</w:t>
            </w:r>
          </w:p>
          <w:p w:rsidR="00000000" w:rsidDel="00000000" w:rsidP="00000000" w:rsidRDefault="00000000" w:rsidRPr="00000000" w14:paraId="00000050">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Quelles mesures ont été prises afin de garantir un accès régulier des détenus à des soins de santé, une nourriture suffisante et des conditions d’hygiènes conformes aux normes internationales, y compris pour les détenus mineurs ;</w:t>
            </w:r>
          </w:p>
          <w:p w:rsidR="00000000" w:rsidDel="00000000" w:rsidP="00000000" w:rsidRDefault="00000000" w:rsidRPr="00000000" w14:paraId="00000051">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Quelles mesures </w:t>
            </w:r>
            <w:r w:rsidDel="00000000" w:rsidR="00000000" w:rsidRPr="00000000">
              <w:rPr>
                <w:rFonts w:ascii="Times New Roman" w:cs="Times New Roman" w:eastAsia="Times New Roman" w:hAnsi="Times New Roman"/>
                <w:rtl w:val="0"/>
              </w:rPr>
              <w:t xml:space="preserve">ont été</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prises pour s’assurer que les mineurs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 soient placés en détention qu’en dernier recours, </w:t>
            </w:r>
            <w:r w:rsidDel="00000000" w:rsidR="00000000" w:rsidRPr="00000000">
              <w:rPr>
                <w:rFonts w:ascii="Times New Roman" w:cs="Times New Roman" w:eastAsia="Times New Roman" w:hAnsi="Times New Roman"/>
                <w:rtl w:val="0"/>
              </w:rPr>
              <w:t xml:space="preserve">et en cas de détention, que les conditions tiennent dûment compte de leur statut et de leurs besoins particuliers ;</w:t>
            </w:r>
          </w:p>
          <w:p w:rsidR="00000000" w:rsidDel="00000000" w:rsidP="00000000" w:rsidRDefault="00000000" w:rsidRPr="00000000" w14:paraId="00000052">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rtl w:val="0"/>
              </w:rPr>
              <w:t xml:space="preserve">Quelles mesures ont été prises pour s’assurer qu’aucun mineur de moins de 13 ans ne soit détenu. </w:t>
            </w:r>
            <w:r w:rsidDel="00000000" w:rsidR="00000000" w:rsidRPr="00000000">
              <w:rPr>
                <w:rtl w:val="0"/>
              </w:rPr>
            </w:r>
          </w:p>
        </w:tc>
      </w:tr>
    </w:tbl>
    <w:p w:rsidR="00000000" w:rsidDel="00000000" w:rsidP="00000000" w:rsidRDefault="00000000" w:rsidRPr="00000000" w14:paraId="00000053">
      <w:pP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4">
      <w:pPr>
        <w:spacing w:after="0" w:line="240" w:lineRule="auto"/>
        <w:jc w:val="both"/>
        <w:rPr>
          <w:rFonts w:ascii="Times New Roman" w:cs="Times New Roman" w:eastAsia="Times New Roman" w:hAnsi="Times New Roman"/>
          <w:color w:val="000000"/>
        </w:rPr>
      </w:pPr>
      <w:r w:rsidDel="00000000" w:rsidR="00000000" w:rsidRPr="00000000">
        <w:rPr>
          <w:rtl w:val="0"/>
        </w:rPr>
      </w:r>
    </w:p>
    <w:sectPr>
      <w:footerReference r:id="rId10" w:type="default"/>
      <w:footerReference r:id="rId11" w:type="even"/>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36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36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5">
      <w:pPr>
        <w:spacing w:after="0" w:line="240" w:lineRule="auto"/>
        <w:jc w:val="both"/>
        <w:rPr>
          <w:rFonts w:ascii="Times New Roman" w:cs="Times New Roman" w:eastAsia="Times New Roman" w:hAnsi="Times New Roman"/>
          <w:color w:val="00000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i w:val="1"/>
          <w:color w:val="000000"/>
          <w:sz w:val="20"/>
          <w:szCs w:val="20"/>
          <w:rtl w:val="0"/>
        </w:rPr>
        <w:t xml:space="preserve">Jeudi noir : ils ont enlevé trois de mes fils, rapport d’enquête sur la répression sanglante des manifestations du 20 octobre 2022 au Tchad</w:t>
      </w:r>
      <w:r w:rsidDel="00000000" w:rsidR="00000000" w:rsidRPr="00000000">
        <w:rPr>
          <w:rFonts w:ascii="Times New Roman" w:cs="Times New Roman" w:eastAsia="Times New Roman" w:hAnsi="Times New Roman"/>
          <w:color w:val="000000"/>
          <w:sz w:val="20"/>
          <w:szCs w:val="20"/>
          <w:rtl w:val="0"/>
        </w:rPr>
        <w:t xml:space="preserve"> », avril 2023. Accessible à : </w:t>
      </w:r>
      <w:hyperlink r:id="rId1">
        <w:r w:rsidDel="00000000" w:rsidR="00000000" w:rsidRPr="00000000">
          <w:rPr>
            <w:rFonts w:ascii="Times New Roman" w:cs="Times New Roman" w:eastAsia="Times New Roman" w:hAnsi="Times New Roman"/>
            <w:color w:val="467886"/>
            <w:sz w:val="20"/>
            <w:szCs w:val="20"/>
            <w:u w:val="single"/>
            <w:rtl w:val="0"/>
          </w:rPr>
          <w:t xml:space="preserve">https://www.omct.org/site-resources/legacy/RAPPORT-%C2%AB-Ils-ont-enlev%C3%A9-trois-de-mes-fils-%C2%BB-TCHAD-OMCT.pdf</w:t>
        </w:r>
      </w:hyperlink>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tl w:val="0"/>
        </w:rPr>
      </w:r>
    </w:p>
  </w:footnote>
  <w:footnote w:id="1">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hyperlink r:id="rId2">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https://www.omct.org/fr/ressources/declarations/tchad-les-actes-doivent-accompagner-les-promesses-de-lutter-contre-la-torture</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p>
  </w:footnote>
  <w:footnote w:id="2">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Troisième rapport périodique du Tchad devant le Comité des droits de l’Homme, para. 44. </w:t>
      </w:r>
      <w:r w:rsidDel="00000000" w:rsidR="00000000" w:rsidRPr="00000000">
        <w:rPr>
          <w:rtl w:val="0"/>
        </w:rPr>
      </w:r>
    </w:p>
  </w:footnote>
  <w:footnote w:id="4">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Décret no 413/ PR / PM/MSPI /2016 du 15 juin 2016 portant Code de déontologie de la Police nationale.</w:t>
      </w:r>
    </w:p>
  </w:footnote>
  <w:footnote w:id="5">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Comité contre la torture, Observations finales concernant le deuxième rapport périodique du Tchad, CAT/C/TCD/CO/2, 7 décembre 2022, §8-9.</w:t>
      </w:r>
    </w:p>
  </w:footnote>
  <w:footnote w:id="6">
    <w:p w:rsidR="00000000" w:rsidDel="00000000" w:rsidP="00000000" w:rsidRDefault="00000000" w:rsidRPr="00000000" w14:paraId="0000005A">
      <w:pPr>
        <w:spacing w:after="0" w:line="240" w:lineRule="auto"/>
        <w:jc w:val="both"/>
        <w:rPr>
          <w:rFonts w:ascii="Times New Roman" w:cs="Times New Roman" w:eastAsia="Times New Roman" w:hAnsi="Times New Roman"/>
          <w:color w:val="00000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i w:val="1"/>
          <w:color w:val="000000"/>
          <w:sz w:val="20"/>
          <w:szCs w:val="20"/>
          <w:rtl w:val="0"/>
        </w:rPr>
        <w:t xml:space="preserve">Jeudi noir : ils ont enlevé trois de mes fils, rapport d’enquête sur la répression sanglante des manifestations du 20 octobre 2022 au Tchad</w:t>
      </w:r>
      <w:r w:rsidDel="00000000" w:rsidR="00000000" w:rsidRPr="00000000">
        <w:rPr>
          <w:rFonts w:ascii="Times New Roman" w:cs="Times New Roman" w:eastAsia="Times New Roman" w:hAnsi="Times New Roman"/>
          <w:color w:val="000000"/>
          <w:sz w:val="20"/>
          <w:szCs w:val="20"/>
          <w:rtl w:val="0"/>
        </w:rPr>
        <w:t xml:space="preserve"> », avril 2023. Accessible à : </w:t>
      </w:r>
      <w:hyperlink r:id="rId3">
        <w:r w:rsidDel="00000000" w:rsidR="00000000" w:rsidRPr="00000000">
          <w:rPr>
            <w:rFonts w:ascii="Times New Roman" w:cs="Times New Roman" w:eastAsia="Times New Roman" w:hAnsi="Times New Roman"/>
            <w:color w:val="467886"/>
            <w:sz w:val="20"/>
            <w:szCs w:val="20"/>
            <w:u w:val="single"/>
            <w:rtl w:val="0"/>
          </w:rPr>
          <w:t xml:space="preserve">https://www.omct.org/site-resources/legacy/RAPPORT-%C2%AB-Ils-ont-enlev%C3%A9-trois-de-mes-fils-%C2%BB-TCHAD-OMCT.pdf</w:t>
        </w:r>
      </w:hyperlink>
      <w:r w:rsidDel="00000000" w:rsidR="00000000" w:rsidRPr="00000000">
        <w:rPr>
          <w:rtl w:val="0"/>
        </w:rPr>
      </w:r>
    </w:p>
  </w:footnote>
  <w:footnote w:id="7">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4">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https://www.omct.org/fr/ressources/declarations/tchad-les-victimes-du-jeudi-noir-saisissent-la-justice</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0">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hyperlink r:id="rId5">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https://www.hrw.org/fr/report/2024/08/06/pire-que-lenfer/mort-et-torture-la-prison-de-koro-toro-au-tchad</w:t>
        </w:r>
      </w:hyperlink>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p>
  </w:footnote>
  <w:footnote w:id="8">
    <w:p w:rsidR="00000000" w:rsidDel="00000000" w:rsidP="00000000" w:rsidRDefault="00000000" w:rsidRPr="00000000" w14:paraId="0000006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Troisième rapport périodique du Tchad devant le Comité des droits de l’Homme, para. 62.</w:t>
      </w:r>
      <w:r w:rsidDel="00000000" w:rsidR="00000000" w:rsidRPr="00000000">
        <w:rPr>
          <w:rtl w:val="0"/>
        </w:rPr>
      </w:r>
    </w:p>
  </w:footnote>
  <w:footnote w:id="9">
    <w:p w:rsidR="00000000" w:rsidDel="00000000" w:rsidP="00000000" w:rsidRDefault="00000000" w:rsidRPr="00000000" w14:paraId="00000062">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Voir loi no 007/PR/1999 du 06 avril 1999 portant procédure de poursuite et de jugement des infractions commises par les mineurs de 13 à moins de 18 ans.</w:t>
      </w:r>
      <w:r w:rsidDel="00000000" w:rsidR="00000000" w:rsidRPr="00000000">
        <w:rPr>
          <w:rtl w:val="0"/>
        </w:rPr>
      </w:r>
    </w:p>
  </w:footnote>
  <w:footnote w:id="3">
    <w:p w:rsidR="00000000" w:rsidDel="00000000" w:rsidP="00000000" w:rsidRDefault="00000000" w:rsidRPr="00000000" w14:paraId="00000063">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rFonts w:ascii="Times New Roman" w:cs="Times New Roman" w:eastAsia="Times New Roman" w:hAnsi="Times New Roman"/>
            <w:color w:val="1155cc"/>
            <w:sz w:val="20"/>
            <w:szCs w:val="20"/>
            <w:u w:val="single"/>
            <w:rtl w:val="0"/>
          </w:rPr>
          <w:t xml:space="preserve">https://www.alwihdainfo.com/Tchad-des-partisans-de-la-peine-de-mort-au-dialogue-national_a117087.html</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fr-CH"/>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Titre1">
    <w:name w:val="heading 1"/>
    <w:basedOn w:val="Normal"/>
    <w:next w:val="Normal"/>
    <w:link w:val="Titre1Car"/>
    <w:uiPriority w:val="9"/>
    <w:qFormat w:val="1"/>
    <w:rsid w:val="0094546B"/>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Titre2">
    <w:name w:val="heading 2"/>
    <w:basedOn w:val="Normal"/>
    <w:next w:val="Normal"/>
    <w:link w:val="Titre2Car"/>
    <w:uiPriority w:val="9"/>
    <w:semiHidden w:val="1"/>
    <w:unhideWhenUsed w:val="1"/>
    <w:qFormat w:val="1"/>
    <w:rsid w:val="0094546B"/>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Titre3">
    <w:name w:val="heading 3"/>
    <w:basedOn w:val="Normal"/>
    <w:next w:val="Normal"/>
    <w:link w:val="Titre3Car"/>
    <w:uiPriority w:val="9"/>
    <w:semiHidden w:val="1"/>
    <w:unhideWhenUsed w:val="1"/>
    <w:qFormat w:val="1"/>
    <w:rsid w:val="0094546B"/>
    <w:pPr>
      <w:keepNext w:val="1"/>
      <w:keepLines w:val="1"/>
      <w:spacing w:after="80" w:before="160"/>
      <w:outlineLvl w:val="2"/>
    </w:pPr>
    <w:rPr>
      <w:rFonts w:cstheme="majorBidi" w:eastAsiaTheme="majorEastAsia"/>
      <w:color w:val="0f4761" w:themeColor="accent1" w:themeShade="0000BF"/>
      <w:sz w:val="28"/>
      <w:szCs w:val="28"/>
    </w:rPr>
  </w:style>
  <w:style w:type="paragraph" w:styleId="Titre4">
    <w:name w:val="heading 4"/>
    <w:basedOn w:val="Normal"/>
    <w:next w:val="Normal"/>
    <w:link w:val="Titre4Car"/>
    <w:uiPriority w:val="9"/>
    <w:semiHidden w:val="1"/>
    <w:unhideWhenUsed w:val="1"/>
    <w:qFormat w:val="1"/>
    <w:rsid w:val="0094546B"/>
    <w:pPr>
      <w:keepNext w:val="1"/>
      <w:keepLines w:val="1"/>
      <w:spacing w:after="40" w:before="80"/>
      <w:outlineLvl w:val="3"/>
    </w:pPr>
    <w:rPr>
      <w:rFonts w:cstheme="majorBidi" w:eastAsiaTheme="majorEastAsia"/>
      <w:i w:val="1"/>
      <w:iCs w:val="1"/>
      <w:color w:val="0f4761" w:themeColor="accent1" w:themeShade="0000BF"/>
    </w:rPr>
  </w:style>
  <w:style w:type="paragraph" w:styleId="Titre5">
    <w:name w:val="heading 5"/>
    <w:basedOn w:val="Normal"/>
    <w:next w:val="Normal"/>
    <w:link w:val="Titre5Car"/>
    <w:uiPriority w:val="9"/>
    <w:semiHidden w:val="1"/>
    <w:unhideWhenUsed w:val="1"/>
    <w:qFormat w:val="1"/>
    <w:rsid w:val="0094546B"/>
    <w:pPr>
      <w:keepNext w:val="1"/>
      <w:keepLines w:val="1"/>
      <w:spacing w:after="40" w:before="80"/>
      <w:outlineLvl w:val="4"/>
    </w:pPr>
    <w:rPr>
      <w:rFonts w:cstheme="majorBidi" w:eastAsiaTheme="majorEastAsia"/>
      <w:color w:val="0f4761" w:themeColor="accent1" w:themeShade="0000BF"/>
    </w:rPr>
  </w:style>
  <w:style w:type="paragraph" w:styleId="Titre6">
    <w:name w:val="heading 6"/>
    <w:basedOn w:val="Normal"/>
    <w:next w:val="Normal"/>
    <w:link w:val="Titre6Car"/>
    <w:uiPriority w:val="9"/>
    <w:semiHidden w:val="1"/>
    <w:unhideWhenUsed w:val="1"/>
    <w:qFormat w:val="1"/>
    <w:rsid w:val="0094546B"/>
    <w:pPr>
      <w:keepNext w:val="1"/>
      <w:keepLines w:val="1"/>
      <w:spacing w:after="0" w:before="40"/>
      <w:outlineLvl w:val="5"/>
    </w:pPr>
    <w:rPr>
      <w:rFonts w:cstheme="majorBidi" w:eastAsiaTheme="majorEastAsia"/>
      <w:i w:val="1"/>
      <w:iCs w:val="1"/>
      <w:color w:val="595959" w:themeColor="text1" w:themeTint="0000A6"/>
    </w:rPr>
  </w:style>
  <w:style w:type="paragraph" w:styleId="Titre7">
    <w:name w:val="heading 7"/>
    <w:basedOn w:val="Normal"/>
    <w:next w:val="Normal"/>
    <w:link w:val="Titre7Car"/>
    <w:uiPriority w:val="9"/>
    <w:semiHidden w:val="1"/>
    <w:unhideWhenUsed w:val="1"/>
    <w:qFormat w:val="1"/>
    <w:rsid w:val="0094546B"/>
    <w:pPr>
      <w:keepNext w:val="1"/>
      <w:keepLines w:val="1"/>
      <w:spacing w:after="0" w:before="40"/>
      <w:outlineLvl w:val="6"/>
    </w:pPr>
    <w:rPr>
      <w:rFonts w:cstheme="majorBidi" w:eastAsiaTheme="majorEastAsia"/>
      <w:color w:val="595959" w:themeColor="text1" w:themeTint="0000A6"/>
    </w:rPr>
  </w:style>
  <w:style w:type="paragraph" w:styleId="Titre8">
    <w:name w:val="heading 8"/>
    <w:basedOn w:val="Normal"/>
    <w:next w:val="Normal"/>
    <w:link w:val="Titre8Car"/>
    <w:uiPriority w:val="9"/>
    <w:semiHidden w:val="1"/>
    <w:unhideWhenUsed w:val="1"/>
    <w:qFormat w:val="1"/>
    <w:rsid w:val="0094546B"/>
    <w:pPr>
      <w:keepNext w:val="1"/>
      <w:keepLines w:val="1"/>
      <w:spacing w:after="0"/>
      <w:outlineLvl w:val="7"/>
    </w:pPr>
    <w:rPr>
      <w:rFonts w:cstheme="majorBidi" w:eastAsiaTheme="majorEastAsia"/>
      <w:i w:val="1"/>
      <w:iCs w:val="1"/>
      <w:color w:val="272727" w:themeColor="text1" w:themeTint="0000D8"/>
    </w:rPr>
  </w:style>
  <w:style w:type="paragraph" w:styleId="Titre9">
    <w:name w:val="heading 9"/>
    <w:basedOn w:val="Normal"/>
    <w:next w:val="Normal"/>
    <w:link w:val="Titre9Car"/>
    <w:uiPriority w:val="9"/>
    <w:semiHidden w:val="1"/>
    <w:unhideWhenUsed w:val="1"/>
    <w:qFormat w:val="1"/>
    <w:rsid w:val="0094546B"/>
    <w:pPr>
      <w:keepNext w:val="1"/>
      <w:keepLines w:val="1"/>
      <w:spacing w:after="0"/>
      <w:outlineLvl w:val="8"/>
    </w:pPr>
    <w:rPr>
      <w:rFonts w:cstheme="majorBidi" w:eastAsiaTheme="majorEastAsia"/>
      <w:color w:val="272727" w:themeColor="text1" w:themeTint="0000D8"/>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character" w:styleId="Titre1Car" w:customStyle="1">
    <w:name w:val="Titre 1 Car"/>
    <w:basedOn w:val="Policepardfaut"/>
    <w:link w:val="Titre1"/>
    <w:uiPriority w:val="9"/>
    <w:rsid w:val="0094546B"/>
    <w:rPr>
      <w:rFonts w:asciiTheme="majorHAnsi" w:cstheme="majorBidi" w:eastAsiaTheme="majorEastAsia" w:hAnsiTheme="majorHAnsi"/>
      <w:color w:val="0f4761" w:themeColor="accent1" w:themeShade="0000BF"/>
      <w:sz w:val="40"/>
      <w:szCs w:val="40"/>
    </w:rPr>
  </w:style>
  <w:style w:type="character" w:styleId="Titre2Car" w:customStyle="1">
    <w:name w:val="Titre 2 Car"/>
    <w:basedOn w:val="Policepardfaut"/>
    <w:link w:val="Titre2"/>
    <w:uiPriority w:val="9"/>
    <w:semiHidden w:val="1"/>
    <w:rsid w:val="0094546B"/>
    <w:rPr>
      <w:rFonts w:asciiTheme="majorHAnsi" w:cstheme="majorBidi" w:eastAsiaTheme="majorEastAsia" w:hAnsiTheme="majorHAnsi"/>
      <w:color w:val="0f4761" w:themeColor="accent1" w:themeShade="0000BF"/>
      <w:sz w:val="32"/>
      <w:szCs w:val="32"/>
    </w:rPr>
  </w:style>
  <w:style w:type="character" w:styleId="Titre3Car" w:customStyle="1">
    <w:name w:val="Titre 3 Car"/>
    <w:basedOn w:val="Policepardfaut"/>
    <w:link w:val="Titre3"/>
    <w:uiPriority w:val="9"/>
    <w:semiHidden w:val="1"/>
    <w:rsid w:val="0094546B"/>
    <w:rPr>
      <w:rFonts w:cstheme="majorBidi" w:eastAsiaTheme="majorEastAsia"/>
      <w:color w:val="0f4761" w:themeColor="accent1" w:themeShade="0000BF"/>
      <w:sz w:val="28"/>
      <w:szCs w:val="28"/>
    </w:rPr>
  </w:style>
  <w:style w:type="character" w:styleId="Titre4Car" w:customStyle="1">
    <w:name w:val="Titre 4 Car"/>
    <w:basedOn w:val="Policepardfaut"/>
    <w:link w:val="Titre4"/>
    <w:uiPriority w:val="9"/>
    <w:semiHidden w:val="1"/>
    <w:rsid w:val="0094546B"/>
    <w:rPr>
      <w:rFonts w:cstheme="majorBidi" w:eastAsiaTheme="majorEastAsia"/>
      <w:i w:val="1"/>
      <w:iCs w:val="1"/>
      <w:color w:val="0f4761" w:themeColor="accent1" w:themeShade="0000BF"/>
    </w:rPr>
  </w:style>
  <w:style w:type="character" w:styleId="Titre5Car" w:customStyle="1">
    <w:name w:val="Titre 5 Car"/>
    <w:basedOn w:val="Policepardfaut"/>
    <w:link w:val="Titre5"/>
    <w:uiPriority w:val="9"/>
    <w:semiHidden w:val="1"/>
    <w:rsid w:val="0094546B"/>
    <w:rPr>
      <w:rFonts w:cstheme="majorBidi" w:eastAsiaTheme="majorEastAsia"/>
      <w:color w:val="0f4761" w:themeColor="accent1" w:themeShade="0000BF"/>
    </w:rPr>
  </w:style>
  <w:style w:type="character" w:styleId="Titre6Car" w:customStyle="1">
    <w:name w:val="Titre 6 Car"/>
    <w:basedOn w:val="Policepardfaut"/>
    <w:link w:val="Titre6"/>
    <w:uiPriority w:val="9"/>
    <w:semiHidden w:val="1"/>
    <w:rsid w:val="0094546B"/>
    <w:rPr>
      <w:rFonts w:cstheme="majorBidi" w:eastAsiaTheme="majorEastAsia"/>
      <w:i w:val="1"/>
      <w:iCs w:val="1"/>
      <w:color w:val="595959" w:themeColor="text1" w:themeTint="0000A6"/>
    </w:rPr>
  </w:style>
  <w:style w:type="character" w:styleId="Titre7Car" w:customStyle="1">
    <w:name w:val="Titre 7 Car"/>
    <w:basedOn w:val="Policepardfaut"/>
    <w:link w:val="Titre7"/>
    <w:uiPriority w:val="9"/>
    <w:semiHidden w:val="1"/>
    <w:rsid w:val="0094546B"/>
    <w:rPr>
      <w:rFonts w:cstheme="majorBidi" w:eastAsiaTheme="majorEastAsia"/>
      <w:color w:val="595959" w:themeColor="text1" w:themeTint="0000A6"/>
    </w:rPr>
  </w:style>
  <w:style w:type="character" w:styleId="Titre8Car" w:customStyle="1">
    <w:name w:val="Titre 8 Car"/>
    <w:basedOn w:val="Policepardfaut"/>
    <w:link w:val="Titre8"/>
    <w:uiPriority w:val="9"/>
    <w:semiHidden w:val="1"/>
    <w:rsid w:val="0094546B"/>
    <w:rPr>
      <w:rFonts w:cstheme="majorBidi" w:eastAsiaTheme="majorEastAsia"/>
      <w:i w:val="1"/>
      <w:iCs w:val="1"/>
      <w:color w:val="272727" w:themeColor="text1" w:themeTint="0000D8"/>
    </w:rPr>
  </w:style>
  <w:style w:type="character" w:styleId="Titre9Car" w:customStyle="1">
    <w:name w:val="Titre 9 Car"/>
    <w:basedOn w:val="Policepardfaut"/>
    <w:link w:val="Titre9"/>
    <w:uiPriority w:val="9"/>
    <w:semiHidden w:val="1"/>
    <w:rsid w:val="0094546B"/>
    <w:rPr>
      <w:rFonts w:cstheme="majorBidi" w:eastAsiaTheme="majorEastAsia"/>
      <w:color w:val="272727" w:themeColor="text1" w:themeTint="0000D8"/>
    </w:rPr>
  </w:style>
  <w:style w:type="paragraph" w:styleId="Titre">
    <w:name w:val="Title"/>
    <w:basedOn w:val="Normal"/>
    <w:next w:val="Normal"/>
    <w:link w:val="TitreCar"/>
    <w:uiPriority w:val="10"/>
    <w:qFormat w:val="1"/>
    <w:rsid w:val="0094546B"/>
    <w:pPr>
      <w:spacing w:after="80" w:line="240" w:lineRule="auto"/>
      <w:contextualSpacing w:val="1"/>
    </w:pPr>
    <w:rPr>
      <w:rFonts w:asciiTheme="majorHAnsi" w:cstheme="majorBidi" w:eastAsiaTheme="majorEastAsia" w:hAnsiTheme="majorHAnsi"/>
      <w:spacing w:val="-10"/>
      <w:kern w:val="28"/>
      <w:sz w:val="56"/>
      <w:szCs w:val="56"/>
    </w:rPr>
  </w:style>
  <w:style w:type="character" w:styleId="TitreCar" w:customStyle="1">
    <w:name w:val="Titre Car"/>
    <w:basedOn w:val="Policepardfaut"/>
    <w:link w:val="Titre"/>
    <w:uiPriority w:val="10"/>
    <w:rsid w:val="0094546B"/>
    <w:rPr>
      <w:rFonts w:asciiTheme="majorHAnsi" w:cstheme="majorBidi" w:eastAsiaTheme="majorEastAsia" w:hAnsiTheme="majorHAnsi"/>
      <w:spacing w:val="-10"/>
      <w:kern w:val="28"/>
      <w:sz w:val="56"/>
      <w:szCs w:val="56"/>
    </w:rPr>
  </w:style>
  <w:style w:type="paragraph" w:styleId="Sous-titre">
    <w:name w:val="Subtitle"/>
    <w:basedOn w:val="Normal"/>
    <w:next w:val="Normal"/>
    <w:link w:val="Sous-titreCar"/>
    <w:uiPriority w:val="11"/>
    <w:qFormat w:val="1"/>
    <w:rsid w:val="0094546B"/>
    <w:pPr>
      <w:numPr>
        <w:ilvl w:val="1"/>
      </w:numPr>
    </w:pPr>
    <w:rPr>
      <w:rFonts w:cstheme="majorBidi" w:eastAsiaTheme="majorEastAsia"/>
      <w:color w:val="595959" w:themeColor="text1" w:themeTint="0000A6"/>
      <w:spacing w:val="15"/>
      <w:sz w:val="28"/>
      <w:szCs w:val="28"/>
    </w:rPr>
  </w:style>
  <w:style w:type="character" w:styleId="Sous-titreCar" w:customStyle="1">
    <w:name w:val="Sous-titre Car"/>
    <w:basedOn w:val="Policepardfaut"/>
    <w:link w:val="Sous-titre"/>
    <w:uiPriority w:val="11"/>
    <w:rsid w:val="0094546B"/>
    <w:rPr>
      <w:rFonts w:cstheme="majorBidi" w:eastAsiaTheme="majorEastAsia"/>
      <w:color w:val="595959" w:themeColor="text1" w:themeTint="0000A6"/>
      <w:spacing w:val="15"/>
      <w:sz w:val="28"/>
      <w:szCs w:val="28"/>
    </w:rPr>
  </w:style>
  <w:style w:type="paragraph" w:styleId="Citation">
    <w:name w:val="Quote"/>
    <w:basedOn w:val="Normal"/>
    <w:next w:val="Normal"/>
    <w:link w:val="CitationCar"/>
    <w:uiPriority w:val="29"/>
    <w:qFormat w:val="1"/>
    <w:rsid w:val="0094546B"/>
    <w:pPr>
      <w:spacing w:before="160"/>
      <w:jc w:val="center"/>
    </w:pPr>
    <w:rPr>
      <w:i w:val="1"/>
      <w:iCs w:val="1"/>
      <w:color w:val="404040" w:themeColor="text1" w:themeTint="0000BF"/>
    </w:rPr>
  </w:style>
  <w:style w:type="character" w:styleId="CitationCar" w:customStyle="1">
    <w:name w:val="Citation Car"/>
    <w:basedOn w:val="Policepardfaut"/>
    <w:link w:val="Citation"/>
    <w:uiPriority w:val="29"/>
    <w:rsid w:val="0094546B"/>
    <w:rPr>
      <w:i w:val="1"/>
      <w:iCs w:val="1"/>
      <w:color w:val="404040" w:themeColor="text1" w:themeTint="0000BF"/>
    </w:rPr>
  </w:style>
  <w:style w:type="paragraph" w:styleId="Paragraphedeliste">
    <w:name w:val="List Paragraph"/>
    <w:basedOn w:val="Normal"/>
    <w:uiPriority w:val="34"/>
    <w:qFormat w:val="1"/>
    <w:rsid w:val="0094546B"/>
    <w:pPr>
      <w:ind w:left="720"/>
      <w:contextualSpacing w:val="1"/>
    </w:pPr>
  </w:style>
  <w:style w:type="character" w:styleId="Accentuationintense">
    <w:name w:val="Intense Emphasis"/>
    <w:basedOn w:val="Policepardfaut"/>
    <w:uiPriority w:val="21"/>
    <w:qFormat w:val="1"/>
    <w:rsid w:val="0094546B"/>
    <w:rPr>
      <w:i w:val="1"/>
      <w:iCs w:val="1"/>
      <w:color w:val="0f4761" w:themeColor="accent1" w:themeShade="0000BF"/>
    </w:rPr>
  </w:style>
  <w:style w:type="paragraph" w:styleId="Citationintense">
    <w:name w:val="Intense Quote"/>
    <w:basedOn w:val="Normal"/>
    <w:next w:val="Normal"/>
    <w:link w:val="CitationintenseCar"/>
    <w:uiPriority w:val="30"/>
    <w:qFormat w:val="1"/>
    <w:rsid w:val="0094546B"/>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CitationintenseCar" w:customStyle="1">
    <w:name w:val="Citation intense Car"/>
    <w:basedOn w:val="Policepardfaut"/>
    <w:link w:val="Citationintense"/>
    <w:uiPriority w:val="30"/>
    <w:rsid w:val="0094546B"/>
    <w:rPr>
      <w:i w:val="1"/>
      <w:iCs w:val="1"/>
      <w:color w:val="0f4761" w:themeColor="accent1" w:themeShade="0000BF"/>
    </w:rPr>
  </w:style>
  <w:style w:type="character" w:styleId="Rfrenceintense">
    <w:name w:val="Intense Reference"/>
    <w:basedOn w:val="Policepardfaut"/>
    <w:uiPriority w:val="32"/>
    <w:qFormat w:val="1"/>
    <w:rsid w:val="0094546B"/>
    <w:rPr>
      <w:b w:val="1"/>
      <w:bCs w:val="1"/>
      <w:smallCaps w:val="1"/>
      <w:color w:val="0f4761" w:themeColor="accent1" w:themeShade="0000BF"/>
      <w:spacing w:val="5"/>
    </w:rPr>
  </w:style>
  <w:style w:type="paragraph" w:styleId="Notedebasdepage">
    <w:name w:val="footnote text"/>
    <w:basedOn w:val="Normal"/>
    <w:link w:val="NotedebasdepageCar"/>
    <w:uiPriority w:val="99"/>
    <w:semiHidden w:val="1"/>
    <w:unhideWhenUsed w:val="1"/>
    <w:rsid w:val="00324DFB"/>
    <w:pPr>
      <w:spacing w:after="0" w:line="240" w:lineRule="auto"/>
    </w:pPr>
    <w:rPr>
      <w:rFonts w:eastAsiaTheme="minorHAnsi"/>
      <w:kern w:val="0"/>
      <w:sz w:val="20"/>
      <w:szCs w:val="20"/>
      <w:lang w:eastAsia="en-US" w:val="fr-FR"/>
    </w:rPr>
  </w:style>
  <w:style w:type="character" w:styleId="NotedebasdepageCar" w:customStyle="1">
    <w:name w:val="Note de bas de page Car"/>
    <w:basedOn w:val="Policepardfaut"/>
    <w:link w:val="Notedebasdepage"/>
    <w:uiPriority w:val="99"/>
    <w:semiHidden w:val="1"/>
    <w:rsid w:val="00324DFB"/>
    <w:rPr>
      <w:rFonts w:eastAsiaTheme="minorHAnsi"/>
      <w:kern w:val="0"/>
      <w:sz w:val="20"/>
      <w:szCs w:val="20"/>
      <w:lang w:eastAsia="en-US" w:val="fr-FR"/>
    </w:rPr>
  </w:style>
  <w:style w:type="character" w:styleId="Appelnotedebasdep">
    <w:name w:val="footnote reference"/>
    <w:basedOn w:val="Policepardfaut"/>
    <w:uiPriority w:val="99"/>
    <w:semiHidden w:val="1"/>
    <w:unhideWhenUsed w:val="1"/>
    <w:rsid w:val="00324DFB"/>
    <w:rPr>
      <w:vertAlign w:val="superscript"/>
    </w:rPr>
  </w:style>
  <w:style w:type="character" w:styleId="Lienhypertexte">
    <w:name w:val="Hyperlink"/>
    <w:basedOn w:val="Policepardfaut"/>
    <w:uiPriority w:val="99"/>
    <w:unhideWhenUsed w:val="1"/>
    <w:rsid w:val="00324DFB"/>
    <w:rPr>
      <w:color w:val="467886" w:themeColor="hyperlink"/>
      <w:u w:val="single"/>
    </w:rPr>
  </w:style>
  <w:style w:type="character" w:styleId="Mentionnonrsolue">
    <w:name w:val="Unresolved Mention"/>
    <w:basedOn w:val="Policepardfaut"/>
    <w:uiPriority w:val="99"/>
    <w:semiHidden w:val="1"/>
    <w:unhideWhenUsed w:val="1"/>
    <w:rsid w:val="00FF5E28"/>
    <w:rPr>
      <w:color w:val="605e5c"/>
      <w:shd w:color="auto" w:fill="e1dfdd" w:val="clear"/>
    </w:rPr>
  </w:style>
  <w:style w:type="paragraph" w:styleId="NormalWeb">
    <w:name w:val="Normal (Web)"/>
    <w:basedOn w:val="Normal"/>
    <w:uiPriority w:val="99"/>
    <w:unhideWhenUsed w:val="1"/>
    <w:rsid w:val="00EE26E5"/>
    <w:pPr>
      <w:spacing w:after="100" w:afterAutospacing="1" w:before="100" w:beforeAutospacing="1" w:line="240" w:lineRule="auto"/>
    </w:pPr>
    <w:rPr>
      <w:rFonts w:ascii="Times New Roman" w:cs="Times New Roman" w:eastAsia="Times New Roman" w:hAnsi="Times New Roman"/>
      <w:kern w:val="0"/>
    </w:rPr>
  </w:style>
  <w:style w:type="character" w:styleId="lev">
    <w:name w:val="Strong"/>
    <w:basedOn w:val="Policepardfaut"/>
    <w:uiPriority w:val="22"/>
    <w:qFormat w:val="1"/>
    <w:rsid w:val="00EE26E5"/>
    <w:rPr>
      <w:b w:val="1"/>
      <w:bCs w:val="1"/>
    </w:rPr>
  </w:style>
  <w:style w:type="character" w:styleId="apple-converted-space" w:customStyle="1">
    <w:name w:val="apple-converted-space"/>
    <w:basedOn w:val="Policepardfaut"/>
    <w:rsid w:val="00EE26E5"/>
  </w:style>
  <w:style w:type="paragraph" w:styleId="En-tte">
    <w:name w:val="header"/>
    <w:basedOn w:val="Normal"/>
    <w:link w:val="En-tteCar"/>
    <w:uiPriority w:val="99"/>
    <w:unhideWhenUsed w:val="1"/>
    <w:rsid w:val="003B093E"/>
    <w:pPr>
      <w:tabs>
        <w:tab w:val="center" w:pos="4536"/>
        <w:tab w:val="right" w:pos="9072"/>
      </w:tabs>
      <w:spacing w:after="0" w:line="240" w:lineRule="auto"/>
    </w:pPr>
  </w:style>
  <w:style w:type="character" w:styleId="En-tteCar" w:customStyle="1">
    <w:name w:val="En-tête Car"/>
    <w:basedOn w:val="Policepardfaut"/>
    <w:link w:val="En-tte"/>
    <w:uiPriority w:val="99"/>
    <w:rsid w:val="003B093E"/>
  </w:style>
  <w:style w:type="paragraph" w:styleId="Pieddepage">
    <w:name w:val="footer"/>
    <w:basedOn w:val="Normal"/>
    <w:link w:val="PieddepageCar"/>
    <w:uiPriority w:val="99"/>
    <w:unhideWhenUsed w:val="1"/>
    <w:rsid w:val="003B093E"/>
    <w:pPr>
      <w:tabs>
        <w:tab w:val="center" w:pos="4536"/>
        <w:tab w:val="right" w:pos="9072"/>
      </w:tabs>
      <w:spacing w:after="0" w:line="240" w:lineRule="auto"/>
    </w:pPr>
  </w:style>
  <w:style w:type="character" w:styleId="PieddepageCar" w:customStyle="1">
    <w:name w:val="Pied de page Car"/>
    <w:basedOn w:val="Policepardfaut"/>
    <w:link w:val="Pieddepage"/>
    <w:uiPriority w:val="99"/>
    <w:rsid w:val="003B093E"/>
  </w:style>
  <w:style w:type="character" w:styleId="Numrodepage">
    <w:name w:val="page number"/>
    <w:basedOn w:val="Policepardfaut"/>
    <w:uiPriority w:val="99"/>
    <w:semiHidden w:val="1"/>
    <w:unhideWhenUsed w:val="1"/>
    <w:rsid w:val="003B093E"/>
  </w:style>
  <w:style w:type="character" w:styleId="Lienhypertextesuivivisit">
    <w:name w:val="FollowedHyperlink"/>
    <w:basedOn w:val="Policepardfaut"/>
    <w:uiPriority w:val="99"/>
    <w:semiHidden w:val="1"/>
    <w:unhideWhenUsed w:val="1"/>
    <w:rsid w:val="004956D8"/>
    <w:rPr>
      <w:color w:val="96607d" w:themeColor="followedHyperlink"/>
      <w:u w:val="single"/>
    </w:rPr>
  </w:style>
  <w:style w:type="character" w:styleId="Marquedecommentaire">
    <w:name w:val="annotation reference"/>
    <w:basedOn w:val="Policepardfaut"/>
    <w:uiPriority w:val="99"/>
    <w:semiHidden w:val="1"/>
    <w:unhideWhenUsed w:val="1"/>
    <w:rsid w:val="004956D8"/>
    <w:rPr>
      <w:sz w:val="16"/>
      <w:szCs w:val="16"/>
    </w:rPr>
  </w:style>
  <w:style w:type="paragraph" w:styleId="Commentaire">
    <w:name w:val="annotation text"/>
    <w:basedOn w:val="Normal"/>
    <w:link w:val="CommentaireCar"/>
    <w:uiPriority w:val="99"/>
    <w:semiHidden w:val="1"/>
    <w:unhideWhenUsed w:val="1"/>
    <w:rsid w:val="004956D8"/>
    <w:pPr>
      <w:spacing w:line="240" w:lineRule="auto"/>
    </w:pPr>
    <w:rPr>
      <w:sz w:val="20"/>
      <w:szCs w:val="20"/>
    </w:rPr>
  </w:style>
  <w:style w:type="character" w:styleId="CommentaireCar" w:customStyle="1">
    <w:name w:val="Commentaire Car"/>
    <w:basedOn w:val="Policepardfaut"/>
    <w:link w:val="Commentaire"/>
    <w:uiPriority w:val="99"/>
    <w:semiHidden w:val="1"/>
    <w:rsid w:val="004956D8"/>
    <w:rPr>
      <w:sz w:val="20"/>
      <w:szCs w:val="20"/>
    </w:rPr>
  </w:style>
  <w:style w:type="paragraph" w:styleId="Objetducommentaire">
    <w:name w:val="annotation subject"/>
    <w:basedOn w:val="Commentaire"/>
    <w:next w:val="Commentaire"/>
    <w:link w:val="ObjetducommentaireCar"/>
    <w:uiPriority w:val="99"/>
    <w:semiHidden w:val="1"/>
    <w:unhideWhenUsed w:val="1"/>
    <w:rsid w:val="004956D8"/>
    <w:rPr>
      <w:b w:val="1"/>
      <w:bCs w:val="1"/>
    </w:rPr>
  </w:style>
  <w:style w:type="character" w:styleId="ObjetducommentaireCar" w:customStyle="1">
    <w:name w:val="Objet du commentaire Car"/>
    <w:basedOn w:val="CommentaireCar"/>
    <w:link w:val="Objetducommentaire"/>
    <w:uiPriority w:val="99"/>
    <w:semiHidden w:val="1"/>
    <w:rsid w:val="004956D8"/>
    <w:rPr>
      <w:b w:val="1"/>
      <w:bCs w:val="1"/>
      <w:sz w:val="20"/>
      <w:szCs w:val="20"/>
    </w:rPr>
  </w:style>
  <w:style w:type="table" w:styleId="Grilledutableau">
    <w:name w:val="Table Grid"/>
    <w:basedOn w:val="TableauNormal"/>
    <w:uiPriority w:val="39"/>
    <w:rsid w:val="0032446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omct.org/site-resources/legacy/RAPPORT-%C2%AB-Ils-ont-enlev%C3%A9-trois-de-mes-fils-%C2%BB-TCHAD-OMCT.pdf" TargetMode="External"/><Relationship Id="rId2" Type="http://schemas.openxmlformats.org/officeDocument/2006/relationships/hyperlink" Target="https://www.omct.org/fr/ressources/declarations/tchad-les-actes-doivent-accompagner-les-promesses-de-lutter-contre-la-torture" TargetMode="External"/><Relationship Id="rId3" Type="http://schemas.openxmlformats.org/officeDocument/2006/relationships/hyperlink" Target="https://www.omct.org/site-resources/legacy/RAPPORT-%C2%AB-Ils-ont-enlev%C3%A9-trois-de-mes-fils-%C2%BB-TCHAD-OMCT.pdf" TargetMode="External"/><Relationship Id="rId4" Type="http://schemas.openxmlformats.org/officeDocument/2006/relationships/hyperlink" Target="https://www.omct.org/fr/ressources/declarations/tchad-les-victimes-du-jeudi-noir-saisissent-la-justice" TargetMode="External"/><Relationship Id="rId5" Type="http://schemas.openxmlformats.org/officeDocument/2006/relationships/hyperlink" Target="https://www.hrw.org/fr/report/2024/08/06/pire-que-lenfer/mort-et-torture-la-prison-de-koro-toro-au-tchad" TargetMode="External"/><Relationship Id="rId6" Type="http://schemas.openxmlformats.org/officeDocument/2006/relationships/hyperlink" Target="https://www.alwihdainfo.com/Tchad-des-partisans-de-la-peine-de-mort-au-dialogue-national_a117087.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i3Cg4AIVFZRalRIJZuoZcF3JjA==">CgMxLjA4AHIhMXltY1FiM3lLbXVvLWVSSmtUcE5VV3N3ckYyYVMxRXdK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2025-01-20T12:36:08+00:00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6905FDA-F1F3-44A0-B5D6-1C072ADB642F}"/>
</file>

<file path=customXML/itemProps3.xml><?xml version="1.0" encoding="utf-8"?>
<ds:datastoreItem xmlns:ds="http://schemas.openxmlformats.org/officeDocument/2006/customXml" ds:itemID="{365BF247-2B1F-40E3-BB81-95EFB53648C6}"/>
</file>

<file path=customXML/itemProps4.xml><?xml version="1.0" encoding="utf-8"?>
<ds:datastoreItem xmlns:ds="http://schemas.openxmlformats.org/officeDocument/2006/customXml" ds:itemID="{DB7DB95A-24CF-433A-96A3-0717D72D57A8}"/>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Mancini</dc:creator>
  <dcterms:created xsi:type="dcterms:W3CDTF">2025-01-17T11:00:00Z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