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32785" w14:textId="77777777" w:rsidR="006052C1" w:rsidRDefault="006052C1">
      <w:pPr>
        <w:rPr>
          <w:b/>
          <w:color w:val="000000"/>
          <w:sz w:val="56"/>
          <w:szCs w:val="56"/>
        </w:rPr>
      </w:pPr>
    </w:p>
    <w:p w14:paraId="49F00AAF" w14:textId="77777777" w:rsidR="006052C1" w:rsidRDefault="006052C1">
      <w:pPr>
        <w:rPr>
          <w:b/>
          <w:color w:val="000000"/>
          <w:sz w:val="56"/>
          <w:szCs w:val="56"/>
        </w:rPr>
      </w:pPr>
    </w:p>
    <w:p w14:paraId="18D6C59A" w14:textId="77777777" w:rsidR="006052C1" w:rsidRDefault="006052C1">
      <w:pPr>
        <w:rPr>
          <w:b/>
          <w:color w:val="000000"/>
          <w:sz w:val="56"/>
          <w:szCs w:val="56"/>
        </w:rPr>
      </w:pPr>
    </w:p>
    <w:p w14:paraId="02675940" w14:textId="77777777" w:rsidR="006052C1" w:rsidRDefault="006052C1">
      <w:pPr>
        <w:rPr>
          <w:b/>
          <w:color w:val="000000"/>
          <w:sz w:val="56"/>
          <w:szCs w:val="56"/>
        </w:rPr>
      </w:pPr>
    </w:p>
    <w:p w14:paraId="51D7977C" w14:textId="77777777" w:rsidR="006052C1" w:rsidRDefault="00000000">
      <w:pPr>
        <w:rPr>
          <w:b/>
          <w:color w:val="000000"/>
          <w:sz w:val="52"/>
          <w:szCs w:val="52"/>
        </w:rPr>
      </w:pPr>
      <w:r>
        <w:rPr>
          <w:b/>
          <w:sz w:val="52"/>
          <w:szCs w:val="52"/>
        </w:rPr>
        <w:t>Coalition S</w:t>
      </w:r>
      <w:r>
        <w:rPr>
          <w:b/>
          <w:color w:val="000000"/>
          <w:sz w:val="52"/>
          <w:szCs w:val="52"/>
        </w:rPr>
        <w:t>ubmission to the UN Committee on the Elimination of all forms of Discrimination against Women</w:t>
      </w:r>
    </w:p>
    <w:p w14:paraId="56DB4278" w14:textId="77777777" w:rsidR="006052C1" w:rsidRDefault="006052C1">
      <w:pPr>
        <w:rPr>
          <w:b/>
          <w:color w:val="000000"/>
          <w:sz w:val="52"/>
          <w:szCs w:val="52"/>
        </w:rPr>
      </w:pPr>
    </w:p>
    <w:p w14:paraId="3491DEF2" w14:textId="77777777" w:rsidR="006052C1" w:rsidRDefault="00000000">
      <w:pPr>
        <w:rPr>
          <w:b/>
          <w:sz w:val="52"/>
          <w:szCs w:val="52"/>
        </w:rPr>
      </w:pPr>
      <w:r>
        <w:rPr>
          <w:b/>
          <w:color w:val="000000"/>
          <w:sz w:val="52"/>
          <w:szCs w:val="52"/>
        </w:rPr>
        <w:t>List of Issues Prior to Reporting on Ireland’s Report under CEDAW</w:t>
      </w:r>
    </w:p>
    <w:p w14:paraId="5B22AC39" w14:textId="77777777" w:rsidR="006052C1" w:rsidRDefault="006052C1">
      <w:pPr>
        <w:rPr>
          <w:b/>
          <w:color w:val="000000"/>
          <w:sz w:val="48"/>
          <w:szCs w:val="48"/>
        </w:rPr>
      </w:pPr>
    </w:p>
    <w:p w14:paraId="5C35FD64" w14:textId="77777777" w:rsidR="006052C1" w:rsidRDefault="00000000">
      <w:pPr>
        <w:rPr>
          <w:b/>
          <w:color w:val="000000"/>
          <w:sz w:val="40"/>
          <w:szCs w:val="40"/>
        </w:rPr>
      </w:pPr>
      <w:r>
        <w:rPr>
          <w:b/>
          <w:color w:val="000000"/>
          <w:sz w:val="40"/>
          <w:szCs w:val="40"/>
        </w:rPr>
        <w:t>Disabled Women Ireland</w:t>
      </w:r>
    </w:p>
    <w:p w14:paraId="1E46DABE" w14:textId="77777777" w:rsidR="006052C1" w:rsidRDefault="006052C1">
      <w:pPr>
        <w:rPr>
          <w:b/>
          <w:color w:val="000000"/>
          <w:sz w:val="40"/>
          <w:szCs w:val="40"/>
        </w:rPr>
      </w:pPr>
    </w:p>
    <w:p w14:paraId="1F4276B4" w14:textId="77777777" w:rsidR="006052C1" w:rsidRDefault="00000000">
      <w:pPr>
        <w:rPr>
          <w:sz w:val="40"/>
          <w:szCs w:val="40"/>
        </w:rPr>
      </w:pPr>
      <w:r>
        <w:rPr>
          <w:b/>
          <w:sz w:val="40"/>
          <w:szCs w:val="40"/>
        </w:rPr>
        <w:t>September 2023</w:t>
      </w:r>
    </w:p>
    <w:p w14:paraId="53D09C66" w14:textId="77777777" w:rsidR="006052C1" w:rsidRDefault="006052C1"/>
    <w:p w14:paraId="050CDA10" w14:textId="77777777" w:rsidR="006052C1" w:rsidRDefault="006052C1"/>
    <w:p w14:paraId="59164598" w14:textId="77777777" w:rsidR="006052C1" w:rsidRDefault="006052C1"/>
    <w:p w14:paraId="4678B162" w14:textId="77777777" w:rsidR="006052C1" w:rsidRDefault="006052C1"/>
    <w:p w14:paraId="1F39DC4A" w14:textId="77777777" w:rsidR="006052C1" w:rsidRDefault="006052C1"/>
    <w:p w14:paraId="09C4B4A4" w14:textId="77777777" w:rsidR="006052C1" w:rsidRDefault="006052C1"/>
    <w:p w14:paraId="5A529C11" w14:textId="77777777" w:rsidR="006052C1" w:rsidRDefault="006052C1"/>
    <w:p w14:paraId="2E3A23A0" w14:textId="77777777" w:rsidR="006052C1" w:rsidRDefault="006052C1"/>
    <w:p w14:paraId="077576BD" w14:textId="77777777" w:rsidR="006052C1" w:rsidRDefault="006052C1"/>
    <w:p w14:paraId="4058DA52" w14:textId="77777777" w:rsidR="006052C1" w:rsidRDefault="006052C1">
      <w:pPr>
        <w:rPr>
          <w:sz w:val="22"/>
          <w:szCs w:val="22"/>
        </w:rPr>
      </w:pPr>
    </w:p>
    <w:p w14:paraId="2BBC5554" w14:textId="77777777" w:rsidR="006052C1" w:rsidRDefault="00000000">
      <w:pPr>
        <w:rPr>
          <w:b/>
          <w:sz w:val="36"/>
          <w:szCs w:val="36"/>
        </w:rPr>
      </w:pPr>
      <w:r>
        <w:rPr>
          <w:b/>
          <w:sz w:val="36"/>
          <w:szCs w:val="36"/>
        </w:rPr>
        <w:t>Contact information:</w:t>
      </w:r>
    </w:p>
    <w:p w14:paraId="732253AD" w14:textId="77777777" w:rsidR="006052C1" w:rsidRDefault="00000000">
      <w:pPr>
        <w:rPr>
          <w:sz w:val="32"/>
          <w:szCs w:val="32"/>
        </w:rPr>
      </w:pPr>
      <w:r>
        <w:rPr>
          <w:b/>
          <w:sz w:val="32"/>
          <w:szCs w:val="32"/>
        </w:rPr>
        <w:t>Email:</w:t>
      </w:r>
      <w:r>
        <w:rPr>
          <w:sz w:val="32"/>
          <w:szCs w:val="32"/>
        </w:rPr>
        <w:t xml:space="preserve"> </w:t>
      </w:r>
      <w:hyperlink r:id="rId8">
        <w:r>
          <w:rPr>
            <w:color w:val="1155CC"/>
            <w:sz w:val="32"/>
            <w:szCs w:val="32"/>
            <w:u w:val="single"/>
          </w:rPr>
          <w:t>disabledwomenireland@gmail.com</w:t>
        </w:r>
      </w:hyperlink>
    </w:p>
    <w:p w14:paraId="06F0FDBA" w14:textId="77777777" w:rsidR="006052C1" w:rsidRDefault="00000000">
      <w:pPr>
        <w:rPr>
          <w:sz w:val="32"/>
          <w:szCs w:val="32"/>
        </w:rPr>
      </w:pPr>
      <w:r>
        <w:rPr>
          <w:b/>
          <w:sz w:val="32"/>
          <w:szCs w:val="32"/>
        </w:rPr>
        <w:t xml:space="preserve">Telephone: </w:t>
      </w:r>
      <w:r>
        <w:rPr>
          <w:sz w:val="32"/>
          <w:szCs w:val="32"/>
        </w:rPr>
        <w:t>+353 86 345 2299</w:t>
      </w:r>
    </w:p>
    <w:p w14:paraId="66426F02" w14:textId="77777777" w:rsidR="006052C1" w:rsidRDefault="006052C1">
      <w:pPr>
        <w:rPr>
          <w:sz w:val="34"/>
          <w:szCs w:val="34"/>
        </w:rPr>
      </w:pPr>
    </w:p>
    <w:p w14:paraId="1DA98089" w14:textId="77777777" w:rsidR="006052C1" w:rsidRDefault="006052C1">
      <w:pPr>
        <w:rPr>
          <w:sz w:val="34"/>
          <w:szCs w:val="34"/>
        </w:rPr>
      </w:pPr>
    </w:p>
    <w:p w14:paraId="0AB4D553" w14:textId="77777777" w:rsidR="006052C1" w:rsidRDefault="006052C1">
      <w:pPr>
        <w:rPr>
          <w:sz w:val="34"/>
          <w:szCs w:val="34"/>
        </w:rPr>
      </w:pPr>
    </w:p>
    <w:p w14:paraId="5668848D" w14:textId="77777777" w:rsidR="006052C1" w:rsidRDefault="00000000">
      <w:pPr>
        <w:rPr>
          <w:b/>
          <w:sz w:val="40"/>
          <w:szCs w:val="40"/>
        </w:rPr>
      </w:pPr>
      <w:r>
        <w:rPr>
          <w:b/>
          <w:sz w:val="40"/>
          <w:szCs w:val="40"/>
        </w:rPr>
        <w:t>Introduction</w:t>
      </w:r>
    </w:p>
    <w:p w14:paraId="02B2064B" w14:textId="77777777" w:rsidR="006052C1" w:rsidRDefault="006052C1">
      <w:pPr>
        <w:rPr>
          <w:b/>
          <w:sz w:val="40"/>
          <w:szCs w:val="40"/>
        </w:rPr>
      </w:pPr>
    </w:p>
    <w:p w14:paraId="02A82266" w14:textId="77777777" w:rsidR="006052C1" w:rsidRDefault="00000000">
      <w:r>
        <w:t>Disabled Women Ireland (DWI) welcomes the opportunity to outline the lived experiences of disabled women in Ireland from our perspective as a disabled persons’ organisation. We are making this submission as a coalition. DWI is Ireland’s only national Disabled Persons’ Organisation (DPO) representing disabled women, girls, non-binary and genderfluid people. We adopt a broad conceptualisation of disability in line with Article 1 of the UNCRPD. Therefore, our members self-identify as having ‘long-term physical, mental, intellectual or sensory impairments which in interaction with various barriers may hinder their full and effective participation in society on an equal basis with others.’</w:t>
      </w:r>
    </w:p>
    <w:p w14:paraId="073C4A8C" w14:textId="77777777" w:rsidR="006052C1" w:rsidRDefault="006052C1"/>
    <w:p w14:paraId="2F049CC5" w14:textId="77777777" w:rsidR="006052C1" w:rsidRDefault="00000000">
      <w:r>
        <w:t>This report focuses on three core issues relating to the rights of women with disabilities</w:t>
      </w:r>
      <w:r>
        <w:rPr>
          <w:vertAlign w:val="superscript"/>
        </w:rPr>
        <w:footnoteReference w:id="1"/>
      </w:r>
      <w:r>
        <w:rPr>
          <w:vertAlign w:val="superscript"/>
        </w:rPr>
        <w:t>,</w:t>
      </w:r>
      <w:r>
        <w:rPr>
          <w:vertAlign w:val="superscript"/>
        </w:rPr>
        <w:footnoteReference w:id="2"/>
      </w:r>
      <w:r>
        <w:t xml:space="preserve"> - access to healthcare, gender-based violence and financial independence. These areas, and the content therein, were identified in consultation with DWI Steering Group members and following desk-based research. Unfortunately, constraints on funding and other resources limited the extent of our consultation and research.</w:t>
      </w:r>
    </w:p>
    <w:p w14:paraId="5EFF0175" w14:textId="77777777" w:rsidR="006052C1" w:rsidRDefault="006052C1">
      <w:pPr>
        <w:rPr>
          <w:color w:val="FF0000"/>
        </w:rPr>
      </w:pPr>
    </w:p>
    <w:p w14:paraId="77E7CF99" w14:textId="77777777" w:rsidR="006052C1" w:rsidRDefault="00000000">
      <w:pPr>
        <w:rPr>
          <w:b/>
          <w:sz w:val="40"/>
          <w:szCs w:val="40"/>
        </w:rPr>
      </w:pPr>
      <w:r>
        <w:rPr>
          <w:b/>
          <w:sz w:val="40"/>
          <w:szCs w:val="40"/>
        </w:rPr>
        <w:t>Overview of the situation for women with disabilities in Ireland</w:t>
      </w:r>
    </w:p>
    <w:p w14:paraId="13142894" w14:textId="77777777" w:rsidR="006052C1" w:rsidRDefault="006052C1"/>
    <w:p w14:paraId="07658352" w14:textId="77777777" w:rsidR="006052C1" w:rsidRDefault="00000000">
      <w:r>
        <w:t>As of Census 2022, there are 1,109,557 disabled people living in Ireland, representing 22% of the population</w:t>
      </w:r>
      <w:r>
        <w:rPr>
          <w:vertAlign w:val="superscript"/>
        </w:rPr>
        <w:footnoteReference w:id="3"/>
      </w:r>
      <w:r>
        <w:t>. Women in Ireland were also more likely to be disabled than men, representing 52% of all disabled people</w:t>
      </w:r>
      <w:r>
        <w:rPr>
          <w:vertAlign w:val="superscript"/>
        </w:rPr>
        <w:footnoteReference w:id="4"/>
      </w:r>
      <w:r>
        <w:t xml:space="preserve">. </w:t>
      </w:r>
    </w:p>
    <w:p w14:paraId="5C6B9430" w14:textId="77777777" w:rsidR="006052C1" w:rsidRDefault="006052C1"/>
    <w:p w14:paraId="2620E682" w14:textId="77777777" w:rsidR="006052C1" w:rsidRDefault="00000000">
      <w:r>
        <w:t xml:space="preserve">Ireland has obligations to women with disabilities under both the UN Convention on the Elimination of Discrimination Against Women (UN CEDAW) and the UN Convention on the Rights of Persons with Disabilities (UN CRPD), the latter being ratified in 2018. Despite the ratification of both treaties, disabled women continue to face discrimination and barriers to their full participation in society </w:t>
      </w:r>
      <w:proofErr w:type="gramStart"/>
      <w:r>
        <w:t>as a result of</w:t>
      </w:r>
      <w:proofErr w:type="gramEnd"/>
      <w:r>
        <w:t xml:space="preserve"> these intersecting identities both as disabled people and as women. </w:t>
      </w:r>
    </w:p>
    <w:p w14:paraId="5737C05F" w14:textId="77777777" w:rsidR="006052C1" w:rsidRDefault="006052C1"/>
    <w:p w14:paraId="10DBF0BB" w14:textId="77777777" w:rsidR="006052C1" w:rsidRDefault="00000000">
      <w:r>
        <w:t xml:space="preserve">In their Concluding Observations the Committee noted their concern with ‘reports of the lack of data disaggregated by sex, gender, ethnicity, disability and age’, and recommended </w:t>
      </w:r>
      <w:r>
        <w:lastRenderedPageBreak/>
        <w:t>that the state take measures to collect such data</w:t>
      </w:r>
      <w:r>
        <w:rPr>
          <w:vertAlign w:val="superscript"/>
        </w:rPr>
        <w:footnoteReference w:id="5"/>
      </w:r>
      <w:r>
        <w:t xml:space="preserve">. Regrettably, Disabled Women Ireland believes that little has changed in the intervening years and challenging the discrimination faced by disabled women in Ireland is hampered by this lack of disaggregated data. </w:t>
      </w:r>
    </w:p>
    <w:p w14:paraId="60AEDED8" w14:textId="77777777" w:rsidR="006052C1" w:rsidRDefault="006052C1"/>
    <w:p w14:paraId="2FA7E50D" w14:textId="77777777" w:rsidR="006052C1" w:rsidRDefault="00000000">
      <w:r>
        <w:t xml:space="preserve">As a result of this, the intersecting forms of discrimination experienced by disabled women continues to go unrecognised in policies and legislation. Disability law and policy often focuses on the needs of disabled people as a whole and tends to not recognise the specific forms of discrimination and barriers experienced by disabled women, while policy relating to gender equality does not consider the unique perspectives and experiences of disabled women. For example, while the National Strategy for Women and Girls note that disabled women experience greater marginalisation, </w:t>
      </w:r>
      <w:proofErr w:type="gramStart"/>
      <w:r>
        <w:t>poverty</w:t>
      </w:r>
      <w:proofErr w:type="gramEnd"/>
      <w:r>
        <w:t xml:space="preserve"> and unemployment</w:t>
      </w:r>
      <w:r>
        <w:rPr>
          <w:vertAlign w:val="superscript"/>
        </w:rPr>
        <w:footnoteReference w:id="6"/>
      </w:r>
      <w:r>
        <w:t>, it states that this should be addressed through the National Disability Inclusion Strategy</w:t>
      </w:r>
      <w:r>
        <w:rPr>
          <w:vertAlign w:val="superscript"/>
        </w:rPr>
        <w:footnoteReference w:id="7"/>
      </w:r>
      <w:r>
        <w:t>. However, the National Disability Inclusion Strategy, contains only has one mention of women and the Comprehensive Employment Strategy for People with Disabilities</w:t>
      </w:r>
      <w:r>
        <w:rPr>
          <w:vertAlign w:val="superscript"/>
        </w:rPr>
        <w:footnoteReference w:id="8"/>
      </w:r>
      <w:r>
        <w:t xml:space="preserve"> doesn’t mention women at all. </w:t>
      </w:r>
    </w:p>
    <w:p w14:paraId="570B02BB" w14:textId="77777777" w:rsidR="006052C1" w:rsidRDefault="006052C1"/>
    <w:p w14:paraId="5C74A60F" w14:textId="77777777" w:rsidR="006052C1" w:rsidRDefault="00000000">
      <w:r>
        <w:t xml:space="preserve">Indeed, a secondary challenge to the policy and legislative framework in Ireland is that we lack systems to monitor the implementation of various policies relating to marginalised groups, including disabled women. For example, a recently commissioned review of three of the Irish Government’s </w:t>
      </w:r>
      <w:r>
        <w:rPr>
          <w:i/>
        </w:rPr>
        <w:t>strategies relating to marginalised groups including the National Strategy for Women and Girls</w:t>
      </w:r>
      <w:r>
        <w:t xml:space="preserve"> recommended that implementation plans for strategies should be created in parallel with strategy development, and that sets of indicators of progress should be created before such strategies are launched</w:t>
      </w:r>
      <w:r>
        <w:rPr>
          <w:vertAlign w:val="superscript"/>
        </w:rPr>
        <w:footnoteReference w:id="9"/>
      </w:r>
      <w:r>
        <w:t xml:space="preserve">. </w:t>
      </w:r>
    </w:p>
    <w:p w14:paraId="02137D65" w14:textId="77777777" w:rsidR="006052C1" w:rsidRDefault="006052C1"/>
    <w:p w14:paraId="40BE4D67" w14:textId="77777777" w:rsidR="006052C1" w:rsidRDefault="00000000">
      <w:r>
        <w:t>It must also be noted that the barriers faced by disabled women are more pronounced where the woman is part of multiple marginalised groups, for example Traveller and Roma women, women experiencing homelessness, women living in Direct provision and LGBTQIA+ women. While disabled women are protected from discrimination in accessing goods and services</w:t>
      </w:r>
      <w:r>
        <w:rPr>
          <w:color w:val="FF0000"/>
        </w:rPr>
        <w:t xml:space="preserve"> </w:t>
      </w:r>
      <w:r>
        <w:t>under the Equal Status Acts intersectional discrimination is not recognised. Additionally, these groups are similarly impacted by the lack of disaggregated data collection, and as a result information relating to the experiences of women with disabilities from these backgrounds is largely unavailable, but we have included such data where possible in this submission.</w:t>
      </w:r>
    </w:p>
    <w:p w14:paraId="5FAC4DB9" w14:textId="77777777" w:rsidR="006052C1" w:rsidRDefault="006052C1"/>
    <w:p w14:paraId="702E92DD" w14:textId="77777777" w:rsidR="006052C1" w:rsidRDefault="00000000">
      <w:pPr>
        <w:rPr>
          <w:b/>
        </w:rPr>
      </w:pPr>
      <w:r>
        <w:rPr>
          <w:b/>
        </w:rPr>
        <w:t>Suggested Questions:</w:t>
      </w:r>
    </w:p>
    <w:p w14:paraId="45C50E43" w14:textId="77777777" w:rsidR="006052C1" w:rsidRDefault="00000000">
      <w:pPr>
        <w:numPr>
          <w:ilvl w:val="0"/>
          <w:numId w:val="1"/>
        </w:numPr>
        <w:pBdr>
          <w:top w:val="nil"/>
          <w:left w:val="nil"/>
          <w:bottom w:val="nil"/>
          <w:right w:val="nil"/>
          <w:between w:val="nil"/>
        </w:pBdr>
        <w:rPr>
          <w:color w:val="000000"/>
        </w:rPr>
      </w:pPr>
      <w:r>
        <w:rPr>
          <w:color w:val="000000"/>
        </w:rPr>
        <w:t xml:space="preserve">Can the State provide details of measures taken to improve data collection in relation to disabled women, with particular focus on measures taken to collect disaggregated data and to actively disseminate this data to State and civil society </w:t>
      </w:r>
      <w:r>
        <w:rPr>
          <w:color w:val="000000"/>
        </w:rPr>
        <w:lastRenderedPageBreak/>
        <w:t>bodies with a role in monitoring the implementation and impact of State strategies to eliminate all forms of discrimination against women and girls?</w:t>
      </w:r>
    </w:p>
    <w:p w14:paraId="33C1026C" w14:textId="77777777" w:rsidR="006052C1" w:rsidRDefault="00000000">
      <w:pPr>
        <w:numPr>
          <w:ilvl w:val="0"/>
          <w:numId w:val="1"/>
        </w:numPr>
        <w:pBdr>
          <w:top w:val="nil"/>
          <w:left w:val="nil"/>
          <w:bottom w:val="nil"/>
          <w:right w:val="nil"/>
          <w:between w:val="nil"/>
        </w:pBdr>
        <w:rPr>
          <w:color w:val="000000"/>
        </w:rPr>
      </w:pPr>
      <w:r>
        <w:rPr>
          <w:color w:val="000000"/>
        </w:rPr>
        <w:t>Can the State provide details of how it intends to monitor the implementation and efficacy of future iterations of strategies relating to disabled women?</w:t>
      </w:r>
    </w:p>
    <w:p w14:paraId="0E86BA29" w14:textId="77777777" w:rsidR="006052C1" w:rsidRDefault="00000000">
      <w:pPr>
        <w:pStyle w:val="Heading1"/>
        <w:jc w:val="left"/>
        <w:rPr>
          <w:rFonts w:ascii="Calibri" w:eastAsia="Calibri" w:hAnsi="Calibri" w:cs="Calibri"/>
        </w:rPr>
      </w:pPr>
      <w:r>
        <w:rPr>
          <w:rFonts w:ascii="Calibri" w:eastAsia="Calibri" w:hAnsi="Calibri" w:cs="Calibri"/>
        </w:rPr>
        <w:t>Specific areas of concern and suggested questions</w:t>
      </w:r>
    </w:p>
    <w:p w14:paraId="61A070F6" w14:textId="77777777" w:rsidR="006052C1" w:rsidRDefault="006052C1">
      <w:pPr>
        <w:rPr>
          <w:b/>
          <w:sz w:val="34"/>
          <w:szCs w:val="34"/>
        </w:rPr>
      </w:pPr>
    </w:p>
    <w:p w14:paraId="631A84CD" w14:textId="77777777" w:rsidR="006052C1" w:rsidRDefault="00000000">
      <w:pPr>
        <w:rPr>
          <w:b/>
          <w:sz w:val="28"/>
          <w:szCs w:val="28"/>
        </w:rPr>
      </w:pPr>
      <w:r>
        <w:rPr>
          <w:b/>
          <w:sz w:val="28"/>
          <w:szCs w:val="28"/>
        </w:rPr>
        <w:t>Poverty and social exclusion</w:t>
      </w:r>
    </w:p>
    <w:p w14:paraId="0B659AD8" w14:textId="77777777" w:rsidR="006052C1" w:rsidRDefault="006052C1">
      <w:pPr>
        <w:rPr>
          <w:b/>
          <w:sz w:val="28"/>
          <w:szCs w:val="28"/>
        </w:rPr>
      </w:pPr>
    </w:p>
    <w:p w14:paraId="53F2194C" w14:textId="77777777" w:rsidR="006052C1" w:rsidRDefault="00000000">
      <w:pPr>
        <w:rPr>
          <w:b/>
        </w:rPr>
      </w:pPr>
      <w:r>
        <w:rPr>
          <w:b/>
        </w:rPr>
        <w:t>Employment and social welfare</w:t>
      </w:r>
    </w:p>
    <w:p w14:paraId="09C167BB" w14:textId="77777777" w:rsidR="006052C1" w:rsidRDefault="00000000">
      <w:r>
        <w:t>Disabled women living in Ireland are at high risk of experiencing deprivation and social exclusion, compared to both disabled men and non-disabled women. According to Eurostat, 39.3% of disabled people in Ireland experience poverty and social exclusion (compared to 14.6% for non-disabled people), meaning that Ireland has the largest deprivation gap between disabled and non-disabled people among EU member states</w:t>
      </w:r>
      <w:r>
        <w:rPr>
          <w:vertAlign w:val="superscript"/>
        </w:rPr>
        <w:footnoteReference w:id="10"/>
      </w:r>
      <w:r>
        <w:t>. Similarly, according to the Irish Central Statistics office, disabled people are twice as likely to live in poverty or be at risk of poverty relative to non-disabled people with 45.9% of disabled people experiencing deprivation and 24% living in consistent poverty</w:t>
      </w:r>
      <w:r>
        <w:rPr>
          <w:vertAlign w:val="superscript"/>
        </w:rPr>
        <w:footnoteReference w:id="11"/>
      </w:r>
      <w:r>
        <w:t>. The situation for disabled women is even worse compared to disabled men, as they are 25% more likely to live in poverty in Ireland</w:t>
      </w:r>
      <w:r>
        <w:rPr>
          <w:vertAlign w:val="superscript"/>
        </w:rPr>
        <w:footnoteReference w:id="12"/>
      </w:r>
      <w:r>
        <w:t xml:space="preserve">. </w:t>
      </w:r>
    </w:p>
    <w:p w14:paraId="5BB532B8" w14:textId="77777777" w:rsidR="006052C1" w:rsidRDefault="006052C1"/>
    <w:p w14:paraId="5167A91D" w14:textId="77777777" w:rsidR="006052C1" w:rsidRDefault="00000000">
      <w:r>
        <w:t xml:space="preserve">This is in part </w:t>
      </w:r>
      <w:proofErr w:type="gramStart"/>
      <w:r>
        <w:t>due to the fact that</w:t>
      </w:r>
      <w:proofErr w:type="gramEnd"/>
      <w:r>
        <w:t xml:space="preserve"> Ireland has the lowest employment rate for disabled people among EU member states, as only 32.6% are in full time employment</w:t>
      </w:r>
      <w:r>
        <w:rPr>
          <w:vertAlign w:val="superscript"/>
        </w:rPr>
        <w:footnoteReference w:id="13"/>
      </w:r>
      <w:r>
        <w:t>. Ireland also has the largest employment gap for disabled people versus overall labour market employment: disabled people are 38.6 percentage points less likely to be employed than non-disabled people</w:t>
      </w:r>
      <w:r>
        <w:rPr>
          <w:vertAlign w:val="superscript"/>
        </w:rPr>
        <w:footnoteReference w:id="14"/>
      </w:r>
      <w:r>
        <w:t>. The situation is even worse for disabled women, as only 25.8% are in paid employment</w:t>
      </w:r>
      <w:r>
        <w:rPr>
          <w:vertAlign w:val="superscript"/>
        </w:rPr>
        <w:footnoteReference w:id="15"/>
      </w:r>
      <w:r>
        <w:t>, with family caring responsibilities a key reason for their lower rates of employment</w:t>
      </w:r>
      <w:r>
        <w:rPr>
          <w:vertAlign w:val="superscript"/>
        </w:rPr>
        <w:footnoteReference w:id="16"/>
      </w:r>
      <w:r>
        <w:t>. Again, this inequality is vastly heightened for women who experience additional forms of discrimination, for example 11.3% of Travellers were unable to work due to a disability, nearly three times the national average and current policies focussed on reducing discrimination against girls are insufficient to address this intersection. We have included a list of issues underpinning the significant additional discrimination experienced by disabled Traveller women, compiled by the Irish Traveller Movement, for the CEDAW Committee to consider which highlights areas requiring urgent action as part of our Addendum.</w:t>
      </w:r>
    </w:p>
    <w:p w14:paraId="10CFA96F" w14:textId="77777777" w:rsidR="006052C1" w:rsidRDefault="006052C1"/>
    <w:p w14:paraId="09A3D062" w14:textId="77777777" w:rsidR="006052C1" w:rsidRDefault="00000000">
      <w:r>
        <w:t xml:space="preserve">The employment gap and resulting increased likelihood of experiencing poverty and social exclusion is partly </w:t>
      </w:r>
      <w:proofErr w:type="gramStart"/>
      <w:r>
        <w:t>due to the fact that</w:t>
      </w:r>
      <w:proofErr w:type="gramEnd"/>
      <w:r>
        <w:t xml:space="preserve"> women are more likely than men to be in temporary or part-time employment and are more likely to have additional caring responsibilities</w:t>
      </w:r>
      <w:r>
        <w:rPr>
          <w:vertAlign w:val="superscript"/>
        </w:rPr>
        <w:footnoteReference w:id="17"/>
      </w:r>
      <w:r>
        <w:t>. This also holds true for disabled women. In Ireland, 67% of disabled women are parents and 45% of family carers in Ireland are disabled</w:t>
      </w:r>
      <w:r>
        <w:rPr>
          <w:vertAlign w:val="superscript"/>
        </w:rPr>
        <w:footnoteReference w:id="18"/>
      </w:r>
      <w:r>
        <w:t xml:space="preserve">. Due in part to the flexibility required to fulfil these additional responsibilities, disabled women are more likely than disabled men to work in the care professions with hours that may change week by week, or to be self-employed in more flexible industries such as the Creative Arts. </w:t>
      </w:r>
    </w:p>
    <w:p w14:paraId="6C7DF6E5" w14:textId="77777777" w:rsidR="006052C1" w:rsidRDefault="006052C1"/>
    <w:p w14:paraId="3775B158" w14:textId="77777777" w:rsidR="006052C1" w:rsidRDefault="00000000">
      <w:r>
        <w:t>The State’s approach to improving the rates of employment amongst disabled people is laid out in its ‘Comprehensive Employment Strategy for People with Disabilities’</w:t>
      </w:r>
      <w:r>
        <w:rPr>
          <w:vertAlign w:val="superscript"/>
        </w:rPr>
        <w:footnoteReference w:id="19"/>
      </w:r>
      <w:r>
        <w:t xml:space="preserve">. Despite the disproportionate rates of unemployment amongst disabled women, relative to disabled men and non-disabled women, the strategy does not include any specific measures to improve employment rates among this cohort. </w:t>
      </w:r>
    </w:p>
    <w:p w14:paraId="39214414" w14:textId="77777777" w:rsidR="006052C1" w:rsidRDefault="006052C1"/>
    <w:p w14:paraId="4C3D7534" w14:textId="77777777" w:rsidR="006052C1" w:rsidRDefault="00000000">
      <w:r>
        <w:t xml:space="preserve">Disabled women, therefore, frequently rely on social welfare payments as their primary source of income, or to supplement other income sources. Social welfare payments available to disabled people include Disability Allowance, Invalidity Pension and Blind Pension. The maximum payment on these allowances is €220 per week (€11,440 per annum) which is intended to cover the living expenses of disabled people who are unable to work. In addition to paying for the basics of day-to-day living, these payments are also intended to cover any additional disability-related costs disabled people incur. </w:t>
      </w:r>
    </w:p>
    <w:p w14:paraId="6CC61FBC" w14:textId="77777777" w:rsidR="006052C1" w:rsidRDefault="006052C1"/>
    <w:p w14:paraId="07BC52F5" w14:textId="77777777" w:rsidR="006052C1" w:rsidRDefault="00000000">
      <w:r>
        <w:t xml:space="preserve">Currently, minimum wage in Ireland </w:t>
      </w:r>
      <w:proofErr w:type="gramStart"/>
      <w:r>
        <w:t>is considered to be</w:t>
      </w:r>
      <w:proofErr w:type="gramEnd"/>
      <w:r>
        <w:t xml:space="preserve"> €477.42/ week (€22,916/annum). Additionally, a 2021 “Cost of Disability” Report established that the average yearly cost of disability in Ireland is €11,734 and that this cost rises with the number of impairments or conditions an individual experiences</w:t>
      </w:r>
      <w:r>
        <w:rPr>
          <w:vertAlign w:val="superscript"/>
        </w:rPr>
        <w:footnoteReference w:id="20"/>
      </w:r>
      <w:r>
        <w:t>. This indicates that the disability-related social welfare payments available are wholly insufficient to allow disabled people and their families to reach even a minimum standard of living. Moreover, work-related income disregards, which begin to impact on disability supports even before a person’s overall income has reached that of a worker on minimum wage, contribute to the long-term poverty experienced by many disabled women.</w:t>
      </w:r>
    </w:p>
    <w:p w14:paraId="5EC72498" w14:textId="77777777" w:rsidR="006052C1" w:rsidRDefault="006052C1"/>
    <w:p w14:paraId="18D3BFC6" w14:textId="77777777" w:rsidR="006052C1" w:rsidRDefault="00000000">
      <w:r>
        <w:t>Far too many disabled women find themselves prevented from taking up the already more limited employment options open to them because they can’t take the risk of losing these limited supports for a short-term or part time position. This, in turn, leaves them outside the labour market for longer and unable to build useful skills and connections, which are both strongly predictive factors of long-term unemployment, poverty and social exclusion.</w:t>
      </w:r>
    </w:p>
    <w:p w14:paraId="0E70DFA1" w14:textId="77777777" w:rsidR="006052C1" w:rsidRDefault="006052C1"/>
    <w:p w14:paraId="1B3FEF05" w14:textId="77777777" w:rsidR="006052C1" w:rsidRDefault="00000000">
      <w:pPr>
        <w:ind w:left="720"/>
        <w:rPr>
          <w:i/>
        </w:rPr>
      </w:pPr>
      <w:r>
        <w:rPr>
          <w:i/>
        </w:rPr>
        <w:t xml:space="preserve">“As [disabled women] you get lower paid jobs anyway often, or you can only work part time. So, the idea that you get a lower paid job to begin with, and …the structures to progress in the system are so prohibitive that often even if you get in, you're not going to progress very far. You work part time. Your salary is very low. So, the fact that then you </w:t>
      </w:r>
      <w:proofErr w:type="gramStart"/>
      <w:r>
        <w:rPr>
          <w:i/>
        </w:rPr>
        <w:t>actually lose</w:t>
      </w:r>
      <w:proofErr w:type="gramEnd"/>
      <w:r>
        <w:rPr>
          <w:i/>
        </w:rPr>
        <w:t xml:space="preserve"> [money and supports] is wrong.”</w:t>
      </w:r>
      <w:r>
        <w:rPr>
          <w:b/>
          <w:i/>
        </w:rPr>
        <w:t xml:space="preserve"> - Participant in Disabled Women Ireland’s 2021 Consultation on the UN CRPD.</w:t>
      </w:r>
    </w:p>
    <w:p w14:paraId="7EC149E3" w14:textId="77777777" w:rsidR="006052C1" w:rsidRDefault="006052C1"/>
    <w:p w14:paraId="583C76B6" w14:textId="77777777" w:rsidR="006052C1" w:rsidRDefault="00000000">
      <w:r>
        <w:t xml:space="preserve">The insufficiency of social welfare supports is of particular concern to disabled women given that women are more likely than men to be disabled and </w:t>
      </w:r>
      <w:proofErr w:type="gramStart"/>
      <w:r>
        <w:t>due to the fact that</w:t>
      </w:r>
      <w:proofErr w:type="gramEnd"/>
      <w:r>
        <w:t xml:space="preserve"> disabled women are less likely to be in employment and therefore more likely to be reliant upon such supports. This being the case, we would expect that more women than men relying upon such supports. However, in Ireland disabled women are less likely than men to receive Disability Allowance</w:t>
      </w:r>
      <w:r>
        <w:rPr>
          <w:vertAlign w:val="superscript"/>
        </w:rPr>
        <w:footnoteReference w:id="21"/>
      </w:r>
      <w:r>
        <w:t>. This is particularly concerning considering that 63.6% of denied applications for Disability Allowance are overturned on appeal</w:t>
      </w:r>
      <w:r>
        <w:rPr>
          <w:vertAlign w:val="superscript"/>
        </w:rPr>
        <w:footnoteReference w:id="22"/>
      </w:r>
      <w:r>
        <w:t xml:space="preserve">. </w:t>
      </w:r>
    </w:p>
    <w:p w14:paraId="22A2F7AA" w14:textId="77777777" w:rsidR="006052C1" w:rsidRDefault="006052C1"/>
    <w:p w14:paraId="6103FC8A" w14:textId="77777777" w:rsidR="006052C1" w:rsidRDefault="00000000">
      <w:r>
        <w:t>Indeed, that the Irish social welfare model creates barriers for disabled women has been recognised in a recent report by the National Women’s Council of Ireland which stated that:</w:t>
      </w:r>
    </w:p>
    <w:p w14:paraId="70FC146B" w14:textId="77777777" w:rsidR="006052C1" w:rsidRDefault="006052C1"/>
    <w:p w14:paraId="11A8485B" w14:textId="77777777" w:rsidR="006052C1" w:rsidRDefault="00000000">
      <w:pPr>
        <w:ind w:left="720"/>
        <w:rPr>
          <w:i/>
        </w:rPr>
      </w:pPr>
      <w:r>
        <w:rPr>
          <w:i/>
        </w:rPr>
        <w:t xml:space="preserve">“The Irish model of social welfare does little to promote economic independence for women. Many women who are eligible for social welfare payments are categorised as ‘Qualified Adults’, and their payments most often go directly to their husbands. This undermines the economic independence of women denying them access to </w:t>
      </w:r>
      <w:proofErr w:type="gramStart"/>
      <w:r>
        <w:rPr>
          <w:i/>
        </w:rPr>
        <w:t>payments in their own right</w:t>
      </w:r>
      <w:proofErr w:type="gramEnd"/>
      <w:r>
        <w:rPr>
          <w:i/>
        </w:rPr>
        <w:t xml:space="preserve">. This situation keeps all Qualified Adults (and </w:t>
      </w:r>
      <w:proofErr w:type="gramStart"/>
      <w:r>
        <w:rPr>
          <w:i/>
        </w:rPr>
        <w:t>in particular those</w:t>
      </w:r>
      <w:proofErr w:type="gramEnd"/>
      <w:r>
        <w:rPr>
          <w:i/>
        </w:rPr>
        <w:t xml:space="preserve"> who are women with disabilities) in positions of disadvantage and vulnerable to poverty, control and violence.”</w:t>
      </w:r>
      <w:r>
        <w:rPr>
          <w:i/>
          <w:vertAlign w:val="superscript"/>
        </w:rPr>
        <w:footnoteReference w:id="23"/>
      </w:r>
    </w:p>
    <w:p w14:paraId="7FEC8BB8" w14:textId="77777777" w:rsidR="006052C1" w:rsidRDefault="006052C1"/>
    <w:p w14:paraId="30B908AE" w14:textId="77777777" w:rsidR="006052C1" w:rsidRDefault="00000000">
      <w:r>
        <w:t xml:space="preserve">Additionally, this lack of financial independence, also results in women with disabilities being more vulnerable to other types of abuse and exploitation, which are discussed in greater detail under ‘Gender Based Violence’. </w:t>
      </w:r>
    </w:p>
    <w:p w14:paraId="458ED859" w14:textId="77777777" w:rsidR="006052C1" w:rsidRDefault="006052C1"/>
    <w:p w14:paraId="140E9FB5" w14:textId="77777777" w:rsidR="006052C1" w:rsidRDefault="00000000">
      <w:pPr>
        <w:rPr>
          <w:b/>
        </w:rPr>
      </w:pPr>
      <w:r>
        <w:rPr>
          <w:b/>
        </w:rPr>
        <w:t xml:space="preserve">Social exclusion </w:t>
      </w:r>
      <w:proofErr w:type="gramStart"/>
      <w:r>
        <w:rPr>
          <w:b/>
        </w:rPr>
        <w:t>as a result of</w:t>
      </w:r>
      <w:proofErr w:type="gramEnd"/>
      <w:r>
        <w:rPr>
          <w:b/>
        </w:rPr>
        <w:t xml:space="preserve"> inadequate access to housing and in-community supports.</w:t>
      </w:r>
    </w:p>
    <w:p w14:paraId="1011A046" w14:textId="77777777" w:rsidR="006052C1" w:rsidRDefault="00000000">
      <w:r>
        <w:t xml:space="preserve">Ireland is currently </w:t>
      </w:r>
      <w:proofErr w:type="gramStart"/>
      <w:r>
        <w:t>in the midst of</w:t>
      </w:r>
      <w:proofErr w:type="gramEnd"/>
      <w:r>
        <w:t xml:space="preserve"> a significant housing crisis, which is also disproportionately impacting disabled people, many of whom require accessible housing. As a result of this crisis, coupled to a lack of available in-community supports and a lack of a statutory right to Personal Assistance Services results in many disabled people being placed inappropriately in institutions. Indeed, institutionalisation or </w:t>
      </w:r>
      <w:proofErr w:type="spellStart"/>
      <w:r>
        <w:t>reinstitutionalisation</w:t>
      </w:r>
      <w:proofErr w:type="spellEnd"/>
      <w:r>
        <w:t xml:space="preserve"> is a common, expedient ‘fall-back’ in Irish systems where in-community services </w:t>
      </w:r>
      <w:proofErr w:type="gramStart"/>
      <w:r>
        <w:t>are</w:t>
      </w:r>
      <w:proofErr w:type="gramEnd"/>
      <w:r>
        <w:t xml:space="preserve"> under-delivered. Currently, there are approximately 1,320 disabled people under 65 years of age are inappropriately living in nursing homes in Ireland due to lack of in-community </w:t>
      </w:r>
      <w:r>
        <w:lastRenderedPageBreak/>
        <w:t>supports</w:t>
      </w:r>
      <w:r>
        <w:rPr>
          <w:vertAlign w:val="superscript"/>
        </w:rPr>
        <w:footnoteReference w:id="24"/>
      </w:r>
      <w:r>
        <w:t xml:space="preserve">. These figures do not include those institutionalised via mental health systems, or those institutionalised in certain other congregated settings such as Autism centres. </w:t>
      </w:r>
    </w:p>
    <w:p w14:paraId="0F3E55C7" w14:textId="77777777" w:rsidR="006052C1" w:rsidRDefault="006052C1"/>
    <w:p w14:paraId="656D7D8C" w14:textId="77777777" w:rsidR="006052C1" w:rsidRDefault="00000000">
      <w:r>
        <w:t>A lack of accessible housing and the continued institutionalisation of disabled people disproportionately impacts women with disabilities.  Not only is experience of institutionalisation a highly predictive indicator of exposure to future abuse for disabled women, the act of institutionalisation itself greatly increases their likelihood of being cut off from support networks and community and undermines their autonomy in ways that can have life-long repercussions. Despite recurring high-profile cases of on-going abuse in Irish institutional settings, Ireland still does not have Adult Safeguarding legislation and calls for the publication of reports into systemic abuse of women in institutional settings - such as the Brandon Report into the case of an institutional resident carrying out 108 documented instances of sexual assault against female residents between 2003 and 2016, despite management being aware of his repeated sexual offences as early as 1997</w:t>
      </w:r>
      <w:r>
        <w:rPr>
          <w:vertAlign w:val="superscript"/>
        </w:rPr>
        <w:footnoteReference w:id="25"/>
      </w:r>
      <w:r>
        <w:t xml:space="preserve"> - have not resulted in transparent and concrete actionable strategies to safeguard women from abuse in congregated residential settings.</w:t>
      </w:r>
    </w:p>
    <w:p w14:paraId="34763DED" w14:textId="77777777" w:rsidR="006052C1" w:rsidRDefault="006052C1"/>
    <w:p w14:paraId="37326D50" w14:textId="77777777" w:rsidR="006052C1" w:rsidRDefault="006052C1">
      <w:pPr>
        <w:rPr>
          <w:color w:val="FF0000"/>
        </w:rPr>
      </w:pPr>
    </w:p>
    <w:p w14:paraId="24986317" w14:textId="77777777" w:rsidR="006052C1" w:rsidRDefault="00000000">
      <w:r>
        <w:rPr>
          <w:b/>
        </w:rPr>
        <w:t>Suggested Questions:</w:t>
      </w:r>
    </w:p>
    <w:p w14:paraId="051E38B5" w14:textId="77777777" w:rsidR="006052C1" w:rsidRDefault="00000000">
      <w:pPr>
        <w:numPr>
          <w:ilvl w:val="0"/>
          <w:numId w:val="2"/>
        </w:numPr>
      </w:pPr>
      <w:r>
        <w:t xml:space="preserve">Can the State outline targeted measures it has taken to improve employment opportunities for disabled women and ensure that disabled women have equitable access to employment? </w:t>
      </w:r>
    </w:p>
    <w:p w14:paraId="737238F0" w14:textId="77777777" w:rsidR="006052C1" w:rsidRDefault="00000000">
      <w:pPr>
        <w:numPr>
          <w:ilvl w:val="0"/>
          <w:numId w:val="2"/>
        </w:numPr>
      </w:pPr>
      <w:r>
        <w:t>Can the State outline how it intends to improve the social welfare system for disabled women and ensure that disabled people have access to a decent standard of living.</w:t>
      </w:r>
    </w:p>
    <w:p w14:paraId="7FFF506F" w14:textId="77777777" w:rsidR="006052C1" w:rsidRDefault="00000000">
      <w:pPr>
        <w:numPr>
          <w:ilvl w:val="0"/>
          <w:numId w:val="2"/>
        </w:numPr>
      </w:pPr>
      <w:r>
        <w:t>Can the State outline how it intends to address the housing crisis experienced by disabled women and improve access to in-community access to supports (including personal assistance services) to prevent institutionalisation/ re-institutionalisation amongst this cohort.</w:t>
      </w:r>
    </w:p>
    <w:p w14:paraId="00BDBF45" w14:textId="77777777" w:rsidR="006052C1" w:rsidRDefault="006052C1"/>
    <w:p w14:paraId="0A5F60CF" w14:textId="77777777" w:rsidR="006052C1" w:rsidRDefault="00000000">
      <w:pPr>
        <w:rPr>
          <w:b/>
          <w:sz w:val="34"/>
          <w:szCs w:val="34"/>
        </w:rPr>
      </w:pPr>
      <w:r>
        <w:t xml:space="preserve"> </w:t>
      </w:r>
      <w:r>
        <w:rPr>
          <w:b/>
          <w:sz w:val="28"/>
          <w:szCs w:val="28"/>
        </w:rPr>
        <w:t>Domestic, Sexual and Gender-Based Violence (DSGBV)</w:t>
      </w:r>
    </w:p>
    <w:p w14:paraId="08119529" w14:textId="77777777" w:rsidR="006052C1" w:rsidRDefault="006052C1">
      <w:pPr>
        <w:rPr>
          <w:b/>
          <w:sz w:val="34"/>
          <w:szCs w:val="34"/>
        </w:rPr>
      </w:pPr>
    </w:p>
    <w:p w14:paraId="2593E81A" w14:textId="77777777" w:rsidR="006052C1" w:rsidRDefault="00000000">
      <w:pPr>
        <w:rPr>
          <w:b/>
          <w:i/>
        </w:rPr>
      </w:pPr>
      <w:r>
        <w:rPr>
          <w:b/>
          <w:i/>
        </w:rPr>
        <w:t>Gender-based violence and disabled women</w:t>
      </w:r>
    </w:p>
    <w:p w14:paraId="363BF0FE" w14:textId="77777777" w:rsidR="006052C1" w:rsidRDefault="00000000">
      <w:r>
        <w:t xml:space="preserve">Disabled women living in Ireland experience many forms of gender-based violence (GBV), including but not limited to domestic violence, sexual violence, and caregiver, </w:t>
      </w:r>
      <w:proofErr w:type="gramStart"/>
      <w:r>
        <w:t>childhood</w:t>
      </w:r>
      <w:proofErr w:type="gramEnd"/>
      <w:r>
        <w:t xml:space="preserve"> and familial abuse, often at rates higher than that of non-disabled women and disabled men. However, despite the Committee noting in their previous Concluding Observations a lack of gender-disaggregated data in relation to gender-based violence and recommending that the State put measures in place to collect such data, it continues to be unavailable</w:t>
      </w:r>
      <w:r>
        <w:rPr>
          <w:sz w:val="22"/>
          <w:szCs w:val="22"/>
          <w:vertAlign w:val="superscript"/>
        </w:rPr>
        <w:footnoteReference w:id="26"/>
      </w:r>
      <w:r>
        <w:t xml:space="preserve">. Therefore, it is difficult to present up-to-date data relating to disabled women’s experience of GBV. </w:t>
      </w:r>
    </w:p>
    <w:p w14:paraId="349923AB" w14:textId="77777777" w:rsidR="006052C1" w:rsidRDefault="00000000">
      <w:pPr>
        <w:spacing w:before="240" w:after="240"/>
      </w:pPr>
      <w:r>
        <w:lastRenderedPageBreak/>
        <w:t>However, an ESRI report from 2005 stated that disabled people in Ireland are 2.9 times more likely to have experienced severe abuse at some point in their lifetime</w:t>
      </w:r>
      <w:r>
        <w:rPr>
          <w:sz w:val="22"/>
          <w:szCs w:val="22"/>
          <w:vertAlign w:val="superscript"/>
        </w:rPr>
        <w:footnoteReference w:id="27"/>
      </w:r>
      <w:r>
        <w:t>. 27% of disabled women (compared to 18% of disabled men and 12% of non-disabled women) included in this study reported experiencing severe abuse at some point in their life, with 12% having experienced abuse in the last five years (relative to 5.6% of non-disabled women). This correlates with international evidence which identifies disabled women as 2-3 times more likely to experience all forms of gender-based violence. Additionally, 40% of participants in a 2020 Sexual Experiences Survey performed by the National University of Ireland, Galway, reported experience of rape (relative to 27% of non-disabled female students) and 34% had experienced intimate relationship violence (compared to 19% of non-disabled people)</w:t>
      </w:r>
      <w:r>
        <w:rPr>
          <w:sz w:val="22"/>
          <w:szCs w:val="22"/>
          <w:vertAlign w:val="superscript"/>
        </w:rPr>
        <w:footnoteReference w:id="28"/>
      </w:r>
      <w:r>
        <w:t>.</w:t>
      </w:r>
    </w:p>
    <w:p w14:paraId="71FA1BC1" w14:textId="77777777" w:rsidR="006052C1" w:rsidRDefault="00000000">
      <w:pPr>
        <w:spacing w:before="240" w:after="240"/>
      </w:pPr>
      <w:r>
        <w:t xml:space="preserve">While this data shows that disabled women in Ireland are more likely to experience gender-based violence, relative to disabled men and non-disabled women, data relating to the experience of specific cohorts of disabled people is entirely lacking. Internationally it has been reported that </w:t>
      </w:r>
      <w:proofErr w:type="gramStart"/>
      <w:r>
        <w:t>particular groups</w:t>
      </w:r>
      <w:proofErr w:type="gramEnd"/>
      <w:r>
        <w:t xml:space="preserve"> of disabled people such as those with sensory impairments</w:t>
      </w:r>
      <w:r>
        <w:rPr>
          <w:sz w:val="22"/>
          <w:szCs w:val="22"/>
          <w:vertAlign w:val="superscript"/>
        </w:rPr>
        <w:footnoteReference w:id="29"/>
      </w:r>
      <w:r>
        <w:t>, women with intellectual disabilities</w:t>
      </w:r>
      <w:r>
        <w:rPr>
          <w:vertAlign w:val="superscript"/>
        </w:rPr>
        <w:footnoteReference w:id="30"/>
      </w:r>
      <w:r>
        <w:t>, Autistic</w:t>
      </w:r>
      <w:r>
        <w:rPr>
          <w:sz w:val="22"/>
          <w:szCs w:val="22"/>
          <w:vertAlign w:val="superscript"/>
        </w:rPr>
        <w:footnoteReference w:id="31"/>
      </w:r>
      <w:r>
        <w:t xml:space="preserve"> and ADHD</w:t>
      </w:r>
      <w:r>
        <w:rPr>
          <w:sz w:val="22"/>
          <w:szCs w:val="22"/>
          <w:vertAlign w:val="superscript"/>
        </w:rPr>
        <w:footnoteReference w:id="32"/>
      </w:r>
      <w:r>
        <w:t xml:space="preserve"> women and women with long-term mental health conditions</w:t>
      </w:r>
      <w:r>
        <w:rPr>
          <w:vertAlign w:val="superscript"/>
        </w:rPr>
        <w:footnoteReference w:id="33"/>
      </w:r>
      <w:r>
        <w:t xml:space="preserve"> are at even greater risk. Comparable data relating to the Irish context is lacking, but based on consultation with our members and our experiences as disabled women we believe the situation to be similar in Ireland.</w:t>
      </w:r>
    </w:p>
    <w:p w14:paraId="2307A3A4" w14:textId="77777777" w:rsidR="006052C1" w:rsidRDefault="00000000">
      <w:pPr>
        <w:spacing w:before="240" w:after="240"/>
      </w:pPr>
      <w:r>
        <w:rPr>
          <w:b/>
          <w:i/>
        </w:rPr>
        <w:t>Access to support</w:t>
      </w:r>
    </w:p>
    <w:p w14:paraId="771D8D09" w14:textId="77777777" w:rsidR="006052C1" w:rsidRDefault="00000000">
      <w:pPr>
        <w:spacing w:before="240" w:after="240"/>
      </w:pPr>
      <w:r>
        <w:t>In Ireland, the State's approach to combatting gender-based violence is contained within the National Strategy on Domestic, Sexual and Gender-based Violence, the third iteration of which was released earlier this year</w:t>
      </w:r>
      <w:r>
        <w:rPr>
          <w:vertAlign w:val="superscript"/>
        </w:rPr>
        <w:footnoteReference w:id="34"/>
      </w:r>
      <w:r>
        <w:t xml:space="preserve">. The Strategy is based on the four Istanbul pillars of prevention, protection, </w:t>
      </w:r>
      <w:proofErr w:type="gramStart"/>
      <w:r>
        <w:t>prosecution</w:t>
      </w:r>
      <w:proofErr w:type="gramEnd"/>
      <w:r>
        <w:t xml:space="preserve"> and policy and places a zero-tolerance approach to domestic, sexual and gender-based violence (DSGBV) as its end goal. </w:t>
      </w:r>
    </w:p>
    <w:p w14:paraId="43B896E5" w14:textId="77777777" w:rsidR="006052C1" w:rsidRDefault="00000000">
      <w:pPr>
        <w:spacing w:before="240" w:after="240"/>
      </w:pPr>
      <w:r>
        <w:t xml:space="preserve">While the Strategy contains a comprehensive set of goals and outcomes to achieve this aim and identifies disabled people as a group who may require more additional inclusion measures, its corresponding implementation plan is not comprehensive in its approach to addressing DSGBV as experienced by this group. There is no mention or recognition of the disabled experience of gender-based violence or measures to address the disability-specific </w:t>
      </w:r>
      <w:r>
        <w:lastRenderedPageBreak/>
        <w:t xml:space="preserve">experience of DSGBV. There is a goal relating to the directing of individuals experiencing DSGV to specialist support services, there are no goals relating to the development and funding of such specialist services or to ensuring their accessibility to disabled women. There is no data collected on the current accessibility of DSGBV support services in Ireland, or the rate at which disabled women are accessing their services. </w:t>
      </w:r>
    </w:p>
    <w:p w14:paraId="1B819627" w14:textId="77777777" w:rsidR="006052C1" w:rsidRDefault="00000000">
      <w:pPr>
        <w:spacing w:before="240" w:after="240"/>
        <w:rPr>
          <w:sz w:val="22"/>
          <w:szCs w:val="22"/>
        </w:rPr>
      </w:pPr>
      <w:r>
        <w:t xml:space="preserve">This is particularly concerning considering disabled women’s disproportionate experience of gender-based violence in Ireland and given that disabled women experience barriers at every stage in the process of accessing support services. Indeed, that disabled women experience barriers in accessing support is noted in </w:t>
      </w:r>
      <w:proofErr w:type="spellStart"/>
      <w:r>
        <w:t>Túsla’s</w:t>
      </w:r>
      <w:proofErr w:type="spellEnd"/>
      <w:r>
        <w:t xml:space="preserve"> (Ireland’s National Child and Family Agency) 2022 review of the provision of accommodation for victims of domestic violence</w:t>
      </w:r>
      <w:r>
        <w:rPr>
          <w:vertAlign w:val="superscript"/>
        </w:rPr>
        <w:footnoteReference w:id="35"/>
      </w:r>
      <w:r>
        <w:t>.</w:t>
      </w:r>
    </w:p>
    <w:p w14:paraId="556A0A2B" w14:textId="77777777" w:rsidR="006052C1" w:rsidRDefault="00000000">
      <w:r>
        <w:t>Across the board, disabled women experience barriers in accessing support services in relation to experiencing gender-based violence. Information provided about support services is rarely provided in multiple accessible formats. Current best practice is that telephone helplines should have text-based alternatives for those who are d/Deaf, have impaired hearing or speech or for those who use non-traditional forms of communication. However, few services in Ireland offer text-based alternatives and there are no accessibility requirements imposed on national gender-based violence helplines. Similarly, information about support services is rarely made available in Easy-to-Read and Plain English versions or Irish Sign Language. Websites are not fully screen reader accessible. For one example, the information provided for gender-based support services on the website of the State body for Child and Family Services,</w:t>
      </w:r>
      <w:r>
        <w:rPr>
          <w:sz w:val="16"/>
          <w:szCs w:val="16"/>
        </w:rPr>
        <w:t xml:space="preserve"> </w:t>
      </w:r>
      <w:proofErr w:type="spellStart"/>
      <w:r>
        <w:t>Túsla</w:t>
      </w:r>
      <w:proofErr w:type="spellEnd"/>
      <w:r>
        <w:t>, doesn’t give information on the accessibility of the services listed and does not have Easy-to-Read information readily available, if at all.</w:t>
      </w:r>
      <w:r>
        <w:rPr>
          <w:vertAlign w:val="superscript"/>
        </w:rPr>
        <w:footnoteReference w:id="36"/>
      </w:r>
    </w:p>
    <w:p w14:paraId="6014EFB5" w14:textId="77777777" w:rsidR="006052C1" w:rsidRDefault="006052C1">
      <w:pPr>
        <w:spacing w:after="40"/>
      </w:pPr>
    </w:p>
    <w:p w14:paraId="1E3CD5A9" w14:textId="77777777" w:rsidR="006052C1" w:rsidRDefault="00000000">
      <w:pPr>
        <w:spacing w:after="40"/>
      </w:pPr>
      <w:r>
        <w:t xml:space="preserve">Many organisations working </w:t>
      </w:r>
      <w:proofErr w:type="gramStart"/>
      <w:r>
        <w:t>in the area of</w:t>
      </w:r>
      <w:proofErr w:type="gramEnd"/>
      <w:r>
        <w:t xml:space="preserve"> gender-based violence are concerned about the insufficient provision of support services, shelters, rape crisis and sexual violence centres across the country. However, we note that disabled women experience further barriers in trying to access these services.  Many of these services are physically inaccessible, and very few staff have experience in supporting disabled people accessing these services. This is particularly a concern for women with intellectual disabilities as well as Autistic or neurodivergent women and for those who are non-verbal or use non-traditional communication methods. While data relating to the accessibility of these services is not collected widely, to our knowledge there is only one physically accessible domestic abuse shelter in Dublin County, with data relating to the rest of the country not available. </w:t>
      </w:r>
    </w:p>
    <w:p w14:paraId="1EDD853F" w14:textId="77777777" w:rsidR="006052C1" w:rsidRDefault="006052C1">
      <w:pPr>
        <w:spacing w:after="40"/>
      </w:pPr>
    </w:p>
    <w:p w14:paraId="334D74FD" w14:textId="77777777" w:rsidR="006052C1" w:rsidRDefault="00000000">
      <w:pPr>
        <w:spacing w:after="40"/>
      </w:pPr>
      <w:r>
        <w:t xml:space="preserve">It is recognised globally that disabled women also experience specific forms of violence that are less likely to be experienced by other groups and less likely to be recognised as forms of gender-based violence. These include caregiver or family member violence, sexual abuse by staff and other inmates/residents of institutions, coercive control (which in the case of disabled people can include controlling access to healthcare, medication, assistive technology including communication technology, access to disability payments etc.), </w:t>
      </w:r>
      <w:r>
        <w:lastRenderedPageBreak/>
        <w:t xml:space="preserve">violations of privacy (including strip searches and enforced nudity in medical/ residential settings), restraint, isolation and seclusion (particularly common in schools and institutions). Currently, professionals working </w:t>
      </w:r>
      <w:proofErr w:type="gramStart"/>
      <w:r>
        <w:t>in the area of</w:t>
      </w:r>
      <w:proofErr w:type="gramEnd"/>
      <w:r>
        <w:t xml:space="preserve"> gender-based violence are not provided with disability awareness training, and therefore are generally unable to recognise such actions as constituting violence against disabled women. There is a lack of understanding and training in how violence is experienced by disabled women at all levels of support systems including a lack of awareness, and belief in, the disproportionate rates of gender-based violence experienced by disabled women. This therefore prevents many professionals from recognising abuse against disabled people and makes it more difficult for disabled women to access support when experiencing gender-based violence. </w:t>
      </w:r>
    </w:p>
    <w:p w14:paraId="3D8DE31B" w14:textId="77777777" w:rsidR="006052C1" w:rsidRDefault="006052C1">
      <w:pPr>
        <w:spacing w:after="40"/>
      </w:pPr>
    </w:p>
    <w:p w14:paraId="074E4A72" w14:textId="77777777" w:rsidR="006052C1" w:rsidRDefault="00000000">
      <w:pPr>
        <w:spacing w:after="40"/>
      </w:pPr>
      <w:r>
        <w:t xml:space="preserve">It should also be noted that these issues unfold against the backdrop of disabled women’s dependence on their abusers for care, financial support and/or housing, which </w:t>
      </w:r>
      <w:proofErr w:type="gramStart"/>
      <w:r>
        <w:t>in itself stems</w:t>
      </w:r>
      <w:proofErr w:type="gramEnd"/>
      <w:r>
        <w:t xml:space="preserve"> from an absence of adequate state support (</w:t>
      </w:r>
      <w:r>
        <w:rPr>
          <w:i/>
        </w:rPr>
        <w:t>See Poverty and Social Exclusion section)</w:t>
      </w:r>
      <w:r>
        <w:t>. Indeed, international evidence demonstrates that financial dependence is a significant risk factor in both experiencing gender-based violence and in being unable to access support to escape it</w:t>
      </w:r>
      <w:r>
        <w:rPr>
          <w:vertAlign w:val="superscript"/>
        </w:rPr>
        <w:footnoteReference w:id="37"/>
      </w:r>
      <w:r>
        <w:t xml:space="preserve">. In the Irish context, many disability supports are not easily portable, and the Irish State often relies on family members to act as </w:t>
      </w:r>
      <w:r>
        <w:rPr>
          <w:i/>
        </w:rPr>
        <w:t xml:space="preserve">de facto </w:t>
      </w:r>
      <w:r>
        <w:t xml:space="preserve">caregivers to disabled people, leaving disabled women with little control over care provision and caregiver selection. These compound the already increased difficulty of leaving an abusive relationship caused by a lack of money, lack of accessible housing and almost universal inaccessibility of gender-based violence support services.  Many disabled women are fearful of reporting violence as they risk losing their independence or being moved to institutional settings due to a lack of alternative accommodations. </w:t>
      </w:r>
    </w:p>
    <w:p w14:paraId="618A9D67" w14:textId="77777777" w:rsidR="006052C1" w:rsidRDefault="006052C1">
      <w:pPr>
        <w:spacing w:after="40"/>
      </w:pPr>
    </w:p>
    <w:p w14:paraId="1DC555C8" w14:textId="77777777" w:rsidR="006052C1" w:rsidRDefault="00000000">
      <w:pPr>
        <w:spacing w:after="40"/>
      </w:pPr>
      <w:r>
        <w:t xml:space="preserve">DWI have also received multiple reports of disabled women losing custody of their children upon reporting abuse, due to embedded stigma across the judiciary and family support services regarding disabled women’s ‘fitness’ to parent, based solely on their diagnosis of disability. We have received accounts of children being removed from their disabled mother’s care to grant sole custody to the person convicted of their abuse within the home, women have also shared how they have remained in abusive relationships until they reach State pension age and are financially freed from their spouses, and multiple reports of abusers leveraging the systemic discrimination against disabled mothers as a threat to keep them from reporting the abuse. While this issue has received no State investigation and there is no data on removal of children from disabled women’s custody in Ireland, DWI - as Ireland’s only national DPO representing women - believe this issue to be both widespread and urgent and constitutes a significant form of discrimination uniquely experienced by disabled women. A 2018 Australian into this topic found that </w:t>
      </w:r>
      <w:proofErr w:type="gramStart"/>
      <w:r>
        <w:t>the majority of</w:t>
      </w:r>
      <w:proofErr w:type="gramEnd"/>
      <w:r>
        <w:t xml:space="preserve"> disabled women who reported domestic violence had their children removed from their care, either temporarily and permanently</w:t>
      </w:r>
      <w:r>
        <w:rPr>
          <w:vertAlign w:val="superscript"/>
        </w:rPr>
        <w:footnoteReference w:id="38"/>
      </w:r>
      <w:r>
        <w:t>, and we have ample reason to believe that similar levels of discrimination exist in Ireland.</w:t>
      </w:r>
    </w:p>
    <w:p w14:paraId="36789992" w14:textId="77777777" w:rsidR="006052C1" w:rsidRDefault="00000000">
      <w:pPr>
        <w:spacing w:before="240" w:after="240"/>
      </w:pPr>
      <w:r>
        <w:lastRenderedPageBreak/>
        <w:t>It is for these reasons that it is essential that the Third National Strategy considered the disabled experience of gender-based violence and prioritise this cohort in the continued development of its implementation plan.</w:t>
      </w:r>
    </w:p>
    <w:p w14:paraId="4BA84D8E" w14:textId="77777777" w:rsidR="006052C1" w:rsidRDefault="00000000">
      <w:pPr>
        <w:spacing w:before="240" w:after="240"/>
        <w:rPr>
          <w:b/>
        </w:rPr>
      </w:pPr>
      <w:r>
        <w:rPr>
          <w:b/>
        </w:rPr>
        <w:t>Access to justice</w:t>
      </w:r>
    </w:p>
    <w:p w14:paraId="12B4206C" w14:textId="77777777" w:rsidR="006052C1" w:rsidRDefault="00000000">
      <w:r>
        <w:t xml:space="preserve">Disabled women and girls face significant barriers when accessing and engaging with the justice system. Very little of the justice system in Ireland is designed in a way that is universally, or even widely, accessible; information provision, reporting mechanisms, police stations and offices, and court buildings are often not accessible to women and girls with disabilities.  Many public buildings are inaccessible to wheelchair users. For disabled women in such situations, assistance and support is rarely available.  Moreover, as highlighted earlier, disabled women are more likely to live in poverty or be at high risk of poverty, meaning that the costs associated with taking a case can be prohibitive. </w:t>
      </w:r>
    </w:p>
    <w:p w14:paraId="234C8EED" w14:textId="77777777" w:rsidR="006052C1" w:rsidRDefault="006052C1"/>
    <w:p w14:paraId="4B13DCB5" w14:textId="77777777" w:rsidR="006052C1" w:rsidRDefault="00000000">
      <w:r>
        <w:t>Accessing justice can be particularly difficult for disabled women, relative to their non-disabled counterparts and relative to disabled men. Some disabled women may have communication impairments and/or differences which can restrict their ability to report experience of abuse and influence the likelihood of their being believed,</w:t>
      </w:r>
      <w:r>
        <w:rPr>
          <w:vertAlign w:val="superscript"/>
        </w:rPr>
        <w:footnoteReference w:id="39"/>
      </w:r>
      <w:r>
        <w:t xml:space="preserve"> </w:t>
      </w:r>
      <w:r>
        <w:rPr>
          <w:vertAlign w:val="superscript"/>
        </w:rPr>
        <w:footnoteReference w:id="40"/>
      </w:r>
      <w:r>
        <w:t xml:space="preserve"> and how credible their account is viewed by police, healthcare workers and other officials.</w:t>
      </w:r>
      <w:r>
        <w:rPr>
          <w:vertAlign w:val="superscript"/>
        </w:rPr>
        <w:footnoteReference w:id="41"/>
      </w:r>
      <w:r>
        <w:t xml:space="preserve">. </w:t>
      </w:r>
    </w:p>
    <w:p w14:paraId="5406F7F3" w14:textId="77777777" w:rsidR="006052C1" w:rsidRDefault="006052C1"/>
    <w:p w14:paraId="2A630A35" w14:textId="77777777" w:rsidR="006052C1" w:rsidRDefault="00000000">
      <w:pPr>
        <w:rPr>
          <w:b/>
        </w:rPr>
      </w:pPr>
      <w:r>
        <w:rPr>
          <w:b/>
        </w:rPr>
        <w:t>Suggested Questions:</w:t>
      </w:r>
    </w:p>
    <w:p w14:paraId="348B606E" w14:textId="77777777" w:rsidR="006052C1" w:rsidRDefault="00000000">
      <w:pPr>
        <w:numPr>
          <w:ilvl w:val="0"/>
          <w:numId w:val="3"/>
        </w:numPr>
        <w:jc w:val="both"/>
        <w:rPr>
          <w:b/>
        </w:rPr>
      </w:pPr>
      <w:r>
        <w:rPr>
          <w:sz w:val="22"/>
          <w:szCs w:val="22"/>
        </w:rPr>
        <w:t>Can the State provide data regarding the prevalence of gender-based violence against disabled women and outline measures it has taken to collect such data?</w:t>
      </w:r>
    </w:p>
    <w:p w14:paraId="61FF393F" w14:textId="77777777" w:rsidR="006052C1" w:rsidRDefault="00000000">
      <w:pPr>
        <w:numPr>
          <w:ilvl w:val="0"/>
          <w:numId w:val="3"/>
        </w:numPr>
        <w:jc w:val="both"/>
        <w:rPr>
          <w:b/>
        </w:rPr>
      </w:pPr>
      <w:r>
        <w:rPr>
          <w:sz w:val="22"/>
          <w:szCs w:val="22"/>
        </w:rPr>
        <w:t>What measures have been taken and are planned to ensure that women with disabilities have access to appropriate supports and protections in relation to gender based violence?</w:t>
      </w:r>
    </w:p>
    <w:p w14:paraId="17440533" w14:textId="77777777" w:rsidR="006052C1" w:rsidRDefault="006052C1"/>
    <w:p w14:paraId="27882ACE" w14:textId="77777777" w:rsidR="006052C1" w:rsidRDefault="00000000">
      <w:pPr>
        <w:rPr>
          <w:b/>
          <w:sz w:val="28"/>
          <w:szCs w:val="28"/>
        </w:rPr>
      </w:pPr>
      <w:r>
        <w:rPr>
          <w:b/>
          <w:sz w:val="28"/>
          <w:szCs w:val="28"/>
        </w:rPr>
        <w:t>Healthcare</w:t>
      </w:r>
    </w:p>
    <w:p w14:paraId="2DDED9EF" w14:textId="77777777" w:rsidR="006052C1" w:rsidRDefault="006052C1"/>
    <w:p w14:paraId="595B6909" w14:textId="77777777" w:rsidR="006052C1" w:rsidRDefault="00000000">
      <w:r>
        <w:t xml:space="preserve">Under Article 12 of UN CEDAW, State Parties ‘should take all appropriate measures to eliminate discrimination against women in the field of healthcare’. In Ireland, women with disabilities experience barriers in accessing healthcare for multiple reasons but including the fact that there continues to be an insufficient understanding of accessibility in healthcare services, with accessibility too often being conflated with wheelchair access. This means that other forms of access including, for example, providing information in multiple, accessible formats or providing equipment such as hoists or accessible examination tables are often ignored, which results in disabled women being unable to access healthcare in a timely, equitable manner. Furthermore, other societal barriers, such as access to public transport, and financial security also interact with disabled women’s access to healthcare. </w:t>
      </w:r>
    </w:p>
    <w:p w14:paraId="22D9557D" w14:textId="77777777" w:rsidR="006052C1" w:rsidRDefault="006052C1"/>
    <w:p w14:paraId="06B16060" w14:textId="77777777" w:rsidR="006052C1" w:rsidRDefault="00000000">
      <w:r>
        <w:lastRenderedPageBreak/>
        <w:t>It is difficult to find data relating to the inaccessibility of healthcare services for disabled women in Ireland. However, in consultation with our membership, access to healthcare continues to be a significant area of concern. Indeed, in areas where we do have data, there is evidence that disabled women experience discrimination and exclusion. For example,</w:t>
      </w:r>
      <w:r>
        <w:rPr>
          <w:i/>
        </w:rPr>
        <w:t xml:space="preserve"> </w:t>
      </w:r>
      <w:r>
        <w:t xml:space="preserve">for both cervical and breast screening programmes rates of participation were lower amongst disabled women and were especially low for women with intellectual disabilities. However, we do not have data regarding the number of accessible screening locations to identify the </w:t>
      </w:r>
      <w:proofErr w:type="gramStart"/>
      <w:r>
        <w:t>particular barriers</w:t>
      </w:r>
      <w:proofErr w:type="gramEnd"/>
      <w:r>
        <w:t xml:space="preserve"> which account for this low participation rate. </w:t>
      </w:r>
    </w:p>
    <w:p w14:paraId="5DCAECAF" w14:textId="77777777" w:rsidR="006052C1" w:rsidRDefault="006052C1">
      <w:pPr>
        <w:rPr>
          <w:color w:val="FF0000"/>
        </w:rPr>
      </w:pPr>
    </w:p>
    <w:p w14:paraId="4CE6DD0D" w14:textId="77777777" w:rsidR="006052C1" w:rsidRDefault="00000000">
      <w:pPr>
        <w:rPr>
          <w:b/>
        </w:rPr>
      </w:pPr>
      <w:r>
        <w:rPr>
          <w:b/>
        </w:rPr>
        <w:t>Sexual and Reproductive Healthcare</w:t>
      </w:r>
    </w:p>
    <w:p w14:paraId="4FBB0FA4" w14:textId="77777777" w:rsidR="006052C1" w:rsidRDefault="00000000">
      <w:r>
        <w:t xml:space="preserve">In 2018, Ireland passed the </w:t>
      </w:r>
      <w:proofErr w:type="gramStart"/>
      <w:r>
        <w:t>Health</w:t>
      </w:r>
      <w:proofErr w:type="gramEnd"/>
      <w:r>
        <w:t xml:space="preserve"> (Regulation of Termination of Pregnancy) Act which legislated for the provision of abortion on request up to 12 weeks and for abortion at a later gestation in the case of risk to health/life or severe fatal anomaly. The same year, in their Joint Statement on “Guaranteeing sexual and reproductive health and rights for all women, including women with disabilities” the CEDAW and CRPD Committees stated that:</w:t>
      </w:r>
    </w:p>
    <w:p w14:paraId="5653F133" w14:textId="77777777" w:rsidR="006052C1" w:rsidRDefault="00000000">
      <w:pPr>
        <w:ind w:left="720"/>
        <w:rPr>
          <w:i/>
        </w:rPr>
      </w:pPr>
      <w:r>
        <w:rPr>
          <w:i/>
        </w:rPr>
        <w:t xml:space="preserve">“States must ensure the enjoyment of [disabled women’s] sexual and reproductive health and rights without any form of discrimination. Access to safe and legal abortion, as well as related services and information are essential aspects of women’s reproductive health and a prerequisite for safeguarding their human rights to life, health, equality before the law and equal protection of the law, non-discrimination, information, privacy, bodily integrity and freedom from torture and ill treatment.” </w:t>
      </w:r>
    </w:p>
    <w:p w14:paraId="6D591D92" w14:textId="77777777" w:rsidR="006052C1" w:rsidRDefault="006052C1">
      <w:pPr>
        <w:rPr>
          <w:b/>
        </w:rPr>
      </w:pPr>
    </w:p>
    <w:p w14:paraId="0ED06766" w14:textId="77777777" w:rsidR="006052C1" w:rsidRDefault="00000000">
      <w:r>
        <w:t>While the Act marked a significant step in improving women’s access to reproductive healthcare, certain provisions within the legislation and its implementation create barriers for disabled women seeking a termination and therefore, prevent disabled women from accessing this form of healthcare relative to non-disabled women. In a survey conducted by the Abortion Rights Campaign (ARC) on experiences of accessing abortion care in Ireland since the introduction of legislation, 44.74% of disabled respondents stated that they experienced additional barriers to accessing an abortion and/or had a more negative experience of accessing care, due to their being disabled</w:t>
      </w:r>
      <w:r>
        <w:rPr>
          <w:vertAlign w:val="superscript"/>
        </w:rPr>
        <w:footnoteReference w:id="42"/>
      </w:r>
    </w:p>
    <w:p w14:paraId="6C1B632F" w14:textId="77777777" w:rsidR="006052C1" w:rsidRDefault="006052C1"/>
    <w:p w14:paraId="71B8E594" w14:textId="77777777" w:rsidR="006052C1" w:rsidRDefault="00000000">
      <w:r>
        <w:t>Research by the National Women’s Council of Ireland (NWCI) found that only 1 in 10 GPs are providing early medical abortions, and only half of maternity hospitals are providing surgical care. As a result, a termination cannot be accessed in many areas of the country, forcing women to travel large distances. This specifically creates a barrier for disabled women, as many GP practises and public transport is not accessible. This is particularly concerning given that the Act requires women to attend two GP appointments to receive abortion care.</w:t>
      </w:r>
    </w:p>
    <w:p w14:paraId="5D4C40FF" w14:textId="77777777" w:rsidR="006052C1" w:rsidRDefault="006052C1"/>
    <w:p w14:paraId="51665592" w14:textId="77777777" w:rsidR="006052C1" w:rsidRDefault="00000000">
      <w:r>
        <w:t xml:space="preserve">The Act also only allows abortion up to 12 weeks LMP (outside of situations of fatal foetal anomaly and risk to life of the mother).  Pervasive, widespread societal stigma and desexualisation of disabled people means that many of disabled women do not receive appropriate and adequate sex and reproductive education, which in turn means that disabled people are more likely to experience unplanned pregnancy. For example, people </w:t>
      </w:r>
      <w:r>
        <w:lastRenderedPageBreak/>
        <w:t>with ADHD are 3 times more likely to experience an unplanned pregnancy</w:t>
      </w:r>
      <w:r>
        <w:rPr>
          <w:vertAlign w:val="superscript"/>
        </w:rPr>
        <w:footnoteReference w:id="43"/>
      </w:r>
      <w:r>
        <w:t xml:space="preserve">. Additionally, specific disability-related factors can also result in disabled people being unaware that they are pregnant until later in their pregnancies.  For example, Autistic people struggle with interoception (perception of sensations from inside the body) and therefore are much more likely to miss early symptoms of pregnancy. </w:t>
      </w:r>
    </w:p>
    <w:p w14:paraId="5DEDA132" w14:textId="77777777" w:rsidR="006052C1" w:rsidRDefault="006052C1"/>
    <w:p w14:paraId="004DEF3B" w14:textId="77777777" w:rsidR="006052C1" w:rsidRDefault="00000000">
      <w:r>
        <w:t xml:space="preserve">Moreover, many disabled people have co-occurring conditions, ranging from diabetes and PCOS, which can affect the menstrual cycle and make it less predictable. Additionally, many disabled people, including those with ADHD, dyscalculia, and dyslexia experience </w:t>
      </w:r>
      <w:proofErr w:type="spellStart"/>
      <w:r>
        <w:t>dyschronometria</w:t>
      </w:r>
      <w:proofErr w:type="spellEnd"/>
      <w:r>
        <w:t xml:space="preserve"> (where individuals cannot accurately estimate the passing of time), or have issues with executive function/planning which results in it being more likely that a person will not realise they are pregnant until much later.</w:t>
      </w:r>
    </w:p>
    <w:p w14:paraId="48DF6BC5" w14:textId="77777777" w:rsidR="006052C1" w:rsidRDefault="006052C1"/>
    <w:p w14:paraId="3E364D65" w14:textId="77777777" w:rsidR="006052C1" w:rsidRDefault="00000000">
      <w:r>
        <w:t xml:space="preserve">Accessing information about abortion services in Ireland can also be difficult for disabled women. </w:t>
      </w:r>
      <w:proofErr w:type="spellStart"/>
      <w:r>
        <w:t>MyOptions</w:t>
      </w:r>
      <w:proofErr w:type="spellEnd"/>
      <w:r>
        <w:t xml:space="preserve">, the State’s support and information line for people experiencing unplanned pregnancy, is not fully accessible. Easy-to-Read information is not available, and information available via the text-based service is restricted. For example, it is not currently possible to get the name of a GP using the text-based service which creates an access barrier for those who struggle with telephone communication and who do not use ISL.  </w:t>
      </w:r>
    </w:p>
    <w:p w14:paraId="4443E1F9" w14:textId="77777777" w:rsidR="006052C1" w:rsidRDefault="006052C1"/>
    <w:p w14:paraId="7B40F5D4" w14:textId="77777777" w:rsidR="006052C1" w:rsidRDefault="00000000">
      <w:r>
        <w:t>The lack of accessible abortion services in Ireland is particularly concerning given that there is evidence that disabled women are significantly more likely to die in childbirth, with disabled women comprising 68% of maternal deaths in Ireland and the UK between 2014-2016</w:t>
      </w:r>
      <w:r>
        <w:rPr>
          <w:vertAlign w:val="superscript"/>
        </w:rPr>
        <w:footnoteReference w:id="44"/>
      </w:r>
      <w:r>
        <w:t xml:space="preserve">. However, data on reports of obstetric violence against disabled women is not collected in Ireland to our knowledge. </w:t>
      </w:r>
    </w:p>
    <w:p w14:paraId="0623C732" w14:textId="77777777" w:rsidR="006052C1" w:rsidRDefault="006052C1"/>
    <w:p w14:paraId="259D8256" w14:textId="77777777" w:rsidR="006052C1" w:rsidRDefault="00000000">
      <w:r>
        <w:t>In their Joint Statement, the CEDAW and CRPD committees also highlighted the importance of ensuring that women with disabilities are “protected against forced abortion, contraction or sterilisation against their will or without their informed consent”</w:t>
      </w:r>
      <w:r>
        <w:rPr>
          <w:vertAlign w:val="superscript"/>
        </w:rPr>
        <w:footnoteReference w:id="45"/>
      </w:r>
      <w:r>
        <w:t>. However, a 2023 report by the Re(al) Productive Justice Project identified instances of long-term contraception being used against women in Ireland either without their prior and informed consent or against their express wishes, in contravention of the UN CRPD and Article 39 of the Istanbul Convention</w:t>
      </w:r>
      <w:r>
        <w:rPr>
          <w:vertAlign w:val="superscript"/>
        </w:rPr>
        <w:footnoteReference w:id="46"/>
      </w:r>
      <w:r>
        <w:t>.</w:t>
      </w:r>
    </w:p>
    <w:p w14:paraId="269DE76C" w14:textId="77777777" w:rsidR="006052C1" w:rsidRDefault="006052C1">
      <w:pPr>
        <w:rPr>
          <w:b/>
        </w:rPr>
      </w:pPr>
    </w:p>
    <w:p w14:paraId="12C3ED55" w14:textId="77777777" w:rsidR="006052C1" w:rsidRDefault="00000000">
      <w:pPr>
        <w:rPr>
          <w:b/>
        </w:rPr>
      </w:pPr>
      <w:r>
        <w:rPr>
          <w:b/>
        </w:rPr>
        <w:t>Access to mental health healthcare</w:t>
      </w:r>
    </w:p>
    <w:p w14:paraId="01749A38" w14:textId="77777777" w:rsidR="006052C1" w:rsidRDefault="00000000">
      <w:r>
        <w:lastRenderedPageBreak/>
        <w:t>According to the 2016 Census</w:t>
      </w:r>
      <w:r>
        <w:rPr>
          <w:vertAlign w:val="superscript"/>
        </w:rPr>
        <w:footnoteReference w:id="47"/>
      </w:r>
      <w:r>
        <w:t>, disabled people were almost three times more likely to report having experienced depression in the previous two weeks compared to non-disabled people (59% compared to 21%). Of these, 14% reported experiencing moderately severe/severe depression compared to 1% of non-disabled people. While data disaggregated based on gender and disability was not made available, women were also more likely than men to report experiencing depression (29% compared to 23%)</w:t>
      </w:r>
      <w:r>
        <w:rPr>
          <w:vertAlign w:val="superscript"/>
        </w:rPr>
        <w:footnoteReference w:id="48"/>
      </w:r>
      <w:r>
        <w:t>. Additionally disabled people were significantly less likely to consult with a mental professional</w:t>
      </w:r>
      <w:r>
        <w:rPr>
          <w:vertAlign w:val="superscript"/>
        </w:rPr>
        <w:footnoteReference w:id="49"/>
      </w:r>
      <w:r>
        <w:t xml:space="preserve">. </w:t>
      </w:r>
    </w:p>
    <w:p w14:paraId="714CFCA1" w14:textId="77777777" w:rsidR="006052C1" w:rsidRDefault="006052C1"/>
    <w:p w14:paraId="3184A5BA" w14:textId="77777777" w:rsidR="006052C1" w:rsidRDefault="00000000">
      <w:pPr>
        <w:rPr>
          <w:b/>
        </w:rPr>
      </w:pPr>
      <w:r>
        <w:t>Despite these data, ‘Sharing the Vision’</w:t>
      </w:r>
      <w:r>
        <w:rPr>
          <w:vertAlign w:val="superscript"/>
        </w:rPr>
        <w:footnoteReference w:id="50"/>
      </w:r>
      <w:r>
        <w:t>, the Irish Government’s policy framework for mental health, does not consider disabled people to be a priority group in their implementation plan, due to there being little evidence that have additional experience of mental health illness. Moreover, there is no consideration of the possible intersectional impacts of being both disabled and woman in designing goals for this Strategy. Similarly, ‘Connecting for Life’ - Ireland’s national strategy to reduce suicide</w:t>
      </w:r>
      <w:r>
        <w:rPr>
          <w:vertAlign w:val="superscript"/>
        </w:rPr>
        <w:footnoteReference w:id="51"/>
      </w:r>
      <w:r>
        <w:t xml:space="preserve"> - contains no goals specifically related to disabled women.</w:t>
      </w:r>
    </w:p>
    <w:p w14:paraId="48D68B8A" w14:textId="77777777" w:rsidR="006052C1" w:rsidRDefault="006052C1"/>
    <w:p w14:paraId="69B40519" w14:textId="77777777" w:rsidR="006052C1" w:rsidRPr="0077551D" w:rsidRDefault="00000000">
      <w:pPr>
        <w:rPr>
          <w:b/>
        </w:rPr>
      </w:pPr>
      <w:r w:rsidRPr="0077551D">
        <w:rPr>
          <w:b/>
        </w:rPr>
        <w:t>Suggested Questions:</w:t>
      </w:r>
    </w:p>
    <w:p w14:paraId="3A34735D" w14:textId="77777777" w:rsidR="006052C1" w:rsidRPr="0077551D" w:rsidRDefault="00000000" w:rsidP="0077551D">
      <w:pPr>
        <w:pStyle w:val="ListParagraph"/>
        <w:numPr>
          <w:ilvl w:val="0"/>
          <w:numId w:val="4"/>
        </w:numPr>
        <w:pBdr>
          <w:top w:val="nil"/>
          <w:left w:val="nil"/>
          <w:bottom w:val="nil"/>
          <w:right w:val="nil"/>
          <w:between w:val="nil"/>
        </w:pBdr>
        <w:jc w:val="both"/>
        <w:rPr>
          <w:b/>
          <w:color w:val="000000"/>
        </w:rPr>
      </w:pPr>
      <w:r w:rsidRPr="0077551D">
        <w:rPr>
          <w:color w:val="000000"/>
        </w:rPr>
        <w:t>Can the State provide data in relation to disabled women’s access to healthcare?</w:t>
      </w:r>
    </w:p>
    <w:p w14:paraId="093A841D" w14:textId="77777777" w:rsidR="006052C1" w:rsidRPr="0077551D" w:rsidRDefault="00000000" w:rsidP="0077551D">
      <w:pPr>
        <w:pStyle w:val="ListParagraph"/>
        <w:numPr>
          <w:ilvl w:val="0"/>
          <w:numId w:val="4"/>
        </w:numPr>
        <w:jc w:val="both"/>
        <w:rPr>
          <w:b/>
        </w:rPr>
      </w:pPr>
      <w:r w:rsidRPr="0077551D">
        <w:t xml:space="preserve">What measures have been taken and are planned to ensure that women with disabilities have access to accessible sexual and reproductive health supplies, services, programmes and information on an equal basis with others which ensure that the individual’s will and preferences </w:t>
      </w:r>
      <w:proofErr w:type="gramStart"/>
      <w:r w:rsidRPr="0077551D">
        <w:t>in regards to</w:t>
      </w:r>
      <w:proofErr w:type="gramEnd"/>
      <w:r w:rsidRPr="0077551D">
        <w:t xml:space="preserve"> these healthcare decisions are vindicated?</w:t>
      </w:r>
    </w:p>
    <w:sectPr w:rsidR="006052C1" w:rsidRPr="0077551D">
      <w:headerReference w:type="first" r:id="rId9"/>
      <w:footerReference w:type="first" r:id="rId10"/>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81B25" w14:textId="77777777" w:rsidR="000D5BCE" w:rsidRDefault="000D5BCE">
      <w:r>
        <w:separator/>
      </w:r>
    </w:p>
  </w:endnote>
  <w:endnote w:type="continuationSeparator" w:id="0">
    <w:p w14:paraId="6BB3B6B7" w14:textId="77777777" w:rsidR="000D5BCE" w:rsidRDefault="000D5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8DA89" w14:textId="77777777" w:rsidR="006052C1" w:rsidRDefault="00000000">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60288" behindDoc="0" locked="0" layoutInCell="1" hidden="0" allowOverlap="1" wp14:anchorId="1E444B3B" wp14:editId="3D06D9F2">
              <wp:simplePos x="0" y="0"/>
              <wp:positionH relativeFrom="column">
                <wp:posOffset>-1028699</wp:posOffset>
              </wp:positionH>
              <wp:positionV relativeFrom="paragraph">
                <wp:posOffset>-723899</wp:posOffset>
              </wp:positionV>
              <wp:extent cx="7825105" cy="1257934"/>
              <wp:effectExtent l="0" t="0" r="0" b="0"/>
              <wp:wrapNone/>
              <wp:docPr id="39" name="Flowchart: Document 39"/>
              <wp:cNvGraphicFramePr/>
              <a:graphic xmlns:a="http://schemas.openxmlformats.org/drawingml/2006/main">
                <a:graphicData uri="http://schemas.microsoft.com/office/word/2010/wordprocessingShape">
                  <wps:wsp>
                    <wps:cNvSpPr/>
                    <wps:spPr>
                      <a:xfrm rot="10800000">
                        <a:off x="1466785" y="3184370"/>
                        <a:ext cx="7758430" cy="1191260"/>
                      </a:xfrm>
                      <a:prstGeom prst="flowChartDocument">
                        <a:avLst/>
                      </a:prstGeom>
                      <a:solidFill>
                        <a:srgbClr val="712C79"/>
                      </a:solidFill>
                      <a:ln>
                        <a:noFill/>
                      </a:ln>
                    </wps:spPr>
                    <wps:txbx>
                      <w:txbxContent>
                        <w:p w14:paraId="7EBA1BE3" w14:textId="77777777" w:rsidR="006052C1" w:rsidRDefault="006052C1">
                          <w:pPr>
                            <w:textDirection w:val="btLr"/>
                          </w:pPr>
                        </w:p>
                      </w:txbxContent>
                    </wps:txbx>
                    <wps:bodyPr spcFirstLastPara="1" wrap="square" lIns="91425" tIns="91425" rIns="91425" bIns="91425" anchor="ctr" anchorCtr="0">
                      <a:noAutofit/>
                    </wps:bodyPr>
                  </wps:wsp>
                </a:graphicData>
              </a:graphic>
            </wp:anchor>
          </w:drawing>
        </mc:Choice>
        <mc:Fallback>
          <w:pict>
            <v:shapetype w14:anchorId="1E444B3B"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9" o:spid="_x0000_s1028" type="#_x0000_t114" style="position:absolute;margin-left:-81pt;margin-top:-57pt;width:616.15pt;height:99.05pt;rotation:180;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" fillcolor="#712c79" stroked="f">
              <v:textbox inset="2.53958mm,2.53958mm,2.53958mm,2.53958mm">
                <w:txbxContent>
                  <w:p w14:paraId="7EBA1BE3" w14:textId="77777777" w:rsidR="006052C1" w:rsidRDefault="006052C1">
                    <w:pPr>
                      <w:textDirection w:val="btLr"/>
                    </w:pPr>
                  </w:p>
                </w:txbxContent>
              </v:textbox>
            </v:shape>
          </w:pict>
        </mc:Fallback>
      </mc:AlternateContent>
    </w:r>
    <w:r>
      <w:rPr>
        <w:noProof/>
      </w:rPr>
      <mc:AlternateContent>
        <mc:Choice Requires="wps">
          <w:drawing>
            <wp:anchor distT="0" distB="0" distL="114300" distR="114300" simplePos="0" relativeHeight="251661312" behindDoc="0" locked="0" layoutInCell="1" hidden="0" allowOverlap="1" wp14:anchorId="4AE3E5A4" wp14:editId="23ED9E6B">
              <wp:simplePos x="0" y="0"/>
              <wp:positionH relativeFrom="column">
                <wp:posOffset>-939799</wp:posOffset>
              </wp:positionH>
              <wp:positionV relativeFrom="paragraph">
                <wp:posOffset>-380999</wp:posOffset>
              </wp:positionV>
              <wp:extent cx="8323522" cy="1350529"/>
              <wp:effectExtent l="0" t="0" r="0" b="0"/>
              <wp:wrapNone/>
              <wp:docPr id="40" name="Flowchart: Document 40"/>
              <wp:cNvGraphicFramePr/>
              <a:graphic xmlns:a="http://schemas.openxmlformats.org/drawingml/2006/main">
                <a:graphicData uri="http://schemas.microsoft.com/office/word/2010/wordprocessingShape">
                  <wps:wsp>
                    <wps:cNvSpPr/>
                    <wps:spPr>
                      <a:xfrm rot="10800000">
                        <a:off x="1217576" y="3138073"/>
                        <a:ext cx="8256848" cy="1283855"/>
                      </a:xfrm>
                      <a:prstGeom prst="flowChartDocument">
                        <a:avLst/>
                      </a:prstGeom>
                      <a:solidFill>
                        <a:srgbClr val="F6F081"/>
                      </a:solidFill>
                      <a:ln>
                        <a:noFill/>
                      </a:ln>
                    </wps:spPr>
                    <wps:txbx>
                      <w:txbxContent>
                        <w:p w14:paraId="7EC1D162" w14:textId="77777777" w:rsidR="006052C1" w:rsidRDefault="006052C1">
                          <w:pPr>
                            <w:textDirection w:val="btLr"/>
                          </w:pPr>
                        </w:p>
                      </w:txbxContent>
                    </wps:txbx>
                    <wps:bodyPr spcFirstLastPara="1" wrap="square" lIns="91425" tIns="91425" rIns="91425" bIns="91425" anchor="ctr" anchorCtr="0">
                      <a:noAutofit/>
                    </wps:bodyPr>
                  </wps:wsp>
                </a:graphicData>
              </a:graphic>
            </wp:anchor>
          </w:drawing>
        </mc:Choice>
        <mc:Fallback>
          <w:pict>
            <v:shape w14:anchorId="4AE3E5A4" id="Flowchart: Document 40" o:spid="_x0000_s1029" type="#_x0000_t114" style="position:absolute;margin-left:-74pt;margin-top:-30pt;width:655.4pt;height:106.3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" fillcolor="#f6f081" stroked="f">
              <v:textbox inset="2.53958mm,2.53958mm,2.53958mm,2.53958mm">
                <w:txbxContent>
                  <w:p w14:paraId="7EC1D162" w14:textId="77777777" w:rsidR="006052C1" w:rsidRDefault="006052C1">
                    <w:pPr>
                      <w:textDirection w:val="btLr"/>
                    </w:pPr>
                  </w:p>
                </w:txbxContent>
              </v:textbox>
            </v:shape>
          </w:pict>
        </mc:Fallback>
      </mc:AlternateContent>
    </w:r>
    <w:r>
      <w:rPr>
        <w:noProof/>
      </w:rPr>
      <w:drawing>
        <wp:anchor distT="0" distB="0" distL="114300" distR="114300" simplePos="0" relativeHeight="251662336" behindDoc="0" locked="0" layoutInCell="1" hidden="0" allowOverlap="1" wp14:anchorId="6DE3408A" wp14:editId="422FEDE3">
          <wp:simplePos x="0" y="0"/>
          <wp:positionH relativeFrom="column">
            <wp:posOffset>5433060</wp:posOffset>
          </wp:positionH>
          <wp:positionV relativeFrom="paragraph">
            <wp:posOffset>-16791</wp:posOffset>
          </wp:positionV>
          <wp:extent cx="496513" cy="506320"/>
          <wp:effectExtent l="0" t="0" r="0" b="0"/>
          <wp:wrapNone/>
          <wp:docPr id="41" name="image1.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logo&#10;&#10;Description automatically generated"/>
                  <pic:cNvPicPr preferRelativeResize="0"/>
                </pic:nvPicPr>
                <pic:blipFill>
                  <a:blip r:embed="rId1"/>
                  <a:srcRect/>
                  <a:stretch>
                    <a:fillRect/>
                  </a:stretch>
                </pic:blipFill>
                <pic:spPr>
                  <a:xfrm>
                    <a:off x="0" y="0"/>
                    <a:ext cx="496513" cy="506320"/>
                  </a:xfrm>
                  <a:prstGeom prst="rect">
                    <a:avLst/>
                  </a:prstGeom>
                  <a:ln/>
                </pic:spPr>
              </pic:pic>
            </a:graphicData>
          </a:graphic>
        </wp:anchor>
      </w:drawing>
    </w:r>
  </w:p>
  <w:p w14:paraId="22A49662" w14:textId="77777777" w:rsidR="006052C1" w:rsidRDefault="006052C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44117" w14:textId="77777777" w:rsidR="000D5BCE" w:rsidRDefault="000D5BCE">
      <w:r>
        <w:separator/>
      </w:r>
    </w:p>
  </w:footnote>
  <w:footnote w:type="continuationSeparator" w:id="0">
    <w:p w14:paraId="2F99B274" w14:textId="77777777" w:rsidR="000D5BCE" w:rsidRDefault="000D5BCE">
      <w:r>
        <w:continuationSeparator/>
      </w:r>
    </w:p>
  </w:footnote>
  <w:footnote w:id="1">
    <w:p w14:paraId="43C5EBC4" w14:textId="77777777" w:rsidR="006052C1" w:rsidRDefault="00000000">
      <w:pPr>
        <w:rPr>
          <w:sz w:val="16"/>
          <w:szCs w:val="16"/>
        </w:rPr>
      </w:pPr>
      <w:r>
        <w:rPr>
          <w:rStyle w:val="FootnoteReference"/>
        </w:rPr>
        <w:footnoteRef/>
      </w:r>
      <w:r>
        <w:rPr>
          <w:sz w:val="16"/>
          <w:szCs w:val="16"/>
        </w:rPr>
        <w:t xml:space="preserve"> In this report, we discuss issues which affect women with disabilities, to reflect the language used in the UN CEDAW and the UN CRPD and because much of the data available to us relates to women. However, as an organisation DWI includes members from all marginalised genders which includes women, but also people who identify as non-binary. As such, we note that many of the issues discussed in this report which impact disabled women also disproportionately impact non-binary people as well. </w:t>
      </w:r>
    </w:p>
  </w:footnote>
  <w:footnote w:id="2">
    <w:p w14:paraId="1AF290ED"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In this report, we use the terms “women with disabilities” (reflecting the language used by the United Nationals) and “disabled women” (reflecting the social model of disability) interchangeably in recognition of the multiple ways in which disabled people may choose to identify. </w:t>
      </w:r>
    </w:p>
  </w:footnote>
  <w:footnote w:id="3">
    <w:p w14:paraId="66AE9BF4"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CSO (2023), Census of Population (2022). </w:t>
      </w:r>
    </w:p>
  </w:footnote>
  <w:footnote w:id="4">
    <w:p w14:paraId="53A1C0E6" w14:textId="77777777" w:rsidR="006052C1" w:rsidRDefault="00000000">
      <w:pPr>
        <w:rPr>
          <w:sz w:val="20"/>
          <w:szCs w:val="20"/>
        </w:rPr>
      </w:pPr>
      <w:r>
        <w:rPr>
          <w:rStyle w:val="FootnoteReference"/>
        </w:rPr>
        <w:footnoteRef/>
      </w:r>
      <w:r>
        <w:rPr>
          <w:sz w:val="16"/>
          <w:szCs w:val="16"/>
        </w:rPr>
        <w:t>ibid.</w:t>
      </w:r>
    </w:p>
  </w:footnote>
  <w:footnote w:id="5">
    <w:p w14:paraId="7F72088C" w14:textId="77777777" w:rsidR="006052C1"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color w:val="000000"/>
          <w:sz w:val="16"/>
          <w:szCs w:val="16"/>
        </w:rPr>
        <w:t>UN Committee on the Elimination of Discrimination against Women (2017): Concluding Observations on the combined sixth and seventh periodic reports of Ireland, CEDAW/C/IRL/6-7</w:t>
      </w:r>
    </w:p>
  </w:footnote>
  <w:footnote w:id="6">
    <w:p w14:paraId="54BEF09F"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Department of Justice and Equality, National Strategy for Women and Girls 2017-2020: </w:t>
      </w:r>
    </w:p>
    <w:p w14:paraId="3C21F714" w14:textId="77777777" w:rsidR="006052C1" w:rsidRDefault="00000000">
      <w:pPr>
        <w:pBdr>
          <w:top w:val="nil"/>
          <w:left w:val="nil"/>
          <w:bottom w:val="nil"/>
          <w:right w:val="nil"/>
          <w:between w:val="nil"/>
        </w:pBdr>
        <w:rPr>
          <w:color w:val="000000"/>
          <w:sz w:val="16"/>
          <w:szCs w:val="16"/>
        </w:rPr>
      </w:pPr>
      <w:hyperlink r:id="rId1" w:anchor="page=null">
        <w:r>
          <w:rPr>
            <w:color w:val="1155CC"/>
            <w:sz w:val="16"/>
            <w:szCs w:val="16"/>
            <w:u w:val="single"/>
          </w:rPr>
          <w:t>https://www.gov.ie/pdf/?file=https://assets.gov.ie/95975/bd524a60-e19f-44e8-80ce-9cdc58853403.pdf#page=null</w:t>
        </w:r>
      </w:hyperlink>
    </w:p>
  </w:footnote>
  <w:footnote w:id="7">
    <w:p w14:paraId="7E1082A5"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Department of Children, Equality, Disability, Integration and Youth (Feb 2020), National Disability Inclusion Strategy 2017-2021: </w:t>
      </w:r>
      <w:hyperlink r:id="rId2">
        <w:r>
          <w:rPr>
            <w:color w:val="1155CC"/>
            <w:sz w:val="16"/>
            <w:szCs w:val="16"/>
            <w:u w:val="single"/>
          </w:rPr>
          <w:t>https://www.gov.ie/en/publication/8072c0-national-disability-inclusion-strategy-2017-2021/</w:t>
        </w:r>
      </w:hyperlink>
    </w:p>
  </w:footnote>
  <w:footnote w:id="8">
    <w:p w14:paraId="5A70DF9D"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Comprehensive Employment Strategy for People with Disabilities 2015 -2024: </w:t>
      </w:r>
      <w:hyperlink r:id="rId3">
        <w:r>
          <w:rPr>
            <w:color w:val="1155CC"/>
            <w:sz w:val="16"/>
            <w:szCs w:val="16"/>
            <w:u w:val="single"/>
          </w:rPr>
          <w:t>https://assets.gov.ie/18906/1120bc6ad254489db9571c74e8572f44.pdf</w:t>
        </w:r>
      </w:hyperlink>
    </w:p>
  </w:footnote>
  <w:footnote w:id="9">
    <w:p w14:paraId="373F64A0" w14:textId="77777777" w:rsidR="006052C1" w:rsidRDefault="00000000">
      <w:pPr>
        <w:pBdr>
          <w:top w:val="nil"/>
          <w:left w:val="nil"/>
          <w:bottom w:val="nil"/>
          <w:right w:val="nil"/>
          <w:between w:val="nil"/>
        </w:pBdr>
        <w:rPr>
          <w:color w:val="000000"/>
          <w:sz w:val="20"/>
          <w:szCs w:val="20"/>
        </w:rPr>
      </w:pPr>
      <w:r>
        <w:rPr>
          <w:rStyle w:val="FootnoteReference"/>
        </w:rPr>
        <w:footnoteRef/>
      </w:r>
      <w:r>
        <w:rPr>
          <w:color w:val="000000"/>
          <w:sz w:val="16"/>
          <w:szCs w:val="16"/>
        </w:rPr>
        <w:t xml:space="preserve">Kavanagh, L., Sweeney, L., Farahani, Z., Radomska, A. &amp; Bailey, I. (2023). Realising the promise of equality policy: An evaluation of the process of implementation of three national equality strategies. Dublin: Centre for Effective Services. </w:t>
      </w:r>
    </w:p>
  </w:footnote>
  <w:footnote w:id="10">
    <w:p w14:paraId="160418C2"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Eurostat (2021), Disability: higher risk of poverty or social exclusion: </w:t>
      </w:r>
      <w:hyperlink r:id="rId4">
        <w:r>
          <w:rPr>
            <w:color w:val="0563C1"/>
            <w:sz w:val="16"/>
            <w:szCs w:val="16"/>
            <w:u w:val="single"/>
          </w:rPr>
          <w:t>https://ec.europa.eu/eurostat/en/web/products-eurostat-news/w/ddn-20221214-2</w:t>
        </w:r>
      </w:hyperlink>
      <w:r>
        <w:rPr>
          <w:color w:val="000000"/>
          <w:sz w:val="16"/>
          <w:szCs w:val="16"/>
        </w:rPr>
        <w:t xml:space="preserve"> </w:t>
      </w:r>
    </w:p>
  </w:footnote>
  <w:footnote w:id="11">
    <w:p w14:paraId="36367AA8" w14:textId="77777777" w:rsidR="006052C1" w:rsidRDefault="00000000">
      <w:pPr>
        <w:rPr>
          <w:sz w:val="16"/>
          <w:szCs w:val="16"/>
        </w:rPr>
      </w:pPr>
      <w:r>
        <w:rPr>
          <w:rStyle w:val="FootnoteReference"/>
        </w:rPr>
        <w:footnoteRef/>
      </w:r>
      <w:r>
        <w:rPr>
          <w:sz w:val="16"/>
          <w:szCs w:val="16"/>
        </w:rPr>
        <w:t xml:space="preserve"> Central Statistics Office (CSO), Survey on Income and Living Conditions (SILC) 2017: </w:t>
      </w:r>
    </w:p>
    <w:p w14:paraId="630C5100" w14:textId="77777777" w:rsidR="006052C1" w:rsidRDefault="00000000">
      <w:pPr>
        <w:widowControl w:val="0"/>
        <w:spacing w:before="1" w:line="234" w:lineRule="auto"/>
        <w:ind w:right="1261"/>
        <w:rPr>
          <w:sz w:val="16"/>
          <w:szCs w:val="16"/>
        </w:rPr>
      </w:pPr>
      <w:hyperlink r:id="rId5">
        <w:r>
          <w:rPr>
            <w:color w:val="1155CC"/>
            <w:sz w:val="16"/>
            <w:szCs w:val="16"/>
            <w:u w:val="single"/>
          </w:rPr>
          <w:t>https://www.cso.ie/en/releasesandpublications/ep/p-silc/surveyonincomeandlivingconditionssilc2017/povertyanddeprivation</w:t>
        </w:r>
      </w:hyperlink>
      <w:r>
        <w:rPr>
          <w:sz w:val="16"/>
          <w:szCs w:val="16"/>
        </w:rPr>
        <w:t xml:space="preserve"> </w:t>
      </w:r>
    </w:p>
  </w:footnote>
  <w:footnote w:id="12">
    <w:p w14:paraId="6A8C6243" w14:textId="77777777" w:rsidR="006052C1" w:rsidRDefault="00000000">
      <w:pPr>
        <w:rPr>
          <w:sz w:val="16"/>
          <w:szCs w:val="16"/>
        </w:rPr>
      </w:pPr>
      <w:r>
        <w:rPr>
          <w:rStyle w:val="FootnoteReference"/>
        </w:rPr>
        <w:footnoteRef/>
      </w:r>
      <w:r>
        <w:rPr>
          <w:sz w:val="16"/>
          <w:szCs w:val="16"/>
        </w:rPr>
        <w:t xml:space="preserve"> </w:t>
      </w:r>
      <w:proofErr w:type="spellStart"/>
      <w:r>
        <w:rPr>
          <w:color w:val="202124"/>
          <w:sz w:val="16"/>
          <w:szCs w:val="16"/>
        </w:rPr>
        <w:t>Dr.</w:t>
      </w:r>
      <w:proofErr w:type="spellEnd"/>
      <w:r>
        <w:rPr>
          <w:color w:val="202124"/>
          <w:sz w:val="16"/>
          <w:szCs w:val="16"/>
        </w:rPr>
        <w:t xml:space="preserve"> P. Kenn (2011), ‘Housing Law, Rights &amp; Policy', Chapter 5: </w:t>
      </w:r>
      <w:proofErr w:type="gramStart"/>
      <w:r>
        <w:rPr>
          <w:color w:val="202124"/>
          <w:sz w:val="16"/>
          <w:szCs w:val="16"/>
        </w:rPr>
        <w:t>Particular Housing</w:t>
      </w:r>
      <w:proofErr w:type="gramEnd"/>
      <w:r>
        <w:rPr>
          <w:color w:val="202124"/>
          <w:sz w:val="16"/>
          <w:szCs w:val="16"/>
        </w:rPr>
        <w:t xml:space="preserve"> Needs, pp.280-334</w:t>
      </w:r>
    </w:p>
  </w:footnote>
  <w:footnote w:id="13">
    <w:p w14:paraId="26A28872"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European Disability Forum (2023), The Right To Work: </w:t>
      </w:r>
      <w:hyperlink r:id="rId6">
        <w:r>
          <w:rPr>
            <w:color w:val="0563C1"/>
            <w:sz w:val="16"/>
            <w:szCs w:val="16"/>
            <w:u w:val="single"/>
          </w:rPr>
          <w:t>https://www.edf-feph.org/publications/human-rights-report-2023-the-right-to-work/</w:t>
        </w:r>
      </w:hyperlink>
      <w:r>
        <w:rPr>
          <w:color w:val="000000"/>
          <w:sz w:val="16"/>
          <w:szCs w:val="16"/>
        </w:rPr>
        <w:t xml:space="preserve"> </w:t>
      </w:r>
    </w:p>
  </w:footnote>
  <w:footnote w:id="14">
    <w:p w14:paraId="44594AAA"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Ibid.</w:t>
      </w:r>
    </w:p>
  </w:footnote>
  <w:footnote w:id="15">
    <w:p w14:paraId="30924003"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Ibid. </w:t>
      </w:r>
    </w:p>
  </w:footnote>
  <w:footnote w:id="16">
    <w:p w14:paraId="75AE8E46" w14:textId="77777777" w:rsidR="006052C1" w:rsidRDefault="00000000">
      <w:pPr>
        <w:rPr>
          <w:sz w:val="16"/>
          <w:szCs w:val="16"/>
        </w:rPr>
      </w:pPr>
      <w:r>
        <w:rPr>
          <w:rStyle w:val="FootnoteReference"/>
        </w:rPr>
        <w:footnoteRef/>
      </w:r>
      <w:r>
        <w:rPr>
          <w:sz w:val="16"/>
          <w:szCs w:val="16"/>
        </w:rPr>
        <w:t xml:space="preserve"> Watson, D. &amp; Nolan, B. (2011), The Social Portrait of People with Disabilities in Ireland 2011. A report by the Department of Social Protection and the ESRI.</w:t>
      </w:r>
    </w:p>
  </w:footnote>
  <w:footnote w:id="17">
    <w:p w14:paraId="449515CE" w14:textId="77777777" w:rsidR="006052C1" w:rsidRDefault="00000000">
      <w:pPr>
        <w:rPr>
          <w:sz w:val="20"/>
          <w:szCs w:val="20"/>
        </w:rPr>
      </w:pPr>
      <w:r>
        <w:rPr>
          <w:rStyle w:val="FootnoteReference"/>
        </w:rPr>
        <w:footnoteRef/>
      </w:r>
      <w:r>
        <w:rPr>
          <w:sz w:val="16"/>
          <w:szCs w:val="16"/>
        </w:rPr>
        <w:t xml:space="preserve"> Central Statistics Office (CSO), Labour Force Survey Quarter 2 2023: </w:t>
      </w:r>
      <w:hyperlink r:id="rId7">
        <w:r>
          <w:rPr>
            <w:color w:val="0563C1"/>
            <w:sz w:val="16"/>
            <w:szCs w:val="16"/>
            <w:u w:val="single"/>
          </w:rPr>
          <w:t>https://www.cso.ie/en/releasesandpublications/ep/p-lfs/labourforcesurveyquarter22023/employment/</w:t>
        </w:r>
      </w:hyperlink>
      <w:r>
        <w:rPr>
          <w:sz w:val="20"/>
          <w:szCs w:val="20"/>
        </w:rPr>
        <w:t xml:space="preserve"> </w:t>
      </w:r>
    </w:p>
  </w:footnote>
  <w:footnote w:id="18">
    <w:p w14:paraId="26725BC6" w14:textId="77777777" w:rsidR="006052C1" w:rsidRDefault="00000000">
      <w:pPr>
        <w:rPr>
          <w:sz w:val="16"/>
          <w:szCs w:val="16"/>
        </w:rPr>
      </w:pPr>
      <w:r>
        <w:rPr>
          <w:rStyle w:val="FootnoteReference"/>
        </w:rPr>
        <w:footnoteRef/>
      </w:r>
      <w:r>
        <w:rPr>
          <w:sz w:val="16"/>
          <w:szCs w:val="16"/>
        </w:rPr>
        <w:t xml:space="preserve"> Family Carers Ireland (2020), </w:t>
      </w:r>
      <w:r>
        <w:rPr>
          <w:i/>
          <w:color w:val="000000"/>
          <w:sz w:val="16"/>
          <w:szCs w:val="16"/>
        </w:rPr>
        <w:t>The State of Caring 2020</w:t>
      </w:r>
      <w:r>
        <w:rPr>
          <w:color w:val="000000"/>
          <w:sz w:val="16"/>
          <w:szCs w:val="16"/>
        </w:rPr>
        <w:t xml:space="preserve">: </w:t>
      </w:r>
      <w:hyperlink r:id="rId8">
        <w:r>
          <w:rPr>
            <w:color w:val="1155CC"/>
            <w:sz w:val="16"/>
            <w:szCs w:val="16"/>
            <w:u w:val="single"/>
          </w:rPr>
          <w:t>https://familycarers.ie/media/2022/family-carers-ireland-state-of-caring-2020.pdf</w:t>
        </w:r>
      </w:hyperlink>
    </w:p>
  </w:footnote>
  <w:footnote w:id="19">
    <w:p w14:paraId="0C378FE7" w14:textId="77777777" w:rsidR="006052C1" w:rsidRDefault="00000000">
      <w:pPr>
        <w:rPr>
          <w:sz w:val="16"/>
          <w:szCs w:val="16"/>
        </w:rPr>
      </w:pPr>
      <w:r>
        <w:rPr>
          <w:rStyle w:val="FootnoteReference"/>
        </w:rPr>
        <w:footnoteRef/>
      </w:r>
      <w:r>
        <w:rPr>
          <w:sz w:val="16"/>
          <w:szCs w:val="16"/>
        </w:rPr>
        <w:t xml:space="preserve"> Comprehensive Employment Strategy for People with Disabilities 2015 -2024: </w:t>
      </w:r>
      <w:hyperlink r:id="rId9">
        <w:r>
          <w:rPr>
            <w:color w:val="1155CC"/>
            <w:sz w:val="16"/>
            <w:szCs w:val="16"/>
            <w:u w:val="single"/>
          </w:rPr>
          <w:t>https://assets.gov.ie/18906/1120bc6ad254489db9571c74e8572f44.pdf</w:t>
        </w:r>
      </w:hyperlink>
    </w:p>
  </w:footnote>
  <w:footnote w:id="20">
    <w:p w14:paraId="4A9843A5" w14:textId="77777777" w:rsidR="006052C1" w:rsidRDefault="00000000">
      <w:pPr>
        <w:pBdr>
          <w:top w:val="nil"/>
          <w:left w:val="nil"/>
          <w:bottom w:val="nil"/>
          <w:right w:val="nil"/>
          <w:between w:val="nil"/>
        </w:pBdr>
        <w:rPr>
          <w:rFonts w:ascii="Times New Roman" w:eastAsia="Times New Roman" w:hAnsi="Times New Roman" w:cs="Times New Roman"/>
          <w:color w:val="000000"/>
        </w:rPr>
      </w:pPr>
      <w:r>
        <w:rPr>
          <w:rStyle w:val="FootnoteReference"/>
        </w:rPr>
        <w:footnoteRef/>
      </w:r>
      <w:r>
        <w:rPr>
          <w:color w:val="000000"/>
          <w:sz w:val="16"/>
          <w:szCs w:val="16"/>
        </w:rPr>
        <w:t xml:space="preserve"> </w:t>
      </w:r>
      <w:proofErr w:type="spellStart"/>
      <w:r>
        <w:rPr>
          <w:color w:val="000000"/>
          <w:sz w:val="16"/>
          <w:szCs w:val="16"/>
        </w:rPr>
        <w:t>Indecon</w:t>
      </w:r>
      <w:proofErr w:type="spellEnd"/>
      <w:r>
        <w:rPr>
          <w:color w:val="000000"/>
          <w:sz w:val="16"/>
          <w:szCs w:val="16"/>
        </w:rPr>
        <w:t xml:space="preserve"> International Research Economists  Report (Dec 2021), </w:t>
      </w:r>
      <w:r>
        <w:rPr>
          <w:i/>
          <w:color w:val="000000"/>
          <w:sz w:val="16"/>
          <w:szCs w:val="16"/>
        </w:rPr>
        <w:t xml:space="preserve">The Cost of Disability in Ireland: </w:t>
      </w:r>
      <w:hyperlink r:id="rId10">
        <w:r>
          <w:rPr>
            <w:color w:val="1155CC"/>
            <w:sz w:val="16"/>
            <w:szCs w:val="16"/>
            <w:u w:val="single"/>
          </w:rPr>
          <w:t>https://www.gov.ie/en/publication/1d84e-the-cost-of-disability-in-ireland-research-report/</w:t>
        </w:r>
      </w:hyperlink>
    </w:p>
  </w:footnote>
  <w:footnote w:id="21">
    <w:p w14:paraId="4E67E9A8" w14:textId="77777777" w:rsidR="006052C1" w:rsidRDefault="00000000">
      <w:pPr>
        <w:rPr>
          <w:sz w:val="16"/>
          <w:szCs w:val="16"/>
        </w:rPr>
      </w:pPr>
      <w:r>
        <w:rPr>
          <w:rStyle w:val="FootnoteReference"/>
        </w:rPr>
        <w:footnoteRef/>
      </w:r>
      <w:r>
        <w:rPr>
          <w:sz w:val="16"/>
          <w:szCs w:val="16"/>
        </w:rPr>
        <w:t xml:space="preserve"> </w:t>
      </w:r>
      <w:r>
        <w:rPr>
          <w:color w:val="000000"/>
          <w:sz w:val="16"/>
          <w:szCs w:val="16"/>
        </w:rPr>
        <w:t xml:space="preserve">Callaghan N., (2017), ‘Spending Review 2017 Disability Allowance Expenditure Drivers’, </w:t>
      </w:r>
      <w:hyperlink r:id="rId11">
        <w:r>
          <w:rPr>
            <w:color w:val="1155CC"/>
            <w:sz w:val="16"/>
            <w:szCs w:val="16"/>
            <w:u w:val="single"/>
          </w:rPr>
          <w:t>https://assets.gov.ie/7268/48351e0c87ef4600a615494e152f1ba8.pdf</w:t>
        </w:r>
      </w:hyperlink>
    </w:p>
  </w:footnote>
  <w:footnote w:id="22">
    <w:p w14:paraId="037BAE46" w14:textId="77777777" w:rsidR="006052C1" w:rsidRDefault="00000000">
      <w:pPr>
        <w:rPr>
          <w:sz w:val="16"/>
          <w:szCs w:val="16"/>
        </w:rPr>
      </w:pPr>
      <w:r>
        <w:rPr>
          <w:rStyle w:val="FootnoteReference"/>
        </w:rPr>
        <w:footnoteRef/>
      </w:r>
      <w:r>
        <w:rPr>
          <w:sz w:val="16"/>
          <w:szCs w:val="16"/>
        </w:rPr>
        <w:t xml:space="preserve"> </w:t>
      </w:r>
      <w:r>
        <w:rPr>
          <w:color w:val="000000"/>
          <w:sz w:val="16"/>
          <w:szCs w:val="16"/>
        </w:rPr>
        <w:t xml:space="preserve">Minister of Social Protection’s response to </w:t>
      </w:r>
      <w:r>
        <w:rPr>
          <w:i/>
          <w:color w:val="000000"/>
          <w:sz w:val="16"/>
          <w:szCs w:val="16"/>
        </w:rPr>
        <w:t>PQ [14331/21]</w:t>
      </w:r>
      <w:r>
        <w:rPr>
          <w:color w:val="000000"/>
          <w:sz w:val="16"/>
          <w:szCs w:val="16"/>
        </w:rPr>
        <w:t xml:space="preserve"> on 24th May 2021: </w:t>
      </w:r>
      <w:hyperlink r:id="rId12">
        <w:r>
          <w:rPr>
            <w:color w:val="1155CC"/>
            <w:sz w:val="16"/>
            <w:szCs w:val="16"/>
            <w:u w:val="single"/>
          </w:rPr>
          <w:t>https://www.oireachtas.ie/en/debates/question/2021-03-24/973/</w:t>
        </w:r>
      </w:hyperlink>
    </w:p>
  </w:footnote>
  <w:footnote w:id="23">
    <w:p w14:paraId="3AD9578C" w14:textId="77777777" w:rsidR="006052C1" w:rsidRDefault="00000000">
      <w:pPr>
        <w:rPr>
          <w:sz w:val="16"/>
          <w:szCs w:val="16"/>
        </w:rPr>
      </w:pPr>
      <w:r>
        <w:rPr>
          <w:rStyle w:val="FootnoteReference"/>
        </w:rPr>
        <w:footnoteRef/>
      </w:r>
      <w:r>
        <w:rPr>
          <w:sz w:val="16"/>
          <w:szCs w:val="16"/>
        </w:rPr>
        <w:t xml:space="preserve"> National Women’s Council of Ireland (2008), Disability and Women in Ireland, 'Building Solidarity and Inclusion’: </w:t>
      </w:r>
      <w:hyperlink r:id="rId13">
        <w:r>
          <w:rPr>
            <w:color w:val="1155CC"/>
            <w:sz w:val="16"/>
            <w:szCs w:val="16"/>
            <w:u w:val="single"/>
          </w:rPr>
          <w:t>https://www.nwci.ie/download/pdf/disability.pdf</w:t>
        </w:r>
      </w:hyperlink>
    </w:p>
  </w:footnote>
  <w:footnote w:id="24">
    <w:p w14:paraId="3F005E77" w14:textId="77777777" w:rsidR="006052C1" w:rsidRDefault="00000000">
      <w:pPr>
        <w:pBdr>
          <w:top w:val="nil"/>
          <w:left w:val="nil"/>
          <w:bottom w:val="nil"/>
          <w:right w:val="nil"/>
          <w:between w:val="nil"/>
        </w:pBdr>
        <w:rPr>
          <w:color w:val="000000"/>
          <w:sz w:val="20"/>
          <w:szCs w:val="20"/>
        </w:rPr>
      </w:pPr>
      <w:r>
        <w:rPr>
          <w:rStyle w:val="FootnoteReference"/>
        </w:rPr>
        <w:footnoteRef/>
      </w:r>
      <w:r>
        <w:rPr>
          <w:color w:val="000000"/>
          <w:sz w:val="16"/>
          <w:szCs w:val="16"/>
        </w:rPr>
        <w:t xml:space="preserve"> Office of the Ombudsman (2021), ‘Wasted Lives: Time for a better future for younger people in nursing homes’: </w:t>
      </w:r>
      <w:hyperlink r:id="rId14">
        <w:r>
          <w:rPr>
            <w:color w:val="0563C1"/>
            <w:sz w:val="16"/>
            <w:szCs w:val="16"/>
            <w:u w:val="single"/>
          </w:rPr>
          <w:t>https://www.ombudsman.ie/publications/reports/wasted-lives/OMBWastedLives2021.pdf</w:t>
        </w:r>
      </w:hyperlink>
      <w:r>
        <w:rPr>
          <w:color w:val="000000"/>
          <w:sz w:val="16"/>
          <w:szCs w:val="16"/>
        </w:rPr>
        <w:t xml:space="preserve"> </w:t>
      </w:r>
    </w:p>
  </w:footnote>
  <w:footnote w:id="25">
    <w:p w14:paraId="0C34D573" w14:textId="77777777" w:rsidR="006052C1" w:rsidRDefault="00000000">
      <w:pPr>
        <w:rPr>
          <w:sz w:val="16"/>
          <w:szCs w:val="16"/>
        </w:rPr>
      </w:pPr>
      <w:r>
        <w:rPr>
          <w:rStyle w:val="FootnoteReference"/>
        </w:rPr>
        <w:footnoteRef/>
      </w:r>
      <w:r>
        <w:rPr>
          <w:sz w:val="16"/>
          <w:szCs w:val="16"/>
        </w:rPr>
        <w:t xml:space="preserve"> Holland K. (13 Dec 2021), Known abuser lived at home for 18 months before safeguarding plan was produced’: </w:t>
      </w:r>
      <w:hyperlink r:id="rId15">
        <w:r>
          <w:rPr>
            <w:color w:val="1155CC"/>
            <w:sz w:val="16"/>
            <w:szCs w:val="16"/>
            <w:u w:val="single"/>
          </w:rPr>
          <w:t>https://www.irishtimes.com/news/social-affairs/known-abuser-lived-at-home-for-18-months-before-safeguarding-plan-was-produced-1.4753499</w:t>
        </w:r>
      </w:hyperlink>
    </w:p>
  </w:footnote>
  <w:footnote w:id="26">
    <w:p w14:paraId="61ED4490" w14:textId="77777777" w:rsidR="006052C1" w:rsidRDefault="00000000">
      <w:pPr>
        <w:rPr>
          <w:sz w:val="16"/>
          <w:szCs w:val="16"/>
        </w:rPr>
      </w:pPr>
      <w:r>
        <w:rPr>
          <w:rStyle w:val="FootnoteReference"/>
        </w:rPr>
        <w:footnoteRef/>
      </w:r>
      <w:r>
        <w:rPr>
          <w:sz w:val="16"/>
          <w:szCs w:val="16"/>
        </w:rPr>
        <w:t xml:space="preserve"> Committee on the Elimination of Discrimination against Women, (2017), ‘Concluding observations on the combined sixth and seventh periodic reports of Ireland’: UN Doc CEDAW/C/IRL/CO/6-7 para. 27(a)</w:t>
      </w:r>
    </w:p>
  </w:footnote>
  <w:footnote w:id="27">
    <w:p w14:paraId="666C3375" w14:textId="77777777" w:rsidR="006052C1" w:rsidRDefault="00000000">
      <w:pPr>
        <w:rPr>
          <w:sz w:val="20"/>
          <w:szCs w:val="20"/>
        </w:rPr>
      </w:pPr>
      <w:r>
        <w:rPr>
          <w:rStyle w:val="FootnoteReference"/>
        </w:rPr>
        <w:footnoteRef/>
      </w:r>
      <w:r>
        <w:rPr>
          <w:sz w:val="16"/>
          <w:szCs w:val="16"/>
        </w:rPr>
        <w:t xml:space="preserve"> Watson &amp; Parsons, (2005), Domestic Abuse of Women and Men in Ireland: Report on the National Study of Domestic Abuse: </w:t>
      </w:r>
      <w:hyperlink r:id="rId16">
        <w:r>
          <w:rPr>
            <w:color w:val="1155CC"/>
            <w:sz w:val="16"/>
            <w:szCs w:val="16"/>
            <w:u w:val="single"/>
          </w:rPr>
          <w:t>https://www.esri.ie/publications/domestic-abuse-of-women-and-men-in-ireland-report-on-the-national-study-of-domestic</w:t>
        </w:r>
      </w:hyperlink>
    </w:p>
  </w:footnote>
  <w:footnote w:id="28">
    <w:p w14:paraId="5FFF05F7" w14:textId="77777777" w:rsidR="006052C1" w:rsidRDefault="00000000">
      <w:pPr>
        <w:rPr>
          <w:sz w:val="16"/>
          <w:szCs w:val="16"/>
        </w:rPr>
      </w:pPr>
      <w:r>
        <w:rPr>
          <w:rStyle w:val="FootnoteReference"/>
        </w:rPr>
        <w:footnoteRef/>
      </w:r>
      <w:r>
        <w:rPr>
          <w:sz w:val="16"/>
          <w:szCs w:val="16"/>
        </w:rPr>
        <w:t xml:space="preserve"> Lorraine Burke et al., Active* Consent NUI Galway &amp; Union of Students in Ireland (2020) / The Sexual Experiences Survey (SES) 2020 , Sexual Violence and Harassment: Experiences In a National Survey of Higher Education Institutions - </w:t>
      </w:r>
      <w:hyperlink r:id="rId17">
        <w:r>
          <w:rPr>
            <w:color w:val="1155CC"/>
            <w:sz w:val="16"/>
            <w:szCs w:val="16"/>
            <w:u w:val="single"/>
          </w:rPr>
          <w:t>https://www.ul.ie/sites/default/files/equality-diversity-inclusion/Final_report_combined%20%283%29.pdf</w:t>
        </w:r>
      </w:hyperlink>
    </w:p>
  </w:footnote>
  <w:footnote w:id="29">
    <w:p w14:paraId="5594B53D" w14:textId="77777777" w:rsidR="006052C1" w:rsidRDefault="00000000">
      <w:pPr>
        <w:rPr>
          <w:sz w:val="16"/>
          <w:szCs w:val="16"/>
        </w:rPr>
      </w:pPr>
      <w:r>
        <w:rPr>
          <w:rStyle w:val="FootnoteReference"/>
        </w:rPr>
        <w:footnoteRef/>
      </w:r>
      <w:r>
        <w:rPr>
          <w:sz w:val="16"/>
          <w:szCs w:val="16"/>
        </w:rPr>
        <w:t xml:space="preserve"> Coles N. et al., Vision Foundation &amp; </w:t>
      </w:r>
      <w:proofErr w:type="spellStart"/>
      <w:r>
        <w:rPr>
          <w:sz w:val="16"/>
          <w:szCs w:val="16"/>
        </w:rPr>
        <w:t>SafeLives</w:t>
      </w:r>
      <w:proofErr w:type="spellEnd"/>
      <w:r>
        <w:rPr>
          <w:sz w:val="16"/>
          <w:szCs w:val="16"/>
        </w:rPr>
        <w:t xml:space="preserve"> (2022), The Unseen: Blind and partially sighted people’s experiences of domestic abuse: </w:t>
      </w:r>
      <w:hyperlink r:id="rId18">
        <w:r>
          <w:rPr>
            <w:color w:val="1155CC"/>
            <w:sz w:val="16"/>
            <w:szCs w:val="16"/>
            <w:u w:val="single"/>
          </w:rPr>
          <w:t>https://safelives.org.uk/sites/default/files/resources/The-Unseen-Experiences-of-blind-and-partially-sighted-victims-of-DA.pdf</w:t>
        </w:r>
      </w:hyperlink>
      <w:r>
        <w:rPr>
          <w:sz w:val="16"/>
          <w:szCs w:val="16"/>
        </w:rPr>
        <w:t xml:space="preserve"> </w:t>
      </w:r>
    </w:p>
  </w:footnote>
  <w:footnote w:id="30">
    <w:p w14:paraId="44F9BD33" w14:textId="77777777" w:rsidR="006052C1" w:rsidRDefault="00000000">
      <w:pPr>
        <w:rPr>
          <w:sz w:val="16"/>
          <w:szCs w:val="16"/>
        </w:rPr>
      </w:pPr>
      <w:r>
        <w:rPr>
          <w:rStyle w:val="FootnoteReference"/>
        </w:rPr>
        <w:footnoteRef/>
      </w:r>
      <w:r>
        <w:rPr>
          <w:sz w:val="16"/>
          <w:szCs w:val="16"/>
        </w:rPr>
        <w:t xml:space="preserve"> Wilson C. and Brewer N., “The Incidence of Criminal Victimisation of Individuals with an Intellectual Disability” (1992) 27(2) Australian Psychologist 114-117:</w:t>
      </w:r>
      <w:hyperlink r:id="rId19">
        <w:r>
          <w:rPr>
            <w:sz w:val="16"/>
            <w:szCs w:val="16"/>
          </w:rPr>
          <w:t xml:space="preserve"> </w:t>
        </w:r>
      </w:hyperlink>
      <w:hyperlink r:id="rId20">
        <w:r>
          <w:rPr>
            <w:color w:val="1155CC"/>
            <w:sz w:val="16"/>
            <w:szCs w:val="16"/>
            <w:u w:val="single"/>
          </w:rPr>
          <w:t>https://aps.onlinelibrary.wiley.com/doi/abs/10.1080/00050069208257591</w:t>
        </w:r>
      </w:hyperlink>
    </w:p>
  </w:footnote>
  <w:footnote w:id="31">
    <w:p w14:paraId="3BDC37C7" w14:textId="77777777" w:rsidR="006052C1" w:rsidRPr="0077551D" w:rsidRDefault="00000000">
      <w:pPr>
        <w:rPr>
          <w:sz w:val="16"/>
          <w:szCs w:val="16"/>
          <w:lang w:val="it-IT"/>
        </w:rPr>
      </w:pPr>
      <w:r>
        <w:rPr>
          <w:rStyle w:val="FootnoteReference"/>
        </w:rPr>
        <w:footnoteRef/>
      </w:r>
      <w:r>
        <w:rPr>
          <w:sz w:val="16"/>
          <w:szCs w:val="16"/>
        </w:rPr>
        <w:t xml:space="preserve"> Fabienne </w:t>
      </w:r>
      <w:proofErr w:type="spellStart"/>
      <w:r>
        <w:rPr>
          <w:sz w:val="16"/>
          <w:szCs w:val="16"/>
        </w:rPr>
        <w:t>Cazalis</w:t>
      </w:r>
      <w:proofErr w:type="spellEnd"/>
      <w:r>
        <w:rPr>
          <w:sz w:val="16"/>
          <w:szCs w:val="16"/>
        </w:rPr>
        <w:t xml:space="preserve"> et al., (2022), Evidence That Nine Autistic Women Out of Ten Have Been Victims of Sexual Violence - </w:t>
      </w:r>
      <w:proofErr w:type="spellStart"/>
      <w:r>
        <w:rPr>
          <w:sz w:val="16"/>
          <w:szCs w:val="16"/>
        </w:rPr>
        <w:t>Behav</w:t>
      </w:r>
      <w:proofErr w:type="spellEnd"/>
      <w:r>
        <w:rPr>
          <w:sz w:val="16"/>
          <w:szCs w:val="16"/>
        </w:rPr>
        <w:t xml:space="preserve">. </w:t>
      </w:r>
      <w:r w:rsidRPr="0077551D">
        <w:rPr>
          <w:sz w:val="16"/>
          <w:szCs w:val="16"/>
          <w:lang w:val="it-IT"/>
        </w:rPr>
        <w:t>Neurosci.,Volume 16,  doi: 10.3389/fnbeh.2022.852203.</w:t>
      </w:r>
      <w:r>
        <w:fldChar w:fldCharType="begin"/>
      </w:r>
      <w:r w:rsidRPr="005163C2">
        <w:rPr>
          <w:lang w:val="fr-FR"/>
        </w:rPr>
        <w:instrText>HYPERLINK "https://www.frontiersin.org/articles/10.3389/fnbeh.2022.852203/full" \h</w:instrText>
      </w:r>
      <w:r>
        <w:fldChar w:fldCharType="separate"/>
      </w:r>
      <w:r w:rsidRPr="0077551D">
        <w:rPr>
          <w:sz w:val="16"/>
          <w:szCs w:val="16"/>
          <w:lang w:val="it-IT"/>
        </w:rPr>
        <w:t xml:space="preserve"> </w:t>
      </w:r>
      <w:r>
        <w:rPr>
          <w:sz w:val="16"/>
          <w:szCs w:val="16"/>
          <w:lang w:val="it-IT"/>
        </w:rPr>
        <w:fldChar w:fldCharType="end"/>
      </w:r>
      <w:r>
        <w:fldChar w:fldCharType="begin"/>
      </w:r>
      <w:r w:rsidRPr="005163C2">
        <w:rPr>
          <w:lang w:val="fr-FR"/>
        </w:rPr>
        <w:instrText>HYPERLINK "https://www.frontiersin.org/articles/10.3389/fnbeh.2022.852203/full" \h</w:instrText>
      </w:r>
      <w:r>
        <w:fldChar w:fldCharType="separate"/>
      </w:r>
      <w:r w:rsidRPr="0077551D">
        <w:rPr>
          <w:color w:val="1155CC"/>
          <w:sz w:val="16"/>
          <w:szCs w:val="16"/>
          <w:u w:val="single"/>
          <w:lang w:val="it-IT"/>
        </w:rPr>
        <w:t>https://www.frontiersin.org/articles/10.3389/fnbeh.2022.852203/full</w:t>
      </w:r>
      <w:r>
        <w:rPr>
          <w:color w:val="1155CC"/>
          <w:sz w:val="16"/>
          <w:szCs w:val="16"/>
          <w:u w:val="single"/>
          <w:lang w:val="it-IT"/>
        </w:rPr>
        <w:fldChar w:fldCharType="end"/>
      </w:r>
    </w:p>
  </w:footnote>
  <w:footnote w:id="32">
    <w:p w14:paraId="0A549680" w14:textId="77777777" w:rsidR="006052C1" w:rsidRDefault="00000000">
      <w:pPr>
        <w:rPr>
          <w:sz w:val="16"/>
          <w:szCs w:val="16"/>
        </w:rPr>
      </w:pPr>
      <w:r>
        <w:rPr>
          <w:rStyle w:val="FootnoteReference"/>
        </w:rPr>
        <w:footnoteRef/>
      </w:r>
      <w:r>
        <w:rPr>
          <w:sz w:val="16"/>
          <w:szCs w:val="16"/>
        </w:rPr>
        <w:t xml:space="preserve">Wymbs B., (2019), Rates of Intimate Partner Violence Perpetration and Victimization Among Adults With ADHD - J Atten </w:t>
      </w:r>
      <w:proofErr w:type="spellStart"/>
      <w:proofErr w:type="gramStart"/>
      <w:r>
        <w:rPr>
          <w:sz w:val="16"/>
          <w:szCs w:val="16"/>
        </w:rPr>
        <w:t>Disord</w:t>
      </w:r>
      <w:proofErr w:type="spellEnd"/>
      <w:r>
        <w:rPr>
          <w:sz w:val="16"/>
          <w:szCs w:val="16"/>
        </w:rPr>
        <w:t xml:space="preserve"> .</w:t>
      </w:r>
      <w:proofErr w:type="gramEnd"/>
      <w:r>
        <w:rPr>
          <w:sz w:val="16"/>
          <w:szCs w:val="16"/>
        </w:rPr>
        <w:t xml:space="preserve"> 2019 Jul;23(9):949-958. DOI: 10.1177/1087054716653215;</w:t>
      </w:r>
      <w:hyperlink r:id="rId21">
        <w:r>
          <w:rPr>
            <w:sz w:val="16"/>
            <w:szCs w:val="16"/>
          </w:rPr>
          <w:t xml:space="preserve"> </w:t>
        </w:r>
      </w:hyperlink>
      <w:hyperlink r:id="rId22">
        <w:r>
          <w:rPr>
            <w:color w:val="1155CC"/>
            <w:sz w:val="16"/>
            <w:szCs w:val="16"/>
            <w:u w:val="single"/>
          </w:rPr>
          <w:t>https://pubmed.ncbi.nlm.nih.gov/27269007/</w:t>
        </w:r>
      </w:hyperlink>
    </w:p>
  </w:footnote>
  <w:footnote w:id="33">
    <w:p w14:paraId="6A1E71BB" w14:textId="77777777" w:rsidR="006052C1" w:rsidRDefault="00000000">
      <w:pPr>
        <w:rPr>
          <w:sz w:val="16"/>
          <w:szCs w:val="16"/>
        </w:rPr>
      </w:pPr>
      <w:r>
        <w:rPr>
          <w:rStyle w:val="FootnoteReference"/>
        </w:rPr>
        <w:footnoteRef/>
      </w:r>
      <w:r>
        <w:rPr>
          <w:sz w:val="16"/>
          <w:szCs w:val="16"/>
        </w:rPr>
        <w:t xml:space="preserve"> Khalifeh H. &amp; Dean K., (2010), Gender and violence against people with severe mental illness, International Review of Psychiatry, 22:5, 535-546, DOI: 10.3109/09540261.2010.506185 </w:t>
      </w:r>
    </w:p>
  </w:footnote>
  <w:footnote w:id="34">
    <w:p w14:paraId="2CFE0CD8" w14:textId="77777777" w:rsidR="006052C1" w:rsidRDefault="00000000">
      <w:pPr>
        <w:rPr>
          <w:sz w:val="16"/>
          <w:szCs w:val="16"/>
        </w:rPr>
      </w:pPr>
      <w:r>
        <w:rPr>
          <w:rStyle w:val="FootnoteReference"/>
        </w:rPr>
        <w:footnoteRef/>
      </w:r>
      <w:r>
        <w:rPr>
          <w:sz w:val="16"/>
          <w:szCs w:val="16"/>
        </w:rPr>
        <w:t xml:space="preserve">Government of Ireland, (2023), ‘Third National Strategy on Domestic, Sexual &amp; Gender-Based Violence 2022-2026’. </w:t>
      </w:r>
    </w:p>
  </w:footnote>
  <w:footnote w:id="35">
    <w:p w14:paraId="293F8240" w14:textId="77777777" w:rsidR="006052C1" w:rsidRDefault="00000000">
      <w:pPr>
        <w:rPr>
          <w:sz w:val="16"/>
          <w:szCs w:val="16"/>
        </w:rPr>
      </w:pPr>
      <w:r>
        <w:rPr>
          <w:rStyle w:val="FootnoteReference"/>
        </w:rPr>
        <w:footnoteRef/>
      </w:r>
      <w:r>
        <w:rPr>
          <w:sz w:val="16"/>
          <w:szCs w:val="16"/>
        </w:rPr>
        <w:t xml:space="preserve"> </w:t>
      </w:r>
      <w:proofErr w:type="spellStart"/>
      <w:r>
        <w:rPr>
          <w:sz w:val="16"/>
          <w:szCs w:val="16"/>
        </w:rPr>
        <w:t>Túsla</w:t>
      </w:r>
      <w:proofErr w:type="spellEnd"/>
      <w:r>
        <w:rPr>
          <w:sz w:val="16"/>
          <w:szCs w:val="16"/>
        </w:rPr>
        <w:t xml:space="preserve"> Review of the Review of the Provision of Accommodation for Victims of Domestic Violence (Feb 2022): </w:t>
      </w:r>
      <w:hyperlink r:id="rId23">
        <w:r>
          <w:rPr>
            <w:color w:val="1155CC"/>
            <w:sz w:val="16"/>
            <w:szCs w:val="16"/>
            <w:u w:val="single"/>
          </w:rPr>
          <w:t>https://www.tusla.ie/publications/review-of-accommodation-for-victims-of-domestic-violence/</w:t>
        </w:r>
      </w:hyperlink>
    </w:p>
  </w:footnote>
  <w:footnote w:id="36">
    <w:p w14:paraId="0474AB8B" w14:textId="77777777" w:rsidR="006052C1" w:rsidRDefault="00000000">
      <w:pPr>
        <w:rPr>
          <w:sz w:val="16"/>
          <w:szCs w:val="16"/>
        </w:rPr>
      </w:pPr>
      <w:r>
        <w:rPr>
          <w:rStyle w:val="FootnoteReference"/>
        </w:rPr>
        <w:footnoteRef/>
      </w:r>
      <w:r>
        <w:rPr>
          <w:sz w:val="16"/>
          <w:szCs w:val="16"/>
        </w:rPr>
        <w:t xml:space="preserve"> </w:t>
      </w:r>
      <w:proofErr w:type="spellStart"/>
      <w:r>
        <w:rPr>
          <w:sz w:val="16"/>
          <w:szCs w:val="16"/>
        </w:rPr>
        <w:t>Túsla</w:t>
      </w:r>
      <w:proofErr w:type="spellEnd"/>
      <w:r>
        <w:rPr>
          <w:sz w:val="16"/>
          <w:szCs w:val="16"/>
        </w:rPr>
        <w:t xml:space="preserve"> Child and Family Services website, Domestic, Sexual &amp; Gender Based Violence Services: </w:t>
      </w:r>
    </w:p>
    <w:p w14:paraId="0AE5A241" w14:textId="77777777" w:rsidR="006052C1" w:rsidRDefault="00000000">
      <w:pPr>
        <w:rPr>
          <w:sz w:val="16"/>
          <w:szCs w:val="16"/>
        </w:rPr>
      </w:pPr>
      <w:hyperlink r:id="rId24">
        <w:r>
          <w:rPr>
            <w:color w:val="1155CC"/>
            <w:sz w:val="16"/>
            <w:szCs w:val="16"/>
            <w:u w:val="single"/>
          </w:rPr>
          <w:t>https://www.tusla.ie/services/domestic-sexual-gender-based-violence/do-you-need-help/</w:t>
        </w:r>
      </w:hyperlink>
    </w:p>
  </w:footnote>
  <w:footnote w:id="37">
    <w:p w14:paraId="268E5847" w14:textId="77777777" w:rsidR="006052C1" w:rsidRDefault="00000000">
      <w:pPr>
        <w:rPr>
          <w:sz w:val="16"/>
          <w:szCs w:val="16"/>
        </w:rPr>
      </w:pPr>
      <w:r>
        <w:rPr>
          <w:rStyle w:val="FootnoteReference"/>
        </w:rPr>
        <w:footnoteRef/>
      </w:r>
      <w:r>
        <w:rPr>
          <w:sz w:val="16"/>
          <w:szCs w:val="16"/>
        </w:rPr>
        <w:t xml:space="preserve"> Australia’s National Research Org. for Women’s Safety Maher et al., Horizons, (2018), Women, disability and violence: Barriers to accessing justice’: </w:t>
      </w:r>
      <w:hyperlink r:id="rId25">
        <w:r>
          <w:rPr>
            <w:color w:val="1155CC"/>
            <w:sz w:val="16"/>
            <w:szCs w:val="16"/>
            <w:u w:val="single"/>
          </w:rPr>
          <w:t>https://20ian81kynqg38bl3l3eh8bf-wpengine.netdna-ssl.com/wp-content/uploads/2019/02/Maher-et-al-Horizons-Research-Report.pdf</w:t>
        </w:r>
      </w:hyperlink>
    </w:p>
  </w:footnote>
  <w:footnote w:id="38">
    <w:p w14:paraId="3DDD6C44" w14:textId="77777777" w:rsidR="006052C1" w:rsidRDefault="00000000">
      <w:pPr>
        <w:pBdr>
          <w:top w:val="nil"/>
          <w:left w:val="nil"/>
          <w:bottom w:val="nil"/>
          <w:right w:val="nil"/>
          <w:between w:val="nil"/>
        </w:pBdr>
        <w:rPr>
          <w:color w:val="000000"/>
          <w:sz w:val="20"/>
          <w:szCs w:val="20"/>
        </w:rPr>
      </w:pPr>
      <w:r>
        <w:rPr>
          <w:rStyle w:val="FootnoteReference"/>
        </w:rPr>
        <w:footnoteRef/>
      </w:r>
      <w:r>
        <w:rPr>
          <w:color w:val="000000"/>
          <w:sz w:val="16"/>
          <w:szCs w:val="16"/>
        </w:rPr>
        <w:t xml:space="preserve"> Ibid. </w:t>
      </w:r>
    </w:p>
  </w:footnote>
  <w:footnote w:id="39">
    <w:p w14:paraId="728F49B0" w14:textId="77777777" w:rsidR="006052C1" w:rsidRDefault="00000000">
      <w:pPr>
        <w:rPr>
          <w:sz w:val="16"/>
          <w:szCs w:val="16"/>
        </w:rPr>
      </w:pPr>
      <w:r>
        <w:rPr>
          <w:rStyle w:val="FootnoteReference"/>
        </w:rPr>
        <w:footnoteRef/>
      </w:r>
      <w:r>
        <w:rPr>
          <w:sz w:val="16"/>
          <w:szCs w:val="16"/>
        </w:rPr>
        <w:t xml:space="preserve"> Rioux, M. H., Crawford, C., </w:t>
      </w:r>
      <w:proofErr w:type="spellStart"/>
      <w:r>
        <w:rPr>
          <w:sz w:val="16"/>
          <w:szCs w:val="16"/>
        </w:rPr>
        <w:t>Ticoll</w:t>
      </w:r>
      <w:proofErr w:type="spellEnd"/>
      <w:r>
        <w:rPr>
          <w:sz w:val="16"/>
          <w:szCs w:val="16"/>
        </w:rPr>
        <w:t xml:space="preserve">, M. &amp; Each, M., Uncovering the Shape of Violence: A Research Methodology Rooted in the Experience of People with Disabilities, Reproduced at: </w:t>
      </w:r>
      <w:hyperlink r:id="rId26">
        <w:r>
          <w:rPr>
            <w:color w:val="1155CC"/>
            <w:sz w:val="16"/>
            <w:szCs w:val="16"/>
            <w:u w:val="single"/>
          </w:rPr>
          <w:t>https://disability-studies.leeds.ac.uk/wp-content/uploads/sites/40/library/Barnes-Chapter-12.pdf</w:t>
        </w:r>
      </w:hyperlink>
    </w:p>
  </w:footnote>
  <w:footnote w:id="40">
    <w:p w14:paraId="7E0ACEBC" w14:textId="77777777" w:rsidR="006052C1" w:rsidRDefault="00000000">
      <w:pPr>
        <w:rPr>
          <w:sz w:val="16"/>
          <w:szCs w:val="16"/>
        </w:rPr>
      </w:pPr>
      <w:r>
        <w:rPr>
          <w:rStyle w:val="FootnoteReference"/>
        </w:rPr>
        <w:footnoteRef/>
      </w:r>
      <w:r>
        <w:rPr>
          <w:sz w:val="16"/>
          <w:szCs w:val="16"/>
        </w:rPr>
        <w:t xml:space="preserve"> Harm's Way: The Many Faces of Violence and Abuse against Persons with Disabilities (</w:t>
      </w:r>
      <w:proofErr w:type="spellStart"/>
      <w:r>
        <w:rPr>
          <w:sz w:val="16"/>
          <w:szCs w:val="16"/>
        </w:rPr>
        <w:t>L'Institut</w:t>
      </w:r>
      <w:proofErr w:type="spellEnd"/>
      <w:r>
        <w:rPr>
          <w:sz w:val="16"/>
          <w:szCs w:val="16"/>
        </w:rPr>
        <w:t xml:space="preserve"> </w:t>
      </w:r>
      <w:proofErr w:type="spellStart"/>
      <w:r>
        <w:rPr>
          <w:sz w:val="16"/>
          <w:szCs w:val="16"/>
        </w:rPr>
        <w:t>Roeher</w:t>
      </w:r>
      <w:proofErr w:type="spellEnd"/>
      <w:r>
        <w:rPr>
          <w:sz w:val="16"/>
          <w:szCs w:val="16"/>
        </w:rPr>
        <w:t xml:space="preserve">, 1995). </w:t>
      </w:r>
      <w:r>
        <w:rPr>
          <w:sz w:val="16"/>
          <w:szCs w:val="16"/>
          <w:highlight w:val="white"/>
        </w:rPr>
        <w:t xml:space="preserve">Publisher: G Allan </w:t>
      </w:r>
      <w:proofErr w:type="spellStart"/>
      <w:r>
        <w:rPr>
          <w:sz w:val="16"/>
          <w:szCs w:val="16"/>
          <w:highlight w:val="white"/>
        </w:rPr>
        <w:t>Roeher</w:t>
      </w:r>
      <w:proofErr w:type="spellEnd"/>
      <w:r>
        <w:rPr>
          <w:sz w:val="16"/>
          <w:szCs w:val="16"/>
          <w:highlight w:val="white"/>
        </w:rPr>
        <w:t xml:space="preserve"> Institute Kinsman.</w:t>
      </w:r>
    </w:p>
  </w:footnote>
  <w:footnote w:id="41">
    <w:p w14:paraId="7FA9EE6A" w14:textId="77777777" w:rsidR="006052C1" w:rsidRDefault="00000000">
      <w:pPr>
        <w:rPr>
          <w:sz w:val="16"/>
          <w:szCs w:val="16"/>
        </w:rPr>
      </w:pPr>
      <w:r>
        <w:rPr>
          <w:rStyle w:val="FootnoteReference"/>
        </w:rPr>
        <w:footnoteRef/>
      </w:r>
      <w:r>
        <w:rPr>
          <w:sz w:val="16"/>
          <w:szCs w:val="16"/>
        </w:rPr>
        <w:t xml:space="preserve"> Lim, A., Young, R.L. &amp; Brewer, N., (2021), Autistic Adults May Be Erroneously Perceived as Deceptive and Lacking </w:t>
      </w:r>
      <w:proofErr w:type="spellStart"/>
      <w:proofErr w:type="gramStart"/>
      <w:r>
        <w:rPr>
          <w:sz w:val="16"/>
          <w:szCs w:val="16"/>
        </w:rPr>
        <w:t>Credibility,J</w:t>
      </w:r>
      <w:proofErr w:type="spellEnd"/>
      <w:proofErr w:type="gramEnd"/>
      <w:r>
        <w:rPr>
          <w:sz w:val="16"/>
          <w:szCs w:val="16"/>
        </w:rPr>
        <w:t xml:space="preserve"> Autism Dev </w:t>
      </w:r>
      <w:proofErr w:type="spellStart"/>
      <w:r>
        <w:rPr>
          <w:sz w:val="16"/>
          <w:szCs w:val="16"/>
        </w:rPr>
        <w:t>Disord</w:t>
      </w:r>
      <w:proofErr w:type="spellEnd"/>
      <w:r>
        <w:rPr>
          <w:sz w:val="16"/>
          <w:szCs w:val="16"/>
        </w:rPr>
        <w:t xml:space="preserve"> (2021): </w:t>
      </w:r>
      <w:hyperlink r:id="rId27">
        <w:r>
          <w:rPr>
            <w:color w:val="1155CC"/>
            <w:sz w:val="16"/>
            <w:szCs w:val="16"/>
            <w:u w:val="single"/>
          </w:rPr>
          <w:t>https://doi.org/10.1007/s10803-021-04963-4</w:t>
        </w:r>
      </w:hyperlink>
    </w:p>
  </w:footnote>
  <w:footnote w:id="42">
    <w:p w14:paraId="352C5CE8"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Abortion Rights Campaign and Lorraine Grimes (Sept. 2021), ‘Too Many Barriers: Experiences of Abortion in Ireland after Repeal’: </w:t>
      </w:r>
      <w:hyperlink r:id="rId28">
        <w:r>
          <w:rPr>
            <w:color w:val="0563C1"/>
            <w:sz w:val="16"/>
            <w:szCs w:val="16"/>
            <w:u w:val="single"/>
          </w:rPr>
          <w:t>https://www.abortionrightscampaign.ie/wp-content/uploads/2021/09/Too-Many-Barriers-Report_ARC1.pdf</w:t>
        </w:r>
      </w:hyperlink>
      <w:r>
        <w:rPr>
          <w:color w:val="000000"/>
          <w:sz w:val="16"/>
          <w:szCs w:val="16"/>
        </w:rPr>
        <w:t xml:space="preserve"> </w:t>
      </w:r>
    </w:p>
  </w:footnote>
  <w:footnote w:id="43">
    <w:p w14:paraId="01F508A0" w14:textId="77777777" w:rsidR="006052C1" w:rsidRDefault="00000000">
      <w:pPr>
        <w:rPr>
          <w:sz w:val="16"/>
          <w:szCs w:val="16"/>
        </w:rPr>
      </w:pPr>
      <w:r>
        <w:rPr>
          <w:rStyle w:val="FootnoteReference"/>
        </w:rPr>
        <w:footnoteRef/>
      </w:r>
      <w:r>
        <w:rPr>
          <w:sz w:val="16"/>
          <w:szCs w:val="16"/>
        </w:rPr>
        <w:t xml:space="preserve"> Owens EB, Hinshaw SP. Adolescent Mediators of Unplanned Pregnancy among Women with and without Childhood ADHD. J Clin Child </w:t>
      </w:r>
      <w:proofErr w:type="spellStart"/>
      <w:r>
        <w:rPr>
          <w:sz w:val="16"/>
          <w:szCs w:val="16"/>
        </w:rPr>
        <w:t>Adolesc</w:t>
      </w:r>
      <w:proofErr w:type="spellEnd"/>
      <w:r>
        <w:rPr>
          <w:sz w:val="16"/>
          <w:szCs w:val="16"/>
        </w:rPr>
        <w:t xml:space="preserve"> Psychol. 2020 Mar-Apr;49(2):229-238. </w:t>
      </w:r>
      <w:proofErr w:type="spellStart"/>
      <w:r>
        <w:rPr>
          <w:sz w:val="16"/>
          <w:szCs w:val="16"/>
        </w:rPr>
        <w:t>doi</w:t>
      </w:r>
      <w:proofErr w:type="spellEnd"/>
      <w:r>
        <w:rPr>
          <w:sz w:val="16"/>
          <w:szCs w:val="16"/>
        </w:rPr>
        <w:t xml:space="preserve">: 10.1080/15374416.2018.1547970. </w:t>
      </w:r>
    </w:p>
  </w:footnote>
  <w:footnote w:id="44">
    <w:p w14:paraId="30589B85" w14:textId="77777777" w:rsidR="006052C1" w:rsidRDefault="00000000">
      <w:pPr>
        <w:rPr>
          <w:sz w:val="20"/>
          <w:szCs w:val="20"/>
        </w:rPr>
      </w:pPr>
      <w:r>
        <w:rPr>
          <w:rStyle w:val="FootnoteReference"/>
        </w:rPr>
        <w:footnoteRef/>
      </w:r>
      <w:r>
        <w:rPr>
          <w:sz w:val="16"/>
          <w:szCs w:val="16"/>
        </w:rPr>
        <w:t xml:space="preserve"> M.F. O’Hare, E. Manning, P. Corcoran &amp; R.A. Greene on behalf of MDE Ireland, University College Cork (Dec. 2017): Confidential Maternal Death Enquiry in Ireland:  Report for 2013 – 2015: https://www.ucc.ie/en/media/research/maternaldeathenquiryireland/Confidential-Maternal-Death-Enquiry-Report-2013---2015--Web.pdf</w:t>
      </w:r>
    </w:p>
  </w:footnote>
  <w:footnote w:id="45">
    <w:p w14:paraId="52531C67"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Committee on the Rights of Persons with Disabilities (CRPD) and the Committee on the Elimination of All Forms of Discrimination against Women (CEDAW), ‘Joint Statement: Guaranteeing sexual and reproductive health and rights for all women, in particular women with disabilities’ (2018)</w:t>
      </w:r>
    </w:p>
  </w:footnote>
  <w:footnote w:id="46">
    <w:p w14:paraId="59757927" w14:textId="77777777" w:rsidR="006052C1" w:rsidRDefault="00000000">
      <w:pPr>
        <w:rPr>
          <w:sz w:val="16"/>
          <w:szCs w:val="16"/>
        </w:rPr>
      </w:pPr>
      <w:r>
        <w:rPr>
          <w:rStyle w:val="FootnoteReference"/>
        </w:rPr>
        <w:footnoteRef/>
      </w:r>
      <w:r>
        <w:rPr>
          <w:sz w:val="16"/>
          <w:szCs w:val="16"/>
        </w:rPr>
        <w:t xml:space="preserve"> Flynn, </w:t>
      </w:r>
      <w:proofErr w:type="spellStart"/>
      <w:r>
        <w:rPr>
          <w:sz w:val="16"/>
          <w:szCs w:val="16"/>
        </w:rPr>
        <w:t>Eilionóir</w:t>
      </w:r>
      <w:proofErr w:type="spellEnd"/>
      <w:r>
        <w:rPr>
          <w:sz w:val="16"/>
          <w:szCs w:val="16"/>
        </w:rPr>
        <w:t xml:space="preserve">, </w:t>
      </w:r>
      <w:proofErr w:type="spellStart"/>
      <w:r>
        <w:rPr>
          <w:sz w:val="16"/>
          <w:szCs w:val="16"/>
        </w:rPr>
        <w:t>Dagg</w:t>
      </w:r>
      <w:proofErr w:type="spellEnd"/>
      <w:r>
        <w:rPr>
          <w:sz w:val="16"/>
          <w:szCs w:val="16"/>
        </w:rPr>
        <w:t xml:space="preserve">, Jenny, </w:t>
      </w:r>
      <w:proofErr w:type="spellStart"/>
      <w:r>
        <w:rPr>
          <w:sz w:val="16"/>
          <w:szCs w:val="16"/>
        </w:rPr>
        <w:t>Ní</w:t>
      </w:r>
      <w:proofErr w:type="spellEnd"/>
      <w:r>
        <w:rPr>
          <w:sz w:val="16"/>
          <w:szCs w:val="16"/>
        </w:rPr>
        <w:t xml:space="preserve"> </w:t>
      </w:r>
      <w:proofErr w:type="spellStart"/>
      <w:r>
        <w:rPr>
          <w:sz w:val="16"/>
          <w:szCs w:val="16"/>
        </w:rPr>
        <w:t>Fhlatharta</w:t>
      </w:r>
      <w:proofErr w:type="spellEnd"/>
      <w:r>
        <w:rPr>
          <w:sz w:val="16"/>
          <w:szCs w:val="16"/>
        </w:rPr>
        <w:t>, Maria, &amp; Burns, Emma Q. (2023). Re(al) Productive Justice: Final report. Galway: University of Galway. https://doi.org/10.13025/70jg-1s95</w:t>
      </w:r>
    </w:p>
  </w:footnote>
  <w:footnote w:id="47">
    <w:p w14:paraId="0AB5AFED" w14:textId="77777777" w:rsidR="006052C1" w:rsidRDefault="00000000">
      <w:pPr>
        <w:rPr>
          <w:sz w:val="16"/>
          <w:szCs w:val="16"/>
        </w:rPr>
      </w:pPr>
      <w:r>
        <w:rPr>
          <w:rStyle w:val="FootnoteReference"/>
        </w:rPr>
        <w:footnoteRef/>
      </w:r>
      <w:r>
        <w:rPr>
          <w:sz w:val="16"/>
          <w:szCs w:val="16"/>
        </w:rPr>
        <w:t xml:space="preserve"> Note: This section includes data from the 2016 Census, as data relating to the 2022 Census in relation to mental health has not yet been published. </w:t>
      </w:r>
    </w:p>
  </w:footnote>
  <w:footnote w:id="48">
    <w:p w14:paraId="772ADA01" w14:textId="77777777" w:rsidR="006052C1" w:rsidRDefault="00000000">
      <w:pPr>
        <w:rPr>
          <w:sz w:val="20"/>
          <w:szCs w:val="20"/>
        </w:rPr>
      </w:pPr>
      <w:r>
        <w:rPr>
          <w:rStyle w:val="FootnoteReference"/>
        </w:rPr>
        <w:footnoteRef/>
      </w:r>
      <w:r>
        <w:rPr>
          <w:sz w:val="16"/>
          <w:szCs w:val="16"/>
        </w:rPr>
        <w:t xml:space="preserve"> Central Statistics Office: Census 2016.</w:t>
      </w:r>
    </w:p>
  </w:footnote>
  <w:footnote w:id="49">
    <w:p w14:paraId="41FA606F"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Ibid. </w:t>
      </w:r>
    </w:p>
  </w:footnote>
  <w:footnote w:id="50">
    <w:p w14:paraId="3D5256C5" w14:textId="77777777" w:rsidR="006052C1" w:rsidRDefault="00000000">
      <w:pPr>
        <w:pBdr>
          <w:top w:val="nil"/>
          <w:left w:val="nil"/>
          <w:bottom w:val="nil"/>
          <w:right w:val="nil"/>
          <w:between w:val="nil"/>
        </w:pBdr>
        <w:rPr>
          <w:color w:val="000000"/>
          <w:sz w:val="16"/>
          <w:szCs w:val="16"/>
        </w:rPr>
      </w:pPr>
      <w:r>
        <w:rPr>
          <w:rStyle w:val="FootnoteReference"/>
        </w:rPr>
        <w:footnoteRef/>
      </w:r>
      <w:r>
        <w:rPr>
          <w:color w:val="000000"/>
          <w:sz w:val="16"/>
          <w:szCs w:val="16"/>
        </w:rPr>
        <w:t xml:space="preserve"> Sharing the Vision: A Mental Health Policy for Everyone: </w:t>
      </w:r>
      <w:hyperlink r:id="rId29" w:anchor="page=null">
        <w:r>
          <w:rPr>
            <w:color w:val="0563C1"/>
            <w:sz w:val="16"/>
            <w:szCs w:val="16"/>
            <w:u w:val="single"/>
          </w:rPr>
          <w:t>https://www.gov.ie/pdf/?file=https://assets.gov.ie/76770/b142b216-f2ca-48e6-a551-79c208f1a247.pdf#page=null</w:t>
        </w:r>
      </w:hyperlink>
      <w:r>
        <w:rPr>
          <w:color w:val="000000"/>
          <w:sz w:val="16"/>
          <w:szCs w:val="16"/>
        </w:rPr>
        <w:t xml:space="preserve"> </w:t>
      </w:r>
    </w:p>
  </w:footnote>
  <w:footnote w:id="51">
    <w:p w14:paraId="1AD7923E" w14:textId="77777777" w:rsidR="006052C1" w:rsidRDefault="00000000">
      <w:pPr>
        <w:pBdr>
          <w:top w:val="nil"/>
          <w:left w:val="nil"/>
          <w:bottom w:val="nil"/>
          <w:right w:val="nil"/>
          <w:between w:val="nil"/>
        </w:pBdr>
        <w:rPr>
          <w:color w:val="000000"/>
          <w:sz w:val="20"/>
          <w:szCs w:val="20"/>
        </w:rPr>
      </w:pPr>
      <w:r>
        <w:rPr>
          <w:rStyle w:val="FootnoteReference"/>
        </w:rPr>
        <w:footnoteRef/>
      </w:r>
      <w:r>
        <w:rPr>
          <w:color w:val="000000"/>
          <w:sz w:val="16"/>
          <w:szCs w:val="16"/>
        </w:rPr>
        <w:t xml:space="preserve"> Connecting for Life: Ireland’s National Strategy to Reduce Suicide 2015 – 2024: </w:t>
      </w:r>
      <w:hyperlink r:id="rId30" w:anchor="page=null">
        <w:r>
          <w:rPr>
            <w:color w:val="0563C1"/>
            <w:sz w:val="16"/>
            <w:szCs w:val="16"/>
            <w:u w:val="single"/>
          </w:rPr>
          <w:t>https://www.gov.ie/pdf/?file=https://assets.gov.ie/15758/e6c74742547a48428e4640e3596a3d72.pdf#page=null</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9AE8" w14:textId="77777777" w:rsidR="006052C1" w:rsidRDefault="00000000">
    <w:pPr>
      <w:tabs>
        <w:tab w:val="center" w:pos="4513"/>
        <w:tab w:val="right" w:pos="9026"/>
      </w:tabs>
      <w:rPr>
        <w:rFonts w:ascii="Arial" w:eastAsia="Arial" w:hAnsi="Arial" w:cs="Arial"/>
        <w:b/>
        <w:sz w:val="56"/>
        <w:szCs w:val="56"/>
      </w:rPr>
    </w:pPr>
    <w:r>
      <w:rPr>
        <w:noProof/>
      </w:rPr>
      <mc:AlternateContent>
        <mc:Choice Requires="wps">
          <w:drawing>
            <wp:anchor distT="0" distB="0" distL="114300" distR="114300" simplePos="0" relativeHeight="251658240" behindDoc="0" locked="0" layoutInCell="1" hidden="0" allowOverlap="1" wp14:anchorId="0A519527" wp14:editId="76D3B5B5">
              <wp:simplePos x="0" y="0"/>
              <wp:positionH relativeFrom="column">
                <wp:posOffset>-939799</wp:posOffset>
              </wp:positionH>
              <wp:positionV relativeFrom="paragraph">
                <wp:posOffset>-711199</wp:posOffset>
              </wp:positionV>
              <wp:extent cx="8323523" cy="1350530"/>
              <wp:effectExtent l="0" t="0" r="0" b="0"/>
              <wp:wrapNone/>
              <wp:docPr id="38" name="Flowchart: Document 38"/>
              <wp:cNvGraphicFramePr/>
              <a:graphic xmlns:a="http://schemas.openxmlformats.org/drawingml/2006/main">
                <a:graphicData uri="http://schemas.microsoft.com/office/word/2010/wordprocessingShape">
                  <wps:wsp>
                    <wps:cNvSpPr/>
                    <wps:spPr>
                      <a:xfrm>
                        <a:off x="1217576" y="3138073"/>
                        <a:ext cx="8256848" cy="1283855"/>
                      </a:xfrm>
                      <a:prstGeom prst="flowChartDocument">
                        <a:avLst/>
                      </a:prstGeom>
                      <a:solidFill>
                        <a:srgbClr val="F6F081"/>
                      </a:solidFill>
                      <a:ln>
                        <a:noFill/>
                      </a:ln>
                    </wps:spPr>
                    <wps:txbx>
                      <w:txbxContent>
                        <w:p w14:paraId="61F149D2" w14:textId="77777777" w:rsidR="006052C1" w:rsidRDefault="006052C1">
                          <w:pPr>
                            <w:textDirection w:val="btLr"/>
                          </w:pPr>
                        </w:p>
                      </w:txbxContent>
                    </wps:txbx>
                    <wps:bodyPr spcFirstLastPara="1" wrap="square" lIns="91425" tIns="91425" rIns="91425" bIns="91425" anchor="ctr" anchorCtr="0">
                      <a:noAutofit/>
                    </wps:bodyPr>
                  </wps:wsp>
                </a:graphicData>
              </a:graphic>
            </wp:anchor>
          </w:drawing>
        </mc:Choice>
        <mc:Fallback>
          <w:pict>
            <v:shapetype w14:anchorId="0A519527"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8" o:spid="_x0000_s1026" type="#_x0000_t114" style="position:absolute;margin-left:-74pt;margin-top:-56pt;width:655.4pt;height:106.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" fillcolor="#f6f081" stroked="f">
              <v:textbox inset="2.53958mm,2.53958mm,2.53958mm,2.53958mm">
                <w:txbxContent>
                  <w:p w14:paraId="61F149D2" w14:textId="77777777" w:rsidR="006052C1" w:rsidRDefault="006052C1">
                    <w:pPr>
                      <w:textDirection w:val="btLr"/>
                    </w:pPr>
                  </w:p>
                </w:txbxContent>
              </v:textbox>
            </v:shape>
          </w:pict>
        </mc:Fallback>
      </mc:AlternateContent>
    </w:r>
    <w:r>
      <w:rPr>
        <w:noProof/>
      </w:rPr>
      <mc:AlternateContent>
        <mc:Choice Requires="wps">
          <w:drawing>
            <wp:anchor distT="0" distB="0" distL="114300" distR="114300" simplePos="0" relativeHeight="251659264" behindDoc="0" locked="0" layoutInCell="1" hidden="0" allowOverlap="1" wp14:anchorId="32EED7F7" wp14:editId="0FDFF846">
              <wp:simplePos x="0" y="0"/>
              <wp:positionH relativeFrom="column">
                <wp:posOffset>-1104899</wp:posOffset>
              </wp:positionH>
              <wp:positionV relativeFrom="paragraph">
                <wp:posOffset>-838199</wp:posOffset>
              </wp:positionV>
              <wp:extent cx="7847445" cy="1280391"/>
              <wp:effectExtent l="0" t="0" r="0" b="0"/>
              <wp:wrapNone/>
              <wp:docPr id="37" name="Flowchart: Document 37"/>
              <wp:cNvGraphicFramePr/>
              <a:graphic xmlns:a="http://schemas.openxmlformats.org/drawingml/2006/main">
                <a:graphicData uri="http://schemas.microsoft.com/office/word/2010/wordprocessingShape">
                  <wps:wsp>
                    <wps:cNvSpPr/>
                    <wps:spPr>
                      <a:xfrm>
                        <a:off x="1466728" y="3184255"/>
                        <a:ext cx="7758545" cy="1191491"/>
                      </a:xfrm>
                      <a:prstGeom prst="flowChartDocument">
                        <a:avLst/>
                      </a:prstGeom>
                      <a:solidFill>
                        <a:srgbClr val="712C79"/>
                      </a:solidFill>
                      <a:ln w="12700" cap="flat" cmpd="sng">
                        <a:solidFill>
                          <a:srgbClr val="31538F"/>
                        </a:solidFill>
                        <a:prstDash val="solid"/>
                        <a:miter lim="800000"/>
                        <a:headEnd type="none" w="sm" len="sm"/>
                        <a:tailEnd type="none" w="sm" len="sm"/>
                      </a:ln>
                    </wps:spPr>
                    <wps:txbx>
                      <w:txbxContent>
                        <w:p w14:paraId="10134EA1" w14:textId="77777777" w:rsidR="006052C1" w:rsidRDefault="006052C1">
                          <w:pPr>
                            <w:textDirection w:val="btLr"/>
                          </w:pPr>
                        </w:p>
                      </w:txbxContent>
                    </wps:txbx>
                    <wps:bodyPr spcFirstLastPara="1" wrap="square" lIns="91425" tIns="91425" rIns="91425" bIns="91425" anchor="ctr" anchorCtr="0">
                      <a:noAutofit/>
                    </wps:bodyPr>
                  </wps:wsp>
                </a:graphicData>
              </a:graphic>
            </wp:anchor>
          </w:drawing>
        </mc:Choice>
        <mc:Fallback>
          <w:pict>
            <v:shape w14:anchorId="32EED7F7" id="Flowchart: Document 37" o:spid="_x0000_s1027" type="#_x0000_t114" style="position:absolute;margin-left:-87pt;margin-top:-66pt;width:617.9pt;height:100.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" fillcolor="#712c79" strokecolor="#31538f" strokeweight="1pt">
              <v:stroke startarrowwidth="narrow" startarrowlength="short" endarrowwidth="narrow" endarrowlength="short"/>
              <v:textbox inset="2.53958mm,2.53958mm,2.53958mm,2.53958mm">
                <w:txbxContent>
                  <w:p w14:paraId="10134EA1" w14:textId="77777777" w:rsidR="006052C1" w:rsidRDefault="006052C1">
                    <w:pPr>
                      <w:textDirection w:val="btLr"/>
                    </w:pPr>
                  </w:p>
                </w:txbxContent>
              </v:textbox>
            </v:shape>
          </w:pict>
        </mc:Fallback>
      </mc:AlternateContent>
    </w:r>
  </w:p>
  <w:p w14:paraId="6B2AA89F" w14:textId="77777777" w:rsidR="006052C1" w:rsidRDefault="006052C1">
    <w:pPr>
      <w:pBdr>
        <w:top w:val="nil"/>
        <w:left w:val="nil"/>
        <w:bottom w:val="nil"/>
        <w:right w:val="nil"/>
        <w:between w:val="nil"/>
      </w:pBdr>
      <w:tabs>
        <w:tab w:val="center" w:pos="4513"/>
        <w:tab w:val="right" w:pos="9026"/>
      </w:tabs>
      <w:rPr>
        <w:rFonts w:ascii="Arial" w:eastAsia="Arial" w:hAnsi="Arial" w:cs="Arial"/>
        <w:b/>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537A"/>
    <w:multiLevelType w:val="multilevel"/>
    <w:tmpl w:val="541895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99F01B8"/>
    <w:multiLevelType w:val="multilevel"/>
    <w:tmpl w:val="5826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39D6421"/>
    <w:multiLevelType w:val="hybridMultilevel"/>
    <w:tmpl w:val="3208C528"/>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 w15:restartNumberingAfterBreak="0">
    <w:nsid w:val="66871C5C"/>
    <w:multiLevelType w:val="multilevel"/>
    <w:tmpl w:val="7AE89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66639051">
    <w:abstractNumId w:val="1"/>
  </w:num>
  <w:num w:numId="2" w16cid:durableId="1683312581">
    <w:abstractNumId w:val="0"/>
  </w:num>
  <w:num w:numId="3" w16cid:durableId="826868372">
    <w:abstractNumId w:val="3"/>
  </w:num>
  <w:num w:numId="4" w16cid:durableId="1190528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2C1"/>
    <w:rsid w:val="000D5BCE"/>
    <w:rsid w:val="0033482F"/>
    <w:rsid w:val="005163C2"/>
    <w:rsid w:val="006052C1"/>
    <w:rsid w:val="0077551D"/>
    <w:rsid w:val="00E550A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7B63"/>
  <w15:docId w15:val="{A27463EE-0719-4445-BF52-0B22BA07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619"/>
    <w:pPr>
      <w:keepNext/>
      <w:keepLines/>
      <w:spacing w:before="240"/>
      <w:jc w:val="center"/>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semiHidden/>
    <w:unhideWhenUsed/>
    <w:qFormat/>
    <w:rsid w:val="00D90619"/>
    <w:pPr>
      <w:keepNext/>
      <w:keepLines/>
      <w:spacing w:before="40"/>
      <w:outlineLvl w:val="1"/>
    </w:pPr>
    <w:rPr>
      <w:rFonts w:ascii="Times New Roman" w:eastAsiaTheme="majorEastAsia" w:hAnsi="Times New Roman" w:cstheme="majorBidi"/>
      <w:b/>
      <w:color w:val="000000" w:themeColor="text1"/>
      <w:szCs w:val="26"/>
    </w:rPr>
  </w:style>
  <w:style w:type="paragraph" w:styleId="Heading3">
    <w:name w:val="heading 3"/>
    <w:basedOn w:val="Normal"/>
    <w:next w:val="Normal"/>
    <w:link w:val="Heading3Char"/>
    <w:uiPriority w:val="9"/>
    <w:semiHidden/>
    <w:unhideWhenUsed/>
    <w:qFormat/>
    <w:rsid w:val="00D90619"/>
    <w:pPr>
      <w:outlineLvl w:val="2"/>
    </w:pPr>
    <w:rPr>
      <w:rFonts w:ascii="Times New Roman" w:eastAsia="Times New Roman" w:hAnsi="Times New Roman" w:cs="Times New Roman"/>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90619"/>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90619"/>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rsid w:val="00D90619"/>
    <w:rPr>
      <w:rFonts w:ascii="Times New Roman" w:eastAsia="Times New Roman" w:hAnsi="Times New Roman" w:cs="Times New Roman"/>
      <w:i/>
    </w:rPr>
  </w:style>
  <w:style w:type="paragraph" w:styleId="NormalWeb">
    <w:name w:val="Normal (Web)"/>
    <w:basedOn w:val="Normal"/>
    <w:uiPriority w:val="99"/>
    <w:unhideWhenUsed/>
    <w:rsid w:val="004B7C1C"/>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B7C1C"/>
    <w:pPr>
      <w:tabs>
        <w:tab w:val="center" w:pos="4513"/>
        <w:tab w:val="right" w:pos="9026"/>
      </w:tabs>
    </w:pPr>
  </w:style>
  <w:style w:type="character" w:customStyle="1" w:styleId="HeaderChar">
    <w:name w:val="Header Char"/>
    <w:basedOn w:val="DefaultParagraphFont"/>
    <w:link w:val="Header"/>
    <w:uiPriority w:val="99"/>
    <w:rsid w:val="004B7C1C"/>
  </w:style>
  <w:style w:type="paragraph" w:styleId="Footer">
    <w:name w:val="footer"/>
    <w:basedOn w:val="Normal"/>
    <w:link w:val="FooterChar"/>
    <w:uiPriority w:val="99"/>
    <w:unhideWhenUsed/>
    <w:rsid w:val="004B7C1C"/>
    <w:pPr>
      <w:tabs>
        <w:tab w:val="center" w:pos="4513"/>
        <w:tab w:val="right" w:pos="9026"/>
      </w:tabs>
    </w:pPr>
  </w:style>
  <w:style w:type="character" w:customStyle="1" w:styleId="FooterChar">
    <w:name w:val="Footer Char"/>
    <w:basedOn w:val="DefaultParagraphFont"/>
    <w:link w:val="Footer"/>
    <w:uiPriority w:val="99"/>
    <w:rsid w:val="004B7C1C"/>
  </w:style>
  <w:style w:type="paragraph" w:styleId="NoSpacing">
    <w:name w:val="No Spacing"/>
    <w:link w:val="NoSpacingChar"/>
    <w:uiPriority w:val="1"/>
    <w:qFormat/>
    <w:rsid w:val="004B7C1C"/>
    <w:rPr>
      <w:rFonts w:eastAsiaTheme="minorEastAsia"/>
      <w:sz w:val="22"/>
      <w:szCs w:val="22"/>
      <w:lang w:val="en-US" w:eastAsia="zh-CN"/>
    </w:rPr>
  </w:style>
  <w:style w:type="character" w:customStyle="1" w:styleId="NoSpacingChar">
    <w:name w:val="No Spacing Char"/>
    <w:basedOn w:val="DefaultParagraphFont"/>
    <w:link w:val="NoSpacing"/>
    <w:uiPriority w:val="1"/>
    <w:rsid w:val="004B7C1C"/>
    <w:rPr>
      <w:rFonts w:eastAsiaTheme="minorEastAsia"/>
      <w:sz w:val="22"/>
      <w:szCs w:val="22"/>
      <w:lang w:val="en-US" w:eastAsia="zh-CN"/>
    </w:rPr>
  </w:style>
  <w:style w:type="paragraph" w:styleId="FootnoteText">
    <w:name w:val="footnote text"/>
    <w:aliases w:val="Footnote Text Char1 Char,Footnote Text Char Char Char,Footnote Text Char1,Footnote Text Char Char,Footnote Text Char2 Char1,Footnote Text Char Char1 Char1,Footnote Text Char1 Char Char Char,Footnote Text Char Char Char Char Char,Char, Char"/>
    <w:basedOn w:val="Normal"/>
    <w:link w:val="FootnoteTextChar"/>
    <w:uiPriority w:val="99"/>
    <w:unhideWhenUsed/>
    <w:rsid w:val="00506CB1"/>
    <w:rPr>
      <w:sz w:val="20"/>
      <w:szCs w:val="20"/>
    </w:rPr>
  </w:style>
  <w:style w:type="character" w:customStyle="1" w:styleId="FootnoteTextChar">
    <w:name w:val="Footnote Text Char"/>
    <w:aliases w:val="Footnote Text Char1 Char Char,Footnote Text Char Char Char Char,Footnote Text Char1 Char1,Footnote Text Char Char Char1,Footnote Text Char2 Char1 Char,Footnote Text Char Char1 Char1 Char,Footnote Text Char1 Char Char Char Char"/>
    <w:basedOn w:val="DefaultParagraphFont"/>
    <w:link w:val="FootnoteText"/>
    <w:uiPriority w:val="99"/>
    <w:rsid w:val="00506CB1"/>
    <w:rPr>
      <w:sz w:val="20"/>
      <w:szCs w:val="20"/>
    </w:rPr>
  </w:style>
  <w:style w:type="character" w:styleId="FootnoteReference">
    <w:name w:val="footnote reference"/>
    <w:basedOn w:val="DefaultParagraphFont"/>
    <w:uiPriority w:val="99"/>
    <w:unhideWhenUsed/>
    <w:rsid w:val="00506CB1"/>
    <w:rPr>
      <w:vertAlign w:val="superscript"/>
    </w:rPr>
  </w:style>
  <w:style w:type="paragraph" w:styleId="ListParagraph">
    <w:name w:val="List Paragraph"/>
    <w:basedOn w:val="Normal"/>
    <w:uiPriority w:val="34"/>
    <w:qFormat/>
    <w:rsid w:val="00DA48E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4756A"/>
    <w:rPr>
      <w:b/>
      <w:bCs/>
    </w:rPr>
  </w:style>
  <w:style w:type="character" w:customStyle="1" w:styleId="CommentSubjectChar">
    <w:name w:val="Comment Subject Char"/>
    <w:basedOn w:val="CommentTextChar"/>
    <w:link w:val="CommentSubject"/>
    <w:uiPriority w:val="99"/>
    <w:semiHidden/>
    <w:rsid w:val="00B4756A"/>
    <w:rPr>
      <w:b/>
      <w:bCs/>
      <w:sz w:val="20"/>
      <w:szCs w:val="20"/>
    </w:rPr>
  </w:style>
  <w:style w:type="character" w:styleId="Hyperlink">
    <w:name w:val="Hyperlink"/>
    <w:basedOn w:val="DefaultParagraphFont"/>
    <w:uiPriority w:val="99"/>
    <w:unhideWhenUsed/>
    <w:rsid w:val="00CB6D72"/>
    <w:rPr>
      <w:color w:val="0563C1" w:themeColor="hyperlink"/>
      <w:u w:val="single"/>
    </w:rPr>
  </w:style>
  <w:style w:type="character" w:styleId="UnresolvedMention">
    <w:name w:val="Unresolved Mention"/>
    <w:basedOn w:val="DefaultParagraphFont"/>
    <w:uiPriority w:val="99"/>
    <w:semiHidden/>
    <w:unhideWhenUsed/>
    <w:rsid w:val="00CB6D72"/>
    <w:rPr>
      <w:color w:val="605E5C"/>
      <w:shd w:val="clear" w:color="auto" w:fill="E1DFDD"/>
    </w:rPr>
  </w:style>
  <w:style w:type="paragraph" w:styleId="Revision">
    <w:name w:val="Revision"/>
    <w:hidden/>
    <w:uiPriority w:val="99"/>
    <w:semiHidden/>
    <w:rsid w:val="00AD2A35"/>
  </w:style>
  <w:style w:type="character" w:customStyle="1" w:styleId="ui-provider">
    <w:name w:val="ui-provider"/>
    <w:basedOn w:val="DefaultParagraphFont"/>
    <w:rsid w:val="00167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isabledwomenireland@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familycarers.ie/media/2022/family-carers-ireland-state-of-caring-2020.pdf" TargetMode="External"/><Relationship Id="rId13" Type="http://schemas.openxmlformats.org/officeDocument/2006/relationships/hyperlink" Target="https://www.nwci.ie/download/pdf/disability.pdf" TargetMode="External"/><Relationship Id="rId18" Type="http://schemas.openxmlformats.org/officeDocument/2006/relationships/hyperlink" Target="https://safelives.org.uk/sites/default/files/resources/The-Unseen-Experiences-of-blind-and-partially-sighted-victims-of-DA.pdf" TargetMode="External"/><Relationship Id="rId26" Type="http://schemas.openxmlformats.org/officeDocument/2006/relationships/hyperlink" Target="https://disability-studies.leeds.ac.uk/wp-content/uploads/sites/40/library/Barnes-Chapter-12.pdf" TargetMode="External"/><Relationship Id="rId3" Type="http://schemas.openxmlformats.org/officeDocument/2006/relationships/hyperlink" Target="https://assets.gov.ie/18906/1120bc6ad254489db9571c74e8572f44.pdf" TargetMode="External"/><Relationship Id="rId21" Type="http://schemas.openxmlformats.org/officeDocument/2006/relationships/hyperlink" Target="https://pubmed.ncbi.nlm.nih.gov/27269007/" TargetMode="External"/><Relationship Id="rId7" Type="http://schemas.openxmlformats.org/officeDocument/2006/relationships/hyperlink" Target="https://www.cso.ie/en/releasesandpublications/ep/p-lfs/labourforcesurveyquarter22023/employment/" TargetMode="External"/><Relationship Id="rId12" Type="http://schemas.openxmlformats.org/officeDocument/2006/relationships/hyperlink" Target="https://www.oireachtas.ie/en/debates/question/2021-03-24/973/" TargetMode="External"/><Relationship Id="rId17" Type="http://schemas.openxmlformats.org/officeDocument/2006/relationships/hyperlink" Target="https://www.ul.ie/sites/default/files/equality-diversity-inclusion/Final_report_combined%20%283%29.pdf" TargetMode="External"/><Relationship Id="rId25" Type="http://schemas.openxmlformats.org/officeDocument/2006/relationships/hyperlink" Target="https://20ian81kynqg38bl3l3eh8bf-wpengine.netdna-ssl.com/wp-content/uploads/2019/02/Maher-et-al-Horizons-Research-Report.pdf" TargetMode="External"/><Relationship Id="rId2" Type="http://schemas.openxmlformats.org/officeDocument/2006/relationships/hyperlink" Target="https://www.gov.ie/en/publication/8072c0-national-disability-inclusion-strategy-2017-2021/" TargetMode="External"/><Relationship Id="rId16" Type="http://schemas.openxmlformats.org/officeDocument/2006/relationships/hyperlink" Target="https://www.esri.ie/publications/domestic-abuse-of-women-and-men-in-ireland-report-on-the-national-study-of-domestic" TargetMode="External"/><Relationship Id="rId20" Type="http://schemas.openxmlformats.org/officeDocument/2006/relationships/hyperlink" Target="https://aps.onlinelibrary.wiley.com/doi/abs/10.1080/00050069208257591" TargetMode="External"/><Relationship Id="rId29" Type="http://schemas.openxmlformats.org/officeDocument/2006/relationships/hyperlink" Target="https://www.gov.ie/pdf/?file=https://assets.gov.ie/76770/b142b216-f2ca-48e6-a551-79c208f1a247.pdf" TargetMode="External"/><Relationship Id="rId1" Type="http://schemas.openxmlformats.org/officeDocument/2006/relationships/hyperlink" Target="https://www.gov.ie/pdf/?file=https://assets.gov.ie/95975/bd524a60-e19f-44e8-80ce-9cdc58853403.pdf" TargetMode="External"/><Relationship Id="rId6" Type="http://schemas.openxmlformats.org/officeDocument/2006/relationships/hyperlink" Target="https://www.edf-feph.org/publications/human-rights-report-2023-the-right-to-work/" TargetMode="External"/><Relationship Id="rId11" Type="http://schemas.openxmlformats.org/officeDocument/2006/relationships/hyperlink" Target="https://assets.gov.ie/7268/48351e0c87ef4600a615494e152f1ba8.pdf" TargetMode="External"/><Relationship Id="rId24" Type="http://schemas.openxmlformats.org/officeDocument/2006/relationships/hyperlink" Target="https://www.tusla.ie/services/domestic-sexual-gender-based-violence/do-you-need-help/" TargetMode="External"/><Relationship Id="rId5" Type="http://schemas.openxmlformats.org/officeDocument/2006/relationships/hyperlink" Target="https://www.cso.ie/en/releasesandpublications/ep/p-silc/surveyonincomeandlivingconditionssilc2017/povertyanddeprivation" TargetMode="External"/><Relationship Id="rId15" Type="http://schemas.openxmlformats.org/officeDocument/2006/relationships/hyperlink" Target="https://www.irishtimes.com/news/social-affairs/known-abuser-lived-at-home-for-18-months-before-safeguarding-plan-was-produced-1.4753499" TargetMode="External"/><Relationship Id="rId23" Type="http://schemas.openxmlformats.org/officeDocument/2006/relationships/hyperlink" Target="https://www.tusla.ie/publications/review-of-accommodation-for-victims-of-domestic-violence/" TargetMode="External"/><Relationship Id="rId28" Type="http://schemas.openxmlformats.org/officeDocument/2006/relationships/hyperlink" Target="https://www.abortionrightscampaign.ie/wp-content/uploads/2021/09/Too-Many-Barriers-Report_ARC1.pdf" TargetMode="External"/><Relationship Id="rId10" Type="http://schemas.openxmlformats.org/officeDocument/2006/relationships/hyperlink" Target="https://www.gov.ie/en/publication/1d84e-the-cost-of-disability-in-ireland-research-report/" TargetMode="External"/><Relationship Id="rId19" Type="http://schemas.openxmlformats.org/officeDocument/2006/relationships/hyperlink" Target="https://aps.onlinelibrary.wiley.com/doi/abs/10.1080/00050069208257591" TargetMode="External"/><Relationship Id="rId4" Type="http://schemas.openxmlformats.org/officeDocument/2006/relationships/hyperlink" Target="https://ec.europa.eu/eurostat/en/web/products-eurostat-news/w/ddn-20221214-2" TargetMode="External"/><Relationship Id="rId9" Type="http://schemas.openxmlformats.org/officeDocument/2006/relationships/hyperlink" Target="https://assets.gov.ie/18906/1120bc6ad254489db9571c74e8572f44.pdf" TargetMode="External"/><Relationship Id="rId14" Type="http://schemas.openxmlformats.org/officeDocument/2006/relationships/hyperlink" Target="https://www.ombudsman.ie/publications/reports/wasted-lives/OMBWastedLives2021.pdf" TargetMode="External"/><Relationship Id="rId22" Type="http://schemas.openxmlformats.org/officeDocument/2006/relationships/hyperlink" Target="https://pubmed.ncbi.nlm.nih.gov/27269007/" TargetMode="External"/><Relationship Id="rId27" Type="http://schemas.openxmlformats.org/officeDocument/2006/relationships/hyperlink" Target="https://doi.org/10.1007/s10803-021-04963-4" TargetMode="External"/><Relationship Id="rId30" Type="http://schemas.openxmlformats.org/officeDocument/2006/relationships/hyperlink" Target="https://www.gov.ie/pdf/?file=https://assets.gov.ie/15758/e6c74742547a48428e4640e3596a3d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nxkFob8YygUx/KnW1EVw9b5lVw==">CgMxLjA4AHIhMXlKalhFWVdVS2ljM1F5VVJBc2ZQMXhrT3E5Y3l2QlVP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5247</Words>
  <Characters>29912</Characters>
  <Application>Microsoft Office Word</Application>
  <DocSecurity>0</DocSecurity>
  <Lines>249</Lines>
  <Paragraphs>70</Paragraphs>
  <ScaleCrop>false</ScaleCrop>
  <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 BHAILÍS, CLÍONA</dc:creator>
  <cp:lastModifiedBy>Caroline Harvey</cp:lastModifiedBy>
  <cp:revision>2</cp:revision>
  <dcterms:created xsi:type="dcterms:W3CDTF">2023-10-20T16:14:00Z</dcterms:created>
  <dcterms:modified xsi:type="dcterms:W3CDTF">2023-10-20T16:14:00Z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5454af7d86e611c6e99c7af1376ae86e7598b9a8e70578094c44cca4b3c54617</vt:lpwstr>
  </property>
</Properties>
</file>