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8C8AE" w14:textId="3F1993E6" w:rsidR="00DE048D" w:rsidRPr="002C74A2" w:rsidRDefault="002C74A2" w:rsidP="002C74A2">
      <w:pPr>
        <w:spacing w:before="249" w:after="0"/>
        <w:ind w:right="272"/>
        <w:jc w:val="center"/>
        <w:rPr>
          <w:rFonts w:cstheme="minorHAnsi"/>
          <w:sz w:val="48"/>
          <w:szCs w:val="48"/>
        </w:rPr>
      </w:pPr>
      <w:r w:rsidRPr="002C74A2">
        <w:rPr>
          <w:rFonts w:eastAsia="Times New Roman" w:cstheme="minorHAnsi"/>
          <w:b/>
          <w:sz w:val="48"/>
          <w:szCs w:val="48"/>
        </w:rPr>
        <w:t>R</w:t>
      </w:r>
      <w:r w:rsidR="00DE048D" w:rsidRPr="002C74A2">
        <w:rPr>
          <w:rFonts w:eastAsia="Times New Roman" w:cstheme="minorHAnsi"/>
          <w:b/>
          <w:sz w:val="48"/>
          <w:szCs w:val="48"/>
        </w:rPr>
        <w:t>EPORTE ALTERNATIVO</w:t>
      </w:r>
    </w:p>
    <w:p w14:paraId="5887A7C8" w14:textId="742CE7D2" w:rsidR="00DE048D" w:rsidRPr="002C74A2" w:rsidRDefault="00DE048D" w:rsidP="002C74A2">
      <w:pPr>
        <w:spacing w:after="0"/>
        <w:ind w:left="153"/>
        <w:jc w:val="center"/>
        <w:rPr>
          <w:rFonts w:cstheme="minorHAnsi"/>
          <w:sz w:val="24"/>
          <w:szCs w:val="24"/>
        </w:rPr>
      </w:pPr>
      <w:r w:rsidRPr="002C74A2">
        <w:rPr>
          <w:rFonts w:eastAsia="Arial" w:cstheme="minorHAnsi"/>
          <w:b/>
          <w:sz w:val="24"/>
          <w:szCs w:val="24"/>
        </w:rPr>
        <w:t>Sobre el cumplimiento del Estado de Guatemala de los compromisos de</w:t>
      </w:r>
    </w:p>
    <w:p w14:paraId="673C8510" w14:textId="2E99705C" w:rsidR="00DE048D" w:rsidRPr="002C74A2" w:rsidRDefault="00DE048D" w:rsidP="002C74A2">
      <w:pPr>
        <w:spacing w:after="151" w:line="250" w:lineRule="auto"/>
        <w:ind w:left="41" w:right="248"/>
        <w:jc w:val="center"/>
        <w:rPr>
          <w:rFonts w:cstheme="minorHAnsi"/>
          <w:sz w:val="24"/>
          <w:szCs w:val="24"/>
        </w:rPr>
      </w:pPr>
      <w:r w:rsidRPr="002C74A2">
        <w:rPr>
          <w:rFonts w:eastAsia="Times New Roman" w:cstheme="minorHAnsi"/>
          <w:b/>
          <w:sz w:val="24"/>
          <w:szCs w:val="24"/>
        </w:rPr>
        <w:t>La Convención sobre la eliminación de todas las formas de discriminación contra la mujer (CEDAW)</w:t>
      </w:r>
    </w:p>
    <w:p w14:paraId="17C995C0" w14:textId="515B9337" w:rsidR="00DE048D" w:rsidRPr="002C74A2" w:rsidRDefault="00DE048D" w:rsidP="00DE048D">
      <w:pPr>
        <w:spacing w:after="0"/>
        <w:ind w:right="200"/>
        <w:jc w:val="center"/>
        <w:rPr>
          <w:rFonts w:eastAsia="Comic Sans MS" w:cstheme="minorHAnsi"/>
          <w:sz w:val="24"/>
          <w:szCs w:val="24"/>
        </w:rPr>
      </w:pPr>
      <w:r w:rsidRPr="002C74A2">
        <w:rPr>
          <w:rFonts w:eastAsia="Comic Sans MS" w:cstheme="minorHAnsi"/>
          <w:sz w:val="24"/>
          <w:szCs w:val="24"/>
        </w:rPr>
        <w:t xml:space="preserve"> </w:t>
      </w:r>
    </w:p>
    <w:p w14:paraId="383D7C1C" w14:textId="2F1A9E5B" w:rsidR="002C74A2" w:rsidRDefault="002C74A2" w:rsidP="00DE048D">
      <w:pPr>
        <w:spacing w:after="0"/>
        <w:ind w:right="200"/>
        <w:jc w:val="center"/>
        <w:rPr>
          <w:rFonts w:eastAsia="Comic Sans MS" w:cstheme="minorHAnsi"/>
          <w:sz w:val="24"/>
          <w:szCs w:val="24"/>
        </w:rPr>
      </w:pPr>
      <w:r w:rsidRPr="002C74A2">
        <w:rPr>
          <w:rFonts w:eastAsia="Comic Sans MS" w:cstheme="minorHAnsi"/>
          <w:noProof/>
          <w:sz w:val="24"/>
          <w:szCs w:val="24"/>
        </w:rPr>
        <w:drawing>
          <wp:anchor distT="0" distB="0" distL="114300" distR="114300" simplePos="0" relativeHeight="251668480" behindDoc="1" locked="0" layoutInCell="1" allowOverlap="1" wp14:anchorId="2447BB2E" wp14:editId="7A545E2B">
            <wp:simplePos x="0" y="0"/>
            <wp:positionH relativeFrom="column">
              <wp:posOffset>1720215</wp:posOffset>
            </wp:positionH>
            <wp:positionV relativeFrom="paragraph">
              <wp:posOffset>55880</wp:posOffset>
            </wp:positionV>
            <wp:extent cx="2254250" cy="2254250"/>
            <wp:effectExtent l="0" t="0" r="0" b="0"/>
            <wp:wrapNone/>
            <wp:docPr id="873139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39388" name="Imagen 8731393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4250" cy="2254250"/>
                    </a:xfrm>
                    <a:prstGeom prst="rect">
                      <a:avLst/>
                    </a:prstGeom>
                  </pic:spPr>
                </pic:pic>
              </a:graphicData>
            </a:graphic>
          </wp:anchor>
        </w:drawing>
      </w:r>
    </w:p>
    <w:p w14:paraId="098854E0" w14:textId="26A4A43F" w:rsidR="002C74A2" w:rsidRDefault="002C74A2" w:rsidP="00DE048D">
      <w:pPr>
        <w:spacing w:after="0"/>
        <w:ind w:right="200"/>
        <w:jc w:val="center"/>
        <w:rPr>
          <w:rFonts w:eastAsia="Comic Sans MS" w:cstheme="minorHAnsi"/>
          <w:sz w:val="24"/>
          <w:szCs w:val="24"/>
        </w:rPr>
      </w:pPr>
    </w:p>
    <w:p w14:paraId="2CFF2CF9" w14:textId="2589E13E" w:rsidR="002C74A2" w:rsidRPr="002C74A2" w:rsidRDefault="002C74A2" w:rsidP="00DE048D">
      <w:pPr>
        <w:spacing w:after="0"/>
        <w:ind w:right="200"/>
        <w:jc w:val="center"/>
        <w:rPr>
          <w:rFonts w:eastAsia="Comic Sans MS" w:cstheme="minorHAnsi"/>
          <w:sz w:val="24"/>
          <w:szCs w:val="24"/>
        </w:rPr>
      </w:pPr>
    </w:p>
    <w:p w14:paraId="5A11904D" w14:textId="0C0CC8C9" w:rsidR="002C74A2" w:rsidRDefault="002C74A2" w:rsidP="002C74A2">
      <w:pPr>
        <w:spacing w:after="0"/>
        <w:ind w:right="200"/>
        <w:rPr>
          <w:rFonts w:eastAsia="Comic Sans MS" w:cstheme="minorHAnsi"/>
          <w:sz w:val="24"/>
          <w:szCs w:val="24"/>
        </w:rPr>
      </w:pPr>
    </w:p>
    <w:p w14:paraId="2330083E" w14:textId="6843A80E" w:rsidR="002C74A2" w:rsidRDefault="002C74A2" w:rsidP="002C74A2">
      <w:pPr>
        <w:spacing w:after="0"/>
        <w:ind w:right="200"/>
        <w:rPr>
          <w:rFonts w:eastAsia="Comic Sans MS" w:cstheme="minorHAnsi"/>
          <w:sz w:val="24"/>
          <w:szCs w:val="24"/>
        </w:rPr>
      </w:pPr>
    </w:p>
    <w:p w14:paraId="42CEFB08" w14:textId="77777777" w:rsidR="002C74A2" w:rsidRDefault="002C74A2" w:rsidP="002C74A2">
      <w:pPr>
        <w:spacing w:after="0"/>
        <w:ind w:right="200"/>
        <w:rPr>
          <w:rFonts w:eastAsia="Comic Sans MS" w:cstheme="minorHAnsi"/>
          <w:sz w:val="24"/>
          <w:szCs w:val="24"/>
        </w:rPr>
      </w:pPr>
    </w:p>
    <w:p w14:paraId="0FB54ADA" w14:textId="77777777" w:rsidR="002C74A2" w:rsidRDefault="002C74A2" w:rsidP="002C74A2">
      <w:pPr>
        <w:spacing w:after="0"/>
        <w:ind w:right="200"/>
        <w:rPr>
          <w:rFonts w:eastAsia="Comic Sans MS" w:cstheme="minorHAnsi"/>
          <w:sz w:val="24"/>
          <w:szCs w:val="24"/>
        </w:rPr>
      </w:pPr>
    </w:p>
    <w:p w14:paraId="1BB0FF96" w14:textId="6D244478" w:rsidR="002C74A2" w:rsidRDefault="002C74A2" w:rsidP="002C74A2">
      <w:pPr>
        <w:spacing w:after="0"/>
        <w:ind w:right="200"/>
        <w:rPr>
          <w:rFonts w:eastAsia="Comic Sans MS" w:cstheme="minorHAnsi"/>
          <w:sz w:val="24"/>
          <w:szCs w:val="24"/>
        </w:rPr>
      </w:pPr>
    </w:p>
    <w:p w14:paraId="5E35657C" w14:textId="77777777" w:rsidR="002C74A2" w:rsidRDefault="002C74A2" w:rsidP="002C74A2">
      <w:pPr>
        <w:spacing w:after="0"/>
        <w:ind w:right="200"/>
        <w:rPr>
          <w:rFonts w:eastAsia="Comic Sans MS" w:cstheme="minorHAnsi"/>
          <w:sz w:val="24"/>
          <w:szCs w:val="24"/>
        </w:rPr>
      </w:pPr>
    </w:p>
    <w:p w14:paraId="5F8A8C34" w14:textId="13B76B3C" w:rsidR="002C74A2" w:rsidRDefault="002C74A2" w:rsidP="002C74A2">
      <w:pPr>
        <w:spacing w:after="0"/>
        <w:ind w:right="200"/>
        <w:rPr>
          <w:rFonts w:eastAsia="Comic Sans MS" w:cstheme="minorHAnsi"/>
          <w:sz w:val="24"/>
          <w:szCs w:val="24"/>
        </w:rPr>
      </w:pPr>
    </w:p>
    <w:p w14:paraId="448E874F" w14:textId="37EE6F70" w:rsidR="002C74A2" w:rsidRDefault="002C74A2" w:rsidP="002C74A2">
      <w:pPr>
        <w:spacing w:after="0"/>
        <w:ind w:right="200"/>
        <w:rPr>
          <w:rFonts w:eastAsia="Comic Sans MS" w:cstheme="minorHAnsi"/>
          <w:sz w:val="24"/>
          <w:szCs w:val="24"/>
        </w:rPr>
      </w:pPr>
    </w:p>
    <w:p w14:paraId="666750CD" w14:textId="5A217274" w:rsidR="002C74A2" w:rsidRDefault="002C74A2" w:rsidP="002C74A2">
      <w:pPr>
        <w:spacing w:after="0"/>
        <w:ind w:right="200"/>
        <w:rPr>
          <w:rFonts w:eastAsia="Comic Sans MS" w:cstheme="minorHAnsi"/>
          <w:sz w:val="24"/>
          <w:szCs w:val="24"/>
        </w:rPr>
      </w:pPr>
    </w:p>
    <w:p w14:paraId="4F286456" w14:textId="3C4DA2B3" w:rsidR="002C74A2" w:rsidRPr="002C74A2" w:rsidRDefault="002C74A2" w:rsidP="002C74A2">
      <w:pPr>
        <w:spacing w:after="0"/>
        <w:ind w:right="200"/>
        <w:rPr>
          <w:rFonts w:eastAsia="Comic Sans MS" w:cstheme="minorHAnsi"/>
          <w:sz w:val="24"/>
          <w:szCs w:val="24"/>
        </w:rPr>
      </w:pPr>
    </w:p>
    <w:p w14:paraId="1C814F79" w14:textId="2FCFE7D2" w:rsidR="002C74A2" w:rsidRPr="002C74A2" w:rsidRDefault="002C74A2" w:rsidP="002C74A2">
      <w:pPr>
        <w:spacing w:after="0"/>
        <w:ind w:right="200"/>
        <w:rPr>
          <w:rFonts w:eastAsia="Comic Sans MS" w:cstheme="minorHAnsi"/>
          <w:b/>
          <w:bCs/>
          <w:sz w:val="24"/>
          <w:szCs w:val="24"/>
        </w:rPr>
      </w:pPr>
      <w:r w:rsidRPr="002C74A2">
        <w:rPr>
          <w:rFonts w:eastAsia="Comic Sans MS" w:cstheme="minorHAnsi"/>
          <w:b/>
          <w:bCs/>
          <w:sz w:val="24"/>
          <w:szCs w:val="24"/>
        </w:rPr>
        <w:t>En asociación con:</w:t>
      </w:r>
    </w:p>
    <w:p w14:paraId="6B17890F" w14:textId="096772A4" w:rsidR="002C74A2" w:rsidRPr="002C74A2" w:rsidRDefault="002C74A2" w:rsidP="002C74A2">
      <w:pPr>
        <w:spacing w:after="0"/>
        <w:ind w:right="200"/>
        <w:rPr>
          <w:rFonts w:eastAsia="Comic Sans MS" w:cstheme="minorHAnsi"/>
          <w:sz w:val="24"/>
          <w:szCs w:val="24"/>
        </w:rPr>
      </w:pPr>
      <w:r>
        <w:rPr>
          <w:rFonts w:eastAsia="Comic Sans MS" w:cstheme="minorHAnsi"/>
          <w:noProof/>
          <w:sz w:val="24"/>
          <w:szCs w:val="24"/>
        </w:rPr>
        <w:drawing>
          <wp:anchor distT="0" distB="0" distL="114300" distR="114300" simplePos="0" relativeHeight="251670528" behindDoc="1" locked="0" layoutInCell="1" allowOverlap="1" wp14:anchorId="0ADA5AAF" wp14:editId="37F2D7FA">
            <wp:simplePos x="0" y="0"/>
            <wp:positionH relativeFrom="column">
              <wp:posOffset>2253615</wp:posOffset>
            </wp:positionH>
            <wp:positionV relativeFrom="paragraph">
              <wp:posOffset>128270</wp:posOffset>
            </wp:positionV>
            <wp:extent cx="1157544" cy="1885950"/>
            <wp:effectExtent l="0" t="0" r="5080" b="0"/>
            <wp:wrapNone/>
            <wp:docPr id="17530054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05448" name="Imagen 17530054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7544" cy="1885950"/>
                    </a:xfrm>
                    <a:prstGeom prst="rect">
                      <a:avLst/>
                    </a:prstGeom>
                  </pic:spPr>
                </pic:pic>
              </a:graphicData>
            </a:graphic>
            <wp14:sizeRelH relativeFrom="margin">
              <wp14:pctWidth>0</wp14:pctWidth>
            </wp14:sizeRelH>
            <wp14:sizeRelV relativeFrom="margin">
              <wp14:pctHeight>0</wp14:pctHeight>
            </wp14:sizeRelV>
          </wp:anchor>
        </w:drawing>
      </w:r>
    </w:p>
    <w:p w14:paraId="5EBAB713" w14:textId="0BC8DAE6" w:rsidR="002C74A2" w:rsidRPr="002C74A2" w:rsidRDefault="002C74A2" w:rsidP="002C74A2">
      <w:pPr>
        <w:spacing w:after="0"/>
        <w:ind w:right="200"/>
        <w:rPr>
          <w:rFonts w:eastAsia="Comic Sans MS" w:cstheme="minorHAnsi"/>
          <w:sz w:val="24"/>
          <w:szCs w:val="24"/>
        </w:rPr>
      </w:pPr>
    </w:p>
    <w:p w14:paraId="0670D580" w14:textId="07C65061" w:rsidR="002C74A2" w:rsidRDefault="002C74A2" w:rsidP="002C74A2">
      <w:pPr>
        <w:spacing w:after="0"/>
        <w:ind w:right="200"/>
        <w:rPr>
          <w:rFonts w:eastAsia="Comic Sans MS" w:cstheme="minorHAnsi"/>
          <w:sz w:val="24"/>
          <w:szCs w:val="24"/>
        </w:rPr>
      </w:pPr>
    </w:p>
    <w:p w14:paraId="5A4FBC2B" w14:textId="0B4AD7F9" w:rsidR="002C74A2" w:rsidRDefault="002C74A2" w:rsidP="002C74A2">
      <w:pPr>
        <w:spacing w:after="0"/>
        <w:ind w:right="200"/>
        <w:rPr>
          <w:rFonts w:eastAsia="Comic Sans MS" w:cstheme="minorHAnsi"/>
          <w:sz w:val="24"/>
          <w:szCs w:val="24"/>
        </w:rPr>
      </w:pPr>
      <w:r>
        <w:rPr>
          <w:rFonts w:eastAsia="Comic Sans MS" w:cstheme="minorHAnsi"/>
          <w:noProof/>
          <w:sz w:val="24"/>
          <w:szCs w:val="24"/>
        </w:rPr>
        <w:drawing>
          <wp:anchor distT="0" distB="0" distL="114300" distR="114300" simplePos="0" relativeHeight="251667456" behindDoc="1" locked="0" layoutInCell="1" allowOverlap="1" wp14:anchorId="073D8119" wp14:editId="351A2964">
            <wp:simplePos x="0" y="0"/>
            <wp:positionH relativeFrom="column">
              <wp:posOffset>3733165</wp:posOffset>
            </wp:positionH>
            <wp:positionV relativeFrom="paragraph">
              <wp:posOffset>129540</wp:posOffset>
            </wp:positionV>
            <wp:extent cx="1974850" cy="727858"/>
            <wp:effectExtent l="0" t="0" r="6350" b="0"/>
            <wp:wrapNone/>
            <wp:docPr id="1421848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48678" name="Imagen 1421848678"/>
                    <pic:cNvPicPr/>
                  </pic:nvPicPr>
                  <pic:blipFill>
                    <a:blip r:embed="rId10">
                      <a:extLst>
                        <a:ext uri="{28A0092B-C50C-407E-A947-70E740481C1C}">
                          <a14:useLocalDpi xmlns:a14="http://schemas.microsoft.com/office/drawing/2010/main" val="0"/>
                        </a:ext>
                      </a:extLst>
                    </a:blip>
                    <a:stretch>
                      <a:fillRect/>
                    </a:stretch>
                  </pic:blipFill>
                  <pic:spPr>
                    <a:xfrm>
                      <a:off x="0" y="0"/>
                      <a:ext cx="1974850" cy="727858"/>
                    </a:xfrm>
                    <a:prstGeom prst="rect">
                      <a:avLst/>
                    </a:prstGeom>
                  </pic:spPr>
                </pic:pic>
              </a:graphicData>
            </a:graphic>
            <wp14:sizeRelH relativeFrom="margin">
              <wp14:pctWidth>0</wp14:pctWidth>
            </wp14:sizeRelH>
            <wp14:sizeRelV relativeFrom="margin">
              <wp14:pctHeight>0</wp14:pctHeight>
            </wp14:sizeRelV>
          </wp:anchor>
        </w:drawing>
      </w:r>
      <w:r>
        <w:rPr>
          <w:rFonts w:eastAsia="Comic Sans MS" w:cstheme="minorHAnsi"/>
          <w:noProof/>
          <w:sz w:val="24"/>
          <w:szCs w:val="24"/>
        </w:rPr>
        <w:drawing>
          <wp:anchor distT="0" distB="0" distL="114300" distR="114300" simplePos="0" relativeHeight="251669504" behindDoc="1" locked="0" layoutInCell="1" allowOverlap="1" wp14:anchorId="36869C8F" wp14:editId="70733EB1">
            <wp:simplePos x="0" y="0"/>
            <wp:positionH relativeFrom="column">
              <wp:posOffset>12065</wp:posOffset>
            </wp:positionH>
            <wp:positionV relativeFrom="paragraph">
              <wp:posOffset>39370</wp:posOffset>
            </wp:positionV>
            <wp:extent cx="1911350" cy="817245"/>
            <wp:effectExtent l="0" t="0" r="0" b="1905"/>
            <wp:wrapNone/>
            <wp:docPr id="19623240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24043" name="Imagen 19623240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1350" cy="817245"/>
                    </a:xfrm>
                    <a:prstGeom prst="rect">
                      <a:avLst/>
                    </a:prstGeom>
                  </pic:spPr>
                </pic:pic>
              </a:graphicData>
            </a:graphic>
            <wp14:sizeRelH relativeFrom="margin">
              <wp14:pctWidth>0</wp14:pctWidth>
            </wp14:sizeRelH>
            <wp14:sizeRelV relativeFrom="margin">
              <wp14:pctHeight>0</wp14:pctHeight>
            </wp14:sizeRelV>
          </wp:anchor>
        </w:drawing>
      </w:r>
    </w:p>
    <w:p w14:paraId="57B50688" w14:textId="73076E73" w:rsidR="002C74A2" w:rsidRDefault="002C74A2" w:rsidP="002C74A2">
      <w:pPr>
        <w:spacing w:after="0"/>
        <w:ind w:right="200"/>
        <w:rPr>
          <w:rFonts w:eastAsia="Comic Sans MS" w:cstheme="minorHAnsi"/>
          <w:sz w:val="24"/>
          <w:szCs w:val="24"/>
        </w:rPr>
      </w:pPr>
    </w:p>
    <w:p w14:paraId="6229BFAB" w14:textId="77777777" w:rsidR="002C74A2" w:rsidRDefault="002C74A2" w:rsidP="002C74A2">
      <w:pPr>
        <w:spacing w:after="0"/>
        <w:ind w:right="200"/>
        <w:rPr>
          <w:rFonts w:eastAsia="Comic Sans MS" w:cstheme="minorHAnsi"/>
          <w:sz w:val="24"/>
          <w:szCs w:val="24"/>
        </w:rPr>
      </w:pPr>
    </w:p>
    <w:p w14:paraId="166C9E34" w14:textId="77777777" w:rsidR="002C74A2" w:rsidRDefault="002C74A2" w:rsidP="002C74A2">
      <w:pPr>
        <w:spacing w:after="0"/>
        <w:ind w:right="200"/>
        <w:rPr>
          <w:rFonts w:eastAsia="Comic Sans MS" w:cstheme="minorHAnsi"/>
          <w:sz w:val="24"/>
          <w:szCs w:val="24"/>
        </w:rPr>
      </w:pPr>
    </w:p>
    <w:p w14:paraId="2A62797E" w14:textId="77777777" w:rsidR="002C74A2" w:rsidRDefault="002C74A2" w:rsidP="002C74A2">
      <w:pPr>
        <w:spacing w:after="0"/>
        <w:ind w:right="200"/>
        <w:rPr>
          <w:rFonts w:eastAsia="Comic Sans MS" w:cstheme="minorHAnsi"/>
          <w:sz w:val="24"/>
          <w:szCs w:val="24"/>
        </w:rPr>
      </w:pPr>
    </w:p>
    <w:p w14:paraId="6D63C515" w14:textId="77777777" w:rsidR="002C74A2" w:rsidRDefault="002C74A2" w:rsidP="002C74A2">
      <w:pPr>
        <w:spacing w:after="0"/>
        <w:ind w:right="200"/>
        <w:rPr>
          <w:rFonts w:eastAsia="Comic Sans MS" w:cstheme="minorHAnsi"/>
          <w:sz w:val="24"/>
          <w:szCs w:val="24"/>
        </w:rPr>
      </w:pPr>
    </w:p>
    <w:p w14:paraId="5C321C6B" w14:textId="77777777" w:rsidR="002C74A2" w:rsidRDefault="002C74A2" w:rsidP="002C74A2">
      <w:pPr>
        <w:spacing w:after="0"/>
        <w:ind w:right="200"/>
        <w:rPr>
          <w:rFonts w:eastAsia="Comic Sans MS" w:cstheme="minorHAnsi"/>
          <w:sz w:val="24"/>
          <w:szCs w:val="24"/>
        </w:rPr>
      </w:pPr>
    </w:p>
    <w:p w14:paraId="059D7DA1" w14:textId="77777777" w:rsidR="002C74A2" w:rsidRDefault="002C74A2" w:rsidP="002C74A2">
      <w:pPr>
        <w:spacing w:after="0"/>
        <w:ind w:right="200"/>
        <w:rPr>
          <w:rFonts w:eastAsia="Comic Sans MS" w:cstheme="minorHAnsi"/>
          <w:sz w:val="24"/>
          <w:szCs w:val="24"/>
        </w:rPr>
      </w:pPr>
    </w:p>
    <w:p w14:paraId="5D4DDE80" w14:textId="77777777" w:rsidR="002C74A2" w:rsidRDefault="002C74A2" w:rsidP="002C74A2">
      <w:pPr>
        <w:spacing w:after="0"/>
        <w:ind w:right="200"/>
        <w:rPr>
          <w:rFonts w:eastAsia="Comic Sans MS" w:cstheme="minorHAnsi"/>
          <w:sz w:val="24"/>
          <w:szCs w:val="24"/>
        </w:rPr>
      </w:pPr>
    </w:p>
    <w:p w14:paraId="18DEE6CE" w14:textId="77777777" w:rsidR="002C74A2" w:rsidRDefault="002C74A2" w:rsidP="002C74A2">
      <w:pPr>
        <w:spacing w:after="0"/>
        <w:ind w:right="200"/>
        <w:rPr>
          <w:rFonts w:eastAsia="Comic Sans MS" w:cstheme="minorHAnsi"/>
          <w:sz w:val="24"/>
          <w:szCs w:val="24"/>
        </w:rPr>
      </w:pPr>
    </w:p>
    <w:p w14:paraId="240FFBBA" w14:textId="77777777" w:rsidR="002C74A2" w:rsidRDefault="002C74A2" w:rsidP="002C74A2">
      <w:pPr>
        <w:spacing w:after="0"/>
        <w:ind w:right="200"/>
        <w:rPr>
          <w:rFonts w:eastAsia="Comic Sans MS" w:cstheme="minorHAnsi"/>
          <w:sz w:val="24"/>
          <w:szCs w:val="24"/>
        </w:rPr>
      </w:pPr>
    </w:p>
    <w:p w14:paraId="619B6AF8" w14:textId="77777777" w:rsidR="002C74A2" w:rsidRDefault="002C74A2" w:rsidP="002C74A2">
      <w:pPr>
        <w:spacing w:after="0"/>
        <w:ind w:right="200"/>
        <w:rPr>
          <w:rFonts w:eastAsia="Comic Sans MS" w:cstheme="minorHAnsi"/>
          <w:sz w:val="24"/>
          <w:szCs w:val="24"/>
        </w:rPr>
      </w:pPr>
    </w:p>
    <w:p w14:paraId="6FA7AFDD" w14:textId="77777777" w:rsidR="002C74A2" w:rsidRDefault="002C74A2" w:rsidP="002C74A2">
      <w:pPr>
        <w:spacing w:after="0"/>
        <w:ind w:right="200"/>
        <w:rPr>
          <w:rFonts w:eastAsia="Comic Sans MS" w:cstheme="minorHAnsi"/>
          <w:sz w:val="24"/>
          <w:szCs w:val="24"/>
        </w:rPr>
      </w:pPr>
    </w:p>
    <w:p w14:paraId="1E39369A" w14:textId="77777777" w:rsidR="002C74A2" w:rsidRDefault="002C74A2" w:rsidP="002C74A2">
      <w:pPr>
        <w:spacing w:after="0"/>
        <w:ind w:right="200"/>
        <w:rPr>
          <w:rFonts w:eastAsia="Comic Sans MS" w:cstheme="minorHAnsi"/>
          <w:sz w:val="24"/>
          <w:szCs w:val="24"/>
        </w:rPr>
      </w:pPr>
    </w:p>
    <w:p w14:paraId="3409D4A7" w14:textId="2FE5AD8D" w:rsidR="00DE048D" w:rsidRPr="002C74A2" w:rsidRDefault="00DE048D" w:rsidP="00DE048D">
      <w:pPr>
        <w:spacing w:after="0"/>
        <w:ind w:right="188"/>
        <w:jc w:val="center"/>
        <w:rPr>
          <w:rFonts w:cstheme="minorHAnsi"/>
          <w:sz w:val="24"/>
          <w:szCs w:val="24"/>
        </w:rPr>
      </w:pPr>
    </w:p>
    <w:p w14:paraId="7F85A209" w14:textId="193FBEB6" w:rsidR="00DE048D" w:rsidRPr="002C74A2" w:rsidRDefault="00DE048D" w:rsidP="002C74A2">
      <w:pPr>
        <w:spacing w:after="0" w:line="217" w:lineRule="auto"/>
        <w:ind w:right="4083" w:firstLine="4257"/>
        <w:rPr>
          <w:rFonts w:cstheme="minorHAnsi"/>
          <w:sz w:val="24"/>
          <w:szCs w:val="24"/>
        </w:rPr>
      </w:pPr>
      <w:r w:rsidRPr="002C74A2">
        <w:rPr>
          <w:rFonts w:eastAsia="Comic Sans MS" w:cstheme="minorHAnsi"/>
          <w:color w:val="800080"/>
          <w:sz w:val="24"/>
          <w:szCs w:val="24"/>
        </w:rPr>
        <w:t xml:space="preserve"> </w:t>
      </w:r>
    </w:p>
    <w:p w14:paraId="44A63FAF" w14:textId="5A19598D" w:rsidR="00DE048D" w:rsidRPr="002C74A2" w:rsidRDefault="00DE048D" w:rsidP="00DE048D">
      <w:pPr>
        <w:spacing w:after="0"/>
        <w:ind w:right="273"/>
        <w:jc w:val="center"/>
        <w:rPr>
          <w:rFonts w:cstheme="minorHAnsi"/>
          <w:sz w:val="24"/>
          <w:szCs w:val="24"/>
        </w:rPr>
      </w:pPr>
      <w:r w:rsidRPr="002C74A2">
        <w:rPr>
          <w:rFonts w:eastAsia="Arial" w:cstheme="minorHAnsi"/>
          <w:sz w:val="24"/>
          <w:szCs w:val="24"/>
        </w:rPr>
        <w:t xml:space="preserve">Guatemala, </w:t>
      </w:r>
      <w:r w:rsidR="002C74A2">
        <w:rPr>
          <w:rFonts w:eastAsia="Arial" w:cstheme="minorHAnsi"/>
          <w:sz w:val="24"/>
          <w:szCs w:val="24"/>
        </w:rPr>
        <w:t>septiembre 2023.</w:t>
      </w:r>
      <w:r w:rsidRPr="002C74A2">
        <w:rPr>
          <w:rFonts w:eastAsia="Arial" w:cstheme="minorHAnsi"/>
          <w:sz w:val="24"/>
          <w:szCs w:val="24"/>
        </w:rPr>
        <w:t xml:space="preserve"> </w:t>
      </w:r>
    </w:p>
    <w:p w14:paraId="38E605B3" w14:textId="77777777" w:rsidR="00DE048D" w:rsidRPr="002C74A2" w:rsidRDefault="00DE048D" w:rsidP="00DE048D">
      <w:pPr>
        <w:spacing w:after="17"/>
        <w:ind w:left="4274"/>
        <w:rPr>
          <w:rFonts w:cstheme="minorHAnsi"/>
          <w:sz w:val="24"/>
          <w:szCs w:val="24"/>
        </w:rPr>
      </w:pPr>
      <w:r w:rsidRPr="002C74A2">
        <w:rPr>
          <w:rFonts w:eastAsia="Arial" w:cstheme="minorHAnsi"/>
          <w:sz w:val="24"/>
          <w:szCs w:val="24"/>
        </w:rPr>
        <w:lastRenderedPageBreak/>
        <w:t xml:space="preserve"> </w:t>
      </w:r>
    </w:p>
    <w:p w14:paraId="6B7577CB" w14:textId="77777777" w:rsidR="00DE048D" w:rsidRPr="002C74A2" w:rsidRDefault="00DE048D" w:rsidP="00DE048D">
      <w:pPr>
        <w:spacing w:after="0"/>
        <w:ind w:left="23"/>
        <w:rPr>
          <w:rFonts w:cstheme="minorHAnsi"/>
          <w:sz w:val="24"/>
          <w:szCs w:val="24"/>
        </w:rPr>
      </w:pPr>
      <w:r w:rsidRPr="002C74A2">
        <w:rPr>
          <w:rFonts w:eastAsia="Arial" w:cstheme="minorHAnsi"/>
          <w:b/>
          <w:color w:val="FFFFFF"/>
          <w:sz w:val="24"/>
          <w:szCs w:val="24"/>
        </w:rPr>
        <w:t xml:space="preserve"> </w:t>
      </w:r>
    </w:p>
    <w:p w14:paraId="1481A9CC" w14:textId="77777777" w:rsidR="00DE048D" w:rsidRPr="002C74A2" w:rsidRDefault="00DE048D" w:rsidP="00DE048D">
      <w:pPr>
        <w:spacing w:after="14"/>
        <w:ind w:left="4274"/>
        <w:rPr>
          <w:rFonts w:cstheme="minorHAnsi"/>
          <w:sz w:val="24"/>
          <w:szCs w:val="24"/>
        </w:rPr>
      </w:pPr>
      <w:r w:rsidRPr="002C74A2">
        <w:rPr>
          <w:rFonts w:eastAsia="Times New Roman" w:cstheme="minorHAnsi"/>
          <w:b/>
          <w:sz w:val="24"/>
          <w:szCs w:val="24"/>
        </w:rPr>
        <w:t xml:space="preserve"> </w:t>
      </w:r>
    </w:p>
    <w:p w14:paraId="54A5A062" w14:textId="1666915A" w:rsidR="00DE048D" w:rsidRDefault="00DE048D" w:rsidP="00DE048D">
      <w:pPr>
        <w:spacing w:after="0"/>
        <w:ind w:left="23"/>
        <w:rPr>
          <w:rFonts w:cstheme="minorHAnsi"/>
          <w:sz w:val="24"/>
          <w:szCs w:val="24"/>
        </w:rPr>
      </w:pPr>
    </w:p>
    <w:p w14:paraId="39FB2CF8" w14:textId="77777777" w:rsidR="009D0BCB" w:rsidRPr="002C74A2" w:rsidRDefault="009D0BCB" w:rsidP="00DE048D">
      <w:pPr>
        <w:spacing w:after="0"/>
        <w:ind w:left="23"/>
        <w:rPr>
          <w:rFonts w:cstheme="minorHAnsi"/>
          <w:sz w:val="24"/>
          <w:szCs w:val="24"/>
        </w:rPr>
      </w:pPr>
    </w:p>
    <w:p w14:paraId="7106A7F0" w14:textId="77777777" w:rsidR="00DE048D" w:rsidRDefault="00DE048D" w:rsidP="00DE048D">
      <w:pPr>
        <w:spacing w:after="0"/>
        <w:ind w:left="23"/>
        <w:rPr>
          <w:rFonts w:eastAsia="Times New Roman" w:cstheme="minorHAnsi"/>
          <w:b/>
          <w:sz w:val="24"/>
          <w:szCs w:val="24"/>
        </w:rPr>
      </w:pPr>
      <w:r w:rsidRPr="002C74A2">
        <w:rPr>
          <w:rFonts w:eastAsia="Times New Roman" w:cstheme="minorHAnsi"/>
          <w:b/>
          <w:sz w:val="24"/>
          <w:szCs w:val="24"/>
        </w:rPr>
        <w:t xml:space="preserve"> </w:t>
      </w:r>
    </w:p>
    <w:sdt>
      <w:sdtPr>
        <w:rPr>
          <w:rFonts w:asciiTheme="minorHAnsi" w:eastAsiaTheme="minorHAnsi" w:hAnsiTheme="minorHAnsi" w:cstheme="minorBidi"/>
          <w:color w:val="auto"/>
          <w:kern w:val="2"/>
          <w:sz w:val="22"/>
          <w:szCs w:val="22"/>
          <w:lang w:val="es-ES" w:eastAsia="en-US" w:bidi="ar-SA"/>
          <w14:ligatures w14:val="standardContextual"/>
        </w:rPr>
        <w:id w:val="1783838860"/>
        <w:docPartObj>
          <w:docPartGallery w:val="Table of Contents"/>
          <w:docPartUnique/>
        </w:docPartObj>
      </w:sdtPr>
      <w:sdtEndPr>
        <w:rPr>
          <w:b/>
          <w:bCs/>
        </w:rPr>
      </w:sdtEndPr>
      <w:sdtContent>
        <w:p w14:paraId="0DAECAD3" w14:textId="3893BA80" w:rsidR="002C74A2" w:rsidRDefault="002C74A2" w:rsidP="009D0BCB">
          <w:pPr>
            <w:pStyle w:val="TtuloTDC"/>
            <w:jc w:val="center"/>
            <w:rPr>
              <w:lang w:val="es-ES"/>
            </w:rPr>
          </w:pPr>
          <w:r>
            <w:rPr>
              <w:lang w:val="es-ES"/>
            </w:rPr>
            <w:t>INDICE DE CONTENIDO</w:t>
          </w:r>
        </w:p>
        <w:p w14:paraId="445420F0" w14:textId="77777777" w:rsidR="009D0BCB" w:rsidRPr="009D0BCB" w:rsidRDefault="009D0BCB" w:rsidP="009D0BCB">
          <w:pPr>
            <w:rPr>
              <w:lang w:val="es-ES" w:eastAsia="es-GT" w:bidi="ml-IN"/>
            </w:rPr>
          </w:pPr>
        </w:p>
        <w:p w14:paraId="16DB7DF1" w14:textId="40B94740" w:rsidR="00445321" w:rsidRDefault="002C74A2">
          <w:pPr>
            <w:pStyle w:val="TDC1"/>
            <w:tabs>
              <w:tab w:val="right" w:leader="dot" w:pos="8828"/>
            </w:tabs>
            <w:rPr>
              <w:rFonts w:eastAsiaTheme="minorEastAsia" w:cs="Arial Unicode MS"/>
              <w:noProof/>
              <w:lang w:eastAsia="es-GT" w:bidi="ml-IN"/>
            </w:rPr>
          </w:pPr>
          <w:r>
            <w:fldChar w:fldCharType="begin"/>
          </w:r>
          <w:r>
            <w:instrText xml:space="preserve"> TOC \o "1-3" \h \z \u </w:instrText>
          </w:r>
          <w:r>
            <w:fldChar w:fldCharType="separate"/>
          </w:r>
          <w:hyperlink w:anchor="_Toc144980977" w:history="1">
            <w:r w:rsidR="00445321" w:rsidRPr="00FA4A50">
              <w:rPr>
                <w:rStyle w:val="Hipervnculo"/>
                <w:rFonts w:eastAsia="Times New Roman"/>
                <w:noProof/>
              </w:rPr>
              <w:t>CAPITULO I. CONTEXTO GENERAL</w:t>
            </w:r>
            <w:r w:rsidR="00445321">
              <w:rPr>
                <w:noProof/>
                <w:webHidden/>
              </w:rPr>
              <w:tab/>
            </w:r>
            <w:r w:rsidR="00445321">
              <w:rPr>
                <w:noProof/>
                <w:webHidden/>
              </w:rPr>
              <w:fldChar w:fldCharType="begin"/>
            </w:r>
            <w:r w:rsidR="00445321">
              <w:rPr>
                <w:noProof/>
                <w:webHidden/>
              </w:rPr>
              <w:instrText xml:space="preserve"> PAGEREF _Toc144980977 \h </w:instrText>
            </w:r>
            <w:r w:rsidR="00445321">
              <w:rPr>
                <w:noProof/>
                <w:webHidden/>
              </w:rPr>
            </w:r>
            <w:r w:rsidR="00445321">
              <w:rPr>
                <w:noProof/>
                <w:webHidden/>
              </w:rPr>
              <w:fldChar w:fldCharType="separate"/>
            </w:r>
            <w:r w:rsidR="00445321">
              <w:rPr>
                <w:noProof/>
                <w:webHidden/>
              </w:rPr>
              <w:t>3</w:t>
            </w:r>
            <w:r w:rsidR="00445321">
              <w:rPr>
                <w:noProof/>
                <w:webHidden/>
              </w:rPr>
              <w:fldChar w:fldCharType="end"/>
            </w:r>
          </w:hyperlink>
        </w:p>
        <w:p w14:paraId="7D7B4C4E" w14:textId="14DE49B4" w:rsidR="00445321" w:rsidRDefault="00445321">
          <w:pPr>
            <w:pStyle w:val="TDC2"/>
            <w:tabs>
              <w:tab w:val="right" w:leader="dot" w:pos="8828"/>
            </w:tabs>
            <w:rPr>
              <w:rFonts w:eastAsiaTheme="minorEastAsia" w:cs="Arial Unicode MS"/>
              <w:noProof/>
              <w:lang w:eastAsia="es-GT" w:bidi="ml-IN"/>
            </w:rPr>
          </w:pPr>
          <w:hyperlink w:anchor="_Toc144980978" w:history="1">
            <w:r w:rsidRPr="00FA4A50">
              <w:rPr>
                <w:rStyle w:val="Hipervnculo"/>
                <w:noProof/>
              </w:rPr>
              <w:t>Correlación mujeres trans y otros Pactos internacionales</w:t>
            </w:r>
            <w:r>
              <w:rPr>
                <w:noProof/>
                <w:webHidden/>
              </w:rPr>
              <w:tab/>
            </w:r>
            <w:r>
              <w:rPr>
                <w:noProof/>
                <w:webHidden/>
              </w:rPr>
              <w:fldChar w:fldCharType="begin"/>
            </w:r>
            <w:r>
              <w:rPr>
                <w:noProof/>
                <w:webHidden/>
              </w:rPr>
              <w:instrText xml:space="preserve"> PAGEREF _Toc144980978 \h </w:instrText>
            </w:r>
            <w:r>
              <w:rPr>
                <w:noProof/>
                <w:webHidden/>
              </w:rPr>
            </w:r>
            <w:r>
              <w:rPr>
                <w:noProof/>
                <w:webHidden/>
              </w:rPr>
              <w:fldChar w:fldCharType="separate"/>
            </w:r>
            <w:r>
              <w:rPr>
                <w:noProof/>
                <w:webHidden/>
              </w:rPr>
              <w:t>3</w:t>
            </w:r>
            <w:r>
              <w:rPr>
                <w:noProof/>
                <w:webHidden/>
              </w:rPr>
              <w:fldChar w:fldCharType="end"/>
            </w:r>
          </w:hyperlink>
        </w:p>
        <w:p w14:paraId="7E2B50A8" w14:textId="7E5E5FF6" w:rsidR="00445321" w:rsidRDefault="00445321">
          <w:pPr>
            <w:pStyle w:val="TDC1"/>
            <w:tabs>
              <w:tab w:val="right" w:leader="dot" w:pos="8828"/>
            </w:tabs>
            <w:rPr>
              <w:rFonts w:eastAsiaTheme="minorEastAsia" w:cs="Arial Unicode MS"/>
              <w:noProof/>
              <w:lang w:eastAsia="es-GT" w:bidi="ml-IN"/>
            </w:rPr>
          </w:pPr>
          <w:hyperlink w:anchor="_Toc144980979" w:history="1">
            <w:r w:rsidRPr="00FA4A50">
              <w:rPr>
                <w:rStyle w:val="Hipervnculo"/>
                <w:rFonts w:eastAsia="Times New Roman"/>
                <w:noProof/>
              </w:rPr>
              <w:t>CAPÍTULO II.  CUMPLIMIENTO DE LA CEDAW</w:t>
            </w:r>
            <w:r>
              <w:rPr>
                <w:noProof/>
                <w:webHidden/>
              </w:rPr>
              <w:tab/>
            </w:r>
            <w:r>
              <w:rPr>
                <w:noProof/>
                <w:webHidden/>
              </w:rPr>
              <w:fldChar w:fldCharType="begin"/>
            </w:r>
            <w:r>
              <w:rPr>
                <w:noProof/>
                <w:webHidden/>
              </w:rPr>
              <w:instrText xml:space="preserve"> PAGEREF _Toc144980979 \h </w:instrText>
            </w:r>
            <w:r>
              <w:rPr>
                <w:noProof/>
                <w:webHidden/>
              </w:rPr>
            </w:r>
            <w:r>
              <w:rPr>
                <w:noProof/>
                <w:webHidden/>
              </w:rPr>
              <w:fldChar w:fldCharType="separate"/>
            </w:r>
            <w:r>
              <w:rPr>
                <w:noProof/>
                <w:webHidden/>
              </w:rPr>
              <w:t>4</w:t>
            </w:r>
            <w:r>
              <w:rPr>
                <w:noProof/>
                <w:webHidden/>
              </w:rPr>
              <w:fldChar w:fldCharType="end"/>
            </w:r>
          </w:hyperlink>
        </w:p>
        <w:p w14:paraId="5EC234D7" w14:textId="56E6E11B" w:rsidR="00445321" w:rsidRDefault="00445321">
          <w:pPr>
            <w:pStyle w:val="TDC2"/>
            <w:tabs>
              <w:tab w:val="right" w:leader="dot" w:pos="8828"/>
            </w:tabs>
            <w:rPr>
              <w:rFonts w:eastAsiaTheme="minorEastAsia" w:cs="Arial Unicode MS"/>
              <w:noProof/>
              <w:lang w:eastAsia="es-GT" w:bidi="ml-IN"/>
            </w:rPr>
          </w:pPr>
          <w:hyperlink w:anchor="_Toc144980980" w:history="1">
            <w:r w:rsidRPr="00FA4A50">
              <w:rPr>
                <w:rStyle w:val="Hipervnculo"/>
                <w:bCs/>
                <w:i/>
                <w:iCs/>
                <w:noProof/>
              </w:rPr>
              <w:t>Falta de reconocimiento de la ley de identidad de género</w:t>
            </w:r>
            <w:r>
              <w:rPr>
                <w:noProof/>
                <w:webHidden/>
              </w:rPr>
              <w:tab/>
            </w:r>
            <w:r>
              <w:rPr>
                <w:noProof/>
                <w:webHidden/>
              </w:rPr>
              <w:fldChar w:fldCharType="begin"/>
            </w:r>
            <w:r>
              <w:rPr>
                <w:noProof/>
                <w:webHidden/>
              </w:rPr>
              <w:instrText xml:space="preserve"> PAGEREF _Toc144980980 \h </w:instrText>
            </w:r>
            <w:r>
              <w:rPr>
                <w:noProof/>
                <w:webHidden/>
              </w:rPr>
            </w:r>
            <w:r>
              <w:rPr>
                <w:noProof/>
                <w:webHidden/>
              </w:rPr>
              <w:fldChar w:fldCharType="separate"/>
            </w:r>
            <w:r>
              <w:rPr>
                <w:noProof/>
                <w:webHidden/>
              </w:rPr>
              <w:t>4</w:t>
            </w:r>
            <w:r>
              <w:rPr>
                <w:noProof/>
                <w:webHidden/>
              </w:rPr>
              <w:fldChar w:fldCharType="end"/>
            </w:r>
          </w:hyperlink>
        </w:p>
        <w:p w14:paraId="5B720707" w14:textId="7257D17F" w:rsidR="00445321" w:rsidRDefault="00445321">
          <w:pPr>
            <w:pStyle w:val="TDC2"/>
            <w:tabs>
              <w:tab w:val="right" w:leader="dot" w:pos="8828"/>
            </w:tabs>
            <w:rPr>
              <w:rFonts w:eastAsiaTheme="minorEastAsia" w:cs="Arial Unicode MS"/>
              <w:noProof/>
              <w:lang w:eastAsia="es-GT" w:bidi="ml-IN"/>
            </w:rPr>
          </w:pPr>
          <w:hyperlink w:anchor="_Toc144980981" w:history="1">
            <w:r w:rsidRPr="00FA4A50">
              <w:rPr>
                <w:rStyle w:val="Hipervnculo"/>
                <w:rFonts w:cstheme="minorHAnsi"/>
                <w:bCs/>
                <w:i/>
                <w:iCs/>
                <w:noProof/>
              </w:rPr>
              <w:t>Violencia social de carácter continuo contra mujeres trans</w:t>
            </w:r>
            <w:r>
              <w:rPr>
                <w:noProof/>
                <w:webHidden/>
              </w:rPr>
              <w:tab/>
            </w:r>
            <w:r>
              <w:rPr>
                <w:noProof/>
                <w:webHidden/>
              </w:rPr>
              <w:fldChar w:fldCharType="begin"/>
            </w:r>
            <w:r>
              <w:rPr>
                <w:noProof/>
                <w:webHidden/>
              </w:rPr>
              <w:instrText xml:space="preserve"> PAGEREF _Toc144980981 \h </w:instrText>
            </w:r>
            <w:r>
              <w:rPr>
                <w:noProof/>
                <w:webHidden/>
              </w:rPr>
            </w:r>
            <w:r>
              <w:rPr>
                <w:noProof/>
                <w:webHidden/>
              </w:rPr>
              <w:fldChar w:fldCharType="separate"/>
            </w:r>
            <w:r>
              <w:rPr>
                <w:noProof/>
                <w:webHidden/>
              </w:rPr>
              <w:t>8</w:t>
            </w:r>
            <w:r>
              <w:rPr>
                <w:noProof/>
                <w:webHidden/>
              </w:rPr>
              <w:fldChar w:fldCharType="end"/>
            </w:r>
          </w:hyperlink>
        </w:p>
        <w:p w14:paraId="4084791A" w14:textId="5E021FB2" w:rsidR="00445321" w:rsidRDefault="00445321">
          <w:pPr>
            <w:pStyle w:val="TDC2"/>
            <w:tabs>
              <w:tab w:val="right" w:leader="dot" w:pos="8828"/>
            </w:tabs>
            <w:rPr>
              <w:rFonts w:eastAsiaTheme="minorEastAsia" w:cs="Arial Unicode MS"/>
              <w:noProof/>
              <w:lang w:eastAsia="es-GT" w:bidi="ml-IN"/>
            </w:rPr>
          </w:pPr>
          <w:hyperlink w:anchor="_Toc144980982" w:history="1">
            <w:r w:rsidRPr="00FA4A50">
              <w:rPr>
                <w:rStyle w:val="Hipervnculo"/>
                <w:bCs/>
                <w:i/>
                <w:iCs/>
                <w:noProof/>
              </w:rPr>
              <w:t>Acceso a la justicia para mujeres trans</w:t>
            </w:r>
            <w:r>
              <w:rPr>
                <w:noProof/>
                <w:webHidden/>
              </w:rPr>
              <w:tab/>
            </w:r>
            <w:r>
              <w:rPr>
                <w:noProof/>
                <w:webHidden/>
              </w:rPr>
              <w:fldChar w:fldCharType="begin"/>
            </w:r>
            <w:r>
              <w:rPr>
                <w:noProof/>
                <w:webHidden/>
              </w:rPr>
              <w:instrText xml:space="preserve"> PAGEREF _Toc144980982 \h </w:instrText>
            </w:r>
            <w:r>
              <w:rPr>
                <w:noProof/>
                <w:webHidden/>
              </w:rPr>
            </w:r>
            <w:r>
              <w:rPr>
                <w:noProof/>
                <w:webHidden/>
              </w:rPr>
              <w:fldChar w:fldCharType="separate"/>
            </w:r>
            <w:r>
              <w:rPr>
                <w:noProof/>
                <w:webHidden/>
              </w:rPr>
              <w:t>10</w:t>
            </w:r>
            <w:r>
              <w:rPr>
                <w:noProof/>
                <w:webHidden/>
              </w:rPr>
              <w:fldChar w:fldCharType="end"/>
            </w:r>
          </w:hyperlink>
        </w:p>
        <w:p w14:paraId="3526A0F4" w14:textId="79C5A7B8" w:rsidR="00445321" w:rsidRDefault="00445321">
          <w:pPr>
            <w:pStyle w:val="TDC2"/>
            <w:tabs>
              <w:tab w:val="right" w:leader="dot" w:pos="8828"/>
            </w:tabs>
            <w:rPr>
              <w:rFonts w:eastAsiaTheme="minorEastAsia" w:cs="Arial Unicode MS"/>
              <w:noProof/>
              <w:lang w:eastAsia="es-GT" w:bidi="ml-IN"/>
            </w:rPr>
          </w:pPr>
          <w:hyperlink w:anchor="_Toc144980983" w:history="1">
            <w:r w:rsidRPr="00FA4A50">
              <w:rPr>
                <w:rStyle w:val="Hipervnculo"/>
                <w:bCs/>
                <w:i/>
                <w:iCs/>
                <w:noProof/>
              </w:rPr>
              <w:t>Derecho de las mujeres trans a la salud</w:t>
            </w:r>
            <w:r>
              <w:rPr>
                <w:noProof/>
                <w:webHidden/>
              </w:rPr>
              <w:tab/>
            </w:r>
            <w:r>
              <w:rPr>
                <w:noProof/>
                <w:webHidden/>
              </w:rPr>
              <w:fldChar w:fldCharType="begin"/>
            </w:r>
            <w:r>
              <w:rPr>
                <w:noProof/>
                <w:webHidden/>
              </w:rPr>
              <w:instrText xml:space="preserve"> PAGEREF _Toc144980983 \h </w:instrText>
            </w:r>
            <w:r>
              <w:rPr>
                <w:noProof/>
                <w:webHidden/>
              </w:rPr>
            </w:r>
            <w:r>
              <w:rPr>
                <w:noProof/>
                <w:webHidden/>
              </w:rPr>
              <w:fldChar w:fldCharType="separate"/>
            </w:r>
            <w:r>
              <w:rPr>
                <w:noProof/>
                <w:webHidden/>
              </w:rPr>
              <w:t>11</w:t>
            </w:r>
            <w:r>
              <w:rPr>
                <w:noProof/>
                <w:webHidden/>
              </w:rPr>
              <w:fldChar w:fldCharType="end"/>
            </w:r>
          </w:hyperlink>
        </w:p>
        <w:p w14:paraId="25F9878F" w14:textId="5866490E" w:rsidR="00445321" w:rsidRDefault="00445321">
          <w:pPr>
            <w:pStyle w:val="TDC1"/>
            <w:tabs>
              <w:tab w:val="right" w:leader="dot" w:pos="8828"/>
            </w:tabs>
            <w:rPr>
              <w:rFonts w:eastAsiaTheme="minorEastAsia" w:cs="Arial Unicode MS"/>
              <w:noProof/>
              <w:lang w:eastAsia="es-GT" w:bidi="ml-IN"/>
            </w:rPr>
          </w:pPr>
          <w:hyperlink w:anchor="_Toc144980984" w:history="1">
            <w:r w:rsidRPr="00FA4A50">
              <w:rPr>
                <w:rStyle w:val="Hipervnculo"/>
                <w:rFonts w:eastAsia="Times New Roman"/>
                <w:noProof/>
              </w:rPr>
              <w:t>BIBLIOGRAFÍA REFERIDA</w:t>
            </w:r>
            <w:r>
              <w:rPr>
                <w:noProof/>
                <w:webHidden/>
              </w:rPr>
              <w:tab/>
            </w:r>
            <w:r>
              <w:rPr>
                <w:noProof/>
                <w:webHidden/>
              </w:rPr>
              <w:fldChar w:fldCharType="begin"/>
            </w:r>
            <w:r>
              <w:rPr>
                <w:noProof/>
                <w:webHidden/>
              </w:rPr>
              <w:instrText xml:space="preserve"> PAGEREF _Toc144980984 \h </w:instrText>
            </w:r>
            <w:r>
              <w:rPr>
                <w:noProof/>
                <w:webHidden/>
              </w:rPr>
            </w:r>
            <w:r>
              <w:rPr>
                <w:noProof/>
                <w:webHidden/>
              </w:rPr>
              <w:fldChar w:fldCharType="separate"/>
            </w:r>
            <w:r>
              <w:rPr>
                <w:noProof/>
                <w:webHidden/>
              </w:rPr>
              <w:t>13</w:t>
            </w:r>
            <w:r>
              <w:rPr>
                <w:noProof/>
                <w:webHidden/>
              </w:rPr>
              <w:fldChar w:fldCharType="end"/>
            </w:r>
          </w:hyperlink>
        </w:p>
        <w:p w14:paraId="05A7BBD9" w14:textId="70D24766" w:rsidR="002C74A2" w:rsidRDefault="002C74A2">
          <w:r>
            <w:rPr>
              <w:b/>
              <w:bCs/>
              <w:lang w:val="es-ES"/>
            </w:rPr>
            <w:fldChar w:fldCharType="end"/>
          </w:r>
        </w:p>
      </w:sdtContent>
    </w:sdt>
    <w:p w14:paraId="5F700E86" w14:textId="77777777" w:rsidR="002C74A2" w:rsidRDefault="002C74A2" w:rsidP="00DE048D">
      <w:pPr>
        <w:spacing w:after="0"/>
        <w:ind w:left="23"/>
        <w:rPr>
          <w:rFonts w:eastAsia="Times New Roman" w:cstheme="minorHAnsi"/>
          <w:b/>
          <w:sz w:val="24"/>
          <w:szCs w:val="24"/>
        </w:rPr>
      </w:pPr>
    </w:p>
    <w:p w14:paraId="7634C30B" w14:textId="77777777" w:rsidR="002C74A2" w:rsidRDefault="002C74A2" w:rsidP="00DE048D">
      <w:pPr>
        <w:spacing w:after="0"/>
        <w:ind w:left="23"/>
        <w:rPr>
          <w:rFonts w:eastAsia="Times New Roman" w:cstheme="minorHAnsi"/>
          <w:b/>
          <w:sz w:val="24"/>
          <w:szCs w:val="24"/>
        </w:rPr>
      </w:pPr>
    </w:p>
    <w:p w14:paraId="5ADC1CAF" w14:textId="660B8784" w:rsidR="00DE048D" w:rsidRDefault="00DE048D" w:rsidP="00DE048D">
      <w:pPr>
        <w:spacing w:after="0"/>
        <w:ind w:left="23"/>
        <w:rPr>
          <w:rFonts w:cstheme="minorHAnsi"/>
          <w:sz w:val="24"/>
          <w:szCs w:val="24"/>
        </w:rPr>
      </w:pPr>
    </w:p>
    <w:p w14:paraId="3D969186" w14:textId="77777777" w:rsidR="00ED17E9" w:rsidRDefault="00ED17E9" w:rsidP="00DE048D">
      <w:pPr>
        <w:spacing w:after="0"/>
        <w:ind w:left="23"/>
        <w:rPr>
          <w:rFonts w:cstheme="minorHAnsi"/>
          <w:sz w:val="24"/>
          <w:szCs w:val="24"/>
        </w:rPr>
      </w:pPr>
    </w:p>
    <w:p w14:paraId="0E4B1C7F" w14:textId="77777777" w:rsidR="00ED17E9" w:rsidRDefault="00ED17E9" w:rsidP="00DE048D">
      <w:pPr>
        <w:spacing w:after="0"/>
        <w:ind w:left="23"/>
        <w:rPr>
          <w:rFonts w:cstheme="minorHAnsi"/>
          <w:sz w:val="24"/>
          <w:szCs w:val="24"/>
        </w:rPr>
      </w:pPr>
    </w:p>
    <w:p w14:paraId="3FACFA32" w14:textId="77777777" w:rsidR="00ED17E9" w:rsidRDefault="00ED17E9" w:rsidP="00DE048D">
      <w:pPr>
        <w:spacing w:after="0"/>
        <w:ind w:left="23"/>
        <w:rPr>
          <w:rFonts w:cstheme="minorHAnsi"/>
          <w:sz w:val="24"/>
          <w:szCs w:val="24"/>
        </w:rPr>
      </w:pPr>
    </w:p>
    <w:p w14:paraId="2D0EDAA0" w14:textId="77777777" w:rsidR="00ED17E9" w:rsidRDefault="00ED17E9" w:rsidP="00DE048D">
      <w:pPr>
        <w:spacing w:after="0"/>
        <w:ind w:left="23"/>
        <w:rPr>
          <w:rFonts w:cstheme="minorHAnsi"/>
          <w:sz w:val="24"/>
          <w:szCs w:val="24"/>
        </w:rPr>
      </w:pPr>
    </w:p>
    <w:p w14:paraId="6CD5E285" w14:textId="77777777" w:rsidR="00ED17E9" w:rsidRPr="002C74A2" w:rsidRDefault="00ED17E9" w:rsidP="00DE048D">
      <w:pPr>
        <w:spacing w:after="0"/>
        <w:ind w:left="23"/>
        <w:rPr>
          <w:rFonts w:cstheme="minorHAnsi"/>
          <w:sz w:val="24"/>
          <w:szCs w:val="24"/>
        </w:rPr>
      </w:pPr>
    </w:p>
    <w:p w14:paraId="49454ACD"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02538387"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58E9787B"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0FBFE77F"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5020B154"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113FB437"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53F16D82"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7002F1A9"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3BFDCDA4"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12C6E020"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7290F367"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3DD6B712" w14:textId="77777777" w:rsidR="00DE048D" w:rsidRPr="002C74A2" w:rsidRDefault="00DE048D" w:rsidP="00DE048D">
      <w:pPr>
        <w:spacing w:after="0"/>
        <w:ind w:left="4274"/>
        <w:rPr>
          <w:rFonts w:cstheme="minorHAnsi"/>
          <w:sz w:val="24"/>
          <w:szCs w:val="24"/>
        </w:rPr>
      </w:pPr>
      <w:r w:rsidRPr="002C74A2">
        <w:rPr>
          <w:rFonts w:eastAsia="Times New Roman" w:cstheme="minorHAnsi"/>
          <w:b/>
          <w:sz w:val="24"/>
          <w:szCs w:val="24"/>
        </w:rPr>
        <w:t xml:space="preserve"> </w:t>
      </w:r>
    </w:p>
    <w:p w14:paraId="1273807E" w14:textId="26C245B2" w:rsidR="00DE048D" w:rsidRPr="009D0BCB" w:rsidRDefault="002C74A2" w:rsidP="009D0BCB">
      <w:pPr>
        <w:jc w:val="center"/>
        <w:rPr>
          <w:b/>
          <w:bCs/>
          <w:color w:val="2F5496" w:themeColor="accent1" w:themeShade="BF"/>
          <w:sz w:val="44"/>
          <w:szCs w:val="44"/>
        </w:rPr>
      </w:pPr>
      <w:r w:rsidRPr="009D0BCB">
        <w:rPr>
          <w:b/>
          <w:bCs/>
          <w:color w:val="2F5496" w:themeColor="accent1" w:themeShade="BF"/>
          <w:sz w:val="44"/>
          <w:szCs w:val="44"/>
        </w:rPr>
        <w:lastRenderedPageBreak/>
        <w:t>REPORTE ALTERNATIVO</w:t>
      </w:r>
    </w:p>
    <w:p w14:paraId="2B29D112" w14:textId="46B51011" w:rsidR="00DE048D" w:rsidRPr="002C74A2" w:rsidRDefault="00DE048D" w:rsidP="002C74A2">
      <w:pPr>
        <w:pStyle w:val="Ttulo1"/>
      </w:pPr>
      <w:bookmarkStart w:id="0" w:name="_Toc144980977"/>
      <w:r w:rsidRPr="002C74A2">
        <w:rPr>
          <w:rFonts w:eastAsia="Times New Roman"/>
        </w:rPr>
        <w:t>C</w:t>
      </w:r>
      <w:r w:rsidR="009D0BCB">
        <w:rPr>
          <w:rFonts w:eastAsia="Times New Roman"/>
        </w:rPr>
        <w:t>APITULO</w:t>
      </w:r>
      <w:r w:rsidRPr="002C74A2">
        <w:rPr>
          <w:rFonts w:eastAsia="Times New Roman"/>
        </w:rPr>
        <w:t xml:space="preserve"> I</w:t>
      </w:r>
      <w:r w:rsidR="002C74A2" w:rsidRPr="002C74A2">
        <w:rPr>
          <w:rFonts w:eastAsia="Times New Roman"/>
        </w:rPr>
        <w:t xml:space="preserve">. </w:t>
      </w:r>
      <w:r w:rsidR="009D0BCB">
        <w:rPr>
          <w:rFonts w:eastAsia="Times New Roman"/>
        </w:rPr>
        <w:t>CONTEXTO GENERAL</w:t>
      </w:r>
      <w:bookmarkEnd w:id="0"/>
      <w:r w:rsidRPr="002C74A2">
        <w:t xml:space="preserve"> </w:t>
      </w:r>
    </w:p>
    <w:p w14:paraId="7E46733B" w14:textId="77777777" w:rsidR="00DE048D" w:rsidRPr="002C74A2" w:rsidRDefault="00DE048D" w:rsidP="00DE048D">
      <w:pPr>
        <w:spacing w:after="0"/>
        <w:ind w:left="23"/>
        <w:rPr>
          <w:rFonts w:cstheme="minorHAnsi"/>
          <w:sz w:val="24"/>
          <w:szCs w:val="24"/>
        </w:rPr>
      </w:pPr>
      <w:r w:rsidRPr="002C74A2">
        <w:rPr>
          <w:rFonts w:cstheme="minorHAnsi"/>
          <w:sz w:val="24"/>
          <w:szCs w:val="24"/>
        </w:rPr>
        <w:t xml:space="preserve"> </w:t>
      </w:r>
    </w:p>
    <w:p w14:paraId="6FBF9A83" w14:textId="0CEC37AF" w:rsidR="00DE048D" w:rsidRDefault="000F609D" w:rsidP="000F609D">
      <w:pPr>
        <w:ind w:left="18" w:right="284"/>
        <w:jc w:val="both"/>
        <w:rPr>
          <w:rFonts w:cstheme="minorHAnsi"/>
          <w:sz w:val="24"/>
          <w:szCs w:val="24"/>
        </w:rPr>
      </w:pPr>
      <w:r>
        <w:rPr>
          <w:rFonts w:cstheme="minorHAnsi"/>
          <w:sz w:val="24"/>
          <w:szCs w:val="24"/>
        </w:rPr>
        <w:t xml:space="preserve">Desde 1981 entró en vigencia la </w:t>
      </w:r>
      <w:r w:rsidRPr="002C74A2">
        <w:rPr>
          <w:rFonts w:cstheme="minorHAnsi"/>
          <w:sz w:val="24"/>
          <w:szCs w:val="24"/>
        </w:rPr>
        <w:t>Convención sobre la eliminación de todas las formas de discriminación contra la mujer (CEDAW)</w:t>
      </w:r>
      <w:r w:rsidR="00445321">
        <w:rPr>
          <w:rStyle w:val="Refdenotaalpie"/>
          <w:rFonts w:cstheme="minorHAnsi"/>
          <w:sz w:val="24"/>
          <w:szCs w:val="24"/>
        </w:rPr>
        <w:footnoteReference w:id="1"/>
      </w:r>
      <w:r>
        <w:rPr>
          <w:rFonts w:cstheme="minorHAnsi"/>
          <w:sz w:val="24"/>
          <w:szCs w:val="24"/>
        </w:rPr>
        <w:t xml:space="preserve">, aprobada el </w:t>
      </w:r>
      <w:r w:rsidR="00DE048D" w:rsidRPr="002C74A2">
        <w:rPr>
          <w:rFonts w:cstheme="minorHAnsi"/>
          <w:sz w:val="24"/>
          <w:szCs w:val="24"/>
        </w:rPr>
        <w:t>18 de diciembre de 1979 la Asamblea General de la Organización de Naciones Unidas en su resolución 34/180</w:t>
      </w:r>
      <w:r>
        <w:rPr>
          <w:rFonts w:cstheme="minorHAnsi"/>
          <w:sz w:val="24"/>
          <w:szCs w:val="24"/>
        </w:rPr>
        <w:t>.</w:t>
      </w:r>
    </w:p>
    <w:p w14:paraId="67D15180" w14:textId="7CB3A8DF" w:rsidR="00DE048D" w:rsidRDefault="000F609D" w:rsidP="000F609D">
      <w:pPr>
        <w:ind w:left="18" w:right="284"/>
        <w:jc w:val="both"/>
        <w:rPr>
          <w:rFonts w:cstheme="minorHAnsi"/>
          <w:sz w:val="24"/>
          <w:szCs w:val="24"/>
        </w:rPr>
      </w:pPr>
      <w:r>
        <w:rPr>
          <w:rFonts w:cstheme="minorHAnsi"/>
          <w:sz w:val="24"/>
          <w:szCs w:val="24"/>
        </w:rPr>
        <w:t xml:space="preserve">A 42 años de vida de dicha instancia, para OTRANS-RN es imprescindible contribuir con información relacionada a la realidad que viven las mujeres trans en Guatemala y como dicha Convención puede coadyuvar a la defensa de sus derechos humanos en el país.  Por tanto, plantea una lista de temas que afectan a la población ya mencionada y como se vincula a la CEDAW. </w:t>
      </w:r>
    </w:p>
    <w:p w14:paraId="3FDFD9B3" w14:textId="53F4794B" w:rsidR="000F609D" w:rsidRDefault="000F609D" w:rsidP="000F609D">
      <w:pPr>
        <w:ind w:left="18" w:right="284"/>
        <w:jc w:val="both"/>
        <w:rPr>
          <w:rFonts w:cstheme="minorHAnsi"/>
          <w:sz w:val="24"/>
          <w:szCs w:val="24"/>
        </w:rPr>
      </w:pPr>
    </w:p>
    <w:p w14:paraId="39792C03" w14:textId="399A408A" w:rsidR="000F609D" w:rsidRPr="000F609D" w:rsidRDefault="000F609D" w:rsidP="009A2FE4">
      <w:pPr>
        <w:pStyle w:val="Ttulo2"/>
      </w:pPr>
      <w:bookmarkStart w:id="1" w:name="_Toc144980978"/>
      <w:r w:rsidRPr="000F609D">
        <w:t xml:space="preserve">Correlación </w:t>
      </w:r>
      <w:r>
        <w:t>mujeres trans y otros</w:t>
      </w:r>
      <w:r w:rsidRPr="000F609D">
        <w:t xml:space="preserve"> Pactos internacionales</w:t>
      </w:r>
      <w:bookmarkEnd w:id="1"/>
    </w:p>
    <w:p w14:paraId="45B09F17" w14:textId="77777777" w:rsidR="000F609D" w:rsidRDefault="000F609D" w:rsidP="000F609D">
      <w:pPr>
        <w:ind w:right="284"/>
        <w:jc w:val="both"/>
        <w:rPr>
          <w:rFonts w:eastAsia="Times New Roman" w:cstheme="minorHAnsi"/>
          <w:b/>
          <w:sz w:val="24"/>
          <w:szCs w:val="24"/>
        </w:rPr>
      </w:pPr>
    </w:p>
    <w:p w14:paraId="4DDC725C" w14:textId="22BAEC77" w:rsidR="000F609D" w:rsidRDefault="00DE048D" w:rsidP="000F609D">
      <w:pPr>
        <w:ind w:right="284"/>
        <w:jc w:val="both"/>
        <w:rPr>
          <w:rFonts w:cstheme="minorHAnsi"/>
          <w:sz w:val="24"/>
          <w:szCs w:val="24"/>
        </w:rPr>
      </w:pPr>
      <w:r w:rsidRPr="002C74A2">
        <w:rPr>
          <w:rFonts w:eastAsia="Times New Roman" w:cstheme="minorHAnsi"/>
          <w:b/>
          <w:sz w:val="24"/>
          <w:szCs w:val="24"/>
        </w:rPr>
        <w:t>Pacto Internacional de Derechos Civiles y Políticos</w:t>
      </w:r>
      <w:r w:rsidR="00445321">
        <w:rPr>
          <w:rStyle w:val="Refdenotaalpie"/>
          <w:rFonts w:eastAsia="Times New Roman" w:cstheme="minorHAnsi"/>
          <w:b/>
          <w:sz w:val="24"/>
          <w:szCs w:val="24"/>
        </w:rPr>
        <w:footnoteReference w:id="2"/>
      </w:r>
      <w:r w:rsidR="000F609D">
        <w:rPr>
          <w:rFonts w:cstheme="minorHAnsi"/>
          <w:sz w:val="24"/>
          <w:szCs w:val="24"/>
        </w:rPr>
        <w:t xml:space="preserve">, aprobado el 23 de marzo de 1,976. </w:t>
      </w:r>
    </w:p>
    <w:p w14:paraId="31B9CD7A" w14:textId="77777777" w:rsidR="000F609D" w:rsidRDefault="000F609D" w:rsidP="000F609D">
      <w:pPr>
        <w:pStyle w:val="Prrafodelista"/>
        <w:numPr>
          <w:ilvl w:val="0"/>
          <w:numId w:val="12"/>
        </w:numPr>
        <w:ind w:right="284"/>
        <w:jc w:val="both"/>
        <w:rPr>
          <w:rFonts w:cstheme="minorHAnsi"/>
          <w:sz w:val="24"/>
          <w:szCs w:val="24"/>
        </w:rPr>
      </w:pPr>
      <w:r>
        <w:rPr>
          <w:rFonts w:cstheme="minorHAnsi"/>
          <w:sz w:val="24"/>
          <w:szCs w:val="24"/>
        </w:rPr>
        <w:t xml:space="preserve">El artículo </w:t>
      </w:r>
      <w:r w:rsidR="00DE048D" w:rsidRPr="000F609D">
        <w:rPr>
          <w:rFonts w:cstheme="minorHAnsi"/>
          <w:sz w:val="24"/>
          <w:szCs w:val="24"/>
        </w:rPr>
        <w:t xml:space="preserve">2 Derecho de la mujer a la no discriminación </w:t>
      </w:r>
      <w:r>
        <w:rPr>
          <w:rFonts w:cstheme="minorHAnsi"/>
          <w:sz w:val="24"/>
          <w:szCs w:val="24"/>
        </w:rPr>
        <w:t xml:space="preserve">se encuentra violentado al no reconocerse la identidad de género de las mujeres trans. </w:t>
      </w:r>
    </w:p>
    <w:p w14:paraId="3D6FD6A8" w14:textId="77777777" w:rsidR="000F609D" w:rsidRDefault="000F609D" w:rsidP="000F609D">
      <w:pPr>
        <w:pStyle w:val="Prrafodelista"/>
        <w:numPr>
          <w:ilvl w:val="0"/>
          <w:numId w:val="12"/>
        </w:numPr>
        <w:ind w:right="284"/>
        <w:jc w:val="both"/>
        <w:rPr>
          <w:rFonts w:cstheme="minorHAnsi"/>
          <w:sz w:val="24"/>
          <w:szCs w:val="24"/>
        </w:rPr>
      </w:pPr>
      <w:r>
        <w:rPr>
          <w:rFonts w:cstheme="minorHAnsi"/>
          <w:sz w:val="24"/>
          <w:szCs w:val="24"/>
        </w:rPr>
        <w:t xml:space="preserve">El </w:t>
      </w:r>
      <w:r w:rsidR="00DE048D" w:rsidRPr="000F609D">
        <w:rPr>
          <w:rFonts w:cstheme="minorHAnsi"/>
          <w:sz w:val="24"/>
          <w:szCs w:val="24"/>
        </w:rPr>
        <w:t>Artículo 3 Igualdad de la mujer y el hombre en el goce de los derechos</w:t>
      </w:r>
      <w:r>
        <w:rPr>
          <w:rFonts w:cstheme="minorHAnsi"/>
          <w:sz w:val="24"/>
          <w:szCs w:val="24"/>
        </w:rPr>
        <w:t xml:space="preserve"> se violenta ya que las mujeres trans, desconocidas jurídicamente, no tienen el disfrute de sus derechos. </w:t>
      </w:r>
      <w:r w:rsidR="00DE048D" w:rsidRPr="000F609D">
        <w:rPr>
          <w:rFonts w:cstheme="minorHAnsi"/>
          <w:sz w:val="24"/>
          <w:szCs w:val="24"/>
        </w:rPr>
        <w:t xml:space="preserve"> </w:t>
      </w:r>
    </w:p>
    <w:p w14:paraId="796751AE" w14:textId="43008BFF" w:rsidR="00DE048D" w:rsidRPr="000F609D" w:rsidRDefault="000F609D" w:rsidP="000F609D">
      <w:pPr>
        <w:pStyle w:val="Prrafodelista"/>
        <w:numPr>
          <w:ilvl w:val="0"/>
          <w:numId w:val="12"/>
        </w:numPr>
        <w:ind w:right="284"/>
        <w:jc w:val="both"/>
        <w:rPr>
          <w:rFonts w:cstheme="minorHAnsi"/>
          <w:sz w:val="24"/>
          <w:szCs w:val="24"/>
        </w:rPr>
      </w:pPr>
      <w:r>
        <w:rPr>
          <w:rFonts w:cstheme="minorHAnsi"/>
          <w:sz w:val="24"/>
          <w:szCs w:val="24"/>
        </w:rPr>
        <w:t xml:space="preserve">El </w:t>
      </w:r>
      <w:r w:rsidR="00DE048D" w:rsidRPr="000F609D">
        <w:rPr>
          <w:rFonts w:cstheme="minorHAnsi"/>
          <w:sz w:val="24"/>
          <w:szCs w:val="24"/>
        </w:rPr>
        <w:t xml:space="preserve">Artículo 6 Derecho de la mujer a la vida, </w:t>
      </w:r>
      <w:r>
        <w:rPr>
          <w:rFonts w:cstheme="minorHAnsi"/>
          <w:sz w:val="24"/>
          <w:szCs w:val="24"/>
        </w:rPr>
        <w:t xml:space="preserve">se ve afectada continuamente con los continuos asesinatos de mujeres trans. </w:t>
      </w:r>
    </w:p>
    <w:p w14:paraId="7660AC1D" w14:textId="48CA44F9" w:rsidR="000F609D" w:rsidRDefault="000F609D" w:rsidP="000F609D">
      <w:pPr>
        <w:ind w:right="284"/>
        <w:jc w:val="both"/>
        <w:rPr>
          <w:rFonts w:cstheme="minorHAnsi"/>
          <w:sz w:val="24"/>
          <w:szCs w:val="24"/>
        </w:rPr>
      </w:pPr>
    </w:p>
    <w:p w14:paraId="2C1A2FE5" w14:textId="7E31E3F4" w:rsidR="000F609D" w:rsidRDefault="00DE048D" w:rsidP="002C74A2">
      <w:pPr>
        <w:ind w:left="18" w:right="284"/>
        <w:jc w:val="both"/>
        <w:rPr>
          <w:rFonts w:cstheme="minorHAnsi"/>
          <w:sz w:val="24"/>
          <w:szCs w:val="24"/>
        </w:rPr>
      </w:pPr>
      <w:r w:rsidRPr="002C74A2">
        <w:rPr>
          <w:rFonts w:eastAsia="Times New Roman" w:cstheme="minorHAnsi"/>
          <w:b/>
          <w:sz w:val="24"/>
          <w:szCs w:val="24"/>
        </w:rPr>
        <w:t>Pacto Internacional de Derechos Económicos, Sociales y Culturales</w:t>
      </w:r>
      <w:r w:rsidR="00445321">
        <w:rPr>
          <w:rStyle w:val="Refdenotaalpie"/>
          <w:rFonts w:eastAsia="Times New Roman" w:cstheme="minorHAnsi"/>
          <w:b/>
          <w:sz w:val="24"/>
          <w:szCs w:val="24"/>
        </w:rPr>
        <w:footnoteReference w:id="3"/>
      </w:r>
      <w:r w:rsidRPr="002C74A2">
        <w:rPr>
          <w:rFonts w:cstheme="minorHAnsi"/>
          <w:sz w:val="24"/>
          <w:szCs w:val="24"/>
        </w:rPr>
        <w:t>,</w:t>
      </w:r>
      <w:r w:rsidR="000F609D">
        <w:rPr>
          <w:rFonts w:cstheme="minorHAnsi"/>
          <w:sz w:val="24"/>
          <w:szCs w:val="24"/>
        </w:rPr>
        <w:t xml:space="preserve"> Con plena vigencia desde </w:t>
      </w:r>
      <w:r w:rsidRPr="002C74A2">
        <w:rPr>
          <w:rFonts w:cstheme="minorHAnsi"/>
          <w:sz w:val="24"/>
          <w:szCs w:val="24"/>
        </w:rPr>
        <w:t xml:space="preserve">el 3 de enero de 1976. El estado guatemalteco incumple </w:t>
      </w:r>
      <w:r w:rsidR="000F609D">
        <w:rPr>
          <w:rFonts w:cstheme="minorHAnsi"/>
          <w:sz w:val="24"/>
          <w:szCs w:val="24"/>
        </w:rPr>
        <w:t xml:space="preserve">con los </w:t>
      </w:r>
      <w:r w:rsidR="002F0696">
        <w:rPr>
          <w:rFonts w:cstheme="minorHAnsi"/>
          <w:sz w:val="24"/>
          <w:szCs w:val="24"/>
        </w:rPr>
        <w:t>siguientes</w:t>
      </w:r>
      <w:r w:rsidRPr="002C74A2">
        <w:rPr>
          <w:rFonts w:cstheme="minorHAnsi"/>
          <w:sz w:val="24"/>
          <w:szCs w:val="24"/>
        </w:rPr>
        <w:t xml:space="preserve"> artículos </w:t>
      </w:r>
      <w:r w:rsidR="000F609D">
        <w:rPr>
          <w:rFonts w:cstheme="minorHAnsi"/>
          <w:sz w:val="24"/>
          <w:szCs w:val="24"/>
        </w:rPr>
        <w:t>y su vinculación con mujeres trans:</w:t>
      </w:r>
    </w:p>
    <w:p w14:paraId="5D00C91B" w14:textId="77777777" w:rsidR="000F609D" w:rsidRDefault="000F609D" w:rsidP="000F609D">
      <w:pPr>
        <w:pStyle w:val="Prrafodelista"/>
        <w:numPr>
          <w:ilvl w:val="0"/>
          <w:numId w:val="13"/>
        </w:numPr>
        <w:ind w:right="284"/>
        <w:jc w:val="both"/>
        <w:rPr>
          <w:rFonts w:cstheme="minorHAnsi"/>
          <w:sz w:val="24"/>
          <w:szCs w:val="24"/>
        </w:rPr>
      </w:pPr>
      <w:r>
        <w:rPr>
          <w:rFonts w:cstheme="minorHAnsi"/>
          <w:sz w:val="24"/>
          <w:szCs w:val="24"/>
        </w:rPr>
        <w:t xml:space="preserve">El artículo </w:t>
      </w:r>
      <w:r w:rsidR="00DE048D" w:rsidRPr="000F609D">
        <w:rPr>
          <w:rFonts w:cstheme="minorHAnsi"/>
          <w:sz w:val="24"/>
          <w:szCs w:val="24"/>
        </w:rPr>
        <w:t>3 (derecho de la mujer a la igualdad)</w:t>
      </w:r>
      <w:r>
        <w:rPr>
          <w:rFonts w:cstheme="minorHAnsi"/>
          <w:sz w:val="24"/>
          <w:szCs w:val="24"/>
        </w:rPr>
        <w:t>, ver anterior pacto, mismo tema.</w:t>
      </w:r>
    </w:p>
    <w:p w14:paraId="1D67C8E1" w14:textId="77777777" w:rsidR="000F609D" w:rsidRDefault="000F609D" w:rsidP="000F609D">
      <w:pPr>
        <w:pStyle w:val="Prrafodelista"/>
        <w:numPr>
          <w:ilvl w:val="0"/>
          <w:numId w:val="13"/>
        </w:numPr>
        <w:ind w:right="284"/>
        <w:jc w:val="both"/>
        <w:rPr>
          <w:rFonts w:cstheme="minorHAnsi"/>
          <w:sz w:val="24"/>
          <w:szCs w:val="24"/>
        </w:rPr>
      </w:pPr>
      <w:r>
        <w:rPr>
          <w:rFonts w:cstheme="minorHAnsi"/>
          <w:sz w:val="24"/>
          <w:szCs w:val="24"/>
        </w:rPr>
        <w:lastRenderedPageBreak/>
        <w:t>El</w:t>
      </w:r>
      <w:r w:rsidR="00DE048D" w:rsidRPr="000F609D">
        <w:rPr>
          <w:rFonts w:cstheme="minorHAnsi"/>
          <w:sz w:val="24"/>
          <w:szCs w:val="24"/>
        </w:rPr>
        <w:t xml:space="preserve"> artículo 6 (derecho de la mujer al trabajo libremente escogido o aceptado) </w:t>
      </w:r>
      <w:r>
        <w:rPr>
          <w:rFonts w:cstheme="minorHAnsi"/>
          <w:sz w:val="24"/>
          <w:szCs w:val="24"/>
        </w:rPr>
        <w:t>al negar el derecho al empleo debido a la identidad de género expresada.</w:t>
      </w:r>
    </w:p>
    <w:p w14:paraId="42E2E078" w14:textId="28F3FA39" w:rsidR="00DE048D" w:rsidRDefault="000F609D" w:rsidP="000F609D">
      <w:pPr>
        <w:pStyle w:val="Prrafodelista"/>
        <w:numPr>
          <w:ilvl w:val="0"/>
          <w:numId w:val="13"/>
        </w:numPr>
        <w:ind w:right="284"/>
        <w:jc w:val="both"/>
        <w:rPr>
          <w:rFonts w:cstheme="minorHAnsi"/>
          <w:sz w:val="24"/>
          <w:szCs w:val="24"/>
        </w:rPr>
      </w:pPr>
      <w:r>
        <w:rPr>
          <w:rFonts w:cstheme="minorHAnsi"/>
          <w:sz w:val="24"/>
          <w:szCs w:val="24"/>
        </w:rPr>
        <w:t xml:space="preserve">El </w:t>
      </w:r>
      <w:r w:rsidR="00DE048D" w:rsidRPr="000F609D">
        <w:rPr>
          <w:rFonts w:cstheme="minorHAnsi"/>
          <w:sz w:val="24"/>
          <w:szCs w:val="24"/>
        </w:rPr>
        <w:t xml:space="preserve">artículo </w:t>
      </w:r>
      <w:r>
        <w:rPr>
          <w:rFonts w:cstheme="minorHAnsi"/>
          <w:sz w:val="24"/>
          <w:szCs w:val="24"/>
        </w:rPr>
        <w:t>12</w:t>
      </w:r>
      <w:r w:rsidR="00DE048D" w:rsidRPr="000F609D">
        <w:rPr>
          <w:rFonts w:cstheme="minorHAnsi"/>
          <w:sz w:val="24"/>
          <w:szCs w:val="24"/>
        </w:rPr>
        <w:t xml:space="preserve"> el 12 (derecho de la mujer a la salud física y mental)</w:t>
      </w:r>
      <w:r>
        <w:rPr>
          <w:rFonts w:cstheme="minorHAnsi"/>
          <w:sz w:val="24"/>
          <w:szCs w:val="24"/>
        </w:rPr>
        <w:t xml:space="preserve">, al no atender adecuadamente las necesidades de salud de las mujeres trans. </w:t>
      </w:r>
    </w:p>
    <w:p w14:paraId="3DAA736A" w14:textId="37D7B54C" w:rsidR="00DE048D" w:rsidRPr="002C74A2" w:rsidRDefault="000F609D" w:rsidP="000F609D">
      <w:pPr>
        <w:ind w:right="284"/>
        <w:jc w:val="both"/>
        <w:rPr>
          <w:rFonts w:cstheme="minorHAnsi"/>
          <w:sz w:val="24"/>
          <w:szCs w:val="24"/>
        </w:rPr>
      </w:pPr>
      <w:r>
        <w:rPr>
          <w:rFonts w:cstheme="minorHAnsi"/>
          <w:sz w:val="24"/>
          <w:szCs w:val="24"/>
        </w:rPr>
        <w:t>Por lo anterior, la Organización Trans Reinas de la Noche presenta sumario</w:t>
      </w:r>
      <w:r w:rsidR="009A2FE4">
        <w:rPr>
          <w:rFonts w:cstheme="minorHAnsi"/>
          <w:sz w:val="24"/>
          <w:szCs w:val="24"/>
        </w:rPr>
        <w:t xml:space="preserve"> de barreras</w:t>
      </w:r>
      <w:r>
        <w:rPr>
          <w:rFonts w:cstheme="minorHAnsi"/>
          <w:sz w:val="24"/>
          <w:szCs w:val="24"/>
        </w:rPr>
        <w:t xml:space="preserve"> en forma de reporte alternativo para CEDAW sobre la situación de mujeres trans en Guatemala siguiendo la siguiente estructura: </w:t>
      </w:r>
    </w:p>
    <w:p w14:paraId="4F1A7AA8" w14:textId="77777777" w:rsidR="00DE048D" w:rsidRPr="002C74A2" w:rsidRDefault="00DE048D" w:rsidP="002C74A2">
      <w:pPr>
        <w:spacing w:after="0"/>
        <w:ind w:left="23"/>
        <w:jc w:val="both"/>
        <w:rPr>
          <w:rFonts w:cstheme="minorHAnsi"/>
          <w:sz w:val="24"/>
          <w:szCs w:val="24"/>
        </w:rPr>
      </w:pPr>
      <w:r w:rsidRPr="002C74A2">
        <w:rPr>
          <w:rFonts w:cstheme="minorHAnsi"/>
          <w:sz w:val="24"/>
          <w:szCs w:val="24"/>
        </w:rPr>
        <w:t xml:space="preserve"> </w:t>
      </w:r>
    </w:p>
    <w:p w14:paraId="5150B5C9" w14:textId="49348B58" w:rsidR="009A2FE4" w:rsidRDefault="009A2FE4" w:rsidP="002C74A2">
      <w:pPr>
        <w:ind w:left="18" w:right="284"/>
        <w:jc w:val="both"/>
        <w:rPr>
          <w:rFonts w:eastAsia="Times New Roman" w:cstheme="minorHAnsi"/>
          <w:bCs/>
          <w:iCs/>
          <w:sz w:val="24"/>
          <w:szCs w:val="24"/>
        </w:rPr>
      </w:pPr>
      <w:r>
        <w:rPr>
          <w:rFonts w:eastAsia="Times New Roman" w:cstheme="minorHAnsi"/>
          <w:b/>
          <w:i/>
          <w:sz w:val="24"/>
          <w:szCs w:val="24"/>
        </w:rPr>
        <w:t>P</w:t>
      </w:r>
      <w:r w:rsidR="00DE048D" w:rsidRPr="002C74A2">
        <w:rPr>
          <w:rFonts w:eastAsia="Times New Roman" w:cstheme="minorHAnsi"/>
          <w:b/>
          <w:i/>
          <w:sz w:val="24"/>
          <w:szCs w:val="24"/>
        </w:rPr>
        <w:t>rimer</w:t>
      </w:r>
      <w:r>
        <w:rPr>
          <w:rFonts w:eastAsia="Times New Roman" w:cstheme="minorHAnsi"/>
          <w:b/>
          <w:i/>
          <w:sz w:val="24"/>
          <w:szCs w:val="24"/>
        </w:rPr>
        <w:t xml:space="preserve">a barrera. </w:t>
      </w:r>
      <w:r>
        <w:rPr>
          <w:rFonts w:eastAsia="Times New Roman" w:cstheme="minorHAnsi"/>
          <w:bCs/>
          <w:iCs/>
          <w:sz w:val="24"/>
          <w:szCs w:val="24"/>
        </w:rPr>
        <w:t xml:space="preserve">La falta del reconocimiento de la identidad de género de las mujeres trans, que limita el ejercicio de su ciudadanía en todos los niveles: Social, legal, cultural, educativo, laboral, de salud. </w:t>
      </w:r>
    </w:p>
    <w:p w14:paraId="6F91F3B7" w14:textId="26B62FF0" w:rsidR="009A2FE4" w:rsidRDefault="009A2FE4" w:rsidP="002C74A2">
      <w:pPr>
        <w:ind w:left="18" w:right="284"/>
        <w:jc w:val="both"/>
        <w:rPr>
          <w:rFonts w:cstheme="minorHAnsi"/>
          <w:sz w:val="24"/>
          <w:szCs w:val="24"/>
        </w:rPr>
      </w:pPr>
      <w:r w:rsidRPr="009A2FE4">
        <w:rPr>
          <w:rFonts w:cstheme="minorHAnsi"/>
          <w:b/>
          <w:bCs/>
          <w:i/>
          <w:iCs/>
          <w:sz w:val="24"/>
          <w:szCs w:val="24"/>
        </w:rPr>
        <w:t>Segunda barrera</w:t>
      </w:r>
      <w:r>
        <w:rPr>
          <w:rFonts w:cstheme="minorHAnsi"/>
          <w:sz w:val="24"/>
          <w:szCs w:val="24"/>
        </w:rPr>
        <w:t xml:space="preserve">. La violencia social y continua que priva la vida a mujeres trans año con año, incluso con signos de violencia </w:t>
      </w:r>
      <w:r w:rsidR="002F0696">
        <w:rPr>
          <w:rFonts w:cstheme="minorHAnsi"/>
          <w:sz w:val="24"/>
          <w:szCs w:val="24"/>
        </w:rPr>
        <w:t>exacerbada al</w:t>
      </w:r>
      <w:r>
        <w:rPr>
          <w:rFonts w:cstheme="minorHAnsi"/>
          <w:sz w:val="24"/>
          <w:szCs w:val="24"/>
        </w:rPr>
        <w:t xml:space="preserve"> límite de la tortura.</w:t>
      </w:r>
    </w:p>
    <w:p w14:paraId="6950B09A" w14:textId="4C817FD6" w:rsidR="002F0696" w:rsidRDefault="002F0696" w:rsidP="002C74A2">
      <w:pPr>
        <w:ind w:left="18" w:right="284"/>
        <w:jc w:val="both"/>
        <w:rPr>
          <w:rFonts w:cstheme="minorHAnsi"/>
          <w:sz w:val="24"/>
          <w:szCs w:val="24"/>
        </w:rPr>
      </w:pPr>
      <w:r w:rsidRPr="002F0696">
        <w:rPr>
          <w:rFonts w:cstheme="minorHAnsi"/>
          <w:b/>
          <w:bCs/>
          <w:i/>
          <w:iCs/>
          <w:sz w:val="24"/>
          <w:szCs w:val="24"/>
        </w:rPr>
        <w:t>Tercera barrera</w:t>
      </w:r>
      <w:r>
        <w:rPr>
          <w:rFonts w:cstheme="minorHAnsi"/>
          <w:sz w:val="24"/>
          <w:szCs w:val="24"/>
        </w:rPr>
        <w:t>. Acceso a la justicia de mujeres trans. Como la falta del reconocimiento jurídico afecta a las mujeres trans a alcanzar la justicia, incluso posterior a su muerte.</w:t>
      </w:r>
    </w:p>
    <w:p w14:paraId="13E5AEDF" w14:textId="6CBA0E7D" w:rsidR="002F0696" w:rsidRDefault="002F0696" w:rsidP="002C74A2">
      <w:pPr>
        <w:ind w:left="18" w:right="284"/>
        <w:jc w:val="both"/>
        <w:rPr>
          <w:rFonts w:cstheme="minorHAnsi"/>
          <w:sz w:val="24"/>
          <w:szCs w:val="24"/>
        </w:rPr>
      </w:pPr>
      <w:r>
        <w:rPr>
          <w:rFonts w:cstheme="minorHAnsi"/>
          <w:b/>
          <w:bCs/>
          <w:i/>
          <w:iCs/>
          <w:sz w:val="24"/>
          <w:szCs w:val="24"/>
        </w:rPr>
        <w:t>Cuarta barrera</w:t>
      </w:r>
      <w:r w:rsidRPr="002F0696">
        <w:rPr>
          <w:rFonts w:cstheme="minorHAnsi"/>
          <w:sz w:val="24"/>
          <w:szCs w:val="24"/>
        </w:rPr>
        <w:t>.</w:t>
      </w:r>
      <w:r>
        <w:rPr>
          <w:rFonts w:cstheme="minorHAnsi"/>
          <w:sz w:val="24"/>
          <w:szCs w:val="24"/>
        </w:rPr>
        <w:t xml:space="preserve"> Falta de acceso al empleo. El reconocimiento de la identidad de género, conlleva a limitaciones educativas que limitan el acceso al empleo, que se ve agravado ante el reconocimiento por parte de la persona de su propia identidad.</w:t>
      </w:r>
    </w:p>
    <w:p w14:paraId="749A3781" w14:textId="4AF0E9E3" w:rsidR="002F0696" w:rsidRDefault="002F0696" w:rsidP="002F0696">
      <w:pPr>
        <w:ind w:left="18" w:right="284"/>
        <w:jc w:val="both"/>
        <w:rPr>
          <w:rFonts w:cstheme="minorHAnsi"/>
          <w:sz w:val="24"/>
          <w:szCs w:val="24"/>
        </w:rPr>
      </w:pPr>
      <w:r w:rsidRPr="002F0696">
        <w:rPr>
          <w:rFonts w:cstheme="minorHAnsi"/>
          <w:b/>
          <w:bCs/>
          <w:i/>
          <w:iCs/>
          <w:sz w:val="24"/>
          <w:szCs w:val="24"/>
        </w:rPr>
        <w:t>Quinta barrera.</w:t>
      </w:r>
      <w:r>
        <w:rPr>
          <w:rFonts w:cstheme="minorHAnsi"/>
          <w:sz w:val="24"/>
          <w:szCs w:val="24"/>
        </w:rPr>
        <w:t xml:space="preserve"> Falta de acceso a la salud. Como las mujeres trans lidian con diversas dolencias en salud, sin que el Estado atienda sus necesidades en dicha materia.</w:t>
      </w:r>
    </w:p>
    <w:p w14:paraId="0EDC099B" w14:textId="3B4C7CCF" w:rsidR="002F0696" w:rsidRPr="002C74A2" w:rsidRDefault="002F0696" w:rsidP="002C74A2">
      <w:pPr>
        <w:ind w:left="18" w:right="284"/>
        <w:jc w:val="both"/>
        <w:rPr>
          <w:rFonts w:cstheme="minorHAnsi"/>
          <w:sz w:val="24"/>
          <w:szCs w:val="24"/>
        </w:rPr>
      </w:pPr>
      <w:r>
        <w:rPr>
          <w:rFonts w:cstheme="minorHAnsi"/>
          <w:sz w:val="24"/>
          <w:szCs w:val="24"/>
        </w:rPr>
        <w:t>Este informe se elabora en medio de un clima post electoral (Elecciones generales 2023) donde la comunidad LGBTIQ+ fue usada como tema de interés público, haciéndola responsable de los males que aquejan el país y creando animosidad por parte de la sociedad, situación que se ve reflejada con los recientes asesinatos de mujeres trans a menos de un mes de la segunda vuelta electoral.</w:t>
      </w:r>
    </w:p>
    <w:p w14:paraId="7AF4CFD6" w14:textId="17498DA6" w:rsidR="00DE048D" w:rsidRDefault="00DE048D" w:rsidP="002F0696">
      <w:pPr>
        <w:spacing w:after="0"/>
        <w:ind w:left="23"/>
        <w:jc w:val="both"/>
        <w:rPr>
          <w:rFonts w:cstheme="minorHAnsi"/>
          <w:sz w:val="24"/>
          <w:szCs w:val="24"/>
        </w:rPr>
      </w:pPr>
      <w:r w:rsidRPr="002C74A2">
        <w:rPr>
          <w:rFonts w:cstheme="minorHAnsi"/>
          <w:sz w:val="24"/>
          <w:szCs w:val="24"/>
        </w:rPr>
        <w:t xml:space="preserve"> </w:t>
      </w:r>
    </w:p>
    <w:p w14:paraId="1C339051" w14:textId="77777777" w:rsidR="002F0696" w:rsidRPr="002C74A2" w:rsidRDefault="002F0696" w:rsidP="00921FB6">
      <w:pPr>
        <w:spacing w:after="0"/>
        <w:jc w:val="both"/>
        <w:rPr>
          <w:rFonts w:cstheme="minorHAnsi"/>
          <w:sz w:val="24"/>
          <w:szCs w:val="24"/>
        </w:rPr>
      </w:pPr>
    </w:p>
    <w:p w14:paraId="5D23C902" w14:textId="5F8870B9" w:rsidR="00DE048D" w:rsidRPr="002C74A2" w:rsidRDefault="009D0BCB" w:rsidP="00ED17E9">
      <w:pPr>
        <w:pStyle w:val="Ttulo1"/>
      </w:pPr>
      <w:bookmarkStart w:id="2" w:name="_Toc144980979"/>
      <w:r w:rsidRPr="002C74A2">
        <w:rPr>
          <w:rFonts w:eastAsia="Times New Roman"/>
        </w:rPr>
        <w:t>CAPÍTULO II.  CUMPLIMIENTO DE LA CEDAW</w:t>
      </w:r>
      <w:bookmarkEnd w:id="2"/>
      <w:r w:rsidRPr="002C74A2">
        <w:rPr>
          <w:rFonts w:eastAsia="Times New Roman"/>
        </w:rPr>
        <w:t xml:space="preserve"> </w:t>
      </w:r>
    </w:p>
    <w:p w14:paraId="40E32B6A" w14:textId="77777777" w:rsidR="00DE048D" w:rsidRPr="002C74A2" w:rsidRDefault="00DE048D" w:rsidP="002C74A2">
      <w:pPr>
        <w:spacing w:after="0"/>
        <w:ind w:left="23"/>
        <w:jc w:val="both"/>
        <w:rPr>
          <w:rFonts w:cstheme="minorHAnsi"/>
          <w:sz w:val="24"/>
          <w:szCs w:val="24"/>
        </w:rPr>
      </w:pPr>
      <w:r w:rsidRPr="002C74A2">
        <w:rPr>
          <w:rFonts w:cstheme="minorHAnsi"/>
          <w:sz w:val="24"/>
          <w:szCs w:val="24"/>
        </w:rPr>
        <w:t xml:space="preserve"> </w:t>
      </w:r>
    </w:p>
    <w:p w14:paraId="4290BD07" w14:textId="023A5204" w:rsidR="00DE048D" w:rsidRDefault="002F0696" w:rsidP="002C74A2">
      <w:pPr>
        <w:ind w:left="18" w:right="284"/>
        <w:jc w:val="both"/>
        <w:rPr>
          <w:rFonts w:cstheme="minorHAnsi"/>
          <w:sz w:val="24"/>
          <w:szCs w:val="24"/>
        </w:rPr>
      </w:pPr>
      <w:r>
        <w:rPr>
          <w:rFonts w:cstheme="minorHAnsi"/>
          <w:sz w:val="24"/>
          <w:szCs w:val="24"/>
        </w:rPr>
        <w:t>En un ambiente social y político de polarización, donde el proceso electoral fue puesto a prueba y la sociedad fue presionada a dividirse en una falsa dicotomía de buenos y malos, arguyendo a estos, cualidades globalistas, de imposición de ideologías y de un ataque frontal contra los derechos de las personas LGBTIQ+, encontramos la siguiente realidad para mujeres trans:</w:t>
      </w:r>
    </w:p>
    <w:p w14:paraId="2F0E1264" w14:textId="77777777" w:rsidR="002F0696" w:rsidRPr="00ED17E9" w:rsidRDefault="002F0696" w:rsidP="00921FB6">
      <w:pPr>
        <w:spacing w:after="0"/>
        <w:rPr>
          <w:rFonts w:cstheme="minorHAnsi"/>
          <w:sz w:val="24"/>
          <w:szCs w:val="24"/>
        </w:rPr>
      </w:pPr>
    </w:p>
    <w:p w14:paraId="2071002C" w14:textId="4E377481" w:rsidR="00DE048D" w:rsidRPr="009D0BCB" w:rsidRDefault="009A2FE4" w:rsidP="00ED17E9">
      <w:pPr>
        <w:pStyle w:val="Ttulo2"/>
        <w:rPr>
          <w:b w:val="0"/>
          <w:bCs/>
          <w:i/>
          <w:iCs/>
          <w:color w:val="2F5496" w:themeColor="accent1" w:themeShade="BF"/>
        </w:rPr>
      </w:pPr>
      <w:bookmarkStart w:id="3" w:name="_Toc144980980"/>
      <w:r>
        <w:rPr>
          <w:b w:val="0"/>
          <w:bCs/>
          <w:i/>
          <w:iCs/>
          <w:color w:val="2F5496" w:themeColor="accent1" w:themeShade="BF"/>
        </w:rPr>
        <w:lastRenderedPageBreak/>
        <w:t>Falta de reconocimiento de la ley de identidad de género</w:t>
      </w:r>
      <w:bookmarkEnd w:id="3"/>
    </w:p>
    <w:p w14:paraId="0D480020" w14:textId="77777777" w:rsidR="00ED17E9" w:rsidRPr="002C74A2" w:rsidRDefault="00ED17E9" w:rsidP="00DE048D">
      <w:pPr>
        <w:spacing w:after="7"/>
        <w:ind w:left="23"/>
        <w:rPr>
          <w:rFonts w:cstheme="minorHAnsi"/>
          <w:sz w:val="24"/>
          <w:szCs w:val="24"/>
        </w:rPr>
      </w:pPr>
    </w:p>
    <w:p w14:paraId="3D2C1412" w14:textId="77777777" w:rsidR="00FD4872" w:rsidRDefault="00FD4872"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p>
    <w:p w14:paraId="38FDC5DC" w14:textId="195F7CE9" w:rsidR="00DE048D" w:rsidRPr="002C74A2" w:rsidRDefault="00DE048D"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r w:rsidRPr="002C74A2">
        <w:rPr>
          <w:rFonts w:eastAsia="Times New Roman" w:cstheme="minorHAnsi"/>
          <w:b/>
          <w:sz w:val="24"/>
          <w:szCs w:val="24"/>
        </w:rPr>
        <w:t>Artículos 2,3 4.1</w:t>
      </w:r>
      <w:r w:rsidR="002F0696">
        <w:rPr>
          <w:rFonts w:eastAsia="Times New Roman" w:cstheme="minorHAnsi"/>
          <w:b/>
          <w:sz w:val="24"/>
          <w:szCs w:val="24"/>
        </w:rPr>
        <w:t xml:space="preserve">, </w:t>
      </w:r>
      <w:r w:rsidR="00FD4872" w:rsidRPr="002C74A2">
        <w:rPr>
          <w:rFonts w:eastAsia="Times New Roman" w:cstheme="minorHAnsi"/>
          <w:b/>
          <w:sz w:val="24"/>
          <w:szCs w:val="24"/>
        </w:rPr>
        <w:t xml:space="preserve">5 </w:t>
      </w:r>
      <w:r w:rsidR="00FD4872">
        <w:rPr>
          <w:rFonts w:eastAsia="Times New Roman" w:cstheme="minorHAnsi"/>
          <w:b/>
          <w:sz w:val="24"/>
          <w:szCs w:val="24"/>
        </w:rPr>
        <w:t>y</w:t>
      </w:r>
      <w:r w:rsidR="002F0696">
        <w:rPr>
          <w:rFonts w:eastAsia="Times New Roman" w:cstheme="minorHAnsi"/>
          <w:b/>
          <w:sz w:val="24"/>
          <w:szCs w:val="24"/>
        </w:rPr>
        <w:t xml:space="preserve"> 15.2</w:t>
      </w:r>
    </w:p>
    <w:p w14:paraId="7A9C65C1" w14:textId="42A9CEED" w:rsidR="00DE048D" w:rsidRDefault="002F0696"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r>
        <w:rPr>
          <w:rFonts w:eastAsia="Times New Roman" w:cstheme="minorHAnsi"/>
          <w:b/>
          <w:sz w:val="24"/>
          <w:szCs w:val="24"/>
        </w:rPr>
        <w:t>Igualdad ante la ley y reconocimiento jurídico</w:t>
      </w:r>
    </w:p>
    <w:p w14:paraId="6EBDD370" w14:textId="77777777" w:rsidR="00FD4872" w:rsidRDefault="00FD4872"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p>
    <w:p w14:paraId="3432C6E4" w14:textId="48B3EE37" w:rsidR="00DE048D" w:rsidRPr="00FD4872" w:rsidRDefault="00DE048D" w:rsidP="00FD4872">
      <w:pPr>
        <w:spacing w:after="0"/>
        <w:jc w:val="both"/>
        <w:rPr>
          <w:rFonts w:cstheme="minorHAnsi"/>
          <w:sz w:val="24"/>
          <w:szCs w:val="24"/>
        </w:rPr>
      </w:pPr>
    </w:p>
    <w:p w14:paraId="33DC6BF6" w14:textId="05AFCCE6" w:rsidR="00FD4872" w:rsidRPr="00FD4872" w:rsidRDefault="00FD4872" w:rsidP="00FD4872">
      <w:pPr>
        <w:pStyle w:val="Textoindependiente"/>
        <w:spacing w:line="360" w:lineRule="auto"/>
        <w:ind w:left="122" w:right="156" w:firstLine="851"/>
        <w:jc w:val="both"/>
        <w:rPr>
          <w:rFonts w:asciiTheme="minorHAnsi" w:hAnsiTheme="minorHAnsi" w:cstheme="minorHAnsi"/>
          <w:sz w:val="24"/>
          <w:szCs w:val="24"/>
        </w:rPr>
      </w:pPr>
      <w:r>
        <w:rPr>
          <w:rFonts w:asciiTheme="minorHAnsi" w:hAnsiTheme="minorHAnsi" w:cstheme="minorHAnsi"/>
          <w:sz w:val="24"/>
          <w:szCs w:val="24"/>
        </w:rPr>
        <w:t>El Gobierno guatemalteco dirigido por A. Giammattei</w:t>
      </w:r>
      <w:r w:rsidR="0006149F">
        <w:rPr>
          <w:rStyle w:val="Refdenotaalpie"/>
          <w:rFonts w:asciiTheme="minorHAnsi" w:hAnsiTheme="minorHAnsi" w:cstheme="minorHAnsi"/>
          <w:sz w:val="24"/>
          <w:szCs w:val="24"/>
        </w:rPr>
        <w:footnoteReference w:id="4"/>
      </w:r>
      <w:r w:rsidRPr="00FD4872">
        <w:rPr>
          <w:rFonts w:asciiTheme="minorHAnsi" w:hAnsiTheme="minorHAnsi" w:cstheme="minorHAnsi"/>
          <w:sz w:val="24"/>
          <w:szCs w:val="24"/>
        </w:rPr>
        <w:t xml:space="preserve"> es </w:t>
      </w:r>
      <w:r w:rsidRPr="00FD4872">
        <w:rPr>
          <w:rFonts w:asciiTheme="minorHAnsi" w:hAnsiTheme="minorHAnsi" w:cstheme="minorHAnsi"/>
          <w:spacing w:val="-6"/>
          <w:sz w:val="24"/>
          <w:szCs w:val="24"/>
        </w:rPr>
        <w:t>contrario al reconocimiento de</w:t>
      </w:r>
      <w:r w:rsidRPr="00FD4872">
        <w:rPr>
          <w:rFonts w:asciiTheme="minorHAnsi" w:hAnsiTheme="minorHAnsi" w:cstheme="minorHAnsi"/>
          <w:spacing w:val="-3"/>
          <w:sz w:val="24"/>
          <w:szCs w:val="24"/>
        </w:rPr>
        <w:t xml:space="preserve"> </w:t>
      </w:r>
      <w:r w:rsidRPr="00FD4872">
        <w:rPr>
          <w:rFonts w:asciiTheme="minorHAnsi" w:hAnsiTheme="minorHAnsi" w:cstheme="minorHAnsi"/>
          <w:sz w:val="24"/>
          <w:szCs w:val="24"/>
        </w:rPr>
        <w:t>la identidad de género en el país</w:t>
      </w:r>
      <w:r w:rsidR="001901E6">
        <w:rPr>
          <w:rStyle w:val="Refdenotaalpie"/>
          <w:rFonts w:asciiTheme="minorHAnsi" w:hAnsiTheme="minorHAnsi" w:cstheme="minorHAnsi"/>
          <w:sz w:val="24"/>
          <w:szCs w:val="24"/>
        </w:rPr>
        <w:footnoteReference w:id="5"/>
      </w:r>
      <w:r w:rsidRPr="00FD4872">
        <w:rPr>
          <w:rFonts w:asciiTheme="minorHAnsi" w:hAnsiTheme="minorHAnsi" w:cstheme="minorHAnsi"/>
          <w:sz w:val="24"/>
          <w:szCs w:val="24"/>
        </w:rPr>
        <w:t xml:space="preserve">, </w:t>
      </w:r>
      <w:r>
        <w:rPr>
          <w:rFonts w:asciiTheme="minorHAnsi" w:hAnsiTheme="minorHAnsi" w:cstheme="minorHAnsi"/>
          <w:sz w:val="24"/>
          <w:szCs w:val="24"/>
        </w:rPr>
        <w:t>ya que impide el desarrollo de</w:t>
      </w:r>
      <w:r w:rsidRPr="00FD4872">
        <w:rPr>
          <w:rFonts w:asciiTheme="minorHAnsi" w:hAnsiTheme="minorHAnsi" w:cstheme="minorHAnsi"/>
          <w:sz w:val="24"/>
          <w:szCs w:val="24"/>
        </w:rPr>
        <w:t xml:space="preserve"> una Ley de Identidad de Género que garantice el respeto y cumplimiento de los derechos fundamentales de las mujeres Trans</w:t>
      </w:r>
      <w:r>
        <w:rPr>
          <w:rFonts w:asciiTheme="minorHAnsi" w:hAnsiTheme="minorHAnsi" w:cstheme="minorHAnsi"/>
          <w:sz w:val="24"/>
          <w:szCs w:val="24"/>
        </w:rPr>
        <w:t>.</w:t>
      </w:r>
    </w:p>
    <w:p w14:paraId="2A267DC8" w14:textId="77777777" w:rsidR="00FD4872" w:rsidRDefault="00FD4872" w:rsidP="00FD4872">
      <w:pPr>
        <w:pStyle w:val="Textoindependiente"/>
        <w:spacing w:line="360" w:lineRule="auto"/>
        <w:ind w:left="122" w:right="156" w:firstLine="851"/>
        <w:jc w:val="both"/>
        <w:rPr>
          <w:rFonts w:asciiTheme="minorHAnsi" w:hAnsiTheme="minorHAnsi" w:cstheme="minorHAnsi"/>
          <w:sz w:val="24"/>
          <w:szCs w:val="24"/>
        </w:rPr>
      </w:pPr>
    </w:p>
    <w:p w14:paraId="3A66D542" w14:textId="5E96F649" w:rsidR="00FD4872" w:rsidRDefault="00FD4872" w:rsidP="00FD4872">
      <w:pPr>
        <w:pStyle w:val="Textoindependiente"/>
        <w:spacing w:line="360" w:lineRule="auto"/>
        <w:ind w:left="122" w:right="156" w:firstLine="851"/>
        <w:jc w:val="both"/>
        <w:rPr>
          <w:rFonts w:asciiTheme="minorHAnsi" w:hAnsiTheme="minorHAnsi" w:cstheme="minorHAnsi"/>
          <w:sz w:val="24"/>
          <w:szCs w:val="24"/>
        </w:rPr>
      </w:pPr>
      <w:r>
        <w:rPr>
          <w:rFonts w:asciiTheme="minorHAnsi" w:hAnsiTheme="minorHAnsi" w:cstheme="minorHAnsi"/>
          <w:sz w:val="24"/>
          <w:szCs w:val="24"/>
        </w:rPr>
        <w:t>Cabe resaltar que en el período de gobierno anterior a este se presentó borrador de ley de identidad de género, p</w:t>
      </w:r>
      <w:r w:rsidRPr="00FD4872">
        <w:rPr>
          <w:rFonts w:asciiTheme="minorHAnsi" w:hAnsiTheme="minorHAnsi" w:cstheme="minorHAnsi"/>
          <w:sz w:val="24"/>
          <w:szCs w:val="24"/>
        </w:rPr>
        <w:t xml:space="preserve">resentada el 1 de </w:t>
      </w:r>
      <w:r w:rsidR="00A94B9C" w:rsidRPr="00FD4872">
        <w:rPr>
          <w:rFonts w:asciiTheme="minorHAnsi" w:hAnsiTheme="minorHAnsi" w:cstheme="minorHAnsi"/>
          <w:sz w:val="24"/>
          <w:szCs w:val="24"/>
        </w:rPr>
        <w:t>diciembre</w:t>
      </w:r>
      <w:r w:rsidRPr="00FD4872">
        <w:rPr>
          <w:rFonts w:asciiTheme="minorHAnsi" w:hAnsiTheme="minorHAnsi" w:cstheme="minorHAnsi"/>
          <w:sz w:val="24"/>
          <w:szCs w:val="24"/>
        </w:rPr>
        <w:t xml:space="preserve"> del 2017, </w:t>
      </w:r>
      <w:r>
        <w:rPr>
          <w:rFonts w:asciiTheme="minorHAnsi" w:hAnsiTheme="minorHAnsi" w:cstheme="minorHAnsi"/>
          <w:sz w:val="24"/>
          <w:szCs w:val="24"/>
        </w:rPr>
        <w:t xml:space="preserve">bajo </w:t>
      </w:r>
      <w:r w:rsidR="00C846D4">
        <w:rPr>
          <w:rFonts w:asciiTheme="minorHAnsi" w:hAnsiTheme="minorHAnsi" w:cstheme="minorHAnsi"/>
          <w:sz w:val="24"/>
          <w:szCs w:val="24"/>
        </w:rPr>
        <w:t>el</w:t>
      </w:r>
      <w:r>
        <w:rPr>
          <w:rFonts w:asciiTheme="minorHAnsi" w:hAnsiTheme="minorHAnsi" w:cstheme="minorHAnsi"/>
          <w:sz w:val="24"/>
          <w:szCs w:val="24"/>
        </w:rPr>
        <w:t xml:space="preserve"> número de iniciativa </w:t>
      </w:r>
      <w:r w:rsidRPr="00FD4872">
        <w:rPr>
          <w:rFonts w:asciiTheme="minorHAnsi" w:hAnsiTheme="minorHAnsi" w:cstheme="minorHAnsi"/>
          <w:sz w:val="24"/>
          <w:szCs w:val="24"/>
        </w:rPr>
        <w:t>5395</w:t>
      </w:r>
      <w:r w:rsidR="00C846D4">
        <w:rPr>
          <w:rStyle w:val="Refdenotaalpie"/>
          <w:rFonts w:asciiTheme="minorHAnsi" w:hAnsiTheme="minorHAnsi" w:cstheme="minorHAnsi"/>
          <w:sz w:val="24"/>
          <w:szCs w:val="24"/>
        </w:rPr>
        <w:footnoteReference w:id="6"/>
      </w:r>
      <w:r>
        <w:rPr>
          <w:rFonts w:asciiTheme="minorHAnsi" w:hAnsiTheme="minorHAnsi" w:cstheme="minorHAnsi"/>
          <w:sz w:val="24"/>
          <w:szCs w:val="24"/>
        </w:rPr>
        <w:t xml:space="preserve">, siendo rechazada por la </w:t>
      </w:r>
      <w:r w:rsidRPr="00FD4872">
        <w:rPr>
          <w:rFonts w:asciiTheme="minorHAnsi" w:hAnsiTheme="minorHAnsi" w:cstheme="minorHAnsi"/>
          <w:sz w:val="24"/>
          <w:szCs w:val="24"/>
        </w:rPr>
        <w:t xml:space="preserve">Comisión de la Mujer y </w:t>
      </w:r>
      <w:r>
        <w:rPr>
          <w:rFonts w:asciiTheme="minorHAnsi" w:hAnsiTheme="minorHAnsi" w:cstheme="minorHAnsi"/>
          <w:sz w:val="24"/>
          <w:szCs w:val="24"/>
        </w:rPr>
        <w:t xml:space="preserve">por la </w:t>
      </w:r>
      <w:r w:rsidRPr="00FD4872">
        <w:rPr>
          <w:rFonts w:asciiTheme="minorHAnsi" w:hAnsiTheme="minorHAnsi" w:cstheme="minorHAnsi"/>
          <w:sz w:val="24"/>
          <w:szCs w:val="24"/>
        </w:rPr>
        <w:t>Comisión de Legislación y Puntos Constitucionales</w:t>
      </w:r>
      <w:r>
        <w:rPr>
          <w:rFonts w:asciiTheme="minorHAnsi" w:hAnsiTheme="minorHAnsi" w:cstheme="minorHAnsi"/>
          <w:sz w:val="24"/>
          <w:szCs w:val="24"/>
        </w:rPr>
        <w:t>.</w:t>
      </w:r>
    </w:p>
    <w:p w14:paraId="04172F11" w14:textId="77777777" w:rsidR="00FD4872" w:rsidRPr="00FD4872" w:rsidRDefault="00FD4872" w:rsidP="00FD4872">
      <w:pPr>
        <w:pStyle w:val="Textoindependiente"/>
        <w:spacing w:line="360" w:lineRule="auto"/>
        <w:ind w:left="122" w:right="156" w:firstLine="851"/>
        <w:jc w:val="both"/>
        <w:rPr>
          <w:rFonts w:asciiTheme="minorHAnsi" w:hAnsiTheme="minorHAnsi" w:cstheme="minorHAnsi"/>
          <w:sz w:val="24"/>
          <w:szCs w:val="24"/>
        </w:rPr>
      </w:pPr>
    </w:p>
    <w:p w14:paraId="21B42B17" w14:textId="4EB599C2" w:rsidR="00FD4872" w:rsidRPr="00FD4872" w:rsidRDefault="00FD4872" w:rsidP="00FD4872">
      <w:pPr>
        <w:pStyle w:val="Prrafodelista"/>
        <w:spacing w:line="360" w:lineRule="auto"/>
        <w:ind w:left="0" w:firstLine="993"/>
        <w:jc w:val="both"/>
        <w:rPr>
          <w:rFonts w:cstheme="minorHAnsi"/>
          <w:sz w:val="24"/>
          <w:szCs w:val="24"/>
        </w:rPr>
      </w:pPr>
      <w:r w:rsidRPr="00FD4872">
        <w:rPr>
          <w:rFonts w:cstheme="minorHAnsi"/>
          <w:sz w:val="24"/>
          <w:szCs w:val="24"/>
        </w:rPr>
        <w:t>En ese contexto mencionar la  iniciativa 52-72 “</w:t>
      </w:r>
      <w:r w:rsidRPr="00FD4872">
        <w:rPr>
          <w:rFonts w:cstheme="minorHAnsi"/>
          <w:b/>
          <w:bCs/>
          <w:sz w:val="24"/>
          <w:szCs w:val="24"/>
        </w:rPr>
        <w:t>Ley para Protección de la Vida y la Familia”</w:t>
      </w:r>
      <w:r w:rsidRPr="00FD4872">
        <w:rPr>
          <w:rFonts w:cstheme="minorHAnsi"/>
          <w:sz w:val="24"/>
          <w:szCs w:val="24"/>
        </w:rPr>
        <w:t xml:space="preserve"> que fue presentada al Congreso de la República en fecha 27 de abril de 2017 durante el año no tuvo mayor avance, retomando las acciones en 2018 obteniendo el Dictamen de la Comisión a la cual fue asignada y se realizó en ese mismo año el primero y segundo debate de la iniciativa, pero el avance hasta ese momento se estancó, siendo hasta en el año 2022 específicamente en el mes de marzo en donde retomaron los avances de una iniciativa  de manera repentina, iniciativa que prácticamente estaba sin movimiento, en dicho mes se </w:t>
      </w:r>
      <w:r w:rsidRPr="00FD4872">
        <w:rPr>
          <w:rFonts w:cstheme="minorHAnsi"/>
          <w:sz w:val="24"/>
          <w:szCs w:val="24"/>
        </w:rPr>
        <w:t>desarrolló</w:t>
      </w:r>
      <w:r w:rsidRPr="00FD4872">
        <w:rPr>
          <w:rFonts w:cstheme="minorHAnsi"/>
          <w:sz w:val="24"/>
          <w:szCs w:val="24"/>
        </w:rPr>
        <w:t xml:space="preserve"> el tercer y último debate, realizando inmediatamente la aprobación </w:t>
      </w:r>
      <w:r w:rsidRPr="00FD4872">
        <w:rPr>
          <w:rFonts w:cstheme="minorHAnsi"/>
          <w:sz w:val="24"/>
          <w:szCs w:val="24"/>
        </w:rPr>
        <w:lastRenderedPageBreak/>
        <w:t>por artículos y aprobación de redacción final.</w:t>
      </w:r>
      <w:r w:rsidRPr="00FD4872">
        <w:rPr>
          <w:rFonts w:cstheme="minorHAnsi"/>
          <w:sz w:val="24"/>
          <w:szCs w:val="24"/>
        </w:rPr>
        <w:footnoteReference w:id="7"/>
      </w:r>
      <w:r w:rsidRPr="00FD4872">
        <w:rPr>
          <w:rFonts w:cstheme="minorHAnsi"/>
          <w:sz w:val="24"/>
          <w:szCs w:val="24"/>
        </w:rPr>
        <w:t xml:space="preserve"> (normativa no vigente fue archivada por el Congreso de la República de Guatemala).</w:t>
      </w:r>
    </w:p>
    <w:p w14:paraId="17E5C522" w14:textId="77777777" w:rsidR="00FD4872" w:rsidRPr="00FD4872" w:rsidRDefault="00FD4872" w:rsidP="00FD4872">
      <w:pPr>
        <w:pStyle w:val="Prrafodelista"/>
        <w:spacing w:line="360" w:lineRule="auto"/>
        <w:ind w:left="0" w:firstLine="993"/>
        <w:jc w:val="both"/>
        <w:rPr>
          <w:rFonts w:cstheme="minorHAnsi"/>
          <w:sz w:val="24"/>
          <w:szCs w:val="24"/>
        </w:rPr>
      </w:pPr>
    </w:p>
    <w:p w14:paraId="64C87088" w14:textId="77777777" w:rsidR="00FD4872" w:rsidRPr="00FD4872" w:rsidRDefault="00FD4872" w:rsidP="00FD4872">
      <w:pPr>
        <w:pStyle w:val="Prrafodelista"/>
        <w:spacing w:line="360" w:lineRule="auto"/>
        <w:ind w:left="0" w:firstLine="993"/>
        <w:jc w:val="both"/>
        <w:rPr>
          <w:rFonts w:cstheme="minorHAnsi"/>
          <w:sz w:val="24"/>
          <w:szCs w:val="24"/>
        </w:rPr>
      </w:pPr>
      <w:r w:rsidRPr="00FD4872">
        <w:rPr>
          <w:rFonts w:cstheme="minorHAnsi"/>
          <w:sz w:val="24"/>
          <w:szCs w:val="24"/>
        </w:rPr>
        <w:t>En seguimiento al avance de la iniciativa en mención se aprueba por el Congreso de la República de Guatemala el que en su momento fue el decreto 18-</w:t>
      </w:r>
      <w:r w:rsidRPr="00FD4872">
        <w:rPr>
          <w:rFonts w:cstheme="minorHAnsi"/>
          <w:b/>
          <w:bCs/>
          <w:sz w:val="24"/>
          <w:szCs w:val="24"/>
        </w:rPr>
        <w:t>2022 “Ley para Protección de la Vida y la Familia”,</w:t>
      </w:r>
      <w:r w:rsidRPr="00FD4872">
        <w:rPr>
          <w:rFonts w:cstheme="minorHAnsi"/>
          <w:sz w:val="24"/>
          <w:szCs w:val="24"/>
        </w:rPr>
        <w:t xml:space="preserve"> y que posterior fuera archivada por el mismo Organismo Legislativo como resultado de diversas oposiciones,   al respecto indicar que ya no se presentó al Organismo Ejecutivo para sanción o veto, en ese sentido  trae un evidente golpe a los derechos de la niñez y adolescencia Trans en Guatemala, teniendo un impacto negativo y futuro poco prometedor para la niñez y adolescencia, vista desde el enfoque de lo que sufre  la niñez y adolescencia en un Estado represor que no reconoce la identidad de género, todo lo contrario realiza acciones con esta ley para reprimir aún más la violación a los derechos humanos que existe en el país ya que es en extremo conservador y represor a la identidad de género y orientación sexual que no sea la asignada al niño o niña al nacer. En dicha normativa se violentaba el derecho a la educación integral en sexualidad entre otros en contra de la niñez y adolescencia de la población LGBTIQ+.</w:t>
      </w:r>
    </w:p>
    <w:p w14:paraId="789200AC" w14:textId="77777777" w:rsidR="00FD4872" w:rsidRPr="00FD4872" w:rsidRDefault="00FD4872" w:rsidP="00FD4872">
      <w:pPr>
        <w:pStyle w:val="Prrafodelista"/>
        <w:spacing w:line="360" w:lineRule="auto"/>
        <w:ind w:left="0" w:firstLine="993"/>
        <w:jc w:val="both"/>
        <w:rPr>
          <w:rFonts w:cstheme="minorHAnsi"/>
          <w:sz w:val="24"/>
          <w:szCs w:val="24"/>
        </w:rPr>
      </w:pPr>
    </w:p>
    <w:p w14:paraId="1430BC93" w14:textId="77777777" w:rsidR="00FD4872" w:rsidRPr="00FD4872" w:rsidRDefault="00FD4872" w:rsidP="00FD4872">
      <w:pPr>
        <w:pStyle w:val="Prrafodelista"/>
        <w:spacing w:line="360" w:lineRule="auto"/>
        <w:ind w:left="0" w:firstLine="993"/>
        <w:jc w:val="both"/>
        <w:rPr>
          <w:rFonts w:cstheme="minorHAnsi"/>
          <w:sz w:val="24"/>
          <w:szCs w:val="24"/>
        </w:rPr>
      </w:pPr>
      <w:r w:rsidRPr="00FD4872">
        <w:rPr>
          <w:rFonts w:cstheme="minorHAnsi"/>
          <w:sz w:val="24"/>
          <w:szCs w:val="24"/>
        </w:rPr>
        <w:t>Más importe aun es mencionar la nueva clasificación Internacional de Enfermedades (CIE-11) que emitió la Organización Mundial de  la Salud, y que entró en vigencia en enero de 2022, en donde se eliminó el “Transexualismo” y el “trastorno de identidad de género” como “Trastornos mentales”</w:t>
      </w:r>
      <w:r w:rsidRPr="00FD4872">
        <w:rPr>
          <w:rStyle w:val="Refdenotaalpie"/>
          <w:rFonts w:cstheme="minorHAnsi"/>
          <w:sz w:val="24"/>
          <w:szCs w:val="24"/>
        </w:rPr>
        <w:footnoteReference w:id="8"/>
      </w:r>
      <w:r w:rsidRPr="00FD4872">
        <w:rPr>
          <w:rFonts w:cstheme="minorHAnsi"/>
          <w:sz w:val="24"/>
          <w:szCs w:val="24"/>
        </w:rPr>
        <w:t>, aun así el Estado de Guatemala no realiza acciones encaminadas a legislar sobre la identidad de género de las personas Trans, todo lo contrario el Congreso y el Gobierno promueven iniciativas como la ya relacionada.</w:t>
      </w:r>
    </w:p>
    <w:p w14:paraId="2CBF1112" w14:textId="77777777" w:rsidR="00FD4872" w:rsidRPr="00FD4872" w:rsidRDefault="00FD4872" w:rsidP="00FD4872">
      <w:pPr>
        <w:pStyle w:val="Textoindependiente"/>
        <w:spacing w:line="360" w:lineRule="auto"/>
        <w:ind w:left="122" w:right="156"/>
        <w:jc w:val="both"/>
        <w:rPr>
          <w:rFonts w:asciiTheme="minorHAnsi" w:hAnsiTheme="minorHAnsi" w:cstheme="minorHAnsi"/>
          <w:sz w:val="24"/>
          <w:szCs w:val="24"/>
        </w:rPr>
      </w:pPr>
      <w:r w:rsidRPr="00FD4872">
        <w:rPr>
          <w:rFonts w:asciiTheme="minorHAnsi" w:hAnsiTheme="minorHAnsi" w:cstheme="minorHAnsi"/>
          <w:spacing w:val="38"/>
          <w:sz w:val="24"/>
          <w:szCs w:val="24"/>
        </w:rPr>
        <w:t xml:space="preserve">          </w:t>
      </w:r>
      <w:r w:rsidRPr="00FD4872">
        <w:rPr>
          <w:rFonts w:asciiTheme="minorHAnsi" w:hAnsiTheme="minorHAnsi" w:cstheme="minorHAnsi"/>
          <w:sz w:val="24"/>
          <w:szCs w:val="24"/>
        </w:rPr>
        <w:t>Con todo ello se vulnera el artículo</w:t>
      </w:r>
      <w:r w:rsidRPr="00FD4872">
        <w:rPr>
          <w:rFonts w:asciiTheme="minorHAnsi" w:hAnsiTheme="minorHAnsi" w:cstheme="minorHAnsi"/>
          <w:spacing w:val="37"/>
          <w:sz w:val="24"/>
          <w:szCs w:val="24"/>
        </w:rPr>
        <w:t xml:space="preserve"> </w:t>
      </w:r>
      <w:r w:rsidRPr="00FD4872">
        <w:rPr>
          <w:rFonts w:asciiTheme="minorHAnsi" w:hAnsiTheme="minorHAnsi" w:cstheme="minorHAnsi"/>
          <w:sz w:val="24"/>
          <w:szCs w:val="24"/>
        </w:rPr>
        <w:t>uno</w:t>
      </w:r>
      <w:r w:rsidRPr="00FD4872">
        <w:rPr>
          <w:rFonts w:asciiTheme="minorHAnsi" w:hAnsiTheme="minorHAnsi" w:cstheme="minorHAnsi"/>
          <w:spacing w:val="37"/>
          <w:sz w:val="24"/>
          <w:szCs w:val="24"/>
        </w:rPr>
        <w:t xml:space="preserve"> </w:t>
      </w:r>
      <w:r w:rsidRPr="00FD4872">
        <w:rPr>
          <w:rFonts w:asciiTheme="minorHAnsi" w:hAnsiTheme="minorHAnsi" w:cstheme="minorHAnsi"/>
          <w:sz w:val="24"/>
          <w:szCs w:val="24"/>
        </w:rPr>
        <w:t>de</w:t>
      </w:r>
      <w:r w:rsidRPr="00FD4872">
        <w:rPr>
          <w:rFonts w:asciiTheme="minorHAnsi" w:hAnsiTheme="minorHAnsi" w:cstheme="minorHAnsi"/>
          <w:spacing w:val="36"/>
          <w:sz w:val="24"/>
          <w:szCs w:val="24"/>
        </w:rPr>
        <w:t xml:space="preserve"> </w:t>
      </w:r>
      <w:r w:rsidRPr="00FD4872">
        <w:rPr>
          <w:rFonts w:asciiTheme="minorHAnsi" w:hAnsiTheme="minorHAnsi" w:cstheme="minorHAnsi"/>
          <w:sz w:val="24"/>
          <w:szCs w:val="24"/>
        </w:rPr>
        <w:t>la</w:t>
      </w:r>
      <w:r w:rsidRPr="00FD4872">
        <w:rPr>
          <w:rFonts w:asciiTheme="minorHAnsi" w:hAnsiTheme="minorHAnsi" w:cstheme="minorHAnsi"/>
          <w:spacing w:val="34"/>
          <w:sz w:val="24"/>
          <w:szCs w:val="24"/>
        </w:rPr>
        <w:t xml:space="preserve"> </w:t>
      </w:r>
      <w:r w:rsidRPr="00FD4872">
        <w:rPr>
          <w:rFonts w:asciiTheme="minorHAnsi" w:hAnsiTheme="minorHAnsi" w:cstheme="minorHAnsi"/>
          <w:sz w:val="24"/>
          <w:szCs w:val="24"/>
        </w:rPr>
        <w:t>Constitución Política</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de</w:t>
      </w:r>
      <w:r w:rsidRPr="00FD4872">
        <w:rPr>
          <w:rFonts w:asciiTheme="minorHAnsi" w:hAnsiTheme="minorHAnsi" w:cstheme="minorHAnsi"/>
          <w:spacing w:val="-8"/>
          <w:sz w:val="24"/>
          <w:szCs w:val="24"/>
        </w:rPr>
        <w:t xml:space="preserve"> </w:t>
      </w:r>
      <w:r w:rsidRPr="00FD4872">
        <w:rPr>
          <w:rFonts w:asciiTheme="minorHAnsi" w:hAnsiTheme="minorHAnsi" w:cstheme="minorHAnsi"/>
          <w:sz w:val="24"/>
          <w:szCs w:val="24"/>
        </w:rPr>
        <w:t>la</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República</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de</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Guatemala,</w:t>
      </w:r>
      <w:r w:rsidRPr="00FD4872">
        <w:rPr>
          <w:rFonts w:asciiTheme="minorHAnsi" w:hAnsiTheme="minorHAnsi" w:cstheme="minorHAnsi"/>
          <w:spacing w:val="-7"/>
          <w:sz w:val="24"/>
          <w:szCs w:val="24"/>
        </w:rPr>
        <w:t xml:space="preserve"> </w:t>
      </w:r>
      <w:r w:rsidRPr="00FD4872">
        <w:rPr>
          <w:rFonts w:asciiTheme="minorHAnsi" w:hAnsiTheme="minorHAnsi" w:cstheme="minorHAnsi"/>
          <w:sz w:val="24"/>
          <w:szCs w:val="24"/>
        </w:rPr>
        <w:t>que</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señala:</w:t>
      </w:r>
      <w:r w:rsidRPr="00FD4872">
        <w:rPr>
          <w:rFonts w:asciiTheme="minorHAnsi" w:hAnsiTheme="minorHAnsi" w:cstheme="minorHAnsi"/>
          <w:spacing w:val="-8"/>
          <w:sz w:val="24"/>
          <w:szCs w:val="24"/>
        </w:rPr>
        <w:t xml:space="preserve"> </w:t>
      </w:r>
      <w:r w:rsidRPr="00FD4872">
        <w:rPr>
          <w:rFonts w:asciiTheme="minorHAnsi" w:hAnsiTheme="minorHAnsi" w:cstheme="minorHAnsi"/>
          <w:sz w:val="24"/>
          <w:szCs w:val="24"/>
        </w:rPr>
        <w:t>“El</w:t>
      </w:r>
      <w:r w:rsidRPr="00FD4872">
        <w:rPr>
          <w:rFonts w:asciiTheme="minorHAnsi" w:hAnsiTheme="minorHAnsi" w:cstheme="minorHAnsi"/>
          <w:spacing w:val="-8"/>
          <w:sz w:val="24"/>
          <w:szCs w:val="24"/>
        </w:rPr>
        <w:t xml:space="preserve"> </w:t>
      </w:r>
      <w:r w:rsidRPr="00FD4872">
        <w:rPr>
          <w:rFonts w:asciiTheme="minorHAnsi" w:hAnsiTheme="minorHAnsi" w:cstheme="minorHAnsi"/>
          <w:sz w:val="24"/>
          <w:szCs w:val="24"/>
        </w:rPr>
        <w:t>Estado</w:t>
      </w:r>
      <w:r w:rsidRPr="00FD4872">
        <w:rPr>
          <w:rFonts w:asciiTheme="minorHAnsi" w:hAnsiTheme="minorHAnsi" w:cstheme="minorHAnsi"/>
          <w:spacing w:val="-7"/>
          <w:sz w:val="24"/>
          <w:szCs w:val="24"/>
        </w:rPr>
        <w:t xml:space="preserve"> </w:t>
      </w:r>
      <w:r w:rsidRPr="00FD4872">
        <w:rPr>
          <w:rFonts w:asciiTheme="minorHAnsi" w:hAnsiTheme="minorHAnsi" w:cstheme="minorHAnsi"/>
          <w:sz w:val="24"/>
          <w:szCs w:val="24"/>
        </w:rPr>
        <w:t>de</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Guatemala</w:t>
      </w:r>
      <w:r w:rsidRPr="00FD4872">
        <w:rPr>
          <w:rFonts w:asciiTheme="minorHAnsi" w:hAnsiTheme="minorHAnsi" w:cstheme="minorHAnsi"/>
          <w:spacing w:val="-8"/>
          <w:sz w:val="24"/>
          <w:szCs w:val="24"/>
        </w:rPr>
        <w:t xml:space="preserve"> </w:t>
      </w:r>
      <w:r w:rsidRPr="00FD4872">
        <w:rPr>
          <w:rFonts w:asciiTheme="minorHAnsi" w:hAnsiTheme="minorHAnsi" w:cstheme="minorHAnsi"/>
          <w:sz w:val="24"/>
          <w:szCs w:val="24"/>
        </w:rPr>
        <w:t>se</w:t>
      </w:r>
      <w:r w:rsidRPr="00FD4872">
        <w:rPr>
          <w:rFonts w:asciiTheme="minorHAnsi" w:hAnsiTheme="minorHAnsi" w:cstheme="minorHAnsi"/>
          <w:spacing w:val="-10"/>
          <w:sz w:val="24"/>
          <w:szCs w:val="24"/>
        </w:rPr>
        <w:t xml:space="preserve"> </w:t>
      </w:r>
      <w:r w:rsidRPr="00FD4872">
        <w:rPr>
          <w:rFonts w:asciiTheme="minorHAnsi" w:hAnsiTheme="minorHAnsi" w:cstheme="minorHAnsi"/>
          <w:sz w:val="24"/>
          <w:szCs w:val="24"/>
        </w:rPr>
        <w:t>organiza</w:t>
      </w:r>
      <w:r w:rsidRPr="00FD4872">
        <w:rPr>
          <w:rFonts w:asciiTheme="minorHAnsi" w:hAnsiTheme="minorHAnsi" w:cstheme="minorHAnsi"/>
          <w:spacing w:val="-7"/>
          <w:sz w:val="24"/>
          <w:szCs w:val="24"/>
        </w:rPr>
        <w:t xml:space="preserve"> </w:t>
      </w:r>
      <w:r w:rsidRPr="00FD4872">
        <w:rPr>
          <w:rFonts w:asciiTheme="minorHAnsi" w:hAnsiTheme="minorHAnsi" w:cstheme="minorHAnsi"/>
          <w:sz w:val="24"/>
          <w:szCs w:val="24"/>
        </w:rPr>
        <w:t xml:space="preserve">para proteger </w:t>
      </w:r>
      <w:r w:rsidRPr="00FD4872">
        <w:rPr>
          <w:rFonts w:asciiTheme="minorHAnsi" w:hAnsiTheme="minorHAnsi" w:cstheme="minorHAnsi"/>
          <w:sz w:val="24"/>
          <w:szCs w:val="24"/>
        </w:rPr>
        <w:lastRenderedPageBreak/>
        <w:t>a la persona y a la familia; su fin supremo es la realización del bien común”.</w:t>
      </w:r>
    </w:p>
    <w:p w14:paraId="38FEA5D3" w14:textId="77777777" w:rsidR="00FD4872" w:rsidRPr="00FD4872" w:rsidRDefault="00FD4872" w:rsidP="00FD4872">
      <w:pPr>
        <w:pStyle w:val="Textoindependiente"/>
        <w:spacing w:line="360" w:lineRule="auto"/>
        <w:ind w:left="122" w:right="156"/>
        <w:jc w:val="both"/>
        <w:rPr>
          <w:rFonts w:asciiTheme="minorHAnsi" w:hAnsiTheme="minorHAnsi" w:cstheme="minorHAnsi"/>
          <w:sz w:val="24"/>
          <w:szCs w:val="24"/>
        </w:rPr>
      </w:pPr>
    </w:p>
    <w:p w14:paraId="1C2C51AB" w14:textId="77777777" w:rsidR="00FD4872" w:rsidRPr="00FD4872" w:rsidRDefault="00FD4872" w:rsidP="00FD4872">
      <w:pPr>
        <w:pStyle w:val="Textoindependiente"/>
        <w:spacing w:line="360" w:lineRule="auto"/>
        <w:ind w:left="122" w:right="156"/>
        <w:jc w:val="both"/>
        <w:rPr>
          <w:rFonts w:asciiTheme="minorHAnsi" w:hAnsiTheme="minorHAnsi" w:cstheme="minorHAnsi"/>
          <w:sz w:val="24"/>
          <w:szCs w:val="24"/>
        </w:rPr>
      </w:pPr>
      <w:r w:rsidRPr="00FD4872">
        <w:rPr>
          <w:rFonts w:asciiTheme="minorHAnsi" w:hAnsiTheme="minorHAnsi" w:cstheme="minorHAnsi"/>
          <w:sz w:val="24"/>
          <w:szCs w:val="24"/>
        </w:rPr>
        <w:t xml:space="preserve">Además mencionar la iniciativa 5940  que dispone crear la </w:t>
      </w:r>
      <w:r w:rsidRPr="00FD4872">
        <w:rPr>
          <w:rFonts w:asciiTheme="minorHAnsi" w:hAnsiTheme="minorHAnsi" w:cstheme="minorHAnsi"/>
          <w:b/>
          <w:bCs/>
          <w:sz w:val="24"/>
          <w:szCs w:val="24"/>
        </w:rPr>
        <w:t>“Ley para garantiza la protección integral de la niñez y adolescencia contra los trastornos de la identidad de género”</w:t>
      </w:r>
      <w:r w:rsidRPr="00FD4872">
        <w:rPr>
          <w:rFonts w:asciiTheme="minorHAnsi" w:hAnsiTheme="minorHAnsi" w:cstheme="minorHAnsi"/>
          <w:sz w:val="24"/>
          <w:szCs w:val="24"/>
        </w:rPr>
        <w:t xml:space="preserve"> fue presentada a dirección legislativa del Congreso de la República en fecha 12 de julio de 2021, en ese mismo año se presentó al pleno el 13 de septiembre, quien conoció dicha iniciativa y siguió su curso, asignada a 3 comisiones del Congreso de la República las cuales son: Comisión de derechos humanos, Comisión de educación, ciencia y tecnología y la comisión de gobernación, en ese sentido en fecha 04 de noviembre de 2021 la comisión de educación ciencia y tecnología emitió dictamen favorable, pero de momento dicha iniciativa se encuentra estancada sin mostrar avances, aspecto que preocupa porque se teme que suceda lo mismo que con la Iniciativa 5272, que de un momento a otro avanzó a</w:t>
      </w:r>
      <w:r w:rsidRPr="00FD4872">
        <w:rPr>
          <w:rFonts w:asciiTheme="minorHAnsi" w:hAnsiTheme="minorHAnsi" w:cstheme="minorHAnsi"/>
          <w:bCs/>
          <w:color w:val="000000" w:themeColor="text1"/>
          <w:sz w:val="24"/>
          <w:szCs w:val="24"/>
        </w:rPr>
        <w:t xml:space="preserve"> </w:t>
      </w:r>
      <w:r w:rsidRPr="00FD4872">
        <w:rPr>
          <w:rFonts w:asciiTheme="minorHAnsi" w:hAnsiTheme="minorHAnsi" w:cstheme="minorHAnsi"/>
          <w:sz w:val="24"/>
          <w:szCs w:val="24"/>
        </w:rPr>
        <w:t>pasos agigantados, violando los derechos de la niñez y adolescencia siendo las</w:t>
      </w:r>
      <w:r w:rsidRPr="00FD4872">
        <w:rPr>
          <w:rFonts w:asciiTheme="minorHAnsi" w:hAnsiTheme="minorHAnsi" w:cstheme="minorHAnsi"/>
          <w:bCs/>
          <w:color w:val="000000" w:themeColor="text1"/>
          <w:sz w:val="24"/>
          <w:szCs w:val="24"/>
        </w:rPr>
        <w:t xml:space="preserve"> </w:t>
      </w:r>
      <w:r w:rsidRPr="00FD4872">
        <w:rPr>
          <w:rFonts w:asciiTheme="minorHAnsi" w:hAnsiTheme="minorHAnsi" w:cstheme="minorHAnsi"/>
          <w:sz w:val="24"/>
          <w:szCs w:val="24"/>
        </w:rPr>
        <w:t>principales afectadas con iniciativas como las descritas.</w:t>
      </w:r>
      <w:r w:rsidRPr="00FD4872">
        <w:rPr>
          <w:rStyle w:val="Refdenotaalpie"/>
          <w:rFonts w:asciiTheme="minorHAnsi" w:hAnsiTheme="minorHAnsi" w:cstheme="minorHAnsi"/>
          <w:sz w:val="24"/>
          <w:szCs w:val="24"/>
        </w:rPr>
        <w:footnoteReference w:id="9"/>
      </w:r>
    </w:p>
    <w:p w14:paraId="6CB771E8" w14:textId="77777777" w:rsidR="00AE3DE7" w:rsidRDefault="00AE3DE7" w:rsidP="00AE3DE7">
      <w:pPr>
        <w:spacing w:after="31"/>
        <w:ind w:left="23"/>
        <w:jc w:val="both"/>
        <w:rPr>
          <w:rFonts w:cstheme="minorHAnsi"/>
          <w:sz w:val="24"/>
          <w:szCs w:val="24"/>
          <w:lang w:val="es-ES"/>
        </w:rPr>
      </w:pPr>
    </w:p>
    <w:p w14:paraId="5499C186" w14:textId="77777777" w:rsidR="00AE3DE7" w:rsidRPr="00AE3DE7" w:rsidRDefault="00AE3DE7" w:rsidP="00AE3DE7">
      <w:pPr>
        <w:spacing w:after="31"/>
        <w:ind w:left="23"/>
        <w:jc w:val="both"/>
        <w:rPr>
          <w:rFonts w:cstheme="minorHAnsi"/>
          <w:b/>
          <w:bCs/>
          <w:sz w:val="24"/>
          <w:szCs w:val="24"/>
          <w:lang w:val="es-ES"/>
        </w:rPr>
      </w:pPr>
      <w:r w:rsidRPr="00AE3DE7">
        <w:rPr>
          <w:rFonts w:cstheme="minorHAnsi"/>
          <w:b/>
          <w:bCs/>
          <w:sz w:val="24"/>
          <w:szCs w:val="24"/>
          <w:lang w:val="es-ES"/>
        </w:rPr>
        <w:t>Recomendaciones:</w:t>
      </w:r>
    </w:p>
    <w:p w14:paraId="29A20F6B" w14:textId="77777777" w:rsidR="00AE3DE7" w:rsidRDefault="00AE3DE7" w:rsidP="00AE3DE7">
      <w:pPr>
        <w:spacing w:after="31"/>
        <w:ind w:left="23"/>
        <w:jc w:val="both"/>
        <w:rPr>
          <w:rFonts w:cstheme="minorHAnsi"/>
          <w:sz w:val="24"/>
          <w:szCs w:val="24"/>
          <w:lang w:val="es-ES"/>
        </w:rPr>
      </w:pPr>
    </w:p>
    <w:p w14:paraId="49363843" w14:textId="77777777" w:rsidR="00AE3DE7" w:rsidRPr="00AE3DE7" w:rsidRDefault="00AE3DE7" w:rsidP="00A94B9C">
      <w:pPr>
        <w:pStyle w:val="Prrafodelista"/>
        <w:numPr>
          <w:ilvl w:val="0"/>
          <w:numId w:val="14"/>
        </w:numPr>
        <w:spacing w:after="0" w:line="360" w:lineRule="auto"/>
        <w:jc w:val="both"/>
        <w:rPr>
          <w:rFonts w:cstheme="minorHAnsi"/>
          <w:sz w:val="24"/>
          <w:szCs w:val="24"/>
          <w:lang w:val="es-ES"/>
        </w:rPr>
      </w:pPr>
      <w:r w:rsidRPr="00AE3DE7">
        <w:rPr>
          <w:rFonts w:cstheme="minorHAnsi"/>
          <w:sz w:val="24"/>
          <w:szCs w:val="24"/>
          <w:lang w:val="es-ES"/>
        </w:rPr>
        <w:t>Se recomienda al Estado de Guatemala adoptar las recomendaciones de la Corte Interamericana de Derechos Humanos encaminadas a emitir una ley de identidad de género que garantice el reconocimiento jurídico de los derechos de las personas Trans a fin de efectivar los procesos en las instancias públicas con irrestricto cumplimiento de los derechos humanos; recomendar además al Estado la no emisión de iniciativas de ley regresivas como la fallida Ley 18-2022.</w:t>
      </w:r>
    </w:p>
    <w:p w14:paraId="40194B9D" w14:textId="77777777" w:rsidR="00AE3DE7" w:rsidRPr="00AE3DE7" w:rsidRDefault="00AE3DE7" w:rsidP="00A94B9C">
      <w:pPr>
        <w:pStyle w:val="Prrafodelista"/>
        <w:numPr>
          <w:ilvl w:val="0"/>
          <w:numId w:val="14"/>
        </w:numPr>
        <w:spacing w:after="0" w:line="360" w:lineRule="auto"/>
        <w:jc w:val="both"/>
        <w:rPr>
          <w:rFonts w:cstheme="minorHAnsi"/>
          <w:sz w:val="24"/>
          <w:szCs w:val="24"/>
          <w:lang w:val="es-ES"/>
        </w:rPr>
      </w:pPr>
      <w:r>
        <w:rPr>
          <w:rFonts w:cstheme="minorHAnsi"/>
          <w:sz w:val="24"/>
          <w:szCs w:val="24"/>
          <w:lang w:val="es-ES"/>
        </w:rPr>
        <w:t>Al Congreso de la República de Guatemala, d</w:t>
      </w:r>
      <w:r w:rsidRPr="00AE3DE7">
        <w:rPr>
          <w:rFonts w:cstheme="minorHAnsi"/>
          <w:sz w:val="24"/>
          <w:szCs w:val="24"/>
          <w:lang w:val="es-ES"/>
        </w:rPr>
        <w:t xml:space="preserve">etener el avance y por ende archivar la iniciativa de ley 5940 "Ley para garantizar la protección integral de la niñez y adolescencia contra los trastornos de la identidad de género”, pues limita los derechos </w:t>
      </w:r>
      <w:r w:rsidRPr="00AE3DE7">
        <w:rPr>
          <w:rFonts w:cstheme="minorHAnsi"/>
          <w:sz w:val="24"/>
          <w:szCs w:val="24"/>
          <w:lang w:val="es-ES"/>
        </w:rPr>
        <w:lastRenderedPageBreak/>
        <w:t>de las personas Trans e incluso criminaliza el tema de la ley de identidad de género en el país.</w:t>
      </w:r>
    </w:p>
    <w:p w14:paraId="2576A7BE" w14:textId="77777777" w:rsidR="00AE3DE7" w:rsidRPr="00AE3DE7" w:rsidRDefault="00AE3DE7" w:rsidP="00A94B9C">
      <w:pPr>
        <w:pStyle w:val="Prrafodelista"/>
        <w:numPr>
          <w:ilvl w:val="0"/>
          <w:numId w:val="14"/>
        </w:numPr>
        <w:spacing w:after="0" w:line="360" w:lineRule="auto"/>
        <w:jc w:val="both"/>
        <w:rPr>
          <w:rFonts w:cstheme="minorHAnsi"/>
          <w:sz w:val="24"/>
          <w:szCs w:val="24"/>
          <w:lang w:val="es-ES"/>
        </w:rPr>
      </w:pPr>
      <w:r w:rsidRPr="00AE3DE7">
        <w:rPr>
          <w:rFonts w:cstheme="minorHAnsi"/>
          <w:sz w:val="24"/>
          <w:szCs w:val="24"/>
          <w:lang w:val="es-ES"/>
        </w:rPr>
        <w:t>Legislar en consonancia con los tratados, convenios, pactos referentes a derechos humanos, acatando lo indicado por la Corte Interamericana de Derechos Humanos sobre la opinión consultiva OC-24/17, acerca de promover legislación que reconozca jurídicamente la identidad de género de las personas.</w:t>
      </w:r>
    </w:p>
    <w:p w14:paraId="540DF877" w14:textId="77777777" w:rsidR="00AE3DE7" w:rsidRPr="00AE3DE7" w:rsidRDefault="00AE3DE7" w:rsidP="00A94B9C">
      <w:pPr>
        <w:spacing w:after="0" w:line="360" w:lineRule="auto"/>
        <w:ind w:left="23"/>
        <w:jc w:val="both"/>
        <w:rPr>
          <w:rFonts w:cstheme="minorHAnsi"/>
          <w:sz w:val="24"/>
          <w:szCs w:val="24"/>
          <w:lang w:val="es-ES"/>
        </w:rPr>
      </w:pPr>
    </w:p>
    <w:p w14:paraId="7EB22C20" w14:textId="77777777" w:rsidR="00AE3DE7" w:rsidRPr="00AE3DE7" w:rsidRDefault="00AE3DE7" w:rsidP="00FD4872">
      <w:pPr>
        <w:spacing w:after="0"/>
        <w:jc w:val="both"/>
        <w:rPr>
          <w:rFonts w:cstheme="minorHAnsi"/>
          <w:sz w:val="24"/>
          <w:szCs w:val="24"/>
          <w:lang w:val="es-ES"/>
        </w:rPr>
      </w:pPr>
    </w:p>
    <w:p w14:paraId="0ED2C2B6" w14:textId="1D62D3E7" w:rsidR="00DE048D" w:rsidRPr="00921FB6" w:rsidRDefault="009A2FE4" w:rsidP="00FD4872">
      <w:pPr>
        <w:pStyle w:val="Ttulo2"/>
        <w:jc w:val="both"/>
        <w:rPr>
          <w:rFonts w:asciiTheme="minorHAnsi" w:hAnsiTheme="minorHAnsi" w:cstheme="minorHAnsi"/>
          <w:b w:val="0"/>
          <w:bCs/>
          <w:i/>
          <w:iCs/>
          <w:color w:val="2F5496" w:themeColor="accent1" w:themeShade="BF"/>
          <w:szCs w:val="28"/>
        </w:rPr>
      </w:pPr>
      <w:bookmarkStart w:id="4" w:name="_Toc144980981"/>
      <w:r w:rsidRPr="00921FB6">
        <w:rPr>
          <w:rFonts w:asciiTheme="minorHAnsi" w:hAnsiTheme="minorHAnsi" w:cstheme="minorHAnsi"/>
          <w:b w:val="0"/>
          <w:bCs/>
          <w:i/>
          <w:iCs/>
          <w:color w:val="2F5496" w:themeColor="accent1" w:themeShade="BF"/>
          <w:szCs w:val="28"/>
        </w:rPr>
        <w:t>Violencia social de carácter continuo contra mujeres trans</w:t>
      </w:r>
      <w:bookmarkEnd w:id="4"/>
    </w:p>
    <w:p w14:paraId="5CACD997" w14:textId="77777777" w:rsidR="00FD4872" w:rsidRPr="002C74A2" w:rsidRDefault="00FD4872" w:rsidP="00FD4872">
      <w:pPr>
        <w:spacing w:after="7"/>
        <w:ind w:left="23"/>
        <w:rPr>
          <w:rFonts w:cstheme="minorHAnsi"/>
          <w:sz w:val="24"/>
          <w:szCs w:val="24"/>
        </w:rPr>
      </w:pPr>
    </w:p>
    <w:p w14:paraId="6E2464D2" w14:textId="77777777" w:rsidR="00FD4872" w:rsidRDefault="00FD4872"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p>
    <w:p w14:paraId="053CCCDF" w14:textId="29E436FE" w:rsidR="00FD4872" w:rsidRPr="002C74A2" w:rsidRDefault="00FD4872"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r w:rsidRPr="002C74A2">
        <w:rPr>
          <w:rFonts w:eastAsia="Times New Roman" w:cstheme="minorHAnsi"/>
          <w:b/>
          <w:sz w:val="24"/>
          <w:szCs w:val="24"/>
        </w:rPr>
        <w:t xml:space="preserve">Artículos </w:t>
      </w:r>
      <w:r w:rsidR="00AE3DE7">
        <w:rPr>
          <w:rFonts w:eastAsia="Times New Roman" w:cstheme="minorHAnsi"/>
          <w:b/>
          <w:sz w:val="24"/>
          <w:szCs w:val="24"/>
        </w:rPr>
        <w:t xml:space="preserve">1, </w:t>
      </w:r>
      <w:r w:rsidRPr="002C74A2">
        <w:rPr>
          <w:rFonts w:eastAsia="Times New Roman" w:cstheme="minorHAnsi"/>
          <w:b/>
          <w:sz w:val="24"/>
          <w:szCs w:val="24"/>
        </w:rPr>
        <w:t>2,</w:t>
      </w:r>
      <w:r w:rsidR="00294F15">
        <w:rPr>
          <w:rFonts w:eastAsia="Times New Roman" w:cstheme="minorHAnsi"/>
          <w:b/>
          <w:sz w:val="24"/>
          <w:szCs w:val="24"/>
        </w:rPr>
        <w:t xml:space="preserve"> </w:t>
      </w:r>
      <w:r w:rsidR="00AE3DE7">
        <w:rPr>
          <w:rFonts w:eastAsia="Times New Roman" w:cstheme="minorHAnsi"/>
          <w:b/>
          <w:sz w:val="24"/>
          <w:szCs w:val="24"/>
        </w:rPr>
        <w:t>3</w:t>
      </w:r>
      <w:r w:rsidR="00294F15">
        <w:rPr>
          <w:rFonts w:eastAsia="Times New Roman" w:cstheme="minorHAnsi"/>
          <w:b/>
          <w:sz w:val="24"/>
          <w:szCs w:val="24"/>
        </w:rPr>
        <w:t xml:space="preserve">, </w:t>
      </w:r>
      <w:r w:rsidR="00AE3DE7">
        <w:rPr>
          <w:rFonts w:eastAsia="Times New Roman" w:cstheme="minorHAnsi"/>
          <w:b/>
          <w:sz w:val="24"/>
          <w:szCs w:val="24"/>
        </w:rPr>
        <w:t>5.a, 6</w:t>
      </w:r>
    </w:p>
    <w:p w14:paraId="088C2ECD" w14:textId="18BFE387" w:rsidR="00FD4872" w:rsidRDefault="00AE3DE7"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r>
        <w:rPr>
          <w:rFonts w:eastAsia="Times New Roman" w:cstheme="minorHAnsi"/>
          <w:b/>
          <w:sz w:val="24"/>
          <w:szCs w:val="24"/>
        </w:rPr>
        <w:t xml:space="preserve">Violencia social en diferentes ámbitos. </w:t>
      </w:r>
    </w:p>
    <w:p w14:paraId="04EC3343" w14:textId="77777777" w:rsidR="00FD4872" w:rsidRDefault="00FD4872" w:rsidP="00FD4872">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p>
    <w:p w14:paraId="2AB77FC1" w14:textId="77777777" w:rsidR="00FD4872" w:rsidRPr="00FD4872" w:rsidRDefault="00FD4872" w:rsidP="00FD4872">
      <w:pPr>
        <w:rPr>
          <w:lang w:eastAsia="es-GT" w:bidi="ml-IN"/>
        </w:rPr>
      </w:pPr>
    </w:p>
    <w:p w14:paraId="723191E8" w14:textId="77777777" w:rsidR="00AE3DE7" w:rsidRDefault="00DE048D" w:rsidP="00AE3DE7">
      <w:pPr>
        <w:pStyle w:val="Textoindependiente"/>
        <w:spacing w:line="360" w:lineRule="auto"/>
        <w:ind w:left="122" w:right="158" w:firstLine="993"/>
        <w:jc w:val="both"/>
      </w:pPr>
      <w:r w:rsidRPr="00FD4872">
        <w:rPr>
          <w:rFonts w:asciiTheme="minorHAnsi" w:hAnsiTheme="minorHAnsi" w:cstheme="minorHAnsi"/>
          <w:sz w:val="24"/>
          <w:szCs w:val="24"/>
        </w:rPr>
        <w:t xml:space="preserve"> </w:t>
      </w:r>
      <w:r w:rsidR="00AE3DE7">
        <w:t>El Artículo</w:t>
      </w:r>
      <w:r w:rsidR="00AE3DE7">
        <w:rPr>
          <w:spacing w:val="-5"/>
        </w:rPr>
        <w:t xml:space="preserve"> </w:t>
      </w:r>
      <w:r w:rsidR="00AE3DE7">
        <w:t>2</w:t>
      </w:r>
      <w:r w:rsidR="00AE3DE7">
        <w:rPr>
          <w:spacing w:val="-5"/>
        </w:rPr>
        <w:t xml:space="preserve"> </w:t>
      </w:r>
      <w:r w:rsidR="00AE3DE7">
        <w:t>de</w:t>
      </w:r>
      <w:r w:rsidR="00AE3DE7">
        <w:rPr>
          <w:spacing w:val="-5"/>
        </w:rPr>
        <w:t xml:space="preserve"> </w:t>
      </w:r>
      <w:r w:rsidR="00AE3DE7">
        <w:t>la</w:t>
      </w:r>
      <w:r w:rsidR="00AE3DE7">
        <w:rPr>
          <w:spacing w:val="-5"/>
        </w:rPr>
        <w:t xml:space="preserve"> </w:t>
      </w:r>
      <w:r w:rsidR="00AE3DE7">
        <w:t>Constitución</w:t>
      </w:r>
      <w:r w:rsidR="00AE3DE7">
        <w:rPr>
          <w:spacing w:val="-6"/>
        </w:rPr>
        <w:t xml:space="preserve"> </w:t>
      </w:r>
      <w:r w:rsidR="00AE3DE7">
        <w:t>señala:</w:t>
      </w:r>
      <w:r w:rsidR="00AE3DE7">
        <w:rPr>
          <w:spacing w:val="-5"/>
        </w:rPr>
        <w:t xml:space="preserve"> </w:t>
      </w:r>
      <w:r w:rsidR="00AE3DE7">
        <w:t>“Es</w:t>
      </w:r>
      <w:r w:rsidR="00AE3DE7">
        <w:rPr>
          <w:spacing w:val="-4"/>
        </w:rPr>
        <w:t xml:space="preserve"> </w:t>
      </w:r>
      <w:r w:rsidR="00AE3DE7">
        <w:t>deber</w:t>
      </w:r>
      <w:r w:rsidR="00AE3DE7">
        <w:rPr>
          <w:spacing w:val="-5"/>
        </w:rPr>
        <w:t xml:space="preserve"> </w:t>
      </w:r>
      <w:r w:rsidR="00AE3DE7">
        <w:t>del</w:t>
      </w:r>
      <w:r w:rsidR="00AE3DE7">
        <w:rPr>
          <w:spacing w:val="-5"/>
        </w:rPr>
        <w:t xml:space="preserve"> </w:t>
      </w:r>
      <w:r w:rsidR="00AE3DE7">
        <w:t>Estado</w:t>
      </w:r>
      <w:r w:rsidR="00AE3DE7">
        <w:rPr>
          <w:spacing w:val="-8"/>
        </w:rPr>
        <w:t xml:space="preserve"> </w:t>
      </w:r>
      <w:r w:rsidR="00AE3DE7">
        <w:t>garantizarles</w:t>
      </w:r>
      <w:r w:rsidR="00AE3DE7">
        <w:rPr>
          <w:spacing w:val="-5"/>
        </w:rPr>
        <w:t xml:space="preserve"> </w:t>
      </w:r>
      <w:r w:rsidR="00AE3DE7">
        <w:t>a</w:t>
      </w:r>
      <w:r w:rsidR="00AE3DE7">
        <w:rPr>
          <w:spacing w:val="-5"/>
        </w:rPr>
        <w:t xml:space="preserve"> </w:t>
      </w:r>
      <w:r w:rsidR="00AE3DE7">
        <w:t>los</w:t>
      </w:r>
      <w:r w:rsidR="00AE3DE7">
        <w:rPr>
          <w:spacing w:val="-4"/>
        </w:rPr>
        <w:t xml:space="preserve"> </w:t>
      </w:r>
      <w:r w:rsidR="00AE3DE7">
        <w:t>habitantes</w:t>
      </w:r>
      <w:r w:rsidR="00AE3DE7">
        <w:rPr>
          <w:spacing w:val="-4"/>
        </w:rPr>
        <w:t xml:space="preserve"> </w:t>
      </w:r>
      <w:r w:rsidR="00AE3DE7">
        <w:t>de</w:t>
      </w:r>
      <w:r w:rsidR="00AE3DE7">
        <w:rPr>
          <w:spacing w:val="-5"/>
        </w:rPr>
        <w:t xml:space="preserve"> </w:t>
      </w:r>
      <w:r w:rsidR="00AE3DE7">
        <w:t>la República la vida, la libertad, la justicia, la seguridad, la paz y el desarrollo integral de las personas”.</w:t>
      </w:r>
      <w:r w:rsidR="00AE3DE7">
        <w:rPr>
          <w:spacing w:val="40"/>
        </w:rPr>
        <w:t xml:space="preserve"> </w:t>
      </w:r>
      <w:r w:rsidR="00AE3DE7">
        <w:t>En el mismo cuerpo normativo en su artículo 4 regula la igualdad y libertad para cada guatemalteco sin distinción alguna: “En Guatemala todos los seres humanos son libres e iguales en dignidad y derechos,</w:t>
      </w:r>
      <w:r w:rsidR="00AE3DE7" w:rsidRPr="00C912B7">
        <w:t xml:space="preserve"> </w:t>
      </w:r>
      <w:r w:rsidR="00AE3DE7">
        <w:t>el</w:t>
      </w:r>
      <w:r w:rsidR="00AE3DE7" w:rsidRPr="00C912B7">
        <w:t xml:space="preserve"> </w:t>
      </w:r>
      <w:r w:rsidR="00AE3DE7">
        <w:t>hombre</w:t>
      </w:r>
      <w:r w:rsidR="00AE3DE7" w:rsidRPr="00C912B7">
        <w:t xml:space="preserve"> </w:t>
      </w:r>
      <w:r w:rsidR="00AE3DE7">
        <w:t>y</w:t>
      </w:r>
      <w:r w:rsidR="00AE3DE7" w:rsidRPr="00C912B7">
        <w:t xml:space="preserve"> </w:t>
      </w:r>
      <w:r w:rsidR="00AE3DE7">
        <w:t>la</w:t>
      </w:r>
      <w:r w:rsidR="00AE3DE7" w:rsidRPr="00C912B7">
        <w:t xml:space="preserve"> </w:t>
      </w:r>
      <w:r w:rsidR="00AE3DE7">
        <w:t>mujer,</w:t>
      </w:r>
      <w:r w:rsidR="00AE3DE7" w:rsidRPr="00C912B7">
        <w:t xml:space="preserve"> </w:t>
      </w:r>
      <w:r w:rsidR="00AE3DE7">
        <w:t>cualquiera</w:t>
      </w:r>
      <w:r w:rsidR="00AE3DE7" w:rsidRPr="00C912B7">
        <w:t xml:space="preserve"> </w:t>
      </w:r>
      <w:r w:rsidR="00AE3DE7">
        <w:t>que</w:t>
      </w:r>
      <w:r w:rsidR="00AE3DE7" w:rsidRPr="00C912B7">
        <w:t xml:space="preserve"> </w:t>
      </w:r>
      <w:r w:rsidR="00AE3DE7">
        <w:t>sea</w:t>
      </w:r>
      <w:r w:rsidR="00AE3DE7" w:rsidRPr="00C912B7">
        <w:t xml:space="preserve"> </w:t>
      </w:r>
      <w:r w:rsidR="00AE3DE7">
        <w:t>su</w:t>
      </w:r>
      <w:r w:rsidR="00AE3DE7" w:rsidRPr="00C912B7">
        <w:t xml:space="preserve"> </w:t>
      </w:r>
      <w:r w:rsidR="00AE3DE7">
        <w:t>estado</w:t>
      </w:r>
      <w:r w:rsidR="00AE3DE7" w:rsidRPr="00C912B7">
        <w:t xml:space="preserve"> </w:t>
      </w:r>
      <w:r w:rsidR="00AE3DE7">
        <w:t>civil</w:t>
      </w:r>
      <w:r w:rsidR="00AE3DE7" w:rsidRPr="00C912B7">
        <w:t xml:space="preserve"> </w:t>
      </w:r>
      <w:r w:rsidR="00AE3DE7">
        <w:t>tiene</w:t>
      </w:r>
      <w:r w:rsidR="00AE3DE7" w:rsidRPr="00C912B7">
        <w:t xml:space="preserve"> </w:t>
      </w:r>
      <w:r w:rsidR="00AE3DE7">
        <w:t>iguales oportunidades y responsabilidades. Ninguna persona puede ser sometida a servidumbre ni a otra condición que menoscabe su dignidad. Los seres humanos deben guardar conducta fraternal entre sí.”</w:t>
      </w:r>
    </w:p>
    <w:p w14:paraId="72B759A8" w14:textId="77777777" w:rsidR="00AE3DE7" w:rsidRDefault="00AE3DE7" w:rsidP="00AE3DE7">
      <w:pPr>
        <w:pStyle w:val="Textoindependiente"/>
        <w:spacing w:line="360" w:lineRule="auto"/>
        <w:ind w:left="122" w:right="158" w:firstLine="993"/>
        <w:jc w:val="both"/>
      </w:pPr>
    </w:p>
    <w:p w14:paraId="7EF76874" w14:textId="77777777" w:rsidR="00AE3DE7" w:rsidRDefault="00AE3DE7" w:rsidP="00AE3DE7">
      <w:pPr>
        <w:pStyle w:val="Textoindependiente"/>
        <w:spacing w:line="360" w:lineRule="auto"/>
        <w:ind w:left="122" w:right="158" w:firstLine="993"/>
        <w:jc w:val="both"/>
      </w:pPr>
      <w:r>
        <w:t xml:space="preserve">Sin embargo todo lo relacionado se queda en letra muerta pues la realidad es otra para la población Trans, ya que ni se garantiza la vida, ni la libertad mucho menos la igualdad ante la ley, en el entendido que al no haber una normativa específica como una Ley de identidad de género que garantice el estricto respeto a los derechos humanos de la población Trans, siguen existiendo registro de crímenes por odio, múltiples casos de discriminación en todos los ámbitos  en donde las poblaciones Trans se desenvuelven como escuelas, servicios de salud, instituciones públicas o privadas, esa es la realidad que viven a diario las mujeres Trans el hecho de salir a la calle y enfrentarse a una sociedad sin empatía   a su sentir y que ya normalizan ese rechazo, claro es por el desinterés de los gobiernos en informar a la </w:t>
      </w:r>
      <w:r>
        <w:lastRenderedPageBreak/>
        <w:t>ciudadanía para ser más inclusivos, más empáticos  cosa que se ve por mucho lejos de ser una realidad para Guatemala.</w:t>
      </w:r>
    </w:p>
    <w:p w14:paraId="09991671" w14:textId="77777777" w:rsidR="00AE3DE7" w:rsidRDefault="00AE3DE7" w:rsidP="00AE3DE7">
      <w:pPr>
        <w:pStyle w:val="Textoindependiente"/>
        <w:spacing w:line="360" w:lineRule="auto"/>
        <w:ind w:right="158"/>
        <w:jc w:val="both"/>
      </w:pPr>
    </w:p>
    <w:p w14:paraId="4507FCF8" w14:textId="3658BEF5" w:rsidR="00AE3DE7" w:rsidRDefault="00AE3DE7" w:rsidP="00AE3DE7">
      <w:pPr>
        <w:pStyle w:val="Textoindependiente"/>
        <w:spacing w:line="360" w:lineRule="auto"/>
        <w:ind w:right="158"/>
        <w:jc w:val="both"/>
      </w:pPr>
      <w:r>
        <w:t>Tomado el Informe CEDOSTALC, Invisibles Nunca Más, OTRANS 2022</w:t>
      </w:r>
      <w:r>
        <w:rPr>
          <w:rStyle w:val="Refdenotaalpie"/>
        </w:rPr>
        <w:footnoteReference w:id="10"/>
      </w:r>
      <w:r>
        <w:t>:</w:t>
      </w:r>
    </w:p>
    <w:p w14:paraId="3C995AEE" w14:textId="77777777" w:rsidR="00AE3DE7" w:rsidRDefault="00AE3DE7" w:rsidP="00AE3DE7">
      <w:pPr>
        <w:pStyle w:val="Textoindependiente"/>
        <w:spacing w:line="360" w:lineRule="auto"/>
        <w:ind w:right="158"/>
        <w:jc w:val="both"/>
      </w:pPr>
    </w:p>
    <w:p w14:paraId="34D16CD5" w14:textId="77777777" w:rsidR="00AE3DE7" w:rsidRPr="00AE3DE7" w:rsidRDefault="00AE3DE7" w:rsidP="00AE3DE7">
      <w:pPr>
        <w:pStyle w:val="Textoindependiente"/>
        <w:spacing w:before="1" w:line="360" w:lineRule="auto"/>
        <w:ind w:left="708" w:right="156" w:firstLine="359"/>
        <w:jc w:val="both"/>
        <w:rPr>
          <w:i/>
          <w:iCs/>
        </w:rPr>
      </w:pPr>
      <w:r w:rsidRPr="00AE3DE7">
        <w:rPr>
          <w:i/>
          <w:iCs/>
        </w:rPr>
        <w:t>En 2022 al igual que en el año 2021, el tipo principal de abuso cometido contra las personas Trans es discriminación (57%), seguido de otro tipo de violación (16%), intimidación o amenaza (12%), golpiza o agresión física (7%),</w:t>
      </w:r>
      <w:r w:rsidRPr="00AE3DE7">
        <w:rPr>
          <w:i/>
          <w:iCs/>
          <w:spacing w:val="34"/>
        </w:rPr>
        <w:t xml:space="preserve"> </w:t>
      </w:r>
      <w:r w:rsidRPr="00AE3DE7">
        <w:rPr>
          <w:i/>
          <w:iCs/>
        </w:rPr>
        <w:t>asesinato</w:t>
      </w:r>
      <w:r w:rsidRPr="00AE3DE7">
        <w:rPr>
          <w:i/>
          <w:iCs/>
          <w:spacing w:val="36"/>
        </w:rPr>
        <w:t xml:space="preserve"> </w:t>
      </w:r>
      <w:r w:rsidRPr="00AE3DE7">
        <w:rPr>
          <w:i/>
          <w:iCs/>
        </w:rPr>
        <w:t>(7%).</w:t>
      </w:r>
      <w:r w:rsidRPr="00AE3DE7">
        <w:rPr>
          <w:i/>
          <w:iCs/>
          <w:spacing w:val="36"/>
        </w:rPr>
        <w:t xml:space="preserve"> </w:t>
      </w:r>
      <w:r w:rsidRPr="00AE3DE7">
        <w:rPr>
          <w:i/>
          <w:iCs/>
        </w:rPr>
        <w:t>La situación de discriminación, agresión física inclusive asesinatos en contra de las mujeres Trans, lamentablemente se mantiene como un factor de riesgo en su diario vivir, haciendo de Guatemala un país inseguro y discriminador.</w:t>
      </w:r>
    </w:p>
    <w:p w14:paraId="6148FB99" w14:textId="77777777" w:rsidR="00AE3DE7" w:rsidRPr="00AE3DE7" w:rsidRDefault="00AE3DE7" w:rsidP="00AE3DE7">
      <w:pPr>
        <w:pStyle w:val="Textoindependiente"/>
        <w:spacing w:before="1" w:line="360" w:lineRule="auto"/>
        <w:ind w:left="122" w:right="156" w:firstLine="359"/>
        <w:jc w:val="both"/>
        <w:rPr>
          <w:i/>
          <w:iCs/>
        </w:rPr>
      </w:pPr>
    </w:p>
    <w:p w14:paraId="47E8FCB7" w14:textId="13A7E517" w:rsidR="00AE3DE7" w:rsidRPr="00AE3DE7" w:rsidRDefault="00AE3DE7" w:rsidP="00AE3DE7">
      <w:pPr>
        <w:pStyle w:val="Textoindependiente"/>
        <w:ind w:left="3599" w:right="3621"/>
        <w:jc w:val="center"/>
        <w:rPr>
          <w:i/>
          <w:iCs/>
          <w:spacing w:val="-10"/>
        </w:rPr>
      </w:pPr>
      <w:r w:rsidRPr="00AE3DE7">
        <w:rPr>
          <w:i/>
          <w:iCs/>
        </w:rPr>
        <w:t>Gráfico</w:t>
      </w:r>
      <w:r w:rsidRPr="00AE3DE7">
        <w:rPr>
          <w:i/>
          <w:iCs/>
          <w:spacing w:val="-7"/>
        </w:rPr>
        <w:t xml:space="preserve"> </w:t>
      </w:r>
      <w:r w:rsidRPr="00AE3DE7">
        <w:rPr>
          <w:i/>
          <w:iCs/>
          <w:spacing w:val="-10"/>
        </w:rPr>
        <w:t>7</w:t>
      </w:r>
      <w:r>
        <w:rPr>
          <w:i/>
          <w:iCs/>
          <w:spacing w:val="-10"/>
        </w:rPr>
        <w:t xml:space="preserve"> de Invisibles Nunca Mas</w:t>
      </w:r>
    </w:p>
    <w:p w14:paraId="5033D40B" w14:textId="77777777" w:rsidR="00AE3DE7" w:rsidRPr="00AE3DE7" w:rsidRDefault="00AE3DE7" w:rsidP="00AE3DE7">
      <w:pPr>
        <w:pStyle w:val="Textoindependiente"/>
        <w:ind w:left="3599" w:right="3621"/>
        <w:jc w:val="center"/>
        <w:rPr>
          <w:i/>
          <w:iCs/>
          <w:spacing w:val="-10"/>
        </w:rPr>
      </w:pPr>
      <w:r w:rsidRPr="00AE3DE7">
        <w:rPr>
          <w:i/>
          <w:iCs/>
          <w:noProof/>
        </w:rPr>
        <w:drawing>
          <wp:anchor distT="0" distB="0" distL="114300" distR="114300" simplePos="0" relativeHeight="251674624" behindDoc="1" locked="0" layoutInCell="1" allowOverlap="1" wp14:anchorId="0C5B811B" wp14:editId="2D748EB9">
            <wp:simplePos x="0" y="0"/>
            <wp:positionH relativeFrom="column">
              <wp:posOffset>528320</wp:posOffset>
            </wp:positionH>
            <wp:positionV relativeFrom="paragraph">
              <wp:posOffset>241935</wp:posOffset>
            </wp:positionV>
            <wp:extent cx="4549140" cy="3017520"/>
            <wp:effectExtent l="0" t="0" r="3810" b="11430"/>
            <wp:wrapTopAndBottom/>
            <wp:docPr id="9" name="Gráfico 9">
              <a:extLst xmlns:a="http://schemas.openxmlformats.org/drawingml/2006/main">
                <a:ext uri="{FF2B5EF4-FFF2-40B4-BE49-F238E27FC236}">
                  <a16:creationId xmlns:a16="http://schemas.microsoft.com/office/drawing/2014/main" id="{7B69E1A1-09E0-B1B8-6A18-661BCBF67D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6F5A827C" w14:textId="77777777" w:rsidR="00AE3DE7" w:rsidRPr="00AE3DE7" w:rsidRDefault="00AE3DE7" w:rsidP="00AE3DE7">
      <w:pPr>
        <w:pStyle w:val="Textoindependiente"/>
        <w:ind w:left="3599" w:right="3621"/>
        <w:jc w:val="center"/>
        <w:rPr>
          <w:i/>
          <w:iCs/>
          <w:spacing w:val="-10"/>
        </w:rPr>
      </w:pPr>
    </w:p>
    <w:p w14:paraId="7E4CBCBD" w14:textId="77777777" w:rsidR="00AE3DE7" w:rsidRPr="00AE3DE7" w:rsidRDefault="00AE3DE7" w:rsidP="00AE3DE7">
      <w:pPr>
        <w:pStyle w:val="Textoindependiente"/>
        <w:ind w:left="3599" w:right="3621"/>
        <w:jc w:val="center"/>
        <w:rPr>
          <w:i/>
          <w:iCs/>
        </w:rPr>
      </w:pPr>
    </w:p>
    <w:p w14:paraId="2DC226E9" w14:textId="160DC7EB" w:rsidR="00AE3DE7" w:rsidRPr="00AE3DE7" w:rsidRDefault="00AE3DE7" w:rsidP="00AE3DE7">
      <w:pPr>
        <w:pStyle w:val="Textoindependiente"/>
        <w:spacing w:before="227" w:line="360" w:lineRule="auto"/>
        <w:ind w:left="708" w:right="157"/>
        <w:jc w:val="both"/>
        <w:rPr>
          <w:i/>
          <w:iCs/>
        </w:rPr>
      </w:pPr>
      <w:r w:rsidRPr="00AE3DE7">
        <w:rPr>
          <w:i/>
          <w:iCs/>
        </w:rPr>
        <w:t>Con relación al autor principal del hecho, el 29 % identificó a sus agresores como no pertenecientes a ninguna institución, sin relación con la víctima o referido como individuo particular. El 20% señaló a otro como causante de la agresión, 10 % no pudo</w:t>
      </w:r>
      <w:r w:rsidRPr="00AE3DE7">
        <w:rPr>
          <w:i/>
          <w:iCs/>
          <w:spacing w:val="-2"/>
        </w:rPr>
        <w:t xml:space="preserve"> </w:t>
      </w:r>
      <w:r w:rsidRPr="00AE3DE7">
        <w:rPr>
          <w:i/>
          <w:iCs/>
        </w:rPr>
        <w:lastRenderedPageBreak/>
        <w:t xml:space="preserve">identificar al agresor e igual porcentaje para otro familiar, mientras que 5% identificó a fuerzas de seguridad o uniformados como su agresor, y el 4% corresponde a personal del sistema carcelario y en igual porcentaje identifican al personal del servicio de salud. Es evidente que las personas Trans son agredidas, y violentadas en sus derechos humanos, en diferentes espacios tanto en el sector público (instituciones del Estado) y sector </w:t>
      </w:r>
      <w:r w:rsidRPr="00AE3DE7">
        <w:rPr>
          <w:i/>
          <w:iCs/>
        </w:rPr>
        <w:t>privado por</w:t>
      </w:r>
      <w:r w:rsidRPr="00AE3DE7">
        <w:rPr>
          <w:i/>
          <w:iCs/>
        </w:rPr>
        <w:t xml:space="preserve"> particulares, inclusive dentro de sus hogares por familiares algo que por lógica no debería ser es una realidad. </w:t>
      </w:r>
    </w:p>
    <w:p w14:paraId="1E193CF4" w14:textId="77777777" w:rsidR="00AE3DE7" w:rsidRDefault="00AE3DE7" w:rsidP="00AE3DE7">
      <w:pPr>
        <w:pStyle w:val="Textoindependiente"/>
        <w:spacing w:line="360" w:lineRule="auto"/>
        <w:ind w:right="158"/>
        <w:jc w:val="both"/>
      </w:pPr>
    </w:p>
    <w:p w14:paraId="630833F9" w14:textId="77777777" w:rsidR="00AE3DE7" w:rsidRDefault="00AE3DE7" w:rsidP="00AE3DE7">
      <w:pPr>
        <w:pStyle w:val="Textoindependiente"/>
        <w:spacing w:line="360" w:lineRule="auto"/>
        <w:ind w:right="158"/>
        <w:jc w:val="both"/>
      </w:pPr>
    </w:p>
    <w:p w14:paraId="0E557446" w14:textId="52EAF3C7" w:rsidR="00AE3DE7" w:rsidRPr="00AE3DE7" w:rsidRDefault="00AE3DE7" w:rsidP="00AE3DE7">
      <w:pPr>
        <w:pStyle w:val="Textoindependiente"/>
        <w:spacing w:line="360" w:lineRule="auto"/>
        <w:ind w:right="158"/>
        <w:jc w:val="both"/>
        <w:rPr>
          <w:b/>
          <w:bCs/>
        </w:rPr>
      </w:pPr>
      <w:r w:rsidRPr="00AE3DE7">
        <w:rPr>
          <w:b/>
          <w:bCs/>
        </w:rPr>
        <w:t>Recomendaciones:</w:t>
      </w:r>
    </w:p>
    <w:p w14:paraId="67FDF054" w14:textId="3D8CCE48" w:rsidR="00AE3DE7" w:rsidRDefault="00AE3DE7" w:rsidP="00A94B9C">
      <w:pPr>
        <w:pStyle w:val="Textoindependiente"/>
        <w:numPr>
          <w:ilvl w:val="0"/>
          <w:numId w:val="16"/>
        </w:numPr>
        <w:spacing w:line="360" w:lineRule="auto"/>
        <w:ind w:left="1066" w:right="159" w:hanging="709"/>
        <w:jc w:val="both"/>
        <w:rPr>
          <w:lang w:val="es-GT"/>
        </w:rPr>
      </w:pPr>
      <w:r w:rsidRPr="00AE3DE7">
        <w:rPr>
          <w:lang w:val="es-GT"/>
        </w:rPr>
        <w:t>Se recomienda al Estado de Guatemala garantizar el pleno goce de los derechos de las personas Trans que por mandato legal les asisten, en el entendido que todos somos seres humanos, regidos por la misma ley, por ende el Estado tiene el compromiso nacional e internacional de garantizar todos los derechos humanos como lo es la vida, la justicia pronto y cumplida en igualdad de condiciones, la seguridad jurídica y seguridad física, que vayan encaminadas a garantizar su bienestar y desarrollo integral; en ese sentido se recomienda que el Estado garantice que todas las instituciones públicas acciones a fin de garantizar que en todos sus procesos respeten los derechos humanos de las personas Trans.</w:t>
      </w:r>
    </w:p>
    <w:p w14:paraId="6B03F217" w14:textId="7AA268FD" w:rsidR="007C7A1E" w:rsidRPr="00A94B9C" w:rsidRDefault="00AE3DE7" w:rsidP="00ED17E9">
      <w:pPr>
        <w:pStyle w:val="Textoindependiente"/>
        <w:numPr>
          <w:ilvl w:val="0"/>
          <w:numId w:val="16"/>
        </w:numPr>
        <w:spacing w:line="360" w:lineRule="auto"/>
        <w:ind w:left="1066" w:right="159" w:hanging="709"/>
        <w:jc w:val="both"/>
        <w:rPr>
          <w:lang w:val="es-GT"/>
        </w:rPr>
      </w:pPr>
      <w:r w:rsidRPr="00AE3DE7">
        <w:rPr>
          <w:lang w:val="es-GT"/>
        </w:rPr>
        <w:t>Se recomienda al Estado de emitir políticas públicas inclusivas en beneficio de las personas Trans, que garanticen la participación activa en la actividad económica y social, como el acceso al trabajo con ello encaminar a las personas Trans a vivir una vida digna libres de estigma y discriminación en igualdad de condiciones y con los medios necesarios para subsistir; garantizar el acceso a la educación integral desde la niñez a fin de erradicar la discriminación que actualmente existe como efecto de la falta de conocimiento de la sociedad en el tema de identidad de género.</w:t>
      </w:r>
    </w:p>
    <w:p w14:paraId="5EA15ED4" w14:textId="347E4403" w:rsidR="00ED17E9" w:rsidRDefault="000E5DE2" w:rsidP="00ED17E9">
      <w:pPr>
        <w:pStyle w:val="Ttulo2"/>
        <w:rPr>
          <w:b w:val="0"/>
          <w:bCs/>
          <w:i/>
          <w:iCs/>
          <w:color w:val="2F5496" w:themeColor="accent1" w:themeShade="BF"/>
        </w:rPr>
      </w:pPr>
      <w:bookmarkStart w:id="5" w:name="_Toc144980982"/>
      <w:r>
        <w:rPr>
          <w:b w:val="0"/>
          <w:bCs/>
          <w:i/>
          <w:iCs/>
          <w:color w:val="2F5496" w:themeColor="accent1" w:themeShade="BF"/>
        </w:rPr>
        <w:t>Acceso a la justicia para mujeres trans</w:t>
      </w:r>
      <w:bookmarkEnd w:id="5"/>
    </w:p>
    <w:p w14:paraId="57DB0FEE" w14:textId="77777777" w:rsidR="009D0BCB" w:rsidRPr="009D0BCB" w:rsidRDefault="009D0BCB" w:rsidP="009D0BCB">
      <w:pPr>
        <w:rPr>
          <w:lang w:eastAsia="es-GT" w:bidi="ml-IN"/>
        </w:rPr>
      </w:pPr>
    </w:p>
    <w:p w14:paraId="5F523FF1" w14:textId="77777777" w:rsidR="007C7A1E" w:rsidRDefault="007C7A1E" w:rsidP="007C7A1E">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p>
    <w:p w14:paraId="34290238" w14:textId="0CD295F6" w:rsidR="007C7A1E" w:rsidRPr="002C74A2" w:rsidRDefault="007C7A1E" w:rsidP="007C7A1E">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r w:rsidRPr="002C74A2">
        <w:rPr>
          <w:rFonts w:eastAsia="Times New Roman" w:cstheme="minorHAnsi"/>
          <w:b/>
          <w:sz w:val="24"/>
          <w:szCs w:val="24"/>
        </w:rPr>
        <w:t xml:space="preserve">Artículos </w:t>
      </w:r>
      <w:r>
        <w:rPr>
          <w:rFonts w:eastAsia="Times New Roman" w:cstheme="minorHAnsi"/>
          <w:b/>
          <w:sz w:val="24"/>
          <w:szCs w:val="24"/>
        </w:rPr>
        <w:t>1 y 2</w:t>
      </w:r>
    </w:p>
    <w:p w14:paraId="2446FAF5" w14:textId="26421E0C" w:rsidR="007C7A1E" w:rsidRDefault="007C7A1E" w:rsidP="007C7A1E">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r>
        <w:rPr>
          <w:rFonts w:eastAsia="Times New Roman" w:cstheme="minorHAnsi"/>
          <w:b/>
          <w:sz w:val="24"/>
          <w:szCs w:val="24"/>
        </w:rPr>
        <w:t>Acceso a la justicia</w:t>
      </w:r>
    </w:p>
    <w:p w14:paraId="5194C0C6" w14:textId="77777777" w:rsidR="007C7A1E" w:rsidRPr="002C74A2" w:rsidRDefault="007C7A1E" w:rsidP="007C7A1E">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p>
    <w:p w14:paraId="233542FF" w14:textId="77777777" w:rsidR="00DE048D" w:rsidRPr="002C74A2" w:rsidRDefault="00DE048D" w:rsidP="00DE048D">
      <w:pPr>
        <w:spacing w:after="0"/>
        <w:ind w:left="23"/>
        <w:rPr>
          <w:rFonts w:cstheme="minorHAnsi"/>
          <w:sz w:val="24"/>
          <w:szCs w:val="24"/>
        </w:rPr>
      </w:pPr>
      <w:r w:rsidRPr="002C74A2">
        <w:rPr>
          <w:rFonts w:cstheme="minorHAnsi"/>
          <w:sz w:val="24"/>
          <w:szCs w:val="24"/>
        </w:rPr>
        <w:lastRenderedPageBreak/>
        <w:t xml:space="preserve"> </w:t>
      </w:r>
    </w:p>
    <w:p w14:paraId="7BF07783" w14:textId="3B8DB2A7" w:rsidR="00F34656" w:rsidRDefault="00F34656" w:rsidP="00F34656">
      <w:pPr>
        <w:ind w:left="18" w:right="284"/>
        <w:jc w:val="both"/>
        <w:rPr>
          <w:rFonts w:cstheme="minorHAnsi"/>
          <w:sz w:val="24"/>
          <w:szCs w:val="24"/>
        </w:rPr>
      </w:pPr>
      <w:r>
        <w:rPr>
          <w:rFonts w:cstheme="minorHAnsi"/>
          <w:sz w:val="24"/>
          <w:szCs w:val="24"/>
        </w:rPr>
        <w:t>Acorde a CEDOSTALC informe No muero, me matan</w:t>
      </w:r>
      <w:r>
        <w:rPr>
          <w:rStyle w:val="Refdenotaalpie"/>
          <w:rFonts w:cstheme="minorHAnsi"/>
          <w:sz w:val="24"/>
          <w:szCs w:val="24"/>
        </w:rPr>
        <w:footnoteReference w:id="11"/>
      </w:r>
      <w:r>
        <w:rPr>
          <w:rFonts w:cstheme="minorHAnsi"/>
          <w:sz w:val="24"/>
          <w:szCs w:val="24"/>
        </w:rPr>
        <w:t>:</w:t>
      </w:r>
    </w:p>
    <w:p w14:paraId="2B4453D9" w14:textId="0859E69B" w:rsidR="00F34656" w:rsidRPr="00F34656" w:rsidRDefault="00F34656" w:rsidP="00F34656">
      <w:pPr>
        <w:ind w:left="708" w:right="284"/>
        <w:jc w:val="both"/>
        <w:rPr>
          <w:rFonts w:cstheme="minorHAnsi"/>
          <w:i/>
          <w:iCs/>
          <w:sz w:val="24"/>
          <w:szCs w:val="24"/>
        </w:rPr>
      </w:pPr>
      <w:r w:rsidRPr="00F34656">
        <w:rPr>
          <w:rFonts w:cstheme="minorHAnsi"/>
          <w:i/>
          <w:iCs/>
          <w:sz w:val="24"/>
          <w:szCs w:val="24"/>
        </w:rPr>
        <w:t>El sistema de justicia guatemalteco sigue siendo una barrera al acceso de verdadera</w:t>
      </w:r>
      <w:r w:rsidRPr="00F34656">
        <w:rPr>
          <w:rFonts w:cstheme="minorHAnsi"/>
          <w:i/>
          <w:iCs/>
          <w:sz w:val="24"/>
          <w:szCs w:val="24"/>
        </w:rPr>
        <w:t xml:space="preserve"> </w:t>
      </w:r>
      <w:r w:rsidRPr="00F34656">
        <w:rPr>
          <w:rFonts w:cstheme="minorHAnsi"/>
          <w:i/>
          <w:iCs/>
          <w:sz w:val="24"/>
          <w:szCs w:val="24"/>
        </w:rPr>
        <w:t xml:space="preserve">justicia, equitativa y efectiva para la mayoría de las personas </w:t>
      </w:r>
      <w:r w:rsidRPr="00F34656">
        <w:rPr>
          <w:rFonts w:cstheme="minorHAnsi"/>
          <w:i/>
          <w:iCs/>
          <w:sz w:val="24"/>
          <w:szCs w:val="24"/>
        </w:rPr>
        <w:t>transgénero</w:t>
      </w:r>
      <w:r w:rsidRPr="00F34656">
        <w:rPr>
          <w:rFonts w:cstheme="minorHAnsi"/>
          <w:i/>
          <w:iCs/>
          <w:sz w:val="24"/>
          <w:szCs w:val="24"/>
        </w:rPr>
        <w:t>, pues está</w:t>
      </w:r>
      <w:r w:rsidRPr="00F34656">
        <w:rPr>
          <w:rFonts w:cstheme="minorHAnsi"/>
          <w:i/>
          <w:iCs/>
          <w:sz w:val="24"/>
          <w:szCs w:val="24"/>
        </w:rPr>
        <w:t xml:space="preserve"> </w:t>
      </w:r>
      <w:r w:rsidRPr="00F34656">
        <w:rPr>
          <w:rFonts w:cstheme="minorHAnsi"/>
          <w:i/>
          <w:iCs/>
          <w:sz w:val="24"/>
          <w:szCs w:val="24"/>
        </w:rPr>
        <w:t>diseñado para discriminar a las personas trans, impedir el hacer valer sus derechos o hasta</w:t>
      </w:r>
      <w:r w:rsidRPr="00F34656">
        <w:rPr>
          <w:rFonts w:cstheme="minorHAnsi"/>
          <w:i/>
          <w:iCs/>
          <w:sz w:val="24"/>
          <w:szCs w:val="24"/>
        </w:rPr>
        <w:t xml:space="preserve"> </w:t>
      </w:r>
      <w:r w:rsidRPr="00F34656">
        <w:rPr>
          <w:rFonts w:cstheme="minorHAnsi"/>
          <w:i/>
          <w:iCs/>
          <w:sz w:val="24"/>
          <w:szCs w:val="24"/>
        </w:rPr>
        <w:t xml:space="preserve">ignorar la presunción de inocencia, manifestada en la </w:t>
      </w:r>
      <w:r w:rsidRPr="00F34656">
        <w:rPr>
          <w:rFonts w:cstheme="minorHAnsi"/>
          <w:i/>
          <w:iCs/>
          <w:sz w:val="24"/>
          <w:szCs w:val="24"/>
        </w:rPr>
        <w:t>Constitución</w:t>
      </w:r>
      <w:r w:rsidRPr="00F34656">
        <w:rPr>
          <w:rFonts w:cstheme="minorHAnsi"/>
          <w:i/>
          <w:iCs/>
          <w:sz w:val="24"/>
          <w:szCs w:val="24"/>
        </w:rPr>
        <w:t xml:space="preserve"> según establece su</w:t>
      </w:r>
      <w:r w:rsidRPr="00F34656">
        <w:rPr>
          <w:rFonts w:cstheme="minorHAnsi"/>
          <w:i/>
          <w:iCs/>
          <w:sz w:val="24"/>
          <w:szCs w:val="24"/>
        </w:rPr>
        <w:t xml:space="preserve"> </w:t>
      </w:r>
      <w:r w:rsidRPr="00F34656">
        <w:rPr>
          <w:rFonts w:cstheme="minorHAnsi"/>
          <w:i/>
          <w:iCs/>
          <w:sz w:val="24"/>
          <w:szCs w:val="24"/>
        </w:rPr>
        <w:t>artículo 14: “Toda persona es inocente mientras no se le haya declarado responsable</w:t>
      </w:r>
    </w:p>
    <w:p w14:paraId="0F3AFBF4" w14:textId="5FBF98FB" w:rsidR="009D0BCB" w:rsidRDefault="00F34656" w:rsidP="00F34656">
      <w:pPr>
        <w:ind w:left="708" w:right="284"/>
        <w:jc w:val="both"/>
        <w:rPr>
          <w:rFonts w:cstheme="minorHAnsi"/>
          <w:i/>
          <w:iCs/>
          <w:sz w:val="24"/>
          <w:szCs w:val="24"/>
        </w:rPr>
      </w:pPr>
      <w:r w:rsidRPr="00F34656">
        <w:rPr>
          <w:rFonts w:cstheme="minorHAnsi"/>
          <w:i/>
          <w:iCs/>
          <w:sz w:val="24"/>
          <w:szCs w:val="24"/>
        </w:rPr>
        <w:t>judicialmente, en sentencia debidamente ejecutoriada”.</w:t>
      </w:r>
      <w:r w:rsidRPr="00F34656">
        <w:rPr>
          <w:rFonts w:cstheme="minorHAnsi"/>
          <w:i/>
          <w:iCs/>
          <w:sz w:val="24"/>
          <w:szCs w:val="24"/>
        </w:rPr>
        <w:t xml:space="preserve"> </w:t>
      </w:r>
      <w:r w:rsidRPr="00F34656">
        <w:rPr>
          <w:rFonts w:cstheme="minorHAnsi"/>
          <w:i/>
          <w:iCs/>
          <w:sz w:val="24"/>
          <w:szCs w:val="24"/>
        </w:rPr>
        <w:t xml:space="preserve">A lo anterior se suma el incumplimiento de debido proceso establecido en el </w:t>
      </w:r>
      <w:r w:rsidRPr="00F34656">
        <w:rPr>
          <w:rFonts w:cstheme="minorHAnsi"/>
          <w:i/>
          <w:iCs/>
          <w:sz w:val="24"/>
          <w:szCs w:val="24"/>
        </w:rPr>
        <w:t xml:space="preserve">artículo </w:t>
      </w:r>
      <w:r w:rsidRPr="00F34656">
        <w:rPr>
          <w:rFonts w:cstheme="minorHAnsi"/>
          <w:i/>
          <w:iCs/>
          <w:sz w:val="24"/>
          <w:szCs w:val="24"/>
        </w:rPr>
        <w:t xml:space="preserve">12 de la Constitución: “Nadie </w:t>
      </w:r>
      <w:r w:rsidRPr="00F34656">
        <w:rPr>
          <w:rFonts w:cstheme="minorHAnsi"/>
          <w:i/>
          <w:iCs/>
          <w:sz w:val="24"/>
          <w:szCs w:val="24"/>
        </w:rPr>
        <w:t>podrá</w:t>
      </w:r>
      <w:r w:rsidRPr="00F34656">
        <w:rPr>
          <w:rFonts w:cstheme="minorHAnsi"/>
          <w:i/>
          <w:iCs/>
          <w:sz w:val="24"/>
          <w:szCs w:val="24"/>
        </w:rPr>
        <w:t>́ ser condenado, ni privado de sus derechos, sin haber</w:t>
      </w:r>
      <w:r w:rsidRPr="00F34656">
        <w:rPr>
          <w:rFonts w:cstheme="minorHAnsi"/>
          <w:i/>
          <w:iCs/>
          <w:sz w:val="24"/>
          <w:szCs w:val="24"/>
        </w:rPr>
        <w:t xml:space="preserve"> </w:t>
      </w:r>
      <w:r w:rsidRPr="00F34656">
        <w:rPr>
          <w:rFonts w:cstheme="minorHAnsi"/>
          <w:i/>
          <w:iCs/>
          <w:sz w:val="24"/>
          <w:szCs w:val="24"/>
        </w:rPr>
        <w:t>sido citado, oído y vencido en proceso legal ante juez o tribunal competente y</w:t>
      </w:r>
      <w:r w:rsidRPr="00F34656">
        <w:rPr>
          <w:rFonts w:cstheme="minorHAnsi"/>
          <w:i/>
          <w:iCs/>
          <w:sz w:val="24"/>
          <w:szCs w:val="24"/>
        </w:rPr>
        <w:t xml:space="preserve"> </w:t>
      </w:r>
      <w:r w:rsidRPr="00F34656">
        <w:rPr>
          <w:rFonts w:cstheme="minorHAnsi"/>
          <w:i/>
          <w:iCs/>
          <w:sz w:val="24"/>
          <w:szCs w:val="24"/>
        </w:rPr>
        <w:t>preestablecido”. Por lo tanto, ninguna persona trans debe sufrir discriminación durante</w:t>
      </w:r>
      <w:r w:rsidRPr="00F34656">
        <w:rPr>
          <w:rFonts w:cstheme="minorHAnsi"/>
          <w:i/>
          <w:iCs/>
          <w:sz w:val="24"/>
          <w:szCs w:val="24"/>
        </w:rPr>
        <w:t xml:space="preserve"> </w:t>
      </w:r>
      <w:r w:rsidRPr="00F34656">
        <w:rPr>
          <w:rFonts w:cstheme="minorHAnsi"/>
          <w:i/>
          <w:iCs/>
          <w:sz w:val="24"/>
          <w:szCs w:val="24"/>
        </w:rPr>
        <w:t>algún proceso ante la justicia y debe hacer valer su derecho de petición ante cualquier</w:t>
      </w:r>
      <w:r w:rsidRPr="00F34656">
        <w:rPr>
          <w:rFonts w:cstheme="minorHAnsi"/>
          <w:i/>
          <w:iCs/>
          <w:sz w:val="24"/>
          <w:szCs w:val="24"/>
        </w:rPr>
        <w:t xml:space="preserve"> </w:t>
      </w:r>
      <w:r w:rsidRPr="00F34656">
        <w:rPr>
          <w:rFonts w:cstheme="minorHAnsi"/>
          <w:i/>
          <w:iCs/>
          <w:sz w:val="24"/>
          <w:szCs w:val="24"/>
        </w:rPr>
        <w:t>órgano.</w:t>
      </w:r>
    </w:p>
    <w:p w14:paraId="33A06846" w14:textId="77777777" w:rsidR="00A04818" w:rsidRPr="00F34656" w:rsidRDefault="00A04818" w:rsidP="00F34656">
      <w:pPr>
        <w:ind w:left="708" w:right="284"/>
        <w:jc w:val="both"/>
        <w:rPr>
          <w:rFonts w:cstheme="minorHAnsi"/>
          <w:i/>
          <w:iCs/>
          <w:sz w:val="24"/>
          <w:szCs w:val="24"/>
        </w:rPr>
      </w:pPr>
    </w:p>
    <w:p w14:paraId="2506E8AA" w14:textId="3A180B1C" w:rsidR="00A04818" w:rsidRPr="00A04818" w:rsidRDefault="00A04818" w:rsidP="00A04818">
      <w:pPr>
        <w:spacing w:after="12"/>
        <w:ind w:left="23"/>
        <w:rPr>
          <w:rFonts w:cstheme="minorHAnsi"/>
          <w:b/>
          <w:bCs/>
          <w:sz w:val="24"/>
          <w:szCs w:val="24"/>
        </w:rPr>
      </w:pPr>
      <w:r w:rsidRPr="00A04818">
        <w:rPr>
          <w:rFonts w:cstheme="minorHAnsi"/>
          <w:b/>
          <w:bCs/>
          <w:sz w:val="24"/>
          <w:szCs w:val="24"/>
        </w:rPr>
        <w:t>Recomendaciones:</w:t>
      </w:r>
    </w:p>
    <w:p w14:paraId="59EF0D23" w14:textId="722B85DF" w:rsidR="00A04818" w:rsidRPr="00A04818" w:rsidRDefault="00A04818" w:rsidP="00A94B9C">
      <w:pPr>
        <w:pStyle w:val="Prrafodelista"/>
        <w:numPr>
          <w:ilvl w:val="0"/>
          <w:numId w:val="17"/>
        </w:numPr>
        <w:spacing w:after="0" w:line="360" w:lineRule="auto"/>
        <w:ind w:left="715" w:hanging="692"/>
        <w:jc w:val="both"/>
        <w:rPr>
          <w:rFonts w:cstheme="minorHAnsi"/>
          <w:sz w:val="24"/>
          <w:szCs w:val="24"/>
        </w:rPr>
      </w:pPr>
      <w:r w:rsidRPr="00A04818">
        <w:rPr>
          <w:rFonts w:cstheme="minorHAnsi"/>
          <w:sz w:val="24"/>
          <w:szCs w:val="24"/>
        </w:rPr>
        <w:t>Se recomienda al Ministerio Público ejercer su autonomía en su actuar, promover la persecución Penal, e investigar los delitos de acción pública en estricto cumplimiento de la legislación nacional y su propia ley orgánica, en el sentido de ser imparcial en la investigación que realiza en los casos de la población Trans.</w:t>
      </w:r>
    </w:p>
    <w:p w14:paraId="07B33E89" w14:textId="7CCB7CA5" w:rsidR="00A04818" w:rsidRPr="00A04818" w:rsidRDefault="00A04818" w:rsidP="00A94B9C">
      <w:pPr>
        <w:pStyle w:val="Prrafodelista"/>
        <w:numPr>
          <w:ilvl w:val="0"/>
          <w:numId w:val="17"/>
        </w:numPr>
        <w:spacing w:after="0" w:line="360" w:lineRule="auto"/>
        <w:ind w:left="715" w:hanging="692"/>
        <w:jc w:val="both"/>
        <w:rPr>
          <w:rFonts w:cstheme="minorHAnsi"/>
          <w:sz w:val="24"/>
          <w:szCs w:val="24"/>
        </w:rPr>
      </w:pPr>
      <w:r w:rsidRPr="00A04818">
        <w:rPr>
          <w:rFonts w:cstheme="minorHAnsi"/>
          <w:sz w:val="24"/>
          <w:szCs w:val="24"/>
        </w:rPr>
        <w:t xml:space="preserve">Al sistema de justicia guatemalteco y todas las dependencias que conforman el organismo judicial, proceder con apego al derecho y en garantía del acceso a la justicia, con absoluto respeto de la identidad de género de las personas Trans al momento de impartir justicia a fin que la misma sea pronta y cumplida por mandato legal.  </w:t>
      </w:r>
    </w:p>
    <w:p w14:paraId="435518D9" w14:textId="1DB2FF41" w:rsidR="00DE048D" w:rsidRDefault="00DE048D" w:rsidP="00DE048D">
      <w:pPr>
        <w:spacing w:after="12"/>
        <w:ind w:left="23"/>
        <w:rPr>
          <w:rFonts w:cstheme="minorHAnsi"/>
          <w:sz w:val="24"/>
          <w:szCs w:val="24"/>
        </w:rPr>
      </w:pPr>
    </w:p>
    <w:p w14:paraId="3616E0FE" w14:textId="26B07C81" w:rsidR="009D0BCB" w:rsidRPr="00A94B9C" w:rsidRDefault="00ED17E9" w:rsidP="00A94B9C">
      <w:pPr>
        <w:pStyle w:val="Ttulo2"/>
        <w:rPr>
          <w:b w:val="0"/>
          <w:bCs/>
          <w:i/>
          <w:iCs/>
          <w:color w:val="2F5496" w:themeColor="accent1" w:themeShade="BF"/>
        </w:rPr>
      </w:pPr>
      <w:bookmarkStart w:id="6" w:name="_Toc144980983"/>
      <w:r w:rsidRPr="009D0BCB">
        <w:rPr>
          <w:b w:val="0"/>
          <w:bCs/>
          <w:i/>
          <w:iCs/>
          <w:color w:val="2F5496" w:themeColor="accent1" w:themeShade="BF"/>
        </w:rPr>
        <w:t>Derecho de las mujeres</w:t>
      </w:r>
      <w:r w:rsidR="009A2FE4">
        <w:rPr>
          <w:b w:val="0"/>
          <w:bCs/>
          <w:i/>
          <w:iCs/>
          <w:color w:val="2F5496" w:themeColor="accent1" w:themeShade="BF"/>
        </w:rPr>
        <w:t xml:space="preserve"> trans</w:t>
      </w:r>
      <w:r w:rsidRPr="009D0BCB">
        <w:rPr>
          <w:b w:val="0"/>
          <w:bCs/>
          <w:i/>
          <w:iCs/>
          <w:color w:val="2F5496" w:themeColor="accent1" w:themeShade="BF"/>
        </w:rPr>
        <w:t xml:space="preserve"> a la salud</w:t>
      </w:r>
      <w:bookmarkEnd w:id="6"/>
    </w:p>
    <w:p w14:paraId="32A712ED" w14:textId="69513717" w:rsidR="00DE048D" w:rsidRPr="002C74A2" w:rsidRDefault="00DE048D" w:rsidP="0006149F">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p>
    <w:p w14:paraId="4E8DDC9F" w14:textId="77777777" w:rsidR="00DE048D" w:rsidRPr="002C74A2" w:rsidRDefault="00DE048D" w:rsidP="0006149F">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r w:rsidRPr="002C74A2">
        <w:rPr>
          <w:rFonts w:eastAsia="Times New Roman" w:cstheme="minorHAnsi"/>
          <w:b/>
          <w:sz w:val="24"/>
          <w:szCs w:val="24"/>
        </w:rPr>
        <w:t xml:space="preserve">Artículo 12 </w:t>
      </w:r>
    </w:p>
    <w:p w14:paraId="3355A763" w14:textId="77777777" w:rsidR="00DE048D" w:rsidRDefault="00DE048D" w:rsidP="0006149F">
      <w:pPr>
        <w:pBdr>
          <w:top w:val="single" w:sz="4" w:space="0" w:color="000000"/>
          <w:left w:val="single" w:sz="4" w:space="0" w:color="000000"/>
          <w:bottom w:val="single" w:sz="4" w:space="0" w:color="000000"/>
          <w:right w:val="single" w:sz="4" w:space="0" w:color="000000"/>
        </w:pBdr>
        <w:shd w:val="clear" w:color="auto" w:fill="FFCCFF"/>
        <w:spacing w:after="0"/>
        <w:ind w:left="18"/>
        <w:rPr>
          <w:rFonts w:eastAsia="Times New Roman" w:cstheme="minorHAnsi"/>
          <w:b/>
          <w:sz w:val="24"/>
          <w:szCs w:val="24"/>
        </w:rPr>
      </w:pPr>
      <w:r w:rsidRPr="002C74A2">
        <w:rPr>
          <w:rFonts w:eastAsia="Times New Roman" w:cstheme="minorHAnsi"/>
          <w:b/>
          <w:sz w:val="24"/>
          <w:szCs w:val="24"/>
        </w:rPr>
        <w:t xml:space="preserve">Derecho de las mujeres a la salud </w:t>
      </w:r>
    </w:p>
    <w:p w14:paraId="10109C81" w14:textId="77777777" w:rsidR="0006149F" w:rsidRPr="002C74A2" w:rsidRDefault="0006149F" w:rsidP="0006149F">
      <w:pPr>
        <w:pBdr>
          <w:top w:val="single" w:sz="4" w:space="0" w:color="000000"/>
          <w:left w:val="single" w:sz="4" w:space="0" w:color="000000"/>
          <w:bottom w:val="single" w:sz="4" w:space="0" w:color="000000"/>
          <w:right w:val="single" w:sz="4" w:space="0" w:color="000000"/>
        </w:pBdr>
        <w:shd w:val="clear" w:color="auto" w:fill="FFCCFF"/>
        <w:spacing w:after="0"/>
        <w:ind w:left="18"/>
        <w:rPr>
          <w:rFonts w:cstheme="minorHAnsi"/>
          <w:sz w:val="24"/>
          <w:szCs w:val="24"/>
        </w:rPr>
      </w:pPr>
    </w:p>
    <w:p w14:paraId="780362D1" w14:textId="77777777" w:rsidR="00DE048D" w:rsidRPr="002C74A2" w:rsidRDefault="00DE048D" w:rsidP="00DE048D">
      <w:pPr>
        <w:spacing w:after="0"/>
        <w:ind w:left="23"/>
        <w:rPr>
          <w:rFonts w:cstheme="minorHAnsi"/>
          <w:sz w:val="24"/>
          <w:szCs w:val="24"/>
        </w:rPr>
      </w:pPr>
      <w:r w:rsidRPr="002C74A2">
        <w:rPr>
          <w:rFonts w:cstheme="minorHAnsi"/>
          <w:sz w:val="24"/>
          <w:szCs w:val="24"/>
        </w:rPr>
        <w:lastRenderedPageBreak/>
        <w:t xml:space="preserve"> </w:t>
      </w:r>
    </w:p>
    <w:p w14:paraId="39AAF8A9" w14:textId="553AB6CC" w:rsidR="0006149F" w:rsidRPr="0006149F" w:rsidRDefault="0006149F" w:rsidP="0006149F">
      <w:pPr>
        <w:spacing w:after="0"/>
        <w:ind w:left="23"/>
        <w:jc w:val="both"/>
        <w:rPr>
          <w:rFonts w:cstheme="minorHAnsi"/>
          <w:sz w:val="24"/>
          <w:szCs w:val="24"/>
        </w:rPr>
      </w:pPr>
      <w:r w:rsidRPr="0006149F">
        <w:rPr>
          <w:rFonts w:cstheme="minorHAnsi"/>
          <w:sz w:val="24"/>
          <w:szCs w:val="24"/>
        </w:rPr>
        <w:t xml:space="preserve">Han pasado </w:t>
      </w:r>
      <w:r>
        <w:rPr>
          <w:rFonts w:cstheme="minorHAnsi"/>
          <w:sz w:val="24"/>
          <w:szCs w:val="24"/>
        </w:rPr>
        <w:t>ocho años</w:t>
      </w:r>
      <w:r w:rsidRPr="0006149F">
        <w:rPr>
          <w:rFonts w:cstheme="minorHAnsi"/>
          <w:sz w:val="24"/>
          <w:szCs w:val="24"/>
        </w:rPr>
        <w:t xml:space="preserve"> desde la aprobación y socialización de la Estrategia de Atención Integral y Diferenciada en Salud para personas trans en Guatemala 2016-2030</w:t>
      </w:r>
      <w:r>
        <w:rPr>
          <w:rStyle w:val="Refdenotaalpie"/>
          <w:rFonts w:cstheme="minorHAnsi"/>
          <w:sz w:val="24"/>
          <w:szCs w:val="24"/>
        </w:rPr>
        <w:footnoteReference w:id="12"/>
      </w:r>
      <w:r w:rsidRPr="0006149F">
        <w:rPr>
          <w:rFonts w:cstheme="minorHAnsi"/>
          <w:sz w:val="24"/>
          <w:szCs w:val="24"/>
        </w:rPr>
        <w:t>, documento técnico político emitido por el Ministerio de Salud Pública y Asistencia Social como guía para el adecuado tratamiento de la salud de personas Trans en el país y que persigue acorde a su propósito y objetivos lo siguiente:</w:t>
      </w:r>
    </w:p>
    <w:p w14:paraId="6F123B44" w14:textId="77777777" w:rsidR="0006149F" w:rsidRPr="0006149F" w:rsidRDefault="0006149F" w:rsidP="0006149F">
      <w:pPr>
        <w:spacing w:after="0"/>
        <w:ind w:left="23"/>
        <w:jc w:val="both"/>
        <w:rPr>
          <w:rFonts w:cstheme="minorHAnsi"/>
          <w:sz w:val="24"/>
          <w:szCs w:val="24"/>
        </w:rPr>
      </w:pPr>
    </w:p>
    <w:p w14:paraId="297891AC" w14:textId="77777777" w:rsidR="0006149F" w:rsidRPr="0006149F" w:rsidRDefault="0006149F" w:rsidP="0006149F">
      <w:pPr>
        <w:spacing w:after="0"/>
        <w:ind w:left="23"/>
        <w:jc w:val="both"/>
        <w:rPr>
          <w:rFonts w:cstheme="minorHAnsi"/>
          <w:sz w:val="24"/>
          <w:szCs w:val="24"/>
        </w:rPr>
      </w:pPr>
      <w:r w:rsidRPr="0006149F">
        <w:rPr>
          <w:rFonts w:cstheme="minorHAnsi"/>
          <w:sz w:val="24"/>
          <w:szCs w:val="24"/>
        </w:rPr>
        <w:t>Propósito de la Estrategia. La estrategia tiene como propósito proporcionar atención integral y diferenciada a las personas Trans sin estigma, exclusión o discriminación con el fin de aminorar y suprimir progresivamente el sufrimiento que causan los padecimientos relacionados a su salud, desde un enfoque y atención biopsicosocial.</w:t>
      </w:r>
    </w:p>
    <w:p w14:paraId="1179319A" w14:textId="77777777" w:rsidR="0006149F" w:rsidRPr="0006149F" w:rsidRDefault="0006149F" w:rsidP="0006149F">
      <w:pPr>
        <w:spacing w:after="0"/>
        <w:ind w:left="23"/>
        <w:jc w:val="both"/>
        <w:rPr>
          <w:rFonts w:cstheme="minorHAnsi"/>
          <w:sz w:val="24"/>
          <w:szCs w:val="24"/>
        </w:rPr>
      </w:pPr>
    </w:p>
    <w:p w14:paraId="7170AAAC" w14:textId="77777777" w:rsidR="0006149F" w:rsidRPr="0006149F" w:rsidRDefault="0006149F" w:rsidP="0006149F">
      <w:pPr>
        <w:spacing w:after="0"/>
        <w:ind w:left="23"/>
        <w:jc w:val="both"/>
        <w:rPr>
          <w:rFonts w:cstheme="minorHAnsi"/>
          <w:sz w:val="24"/>
          <w:szCs w:val="24"/>
        </w:rPr>
      </w:pPr>
      <w:r w:rsidRPr="0006149F">
        <w:rPr>
          <w:rFonts w:cstheme="minorHAnsi"/>
          <w:sz w:val="24"/>
          <w:szCs w:val="24"/>
        </w:rPr>
        <w:t>Objetivo general de la Estrategia: Promover el acceso a la salud integral y diferenciada de las personas Trans, con enfoque biopsicosocial, que permita la provisión de servicios en los tres niveles de atención del Ministerio de Salud Pública y Asistencia Social, con fundamento en el marco de los Derechos Humanos.</w:t>
      </w:r>
    </w:p>
    <w:p w14:paraId="0A507E80" w14:textId="77777777" w:rsidR="0006149F" w:rsidRPr="0006149F" w:rsidRDefault="0006149F" w:rsidP="0006149F">
      <w:pPr>
        <w:spacing w:after="0"/>
        <w:ind w:left="23"/>
        <w:jc w:val="both"/>
        <w:rPr>
          <w:rFonts w:cstheme="minorHAnsi"/>
          <w:sz w:val="24"/>
          <w:szCs w:val="24"/>
        </w:rPr>
      </w:pPr>
    </w:p>
    <w:p w14:paraId="7FC4ACFA" w14:textId="4D11AB46" w:rsidR="00DE048D" w:rsidRPr="002C74A2" w:rsidRDefault="0006149F" w:rsidP="0006149F">
      <w:pPr>
        <w:spacing w:after="0"/>
        <w:ind w:left="23"/>
        <w:jc w:val="both"/>
        <w:rPr>
          <w:rFonts w:cstheme="minorHAnsi"/>
          <w:sz w:val="24"/>
          <w:szCs w:val="24"/>
        </w:rPr>
      </w:pPr>
      <w:r w:rsidRPr="0006149F">
        <w:rPr>
          <w:rFonts w:cstheme="minorHAnsi"/>
          <w:sz w:val="24"/>
          <w:szCs w:val="24"/>
        </w:rPr>
        <w:t>Lamentablemente, dicho documento aún no ha sido implementado, ni se le ha dado la debida difusión dentro del sistema sanitario. Pasados ya seis años de la aprobación de esta última es evidenciar lo tardío que es el cumplimiento de las normas y compromisos del Estado, con gobierno Profamilia y anti derechos. No se avanza con la implementación porque el estado de Guatemala establece que la atención hacia las personas Trans no es por ciclos de vida si no de 18 años en adelante, es lamentable que Guatemala aun siga implementando el CIE 10 de la OMS y no el CIE 11 donde se despatologizan las Identidades Trans de las personas en general.</w:t>
      </w:r>
      <w:r w:rsidR="00DE048D" w:rsidRPr="002C74A2">
        <w:rPr>
          <w:rFonts w:cstheme="minorHAnsi"/>
          <w:sz w:val="24"/>
          <w:szCs w:val="24"/>
        </w:rPr>
        <w:t xml:space="preserve"> </w:t>
      </w:r>
    </w:p>
    <w:p w14:paraId="372CEB88" w14:textId="77777777" w:rsidR="00DE048D" w:rsidRPr="002C74A2" w:rsidRDefault="00DE048D" w:rsidP="00DE048D">
      <w:pPr>
        <w:spacing w:after="0"/>
        <w:ind w:left="23"/>
        <w:rPr>
          <w:rFonts w:cstheme="minorHAnsi"/>
          <w:sz w:val="24"/>
          <w:szCs w:val="24"/>
        </w:rPr>
      </w:pPr>
      <w:r w:rsidRPr="002C74A2">
        <w:rPr>
          <w:rFonts w:eastAsia="Times New Roman" w:cstheme="minorHAnsi"/>
          <w:b/>
          <w:sz w:val="24"/>
          <w:szCs w:val="24"/>
        </w:rPr>
        <w:t xml:space="preserve"> </w:t>
      </w:r>
    </w:p>
    <w:p w14:paraId="51548BDC" w14:textId="77777777" w:rsidR="00DE048D" w:rsidRPr="002C74A2" w:rsidRDefault="00DE048D" w:rsidP="00DE048D">
      <w:pPr>
        <w:spacing w:after="0"/>
        <w:ind w:left="18"/>
        <w:rPr>
          <w:rFonts w:cstheme="minorHAnsi"/>
          <w:sz w:val="24"/>
          <w:szCs w:val="24"/>
        </w:rPr>
      </w:pPr>
      <w:r w:rsidRPr="002C74A2">
        <w:rPr>
          <w:rFonts w:eastAsia="Times New Roman" w:cstheme="minorHAnsi"/>
          <w:b/>
          <w:sz w:val="24"/>
          <w:szCs w:val="24"/>
        </w:rPr>
        <w:t xml:space="preserve">Recomendaciones. </w:t>
      </w:r>
    </w:p>
    <w:p w14:paraId="3EF00EEA" w14:textId="5EBDDCAB" w:rsidR="0006149F" w:rsidRPr="0006149F" w:rsidRDefault="0006149F" w:rsidP="00A94B9C">
      <w:pPr>
        <w:numPr>
          <w:ilvl w:val="1"/>
          <w:numId w:val="18"/>
        </w:numPr>
        <w:spacing w:after="0" w:line="360" w:lineRule="auto"/>
        <w:ind w:left="1100" w:right="284" w:hanging="357"/>
        <w:jc w:val="both"/>
        <w:rPr>
          <w:rFonts w:cstheme="minorHAnsi"/>
          <w:sz w:val="24"/>
          <w:szCs w:val="24"/>
        </w:rPr>
      </w:pPr>
      <w:r w:rsidRPr="0006149F">
        <w:rPr>
          <w:rFonts w:cstheme="minorHAnsi"/>
          <w:sz w:val="24"/>
          <w:szCs w:val="24"/>
        </w:rPr>
        <w:t xml:space="preserve">Implementar la Estrategia de </w:t>
      </w:r>
      <w:r w:rsidRPr="0006149F">
        <w:rPr>
          <w:rFonts w:cstheme="minorHAnsi"/>
          <w:sz w:val="24"/>
          <w:szCs w:val="24"/>
        </w:rPr>
        <w:t>Atención</w:t>
      </w:r>
      <w:r w:rsidRPr="0006149F">
        <w:rPr>
          <w:rFonts w:cstheme="minorHAnsi"/>
          <w:sz w:val="24"/>
          <w:szCs w:val="24"/>
        </w:rPr>
        <w:t xml:space="preserve"> Integral y Diferenciada en Salud para Personas Trans 2016-2030, mecanismo que permita garantizar el trato adecuado en salud para las personas trans, se recomienda además cumplir con los cuatro pilares fundamentales de dicha estrategia, así mismo capacitar al personal de salud en el sistema nacional, a fin de brindar una atención libre es estigma y discriminación; y dote un presupuesto para su adecuada implementación.</w:t>
      </w:r>
    </w:p>
    <w:p w14:paraId="5314D74B" w14:textId="308F198B" w:rsidR="00DE048D" w:rsidRPr="0006149F" w:rsidRDefault="0006149F" w:rsidP="00A94B9C">
      <w:pPr>
        <w:numPr>
          <w:ilvl w:val="1"/>
          <w:numId w:val="18"/>
        </w:numPr>
        <w:spacing w:after="0" w:line="360" w:lineRule="auto"/>
        <w:ind w:left="1100" w:right="284" w:hanging="357"/>
        <w:jc w:val="both"/>
        <w:rPr>
          <w:rFonts w:cstheme="minorHAnsi"/>
          <w:sz w:val="24"/>
          <w:szCs w:val="24"/>
        </w:rPr>
      </w:pPr>
      <w:r w:rsidRPr="0006149F">
        <w:rPr>
          <w:rFonts w:cstheme="minorHAnsi"/>
          <w:sz w:val="24"/>
          <w:szCs w:val="24"/>
        </w:rPr>
        <w:lastRenderedPageBreak/>
        <w:t>Dar seguimiento a la implementación de la Estrategia de Comunicación a fin de cumplir con uno de los pilares establecidos en la Estrategia de Atención Integral y Diferenciada en Salud para Personas Trans en Guatemala.</w:t>
      </w:r>
    </w:p>
    <w:p w14:paraId="61942ABE" w14:textId="77777777" w:rsidR="00DE048D" w:rsidRPr="002C74A2" w:rsidRDefault="00DE048D" w:rsidP="00DE048D">
      <w:pPr>
        <w:spacing w:after="0"/>
        <w:ind w:left="23"/>
        <w:rPr>
          <w:rFonts w:cstheme="minorHAnsi"/>
          <w:sz w:val="24"/>
          <w:szCs w:val="24"/>
        </w:rPr>
      </w:pPr>
      <w:r w:rsidRPr="002C74A2">
        <w:rPr>
          <w:rFonts w:cstheme="minorHAnsi"/>
          <w:sz w:val="24"/>
          <w:szCs w:val="24"/>
        </w:rPr>
        <w:t xml:space="preserve"> </w:t>
      </w:r>
    </w:p>
    <w:p w14:paraId="5BC1B7FC" w14:textId="3A14FB10" w:rsidR="00ED17E9" w:rsidRDefault="00DE048D" w:rsidP="001901E6">
      <w:pPr>
        <w:spacing w:after="0"/>
        <w:ind w:left="23"/>
        <w:rPr>
          <w:rFonts w:eastAsia="Times New Roman" w:cstheme="minorHAnsi"/>
          <w:b/>
          <w:sz w:val="24"/>
          <w:szCs w:val="24"/>
        </w:rPr>
      </w:pPr>
      <w:r w:rsidRPr="002C74A2">
        <w:rPr>
          <w:rFonts w:cstheme="minorHAnsi"/>
          <w:sz w:val="24"/>
          <w:szCs w:val="24"/>
        </w:rPr>
        <w:t xml:space="preserve"> </w:t>
      </w:r>
      <w:r w:rsidR="00ED17E9">
        <w:rPr>
          <w:rFonts w:eastAsia="Times New Roman" w:cstheme="minorHAnsi"/>
          <w:b/>
          <w:sz w:val="24"/>
          <w:szCs w:val="24"/>
        </w:rPr>
        <w:br w:type="page"/>
      </w:r>
    </w:p>
    <w:p w14:paraId="722A9E47" w14:textId="3641B06E" w:rsidR="00DE048D" w:rsidRPr="002C74A2" w:rsidRDefault="00ED17E9" w:rsidP="00ED17E9">
      <w:pPr>
        <w:pStyle w:val="Ttulo1"/>
        <w:jc w:val="center"/>
      </w:pPr>
      <w:bookmarkStart w:id="7" w:name="_Toc144980984"/>
      <w:r w:rsidRPr="002C74A2">
        <w:rPr>
          <w:rFonts w:eastAsia="Times New Roman"/>
        </w:rPr>
        <w:lastRenderedPageBreak/>
        <w:t>BIBLIOGRAFÍA REFERIDA</w:t>
      </w:r>
      <w:bookmarkEnd w:id="7"/>
    </w:p>
    <w:p w14:paraId="1880525F" w14:textId="77777777" w:rsidR="0006149F" w:rsidRPr="0006149F" w:rsidRDefault="0006149F" w:rsidP="0006149F">
      <w:pPr>
        <w:pStyle w:val="Textoindependiente"/>
        <w:spacing w:before="2"/>
        <w:jc w:val="both"/>
        <w:rPr>
          <w:rFonts w:asciiTheme="minorHAnsi" w:hAnsiTheme="minorHAnsi" w:cstheme="minorHAnsi"/>
          <w:sz w:val="24"/>
          <w:szCs w:val="24"/>
        </w:rPr>
      </w:pPr>
    </w:p>
    <w:p w14:paraId="4737F4B6" w14:textId="77777777" w:rsidR="00445321" w:rsidRPr="001901E6" w:rsidRDefault="00445321" w:rsidP="0006149F">
      <w:pPr>
        <w:pStyle w:val="Textoindependiente"/>
        <w:jc w:val="both"/>
        <w:rPr>
          <w:rFonts w:asciiTheme="minorHAnsi" w:hAnsiTheme="minorHAnsi" w:cstheme="minorHAnsi"/>
          <w:sz w:val="24"/>
          <w:szCs w:val="24"/>
          <w:lang w:val="es-GT"/>
        </w:rPr>
      </w:pPr>
      <w:r w:rsidRPr="001901E6">
        <w:rPr>
          <w:rFonts w:asciiTheme="minorHAnsi" w:hAnsiTheme="minorHAnsi" w:cstheme="minorHAnsi"/>
          <w:sz w:val="24"/>
          <w:szCs w:val="24"/>
          <w:lang w:val="es-GT"/>
        </w:rPr>
        <w:t xml:space="preserve">Contenido de CEDAW. </w:t>
      </w:r>
      <w:hyperlink r:id="rId13" w:history="1">
        <w:r w:rsidRPr="001901E6">
          <w:rPr>
            <w:rStyle w:val="Hipervnculo"/>
            <w:rFonts w:asciiTheme="minorHAnsi" w:hAnsiTheme="minorHAnsi" w:cstheme="minorHAnsi"/>
            <w:sz w:val="24"/>
            <w:szCs w:val="24"/>
            <w:lang w:val="es-GT"/>
          </w:rPr>
          <w:t>https://www.ohchr.org/es/instruments-mechanisms/instruments/convention-elimination-all-forms-discrimination-against-women</w:t>
        </w:r>
      </w:hyperlink>
      <w:r w:rsidRPr="001901E6">
        <w:rPr>
          <w:rFonts w:asciiTheme="minorHAnsi" w:hAnsiTheme="minorHAnsi" w:cstheme="minorHAnsi"/>
          <w:sz w:val="24"/>
          <w:szCs w:val="24"/>
          <w:lang w:val="es-GT"/>
        </w:rPr>
        <w:t xml:space="preserve"> </w:t>
      </w:r>
    </w:p>
    <w:p w14:paraId="342397A9" w14:textId="77777777" w:rsidR="00445321" w:rsidRPr="001901E6" w:rsidRDefault="00445321" w:rsidP="0006149F">
      <w:pPr>
        <w:pStyle w:val="Textoindependiente"/>
        <w:jc w:val="both"/>
        <w:rPr>
          <w:rFonts w:asciiTheme="minorHAnsi" w:hAnsiTheme="minorHAnsi" w:cstheme="minorHAnsi"/>
          <w:sz w:val="24"/>
          <w:szCs w:val="24"/>
          <w:lang w:val="es-GT"/>
        </w:rPr>
      </w:pPr>
    </w:p>
    <w:p w14:paraId="1FE658C3" w14:textId="48B3C89A" w:rsidR="0006149F" w:rsidRPr="001901E6" w:rsidRDefault="0006149F" w:rsidP="0006149F">
      <w:pPr>
        <w:pStyle w:val="Textoindependiente"/>
        <w:jc w:val="both"/>
        <w:rPr>
          <w:rFonts w:asciiTheme="minorHAnsi" w:hAnsiTheme="minorHAnsi" w:cstheme="minorHAnsi"/>
          <w:sz w:val="24"/>
          <w:szCs w:val="24"/>
        </w:rPr>
      </w:pPr>
      <w:r w:rsidRPr="001901E6">
        <w:rPr>
          <w:rFonts w:asciiTheme="minorHAnsi" w:hAnsiTheme="minorHAnsi" w:cstheme="minorHAnsi"/>
          <w:sz w:val="24"/>
          <w:szCs w:val="24"/>
        </w:rPr>
        <w:t xml:space="preserve">Cordero, Álvaro. (15 de enero de 2020). France 24. Alejandro Giammattei tomó posesión como presidente de Guatemala, para “cambiar el rumbo del </w:t>
      </w:r>
      <w:proofErr w:type="spellStart"/>
      <w:r w:rsidRPr="001901E6">
        <w:rPr>
          <w:rFonts w:asciiTheme="minorHAnsi" w:hAnsiTheme="minorHAnsi" w:cstheme="minorHAnsi"/>
          <w:sz w:val="24"/>
          <w:szCs w:val="24"/>
        </w:rPr>
        <w:t>país</w:t>
      </w:r>
      <w:proofErr w:type="spellEnd"/>
      <w:r w:rsidRPr="001901E6">
        <w:rPr>
          <w:rFonts w:asciiTheme="minorHAnsi" w:hAnsiTheme="minorHAnsi" w:cstheme="minorHAnsi"/>
          <w:sz w:val="24"/>
          <w:szCs w:val="24"/>
        </w:rPr>
        <w:t>”. Disponible en: https://www.france24.com/es/20200115-alejandro-giammattei-tom%C3%B3- posesi%C3%B3n-como-presidente-de-guatemala-para-cambiar-el-rumbo-delpa%C3%ADs</w:t>
      </w:r>
      <w:r w:rsidRPr="001901E6">
        <w:rPr>
          <w:rFonts w:asciiTheme="minorHAnsi" w:hAnsiTheme="minorHAnsi" w:cstheme="minorHAnsi"/>
          <w:sz w:val="24"/>
          <w:szCs w:val="24"/>
        </w:rPr>
        <w:t xml:space="preserve"> </w:t>
      </w:r>
    </w:p>
    <w:p w14:paraId="79E332E8" w14:textId="77777777" w:rsidR="0006149F" w:rsidRPr="001901E6" w:rsidRDefault="0006149F" w:rsidP="0006149F">
      <w:pPr>
        <w:pStyle w:val="Textoindependiente"/>
        <w:jc w:val="both"/>
        <w:rPr>
          <w:rFonts w:asciiTheme="minorHAnsi" w:hAnsiTheme="minorHAnsi" w:cstheme="minorHAnsi"/>
          <w:sz w:val="24"/>
          <w:szCs w:val="24"/>
        </w:rPr>
      </w:pPr>
    </w:p>
    <w:p w14:paraId="56341097" w14:textId="62E803B5" w:rsidR="0006149F" w:rsidRPr="001901E6" w:rsidRDefault="0006149F" w:rsidP="0006149F">
      <w:pPr>
        <w:pStyle w:val="Textoindependiente"/>
        <w:jc w:val="both"/>
        <w:rPr>
          <w:rFonts w:asciiTheme="minorHAnsi" w:hAnsiTheme="minorHAnsi" w:cstheme="minorHAnsi"/>
          <w:sz w:val="24"/>
          <w:szCs w:val="24"/>
        </w:rPr>
      </w:pPr>
      <w:r w:rsidRPr="001901E6">
        <w:rPr>
          <w:rFonts w:asciiTheme="minorHAnsi" w:hAnsiTheme="minorHAnsi" w:cstheme="minorHAnsi"/>
          <w:sz w:val="24"/>
          <w:szCs w:val="24"/>
        </w:rPr>
        <w:t xml:space="preserve">Iniciativa que dispone aprobar Ley para la Protección de la Vida y la Familia. Iniciativa 5272. (2017). Disponible en: Iniciativa 5272 Congreso de la República: </w:t>
      </w:r>
    </w:p>
    <w:p w14:paraId="0DE4D5F0" w14:textId="19E5146C" w:rsidR="0006149F" w:rsidRPr="001901E6" w:rsidRDefault="0006149F" w:rsidP="0006149F">
      <w:pPr>
        <w:pStyle w:val="Textoindependiente"/>
        <w:jc w:val="both"/>
        <w:rPr>
          <w:rFonts w:asciiTheme="minorHAnsi" w:hAnsiTheme="minorHAnsi" w:cstheme="minorHAnsi"/>
          <w:sz w:val="24"/>
          <w:szCs w:val="24"/>
        </w:rPr>
      </w:pPr>
      <w:hyperlink r:id="rId14" w:history="1">
        <w:r w:rsidRPr="001901E6">
          <w:rPr>
            <w:rStyle w:val="Hipervnculo"/>
            <w:rFonts w:asciiTheme="minorHAnsi" w:hAnsiTheme="minorHAnsi" w:cstheme="minorHAnsi"/>
            <w:sz w:val="24"/>
            <w:szCs w:val="24"/>
          </w:rPr>
          <w:t>https://www.congreso.gob.gt/detalle_pdf/iniciativas/66#gsc.tab=0</w:t>
        </w:r>
      </w:hyperlink>
    </w:p>
    <w:p w14:paraId="1EF02059" w14:textId="77777777" w:rsidR="0006149F" w:rsidRPr="001901E6" w:rsidRDefault="0006149F" w:rsidP="0006149F">
      <w:pPr>
        <w:pStyle w:val="Textoindependiente"/>
        <w:spacing w:before="2"/>
        <w:jc w:val="both"/>
        <w:rPr>
          <w:rFonts w:asciiTheme="minorHAnsi" w:hAnsiTheme="minorHAnsi" w:cstheme="minorHAnsi"/>
          <w:sz w:val="24"/>
          <w:szCs w:val="24"/>
        </w:rPr>
      </w:pPr>
    </w:p>
    <w:p w14:paraId="7D15A6BB" w14:textId="77777777" w:rsidR="0006149F" w:rsidRPr="001901E6" w:rsidRDefault="0006149F" w:rsidP="0006149F">
      <w:pPr>
        <w:spacing w:before="101"/>
        <w:jc w:val="both"/>
        <w:rPr>
          <w:rFonts w:cstheme="minorHAnsi"/>
          <w:sz w:val="24"/>
          <w:szCs w:val="24"/>
        </w:rPr>
      </w:pPr>
      <w:r w:rsidRPr="001901E6">
        <w:rPr>
          <w:rFonts w:cstheme="minorHAnsi"/>
          <w:sz w:val="24"/>
          <w:szCs w:val="24"/>
        </w:rPr>
        <w:t xml:space="preserve">Guatemala. 21 de enero de 2022. Ley contra personas Trans amenaza derechos. Disponible en: </w:t>
      </w:r>
      <w:hyperlink r:id="rId15" w:history="1">
        <w:r w:rsidRPr="001901E6">
          <w:rPr>
            <w:rStyle w:val="Hipervnculo"/>
            <w:rFonts w:cstheme="minorHAnsi"/>
            <w:sz w:val="24"/>
            <w:szCs w:val="24"/>
          </w:rPr>
          <w:t>https://www.hrw.org/es/news/2022/01/21/guatemala-ley-contra-personas-trans-amenaza</w:t>
        </w:r>
      </w:hyperlink>
      <w:r w:rsidRPr="001901E6">
        <w:rPr>
          <w:rFonts w:cstheme="minorHAnsi"/>
          <w:sz w:val="24"/>
          <w:szCs w:val="24"/>
        </w:rPr>
        <w:t xml:space="preserve">   </w:t>
      </w:r>
    </w:p>
    <w:p w14:paraId="676D1FBB" w14:textId="77777777" w:rsidR="0006149F" w:rsidRPr="001901E6" w:rsidRDefault="0006149F" w:rsidP="0006149F">
      <w:pPr>
        <w:pStyle w:val="Textoindependiente"/>
        <w:spacing w:before="101"/>
        <w:ind w:right="180"/>
        <w:jc w:val="both"/>
        <w:rPr>
          <w:rFonts w:asciiTheme="minorHAnsi" w:hAnsiTheme="minorHAnsi" w:cstheme="minorHAnsi"/>
          <w:sz w:val="24"/>
          <w:szCs w:val="24"/>
        </w:rPr>
      </w:pPr>
    </w:p>
    <w:p w14:paraId="2ED4794F" w14:textId="71626943" w:rsidR="0006149F" w:rsidRPr="001901E6" w:rsidRDefault="0006149F" w:rsidP="0006149F">
      <w:pPr>
        <w:pStyle w:val="Textoindependiente"/>
        <w:spacing w:before="101"/>
        <w:ind w:right="180"/>
        <w:jc w:val="both"/>
        <w:rPr>
          <w:rFonts w:asciiTheme="minorHAnsi" w:hAnsiTheme="minorHAnsi" w:cstheme="minorHAnsi"/>
          <w:sz w:val="24"/>
          <w:szCs w:val="24"/>
        </w:rPr>
      </w:pPr>
      <w:r w:rsidRPr="001901E6">
        <w:rPr>
          <w:rFonts w:asciiTheme="minorHAnsi" w:hAnsiTheme="minorHAnsi" w:cstheme="minorHAnsi"/>
          <w:sz w:val="24"/>
          <w:szCs w:val="24"/>
        </w:rPr>
        <w:t xml:space="preserve">Ministerio de Salud </w:t>
      </w:r>
      <w:proofErr w:type="spellStart"/>
      <w:r w:rsidRPr="001901E6">
        <w:rPr>
          <w:rFonts w:asciiTheme="minorHAnsi" w:hAnsiTheme="minorHAnsi" w:cstheme="minorHAnsi"/>
          <w:sz w:val="24"/>
          <w:szCs w:val="24"/>
        </w:rPr>
        <w:t>Pública</w:t>
      </w:r>
      <w:proofErr w:type="spellEnd"/>
      <w:r w:rsidRPr="001901E6">
        <w:rPr>
          <w:rFonts w:asciiTheme="minorHAnsi" w:hAnsiTheme="minorHAnsi" w:cstheme="minorHAnsi"/>
          <w:sz w:val="24"/>
          <w:szCs w:val="24"/>
        </w:rPr>
        <w:t xml:space="preserve">. </w:t>
      </w:r>
      <w:r w:rsidRPr="001901E6">
        <w:rPr>
          <w:rFonts w:asciiTheme="minorHAnsi" w:hAnsiTheme="minorHAnsi" w:cstheme="minorHAnsi"/>
          <w:i/>
          <w:sz w:val="24"/>
          <w:szCs w:val="24"/>
        </w:rPr>
        <w:t xml:space="preserve">Estrategia de </w:t>
      </w:r>
      <w:proofErr w:type="spellStart"/>
      <w:r w:rsidRPr="001901E6">
        <w:rPr>
          <w:rFonts w:asciiTheme="minorHAnsi" w:hAnsiTheme="minorHAnsi" w:cstheme="minorHAnsi"/>
          <w:i/>
          <w:sz w:val="24"/>
          <w:szCs w:val="24"/>
        </w:rPr>
        <w:t>Atención</w:t>
      </w:r>
      <w:proofErr w:type="spellEnd"/>
      <w:r w:rsidRPr="001901E6">
        <w:rPr>
          <w:rFonts w:asciiTheme="minorHAnsi" w:hAnsiTheme="minorHAnsi" w:cstheme="minorHAnsi"/>
          <w:i/>
          <w:sz w:val="24"/>
          <w:szCs w:val="24"/>
        </w:rPr>
        <w:t xml:space="preserve"> Integral y Diferenciada en Salud para personas trans en Guatemala 2016 – 2030</w:t>
      </w:r>
      <w:r w:rsidRPr="001901E6">
        <w:rPr>
          <w:rFonts w:asciiTheme="minorHAnsi" w:hAnsiTheme="minorHAnsi" w:cstheme="minorHAnsi"/>
          <w:sz w:val="24"/>
          <w:szCs w:val="24"/>
        </w:rPr>
        <w:t xml:space="preserve">. Disponible en: </w:t>
      </w:r>
      <w:hyperlink r:id="rId16" w:history="1">
        <w:r w:rsidRPr="001901E6">
          <w:rPr>
            <w:rStyle w:val="Hipervnculo"/>
            <w:rFonts w:asciiTheme="minorHAnsi" w:hAnsiTheme="minorHAnsi" w:cstheme="minorHAnsi"/>
            <w:spacing w:val="-2"/>
            <w:sz w:val="24"/>
            <w:szCs w:val="24"/>
          </w:rPr>
          <w:t>https://guatemala.unfpa.org/sites/default/files/pub-pdf/Estrategia%20Pob.%20TRANS.pdf</w:t>
        </w:r>
      </w:hyperlink>
    </w:p>
    <w:p w14:paraId="283E9DE6" w14:textId="77777777" w:rsidR="0006149F" w:rsidRPr="001901E6" w:rsidRDefault="0006149F" w:rsidP="0006149F">
      <w:pPr>
        <w:pStyle w:val="Textoindependiente"/>
        <w:spacing w:before="2"/>
        <w:jc w:val="both"/>
        <w:rPr>
          <w:rFonts w:asciiTheme="minorHAnsi" w:hAnsiTheme="minorHAnsi" w:cstheme="minorHAnsi"/>
          <w:sz w:val="24"/>
          <w:szCs w:val="24"/>
        </w:rPr>
      </w:pPr>
    </w:p>
    <w:p w14:paraId="053C3E00" w14:textId="77777777" w:rsidR="0006149F" w:rsidRPr="001901E6" w:rsidRDefault="0006149F" w:rsidP="0006149F">
      <w:pPr>
        <w:spacing w:before="101"/>
        <w:ind w:right="160"/>
        <w:jc w:val="both"/>
        <w:rPr>
          <w:rFonts w:cstheme="minorHAnsi"/>
          <w:sz w:val="24"/>
          <w:szCs w:val="24"/>
          <w:u w:val="single"/>
        </w:rPr>
      </w:pPr>
      <w:r w:rsidRPr="001901E6">
        <w:rPr>
          <w:rFonts w:cstheme="minorHAnsi"/>
          <w:sz w:val="24"/>
          <w:szCs w:val="24"/>
        </w:rPr>
        <w:t xml:space="preserve">Comisión por la Vida y la Familia. 2021. </w:t>
      </w:r>
      <w:r w:rsidRPr="001901E6">
        <w:rPr>
          <w:rFonts w:cstheme="minorHAnsi"/>
          <w:i/>
          <w:sz w:val="24"/>
          <w:szCs w:val="24"/>
        </w:rPr>
        <w:t xml:space="preserve">Iniciativa que dispone aprobar ley para garantizar la protección integral de la niñez y adolescencia contra los trastornos de la identidad de género. </w:t>
      </w:r>
      <w:r w:rsidRPr="001901E6">
        <w:rPr>
          <w:rFonts w:cstheme="minorHAnsi"/>
          <w:sz w:val="24"/>
          <w:szCs w:val="24"/>
        </w:rPr>
        <w:t xml:space="preserve">Disponible en: </w:t>
      </w:r>
      <w:hyperlink r:id="rId17" w:history="1">
        <w:r w:rsidRPr="001901E6">
          <w:rPr>
            <w:rStyle w:val="Hipervnculo"/>
            <w:rFonts w:cstheme="minorHAnsi"/>
            <w:sz w:val="24"/>
            <w:szCs w:val="24"/>
          </w:rPr>
          <w:t>https://www.congreso.gob.gt/detalle_pdf/iniciativas/5787</w:t>
        </w:r>
      </w:hyperlink>
      <w:r w:rsidRPr="001901E6">
        <w:rPr>
          <w:rFonts w:cstheme="minorHAnsi"/>
          <w:sz w:val="24"/>
          <w:szCs w:val="24"/>
          <w:u w:val="single"/>
        </w:rPr>
        <w:t xml:space="preserve"> </w:t>
      </w:r>
    </w:p>
    <w:p w14:paraId="73233760" w14:textId="77777777" w:rsidR="0006149F" w:rsidRPr="001901E6" w:rsidRDefault="0006149F" w:rsidP="0006149F">
      <w:pPr>
        <w:pStyle w:val="Textoindependiente"/>
        <w:jc w:val="both"/>
        <w:rPr>
          <w:rFonts w:asciiTheme="minorHAnsi" w:hAnsiTheme="minorHAnsi" w:cstheme="minorHAnsi"/>
          <w:sz w:val="24"/>
          <w:szCs w:val="24"/>
        </w:rPr>
      </w:pPr>
    </w:p>
    <w:p w14:paraId="491A8D6D" w14:textId="1344C69F" w:rsidR="00067155" w:rsidRPr="001901E6" w:rsidRDefault="0006149F" w:rsidP="0006149F">
      <w:pPr>
        <w:jc w:val="both"/>
        <w:rPr>
          <w:rStyle w:val="Hipervnculo"/>
          <w:rFonts w:cstheme="minorHAnsi"/>
          <w:sz w:val="24"/>
          <w:szCs w:val="24"/>
        </w:rPr>
      </w:pPr>
      <w:r w:rsidRPr="001901E6">
        <w:rPr>
          <w:rFonts w:cstheme="minorHAnsi"/>
          <w:color w:val="37393B"/>
          <w:sz w:val="24"/>
          <w:szCs w:val="24"/>
        </w:rPr>
        <w:t xml:space="preserve">Maldonado Mérida, Teresa Magnolia. Guatemala: Acceso a la Justicia. Disponible en: </w:t>
      </w:r>
      <w:hyperlink r:id="rId18" w:history="1">
        <w:r w:rsidRPr="001901E6">
          <w:rPr>
            <w:rStyle w:val="Hipervnculo"/>
            <w:rFonts w:cstheme="minorHAnsi"/>
            <w:sz w:val="24"/>
            <w:szCs w:val="24"/>
          </w:rPr>
          <w:t>https://www.cepal.org/sites/default/files/events/files/10_tmaldonado.pdf</w:t>
        </w:r>
      </w:hyperlink>
    </w:p>
    <w:p w14:paraId="04A695EE" w14:textId="77777777" w:rsidR="00067155" w:rsidRPr="001901E6" w:rsidRDefault="00067155" w:rsidP="0006149F">
      <w:pPr>
        <w:jc w:val="both"/>
        <w:rPr>
          <w:rStyle w:val="Hipervnculo"/>
          <w:rFonts w:cstheme="minorHAnsi"/>
          <w:sz w:val="24"/>
          <w:szCs w:val="24"/>
        </w:rPr>
      </w:pPr>
    </w:p>
    <w:p w14:paraId="7D91F79F" w14:textId="63D591BC" w:rsidR="00067155" w:rsidRPr="001901E6" w:rsidRDefault="00067155" w:rsidP="0006149F">
      <w:pPr>
        <w:jc w:val="both"/>
        <w:rPr>
          <w:rFonts w:cstheme="minorHAnsi"/>
          <w:sz w:val="24"/>
          <w:szCs w:val="24"/>
        </w:rPr>
      </w:pPr>
      <w:r w:rsidRPr="001901E6">
        <w:rPr>
          <w:rFonts w:cstheme="minorHAnsi"/>
          <w:sz w:val="24"/>
          <w:szCs w:val="24"/>
        </w:rPr>
        <w:t xml:space="preserve">Invisibles Nunca Más, CEDOSTALC, OTRANS 2022. </w:t>
      </w:r>
      <w:hyperlink r:id="rId19" w:history="1">
        <w:r w:rsidRPr="001901E6">
          <w:rPr>
            <w:rStyle w:val="Hipervnculo"/>
            <w:rFonts w:cstheme="minorHAnsi"/>
            <w:sz w:val="24"/>
            <w:szCs w:val="24"/>
          </w:rPr>
          <w:t>https://reinasdelanoche.org.gt/1654-2/</w:t>
        </w:r>
      </w:hyperlink>
    </w:p>
    <w:p w14:paraId="723E2ADF" w14:textId="77777777" w:rsidR="0006149F" w:rsidRPr="001901E6" w:rsidRDefault="0006149F" w:rsidP="0006149F">
      <w:pPr>
        <w:pStyle w:val="Textoindependiente"/>
        <w:jc w:val="both"/>
        <w:rPr>
          <w:rFonts w:asciiTheme="minorHAnsi" w:hAnsiTheme="minorHAnsi" w:cstheme="minorHAnsi"/>
          <w:sz w:val="24"/>
          <w:szCs w:val="24"/>
          <w:lang w:val="es-GT"/>
        </w:rPr>
      </w:pPr>
    </w:p>
    <w:p w14:paraId="4FE30585" w14:textId="54297415" w:rsidR="00396E7B" w:rsidRPr="001901E6" w:rsidRDefault="00067155" w:rsidP="0006149F">
      <w:pPr>
        <w:ind w:left="18" w:right="284"/>
        <w:rPr>
          <w:rFonts w:cstheme="minorHAnsi"/>
          <w:sz w:val="24"/>
          <w:szCs w:val="24"/>
        </w:rPr>
      </w:pPr>
      <w:r w:rsidRPr="001901E6">
        <w:rPr>
          <w:rFonts w:cstheme="minorHAnsi"/>
          <w:sz w:val="24"/>
          <w:szCs w:val="24"/>
        </w:rPr>
        <w:t xml:space="preserve">No muero, me matan. CEDOSTALC; Guatemala, Página 11 </w:t>
      </w:r>
      <w:hyperlink r:id="rId20" w:history="1">
        <w:r w:rsidRPr="001901E6">
          <w:rPr>
            <w:rStyle w:val="Hipervnculo"/>
            <w:rFonts w:cstheme="minorHAnsi"/>
            <w:sz w:val="24"/>
            <w:szCs w:val="24"/>
          </w:rPr>
          <w:t>https://reinasdelanoche.org.gt/no-muero-me-matan-guatemala-2021/</w:t>
        </w:r>
      </w:hyperlink>
    </w:p>
    <w:p w14:paraId="7F29286B" w14:textId="69008216" w:rsidR="00C846D4" w:rsidRPr="001901E6" w:rsidRDefault="00C846D4" w:rsidP="0006149F">
      <w:pPr>
        <w:ind w:left="18" w:right="284"/>
        <w:rPr>
          <w:rFonts w:cstheme="minorHAnsi"/>
          <w:sz w:val="24"/>
          <w:szCs w:val="24"/>
        </w:rPr>
      </w:pPr>
      <w:r w:rsidRPr="001901E6">
        <w:rPr>
          <w:rFonts w:cstheme="minorHAnsi"/>
          <w:sz w:val="24"/>
          <w:szCs w:val="24"/>
        </w:rPr>
        <w:t xml:space="preserve">Iniciativa de ley 5395. Ley de Identidad de Género. </w:t>
      </w:r>
      <w:hyperlink r:id="rId21" w:history="1">
        <w:r w:rsidRPr="001901E6">
          <w:rPr>
            <w:rStyle w:val="Hipervnculo"/>
            <w:rFonts w:cstheme="minorHAnsi"/>
            <w:sz w:val="24"/>
            <w:szCs w:val="24"/>
          </w:rPr>
          <w:t>https://www.congreso.gob.gt/detalle_pdf/iniciativas/5424</w:t>
        </w:r>
      </w:hyperlink>
    </w:p>
    <w:p w14:paraId="4E09AB7C" w14:textId="77777777" w:rsidR="00445321" w:rsidRPr="001901E6" w:rsidRDefault="00445321" w:rsidP="0006149F">
      <w:pPr>
        <w:ind w:left="18" w:right="284"/>
        <w:rPr>
          <w:rFonts w:cstheme="minorHAnsi"/>
          <w:sz w:val="24"/>
          <w:szCs w:val="24"/>
        </w:rPr>
      </w:pPr>
    </w:p>
    <w:p w14:paraId="50C4CF79" w14:textId="77777777" w:rsidR="00445321" w:rsidRPr="001901E6" w:rsidRDefault="00445321" w:rsidP="00445321">
      <w:pPr>
        <w:pStyle w:val="Textonotapie"/>
        <w:rPr>
          <w:rFonts w:asciiTheme="minorHAnsi" w:hAnsiTheme="minorHAnsi" w:cstheme="minorHAnsi"/>
          <w:sz w:val="24"/>
          <w:szCs w:val="24"/>
        </w:rPr>
      </w:pPr>
      <w:r w:rsidRPr="001901E6">
        <w:rPr>
          <w:rFonts w:asciiTheme="minorHAnsi" w:hAnsiTheme="minorHAnsi" w:cstheme="minorHAnsi"/>
          <w:sz w:val="24"/>
          <w:szCs w:val="24"/>
        </w:rPr>
        <w:t xml:space="preserve">Pacto Internacional de Derechos Civiles y políticos </w:t>
      </w:r>
      <w:hyperlink r:id="rId22" w:history="1">
        <w:r w:rsidRPr="001901E6">
          <w:rPr>
            <w:rStyle w:val="Hipervnculo"/>
            <w:rFonts w:asciiTheme="minorHAnsi" w:hAnsiTheme="minorHAnsi" w:cstheme="minorHAnsi"/>
            <w:sz w:val="24"/>
            <w:szCs w:val="24"/>
          </w:rPr>
          <w:t>https://www.ohchr.org/es/instruments-mechanisms/instruments/international-covenant-civil-and-political-rights</w:t>
        </w:r>
      </w:hyperlink>
    </w:p>
    <w:p w14:paraId="22A212E9" w14:textId="77777777" w:rsidR="00445321" w:rsidRPr="001901E6" w:rsidRDefault="00445321" w:rsidP="00445321">
      <w:pPr>
        <w:ind w:right="284"/>
        <w:rPr>
          <w:rFonts w:cstheme="minorHAnsi"/>
          <w:sz w:val="24"/>
          <w:szCs w:val="24"/>
        </w:rPr>
      </w:pPr>
    </w:p>
    <w:p w14:paraId="0C5C762D" w14:textId="34E7C9B9" w:rsidR="001901E6" w:rsidRPr="001901E6" w:rsidRDefault="00445321" w:rsidP="00445321">
      <w:pPr>
        <w:ind w:right="284"/>
        <w:rPr>
          <w:rFonts w:cstheme="minorHAnsi"/>
          <w:sz w:val="24"/>
          <w:szCs w:val="24"/>
        </w:rPr>
      </w:pPr>
      <w:r w:rsidRPr="001901E6">
        <w:rPr>
          <w:rFonts w:cstheme="minorHAnsi"/>
          <w:sz w:val="24"/>
          <w:szCs w:val="24"/>
        </w:rPr>
        <w:t xml:space="preserve">Pacto Internacional de Derechos Económicos, Sociales y Culturales. </w:t>
      </w:r>
      <w:hyperlink r:id="rId23" w:history="1">
        <w:r w:rsidRPr="001901E6">
          <w:rPr>
            <w:rStyle w:val="Hipervnculo"/>
            <w:rFonts w:cstheme="minorHAnsi"/>
            <w:sz w:val="24"/>
            <w:szCs w:val="24"/>
          </w:rPr>
          <w:t>https://www.ohchr.org/es/instruments-mechanisms/instruments/international-covenant-economic-social-and-cultural-rights</w:t>
        </w:r>
      </w:hyperlink>
    </w:p>
    <w:p w14:paraId="1F1C38C4" w14:textId="77777777" w:rsidR="001901E6" w:rsidRPr="001901E6" w:rsidRDefault="001901E6" w:rsidP="00445321">
      <w:pPr>
        <w:ind w:right="284"/>
        <w:rPr>
          <w:rFonts w:cstheme="minorHAnsi"/>
          <w:sz w:val="24"/>
          <w:szCs w:val="24"/>
        </w:rPr>
      </w:pPr>
    </w:p>
    <w:p w14:paraId="020156FC" w14:textId="0872BDCB" w:rsidR="001901E6" w:rsidRPr="001901E6" w:rsidRDefault="001901E6" w:rsidP="00445321">
      <w:pPr>
        <w:ind w:right="284"/>
        <w:rPr>
          <w:rFonts w:cstheme="minorHAnsi"/>
          <w:sz w:val="24"/>
          <w:szCs w:val="24"/>
        </w:rPr>
      </w:pPr>
      <w:r w:rsidRPr="001901E6">
        <w:rPr>
          <w:sz w:val="24"/>
          <w:szCs w:val="24"/>
        </w:rPr>
        <w:t xml:space="preserve">Gobierno contra población LGBTIQ+ </w:t>
      </w:r>
      <w:hyperlink r:id="rId24" w:history="1">
        <w:r w:rsidRPr="001901E6">
          <w:rPr>
            <w:rStyle w:val="Hipervnculo"/>
            <w:sz w:val="24"/>
            <w:szCs w:val="24"/>
          </w:rPr>
          <w:t>https://www.hrw.org/es/news/2022/01/21/guatemala-ley-contra-personas-trans-amenaza-derechos</w:t>
        </w:r>
      </w:hyperlink>
    </w:p>
    <w:sectPr w:rsidR="001901E6" w:rsidRPr="001901E6" w:rsidSect="002C74A2">
      <w:headerReference w:type="even" r:id="rId25"/>
      <w:headerReference w:type="default" r:id="rId26"/>
      <w:headerReference w:type="first" r:id="rId27"/>
      <w:type w:val="continuous"/>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17578" w14:textId="77777777" w:rsidR="007912A6" w:rsidRDefault="007912A6" w:rsidP="00DE048D">
      <w:pPr>
        <w:spacing w:after="0" w:line="240" w:lineRule="auto"/>
      </w:pPr>
      <w:r>
        <w:separator/>
      </w:r>
    </w:p>
  </w:endnote>
  <w:endnote w:type="continuationSeparator" w:id="0">
    <w:p w14:paraId="3654C8B4" w14:textId="77777777" w:rsidR="007912A6" w:rsidRDefault="007912A6" w:rsidP="00DE0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F35F7" w14:textId="77777777" w:rsidR="007912A6" w:rsidRDefault="007912A6" w:rsidP="00DE048D">
      <w:pPr>
        <w:spacing w:after="0" w:line="240" w:lineRule="auto"/>
      </w:pPr>
      <w:r>
        <w:separator/>
      </w:r>
    </w:p>
  </w:footnote>
  <w:footnote w:type="continuationSeparator" w:id="0">
    <w:p w14:paraId="057DF811" w14:textId="77777777" w:rsidR="007912A6" w:rsidRDefault="007912A6" w:rsidP="00DE048D">
      <w:pPr>
        <w:spacing w:after="0" w:line="240" w:lineRule="auto"/>
      </w:pPr>
      <w:r>
        <w:continuationSeparator/>
      </w:r>
    </w:p>
  </w:footnote>
  <w:footnote w:id="1">
    <w:p w14:paraId="5D20EDBE" w14:textId="2B9F6CDB" w:rsidR="00445321" w:rsidRPr="00445321" w:rsidRDefault="00445321">
      <w:pPr>
        <w:pStyle w:val="Textonotapie"/>
        <w:rPr>
          <w:lang w:val="es-GT"/>
        </w:rPr>
      </w:pPr>
      <w:r>
        <w:rPr>
          <w:rStyle w:val="Refdenotaalpie"/>
        </w:rPr>
        <w:footnoteRef/>
      </w:r>
      <w:r>
        <w:t xml:space="preserve"> </w:t>
      </w:r>
      <w:r>
        <w:rPr>
          <w:lang w:val="es-GT"/>
        </w:rPr>
        <w:t xml:space="preserve">Contenido de CEDAW. </w:t>
      </w:r>
      <w:hyperlink r:id="rId1" w:history="1">
        <w:r w:rsidRPr="00633FB2">
          <w:rPr>
            <w:rStyle w:val="Hipervnculo"/>
            <w:lang w:val="es-GT"/>
          </w:rPr>
          <w:t>https://www.ohchr.org/es/instruments-mechanisms/instruments/convention-elimination-all-forms-discrimination-against-women</w:t>
        </w:r>
      </w:hyperlink>
      <w:r>
        <w:rPr>
          <w:lang w:val="es-GT"/>
        </w:rPr>
        <w:t xml:space="preserve"> </w:t>
      </w:r>
    </w:p>
  </w:footnote>
  <w:footnote w:id="2">
    <w:p w14:paraId="780E5124" w14:textId="2F0C9F2C" w:rsidR="00445321" w:rsidRPr="00445321" w:rsidRDefault="00445321">
      <w:pPr>
        <w:pStyle w:val="Textonotapie"/>
      </w:pPr>
      <w:r>
        <w:rPr>
          <w:rStyle w:val="Refdenotaalpie"/>
        </w:rPr>
        <w:footnoteRef/>
      </w:r>
      <w:r>
        <w:t xml:space="preserve"> </w:t>
      </w:r>
      <w:r>
        <w:t xml:space="preserve">Pacto Internacional de Derechos </w:t>
      </w:r>
      <w:r>
        <w:t xml:space="preserve">Civiles y políticos </w:t>
      </w:r>
      <w:hyperlink r:id="rId2" w:history="1">
        <w:r w:rsidRPr="00633FB2">
          <w:rPr>
            <w:rStyle w:val="Hipervnculo"/>
          </w:rPr>
          <w:t>https://www.ohchr.org/es/instruments-mechanisms/instruments/international-covenant-civil-and-political-rights</w:t>
        </w:r>
      </w:hyperlink>
    </w:p>
  </w:footnote>
  <w:footnote w:id="3">
    <w:p w14:paraId="5B030598" w14:textId="0C75D261" w:rsidR="00445321" w:rsidRPr="00445321" w:rsidRDefault="00445321">
      <w:pPr>
        <w:pStyle w:val="Textonotapie"/>
      </w:pPr>
      <w:r>
        <w:rPr>
          <w:rStyle w:val="Refdenotaalpie"/>
        </w:rPr>
        <w:footnoteRef/>
      </w:r>
      <w:r>
        <w:t xml:space="preserve"> Pacto Internacional de Derechos Económicos, Sociales y Culturales. </w:t>
      </w:r>
      <w:hyperlink r:id="rId3" w:history="1">
        <w:r w:rsidRPr="00633FB2">
          <w:rPr>
            <w:rStyle w:val="Hipervnculo"/>
          </w:rPr>
          <w:t>https://www.ohchr.org/es/instruments-mechanisms/instruments/international-covenant-economic-social-and-cultural-rights</w:t>
        </w:r>
      </w:hyperlink>
      <w:r>
        <w:t xml:space="preserve"> </w:t>
      </w:r>
    </w:p>
  </w:footnote>
  <w:footnote w:id="4">
    <w:p w14:paraId="25F37A64" w14:textId="2F15AE2D" w:rsidR="0006149F" w:rsidRPr="0006149F" w:rsidRDefault="0006149F">
      <w:pPr>
        <w:pStyle w:val="Textonotapie"/>
      </w:pPr>
      <w:r>
        <w:rPr>
          <w:rStyle w:val="Refdenotaalpie"/>
        </w:rPr>
        <w:footnoteRef/>
      </w:r>
      <w:r>
        <w:t xml:space="preserve"> </w:t>
      </w:r>
      <w:hyperlink r:id="rId4" w:history="1">
        <w:r w:rsidRPr="0006149F">
          <w:rPr>
            <w:rStyle w:val="Hipervnculo"/>
            <w:rFonts w:asciiTheme="minorHAnsi" w:hAnsiTheme="minorHAnsi" w:cstheme="minorHAnsi"/>
          </w:rPr>
          <w:t>https://www.france24.com/es/20200115-alejandro-giammattei-tom%C3%B3posesi%C3%B3n-como-presidente-de-guatemala-para-cambiar-el-rumbo-delpa%C3%ADs</w:t>
        </w:r>
      </w:hyperlink>
      <w:r>
        <w:rPr>
          <w:rFonts w:asciiTheme="minorHAnsi" w:hAnsiTheme="minorHAnsi" w:cstheme="minorHAnsi"/>
          <w:sz w:val="24"/>
          <w:szCs w:val="24"/>
        </w:rPr>
        <w:t xml:space="preserve">    </w:t>
      </w:r>
    </w:p>
  </w:footnote>
  <w:footnote w:id="5">
    <w:p w14:paraId="445447EF" w14:textId="5DD471AD" w:rsidR="001901E6" w:rsidRPr="001901E6" w:rsidRDefault="001901E6">
      <w:pPr>
        <w:pStyle w:val="Textonotapie"/>
        <w:rPr>
          <w:lang w:val="es-GT"/>
        </w:rPr>
      </w:pPr>
      <w:r>
        <w:rPr>
          <w:rStyle w:val="Refdenotaalpie"/>
        </w:rPr>
        <w:footnoteRef/>
      </w:r>
      <w:r>
        <w:t xml:space="preserve"> </w:t>
      </w:r>
      <w:r>
        <w:rPr>
          <w:lang w:val="es-GT"/>
        </w:rPr>
        <w:t xml:space="preserve">Gobierno contra población LGBTIQ+ </w:t>
      </w:r>
      <w:hyperlink r:id="rId5" w:history="1">
        <w:r w:rsidRPr="00633FB2">
          <w:rPr>
            <w:rStyle w:val="Hipervnculo"/>
            <w:lang w:val="es-GT"/>
          </w:rPr>
          <w:t>https://www.hrw.org/es/news/2022/01/21/guatemala-ley-contra-personas-trans-amenaza-derechos</w:t>
        </w:r>
      </w:hyperlink>
      <w:r>
        <w:rPr>
          <w:lang w:val="es-GT"/>
        </w:rPr>
        <w:t xml:space="preserve"> </w:t>
      </w:r>
    </w:p>
  </w:footnote>
  <w:footnote w:id="6">
    <w:p w14:paraId="68E0BF19" w14:textId="6A449C87" w:rsidR="00C846D4" w:rsidRPr="00C846D4" w:rsidRDefault="00C846D4">
      <w:pPr>
        <w:pStyle w:val="Textonotapie"/>
      </w:pPr>
      <w:r>
        <w:rPr>
          <w:rStyle w:val="Refdenotaalpie"/>
        </w:rPr>
        <w:footnoteRef/>
      </w:r>
      <w:r>
        <w:t xml:space="preserve"> Iniciativa de ley 5395. Ley de Identidad de Género. </w:t>
      </w:r>
      <w:hyperlink r:id="rId6" w:history="1">
        <w:r w:rsidRPr="00633FB2">
          <w:rPr>
            <w:rStyle w:val="Hipervnculo"/>
          </w:rPr>
          <w:t>https://www.congreso.gob.gt/detalle_pdf/iniciativas/5424</w:t>
        </w:r>
      </w:hyperlink>
      <w:r>
        <w:t xml:space="preserve"> </w:t>
      </w:r>
    </w:p>
  </w:footnote>
  <w:footnote w:id="7">
    <w:p w14:paraId="6B45C192" w14:textId="77777777" w:rsidR="00FD4872" w:rsidRPr="00995E65" w:rsidRDefault="00FD4872" w:rsidP="00FD4872">
      <w:r w:rsidRPr="00447113">
        <w:rPr>
          <w:rStyle w:val="Refdenotaalpie"/>
          <w:sz w:val="20"/>
          <w:szCs w:val="20"/>
        </w:rPr>
        <w:footnoteRef/>
      </w:r>
      <w:r w:rsidRPr="00447113">
        <w:rPr>
          <w:sz w:val="20"/>
          <w:szCs w:val="20"/>
        </w:rPr>
        <w:t xml:space="preserve"> Iniciativa 5272 Congreso de la República. Disponible en:</w:t>
      </w:r>
      <w:r>
        <w:t xml:space="preserve"> </w:t>
      </w:r>
      <w:hyperlink r:id="rId7" w:anchor="gsc.tab=0" w:history="1">
        <w:r w:rsidRPr="000F1FC5">
          <w:rPr>
            <w:rStyle w:val="Hipervnculo"/>
          </w:rPr>
          <w:t>https://www.congreso.gob.gt/detalle_pdf/iniciativas/66#gsc.tab=0</w:t>
        </w:r>
      </w:hyperlink>
    </w:p>
  </w:footnote>
  <w:footnote w:id="8">
    <w:p w14:paraId="6E1FDD92" w14:textId="77777777" w:rsidR="00FD4872" w:rsidRPr="00F87B78" w:rsidRDefault="00FD4872" w:rsidP="00FD4872">
      <w:pPr>
        <w:pStyle w:val="Textonotapie"/>
        <w:rPr>
          <w:lang w:val="es-GT"/>
        </w:rPr>
      </w:pPr>
      <w:r>
        <w:rPr>
          <w:rStyle w:val="Refdenotaalpie"/>
        </w:rPr>
        <w:footnoteRef/>
      </w:r>
      <w:r>
        <w:t xml:space="preserve"> </w:t>
      </w:r>
      <w:r>
        <w:rPr>
          <w:lang w:val="es-GT"/>
        </w:rPr>
        <w:t xml:space="preserve">Disponible en: (CIE-11) Disponible en:  </w:t>
      </w:r>
      <w:hyperlink r:id="rId8" w:history="1">
        <w:r w:rsidRPr="00AA2F7F">
          <w:rPr>
            <w:rStyle w:val="Hipervnculo"/>
            <w:lang w:val="es-GT"/>
          </w:rPr>
          <w:t>https://www.hrw.org/es/news/2022/01/21/guatemala-ley-contra-personas-trans-amenaza</w:t>
        </w:r>
      </w:hyperlink>
      <w:r>
        <w:rPr>
          <w:lang w:val="es-GT"/>
        </w:rPr>
        <w:t>.</w:t>
      </w:r>
    </w:p>
  </w:footnote>
  <w:footnote w:id="9">
    <w:p w14:paraId="57841AA8" w14:textId="77777777" w:rsidR="00FD4872" w:rsidRDefault="00FD4872" w:rsidP="00FD4872">
      <w:pPr>
        <w:pStyle w:val="Textonotapie"/>
      </w:pPr>
      <w:r>
        <w:rPr>
          <w:rStyle w:val="Refdenotaalpie"/>
        </w:rPr>
        <w:footnoteRef/>
      </w:r>
      <w:r>
        <w:t xml:space="preserve"> Iniciativa 5940. Disponible en: </w:t>
      </w:r>
      <w:hyperlink r:id="rId9" w:anchor="gsc.tab=0" w:history="1">
        <w:r w:rsidRPr="000F1FC5">
          <w:rPr>
            <w:rStyle w:val="Hipervnculo"/>
          </w:rPr>
          <w:t>https://www.congreso.gob.gt/detalle_pdf/iniciativas/5787#gsc.tab=0</w:t>
        </w:r>
      </w:hyperlink>
    </w:p>
    <w:p w14:paraId="01FF792D" w14:textId="77777777" w:rsidR="00FD4872" w:rsidRPr="00B20FFB" w:rsidRDefault="00FD4872" w:rsidP="00FD4872">
      <w:pPr>
        <w:pStyle w:val="Textonotapie"/>
        <w:rPr>
          <w:lang w:val="es-GT"/>
        </w:rPr>
      </w:pPr>
    </w:p>
  </w:footnote>
  <w:footnote w:id="10">
    <w:p w14:paraId="05A28949" w14:textId="553135CE" w:rsidR="00AE3DE7" w:rsidRPr="00AE3DE7" w:rsidRDefault="00AE3DE7">
      <w:pPr>
        <w:pStyle w:val="Textonotapie"/>
      </w:pPr>
      <w:r>
        <w:rPr>
          <w:rStyle w:val="Refdenotaalpie"/>
        </w:rPr>
        <w:footnoteRef/>
      </w:r>
      <w:r>
        <w:t xml:space="preserve"> Invisibles Nunca Más, CEDOSTALC, OTRANS 2022. </w:t>
      </w:r>
      <w:hyperlink r:id="rId10" w:history="1">
        <w:r w:rsidRPr="00633FB2">
          <w:rPr>
            <w:rStyle w:val="Hipervnculo"/>
          </w:rPr>
          <w:t>https://reinasdelanoche.org.gt/1654-2/</w:t>
        </w:r>
      </w:hyperlink>
      <w:r>
        <w:t xml:space="preserve"> </w:t>
      </w:r>
    </w:p>
  </w:footnote>
  <w:footnote w:id="11">
    <w:p w14:paraId="460B949F" w14:textId="2D4B3125" w:rsidR="00F34656" w:rsidRPr="00F34656" w:rsidRDefault="00F34656">
      <w:pPr>
        <w:pStyle w:val="Textonotapie"/>
      </w:pPr>
      <w:r>
        <w:rPr>
          <w:rStyle w:val="Refdenotaalpie"/>
        </w:rPr>
        <w:footnoteRef/>
      </w:r>
      <w:r>
        <w:t xml:space="preserve"> No muero, me matan. CEDOSTALC; Guatemala, Página 11 </w:t>
      </w:r>
      <w:hyperlink r:id="rId11" w:history="1">
        <w:r w:rsidRPr="00633FB2">
          <w:rPr>
            <w:rStyle w:val="Hipervnculo"/>
          </w:rPr>
          <w:t>https://reinasdelanoche.org.gt/no-muero-me-matan-guatemala-2021/</w:t>
        </w:r>
      </w:hyperlink>
      <w:r>
        <w:t xml:space="preserve"> </w:t>
      </w:r>
    </w:p>
  </w:footnote>
  <w:footnote w:id="12">
    <w:p w14:paraId="4883A153" w14:textId="20CF84B0" w:rsidR="0006149F" w:rsidRPr="0006149F" w:rsidRDefault="0006149F">
      <w:pPr>
        <w:pStyle w:val="Textonotapie"/>
        <w:rPr>
          <w:lang w:val="es-GT"/>
        </w:rPr>
      </w:pPr>
      <w:r>
        <w:rPr>
          <w:rStyle w:val="Refdenotaalpie"/>
        </w:rPr>
        <w:footnoteRef/>
      </w:r>
      <w:r>
        <w:t xml:space="preserve"> </w:t>
      </w:r>
      <w:r>
        <w:t>Ministerio</w:t>
      </w:r>
      <w:r>
        <w:rPr>
          <w:spacing w:val="-3"/>
        </w:rPr>
        <w:t xml:space="preserve"> </w:t>
      </w:r>
      <w:r>
        <w:t>de</w:t>
      </w:r>
      <w:r>
        <w:rPr>
          <w:spacing w:val="-1"/>
        </w:rPr>
        <w:t xml:space="preserve"> </w:t>
      </w:r>
      <w:r>
        <w:t>Salud</w:t>
      </w:r>
      <w:r>
        <w:rPr>
          <w:spacing w:val="-3"/>
        </w:rPr>
        <w:t xml:space="preserve"> </w:t>
      </w:r>
      <w:proofErr w:type="spellStart"/>
      <w:r>
        <w:t>Pública</w:t>
      </w:r>
      <w:proofErr w:type="spellEnd"/>
      <w:r>
        <w:t>.</w:t>
      </w:r>
      <w:r>
        <w:rPr>
          <w:spacing w:val="-1"/>
        </w:rPr>
        <w:t xml:space="preserve"> </w:t>
      </w:r>
      <w:r>
        <w:rPr>
          <w:i/>
        </w:rPr>
        <w:t>Estrategia</w:t>
      </w:r>
      <w:r>
        <w:rPr>
          <w:i/>
          <w:spacing w:val="-3"/>
        </w:rPr>
        <w:t xml:space="preserve"> </w:t>
      </w:r>
      <w:r>
        <w:rPr>
          <w:i/>
        </w:rPr>
        <w:t>de</w:t>
      </w:r>
      <w:r>
        <w:rPr>
          <w:i/>
          <w:spacing w:val="-3"/>
        </w:rPr>
        <w:t xml:space="preserve"> </w:t>
      </w:r>
      <w:proofErr w:type="spellStart"/>
      <w:r>
        <w:rPr>
          <w:i/>
        </w:rPr>
        <w:t>Atención</w:t>
      </w:r>
      <w:proofErr w:type="spellEnd"/>
      <w:r>
        <w:rPr>
          <w:i/>
          <w:spacing w:val="-4"/>
        </w:rPr>
        <w:t xml:space="preserve"> </w:t>
      </w:r>
      <w:r>
        <w:rPr>
          <w:i/>
        </w:rPr>
        <w:t>Integral</w:t>
      </w:r>
      <w:r>
        <w:rPr>
          <w:i/>
          <w:spacing w:val="-4"/>
        </w:rPr>
        <w:t xml:space="preserve"> </w:t>
      </w:r>
      <w:r>
        <w:rPr>
          <w:i/>
        </w:rPr>
        <w:t>y</w:t>
      </w:r>
      <w:r>
        <w:rPr>
          <w:i/>
          <w:spacing w:val="-4"/>
        </w:rPr>
        <w:t xml:space="preserve"> </w:t>
      </w:r>
      <w:r>
        <w:rPr>
          <w:i/>
        </w:rPr>
        <w:t>Diferenciada</w:t>
      </w:r>
      <w:r>
        <w:rPr>
          <w:i/>
          <w:spacing w:val="-3"/>
        </w:rPr>
        <w:t xml:space="preserve"> </w:t>
      </w:r>
      <w:r>
        <w:rPr>
          <w:i/>
        </w:rPr>
        <w:t>en</w:t>
      </w:r>
      <w:r>
        <w:rPr>
          <w:i/>
          <w:spacing w:val="-4"/>
        </w:rPr>
        <w:t xml:space="preserve"> </w:t>
      </w:r>
      <w:r>
        <w:rPr>
          <w:i/>
        </w:rPr>
        <w:t>Salud</w:t>
      </w:r>
      <w:r>
        <w:rPr>
          <w:i/>
          <w:spacing w:val="-2"/>
        </w:rPr>
        <w:t xml:space="preserve"> </w:t>
      </w:r>
      <w:r>
        <w:rPr>
          <w:i/>
        </w:rPr>
        <w:t>para</w:t>
      </w:r>
      <w:r>
        <w:rPr>
          <w:i/>
          <w:spacing w:val="-3"/>
        </w:rPr>
        <w:t xml:space="preserve"> </w:t>
      </w:r>
      <w:r>
        <w:rPr>
          <w:i/>
        </w:rPr>
        <w:t>personas trans en Guatemala 2016 – 2030</w:t>
      </w:r>
      <w:r>
        <w:t xml:space="preserve">. Disponible en: </w:t>
      </w:r>
      <w:hyperlink r:id="rId12" w:history="1">
        <w:r w:rsidRPr="00322876">
          <w:rPr>
            <w:rStyle w:val="Hipervnculo"/>
            <w:spacing w:val="-2"/>
          </w:rPr>
          <w:t>https://guatemala.unfpa.org/sites/default/files/pub-pdf/Estrategia%20Pob.%20TRANS.pdf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78260" w14:textId="77777777" w:rsidR="00DE048D" w:rsidRDefault="00DE048D">
    <w:pPr>
      <w:tabs>
        <w:tab w:val="right" w:pos="8821"/>
      </w:tabs>
      <w:spacing w:after="0"/>
    </w:pPr>
    <w:r>
      <w:t xml:space="preserve"> </w:t>
    </w:r>
    <w:r>
      <w:tab/>
    </w:r>
    <w:r>
      <w:fldChar w:fldCharType="begin"/>
    </w:r>
    <w:r>
      <w:instrText xml:space="preserve"> PAGE   \* MERGEFORMAT </w:instrText>
    </w:r>
    <w:r>
      <w:fldChar w:fldCharType="separate"/>
    </w:r>
    <w:r>
      <w:t>1</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FAC30" w14:textId="77777777" w:rsidR="00DE048D" w:rsidRDefault="00DE048D">
    <w:pPr>
      <w:tabs>
        <w:tab w:val="right" w:pos="8821"/>
      </w:tabs>
      <w:spacing w:after="0"/>
    </w:pPr>
    <w:r>
      <w:t xml:space="preserve"> </w:t>
    </w:r>
    <w:r>
      <w:tab/>
    </w:r>
    <w:r>
      <w:fldChar w:fldCharType="begin"/>
    </w:r>
    <w:r>
      <w:instrText xml:space="preserve"> PAGE   \* MERGEFORMAT </w:instrText>
    </w:r>
    <w:r>
      <w:fldChar w:fldCharType="separate"/>
    </w:r>
    <w:r>
      <w:t>1</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1AC08" w14:textId="73A92CC7" w:rsidR="00DE048D" w:rsidRDefault="00DE048D">
    <w:pPr>
      <w:tabs>
        <w:tab w:val="right" w:pos="8821"/>
      </w:tabs>
      <w:spacing w:after="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248" style="width:11.5pt;height:11.5pt" coordsize="" o:spt="100" o:bullet="t" adj="0,,0" path="" stroked="f">
        <v:stroke joinstyle="miter"/>
        <v:imagedata r:id="rId1" o:title="image35"/>
        <v:formulas/>
        <v:path o:connecttype="segments"/>
      </v:shape>
    </w:pict>
  </w:numPicBullet>
  <w:numPicBullet w:numPicBulletId="1">
    <w:pict>
      <v:shape id="_x0000_i1249" style="width:69pt;height:92.5pt" coordsize="" o:spt="100" o:bullet="t" adj="0,,0" path="" stroked="f">
        <v:stroke joinstyle="miter"/>
        <v:imagedata r:id="rId2" o:title="image37"/>
        <v:formulas/>
        <v:path o:connecttype="segments"/>
      </v:shape>
    </w:pict>
  </w:numPicBullet>
  <w:abstractNum w:abstractNumId="0" w15:restartNumberingAfterBreak="0">
    <w:nsid w:val="08246E79"/>
    <w:multiLevelType w:val="hybridMultilevel"/>
    <w:tmpl w:val="8D02ED48"/>
    <w:lvl w:ilvl="0" w:tplc="CBAC2CF8">
      <w:start w:val="1"/>
      <w:numFmt w:val="decimal"/>
      <w:lvlText w:val="%1."/>
      <w:lvlJc w:val="left"/>
      <w:pPr>
        <w:ind w:left="1070" w:hanging="71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9332356"/>
    <w:multiLevelType w:val="hybridMultilevel"/>
    <w:tmpl w:val="B890DC7A"/>
    <w:lvl w:ilvl="0" w:tplc="08DE8E8A">
      <w:start w:val="1"/>
      <w:numFmt w:val="lowerRoman"/>
      <w:lvlText w:val="%1."/>
      <w:lvlJc w:val="left"/>
      <w:pPr>
        <w:ind w:left="1562" w:hanging="720"/>
      </w:pPr>
      <w:rPr>
        <w:rFonts w:hint="default"/>
        <w:color w:val="4F81BC"/>
      </w:rPr>
    </w:lvl>
    <w:lvl w:ilvl="1" w:tplc="100A0019" w:tentative="1">
      <w:start w:val="1"/>
      <w:numFmt w:val="lowerLetter"/>
      <w:lvlText w:val="%2."/>
      <w:lvlJc w:val="left"/>
      <w:pPr>
        <w:ind w:left="1922" w:hanging="360"/>
      </w:pPr>
    </w:lvl>
    <w:lvl w:ilvl="2" w:tplc="100A001B" w:tentative="1">
      <w:start w:val="1"/>
      <w:numFmt w:val="lowerRoman"/>
      <w:lvlText w:val="%3."/>
      <w:lvlJc w:val="right"/>
      <w:pPr>
        <w:ind w:left="2642" w:hanging="180"/>
      </w:pPr>
    </w:lvl>
    <w:lvl w:ilvl="3" w:tplc="100A000F" w:tentative="1">
      <w:start w:val="1"/>
      <w:numFmt w:val="decimal"/>
      <w:lvlText w:val="%4."/>
      <w:lvlJc w:val="left"/>
      <w:pPr>
        <w:ind w:left="3362" w:hanging="360"/>
      </w:pPr>
    </w:lvl>
    <w:lvl w:ilvl="4" w:tplc="100A0019" w:tentative="1">
      <w:start w:val="1"/>
      <w:numFmt w:val="lowerLetter"/>
      <w:lvlText w:val="%5."/>
      <w:lvlJc w:val="left"/>
      <w:pPr>
        <w:ind w:left="4082" w:hanging="360"/>
      </w:pPr>
    </w:lvl>
    <w:lvl w:ilvl="5" w:tplc="100A001B" w:tentative="1">
      <w:start w:val="1"/>
      <w:numFmt w:val="lowerRoman"/>
      <w:lvlText w:val="%6."/>
      <w:lvlJc w:val="right"/>
      <w:pPr>
        <w:ind w:left="4802" w:hanging="180"/>
      </w:pPr>
    </w:lvl>
    <w:lvl w:ilvl="6" w:tplc="100A000F" w:tentative="1">
      <w:start w:val="1"/>
      <w:numFmt w:val="decimal"/>
      <w:lvlText w:val="%7."/>
      <w:lvlJc w:val="left"/>
      <w:pPr>
        <w:ind w:left="5522" w:hanging="360"/>
      </w:pPr>
    </w:lvl>
    <w:lvl w:ilvl="7" w:tplc="100A0019" w:tentative="1">
      <w:start w:val="1"/>
      <w:numFmt w:val="lowerLetter"/>
      <w:lvlText w:val="%8."/>
      <w:lvlJc w:val="left"/>
      <w:pPr>
        <w:ind w:left="6242" w:hanging="360"/>
      </w:pPr>
    </w:lvl>
    <w:lvl w:ilvl="8" w:tplc="100A001B" w:tentative="1">
      <w:start w:val="1"/>
      <w:numFmt w:val="lowerRoman"/>
      <w:lvlText w:val="%9."/>
      <w:lvlJc w:val="right"/>
      <w:pPr>
        <w:ind w:left="6962" w:hanging="180"/>
      </w:pPr>
    </w:lvl>
  </w:abstractNum>
  <w:abstractNum w:abstractNumId="2" w15:restartNumberingAfterBreak="0">
    <w:nsid w:val="16625BF7"/>
    <w:multiLevelType w:val="hybridMultilevel"/>
    <w:tmpl w:val="D5A48E14"/>
    <w:lvl w:ilvl="0" w:tplc="32DA53EE">
      <w:start w:val="1"/>
      <w:numFmt w:val="bullet"/>
      <w:lvlText w:val="•"/>
      <w:lvlPicBulletId w:val="1"/>
      <w:lvlJc w:val="left"/>
      <w:pPr>
        <w:ind w:left="1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B20C28">
      <w:start w:val="1"/>
      <w:numFmt w:val="bullet"/>
      <w:lvlText w:val="o"/>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9237A2">
      <w:start w:val="1"/>
      <w:numFmt w:val="bullet"/>
      <w:lvlText w:val="▪"/>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046608">
      <w:start w:val="1"/>
      <w:numFmt w:val="bullet"/>
      <w:lvlText w:val="•"/>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106AB4">
      <w:start w:val="1"/>
      <w:numFmt w:val="bullet"/>
      <w:lvlText w:val="o"/>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BCFF40">
      <w:start w:val="1"/>
      <w:numFmt w:val="bullet"/>
      <w:lvlText w:val="▪"/>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80CE42">
      <w:start w:val="1"/>
      <w:numFmt w:val="bullet"/>
      <w:lvlText w:val="•"/>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DE4D4E">
      <w:start w:val="1"/>
      <w:numFmt w:val="bullet"/>
      <w:lvlText w:val="o"/>
      <w:lvlJc w:val="left"/>
      <w:pPr>
        <w:ind w:left="6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D2FA76">
      <w:start w:val="1"/>
      <w:numFmt w:val="bullet"/>
      <w:lvlText w:val="▪"/>
      <w:lvlJc w:val="left"/>
      <w:pPr>
        <w:ind w:left="7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5F2BB4"/>
    <w:multiLevelType w:val="hybridMultilevel"/>
    <w:tmpl w:val="82ECF702"/>
    <w:lvl w:ilvl="0" w:tplc="CAF0CE0C">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8C416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7AFC0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A610A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E4FD1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7218D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9255D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CC3384">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B6A164">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6E105EA"/>
    <w:multiLevelType w:val="hybridMultilevel"/>
    <w:tmpl w:val="EFF4F962"/>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3FE04129"/>
    <w:multiLevelType w:val="hybridMultilevel"/>
    <w:tmpl w:val="2488FF3C"/>
    <w:lvl w:ilvl="0" w:tplc="5E8CA902">
      <w:start w:val="1"/>
      <w:numFmt w:val="decimal"/>
      <w:lvlText w:val="%1)"/>
      <w:lvlJc w:val="left"/>
      <w:pPr>
        <w:ind w:left="7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A2E3EE">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5980CDE">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7F21FCE">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7EC952E">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F4E2B8">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A28BBB0">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1EBAB6">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EED7C8">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AAC74AE"/>
    <w:multiLevelType w:val="hybridMultilevel"/>
    <w:tmpl w:val="F2124F04"/>
    <w:lvl w:ilvl="0" w:tplc="B9187A04">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CCA7AE">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DE94A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68A080">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B2E7F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6222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9AD594">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D86A84">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D61EBA">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B7504D8"/>
    <w:multiLevelType w:val="hybridMultilevel"/>
    <w:tmpl w:val="E90AB1E0"/>
    <w:lvl w:ilvl="0" w:tplc="8154E604">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A852C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FAF54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00C58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20F76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7A5BE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6C2C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14BC5E">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C6FE8A">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2863880"/>
    <w:multiLevelType w:val="hybridMultilevel"/>
    <w:tmpl w:val="8452BDEA"/>
    <w:lvl w:ilvl="0" w:tplc="5266761C">
      <w:start w:val="1"/>
      <w:numFmt w:val="decimal"/>
      <w:lvlText w:val="%1."/>
      <w:lvlJc w:val="left"/>
      <w:pPr>
        <w:ind w:left="713" w:hanging="690"/>
      </w:pPr>
      <w:rPr>
        <w:rFonts w:hint="default"/>
      </w:rPr>
    </w:lvl>
    <w:lvl w:ilvl="1" w:tplc="100A0019" w:tentative="1">
      <w:start w:val="1"/>
      <w:numFmt w:val="lowerLetter"/>
      <w:lvlText w:val="%2."/>
      <w:lvlJc w:val="left"/>
      <w:pPr>
        <w:ind w:left="1103" w:hanging="360"/>
      </w:pPr>
    </w:lvl>
    <w:lvl w:ilvl="2" w:tplc="100A001B" w:tentative="1">
      <w:start w:val="1"/>
      <w:numFmt w:val="lowerRoman"/>
      <w:lvlText w:val="%3."/>
      <w:lvlJc w:val="right"/>
      <w:pPr>
        <w:ind w:left="1823" w:hanging="180"/>
      </w:pPr>
    </w:lvl>
    <w:lvl w:ilvl="3" w:tplc="100A000F" w:tentative="1">
      <w:start w:val="1"/>
      <w:numFmt w:val="decimal"/>
      <w:lvlText w:val="%4."/>
      <w:lvlJc w:val="left"/>
      <w:pPr>
        <w:ind w:left="2543" w:hanging="360"/>
      </w:pPr>
    </w:lvl>
    <w:lvl w:ilvl="4" w:tplc="100A0019" w:tentative="1">
      <w:start w:val="1"/>
      <w:numFmt w:val="lowerLetter"/>
      <w:lvlText w:val="%5."/>
      <w:lvlJc w:val="left"/>
      <w:pPr>
        <w:ind w:left="3263" w:hanging="360"/>
      </w:pPr>
    </w:lvl>
    <w:lvl w:ilvl="5" w:tplc="100A001B" w:tentative="1">
      <w:start w:val="1"/>
      <w:numFmt w:val="lowerRoman"/>
      <w:lvlText w:val="%6."/>
      <w:lvlJc w:val="right"/>
      <w:pPr>
        <w:ind w:left="3983" w:hanging="180"/>
      </w:pPr>
    </w:lvl>
    <w:lvl w:ilvl="6" w:tplc="100A000F" w:tentative="1">
      <w:start w:val="1"/>
      <w:numFmt w:val="decimal"/>
      <w:lvlText w:val="%7."/>
      <w:lvlJc w:val="left"/>
      <w:pPr>
        <w:ind w:left="4703" w:hanging="360"/>
      </w:pPr>
    </w:lvl>
    <w:lvl w:ilvl="7" w:tplc="100A0019" w:tentative="1">
      <w:start w:val="1"/>
      <w:numFmt w:val="lowerLetter"/>
      <w:lvlText w:val="%8."/>
      <w:lvlJc w:val="left"/>
      <w:pPr>
        <w:ind w:left="5423" w:hanging="360"/>
      </w:pPr>
    </w:lvl>
    <w:lvl w:ilvl="8" w:tplc="100A001B" w:tentative="1">
      <w:start w:val="1"/>
      <w:numFmt w:val="lowerRoman"/>
      <w:lvlText w:val="%9."/>
      <w:lvlJc w:val="right"/>
      <w:pPr>
        <w:ind w:left="6143" w:hanging="180"/>
      </w:pPr>
    </w:lvl>
  </w:abstractNum>
  <w:abstractNum w:abstractNumId="9" w15:restartNumberingAfterBreak="0">
    <w:nsid w:val="54A16A90"/>
    <w:multiLevelType w:val="hybridMultilevel"/>
    <w:tmpl w:val="DB0261F6"/>
    <w:lvl w:ilvl="0" w:tplc="B13A7968">
      <w:start w:val="1"/>
      <w:numFmt w:val="bullet"/>
      <w:lvlText w:val="•"/>
      <w:lvlJc w:val="left"/>
      <w:pPr>
        <w:ind w:left="74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15863D5A">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6A780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344F1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2A3E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20249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22BF7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D8352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CE7E2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D7C1B10"/>
    <w:multiLevelType w:val="hybridMultilevel"/>
    <w:tmpl w:val="E19E1B58"/>
    <w:lvl w:ilvl="0" w:tplc="560C929E">
      <w:start w:val="1"/>
      <w:numFmt w:val="bullet"/>
      <w:lvlText w:val="•"/>
      <w:lvlPicBulletId w:val="0"/>
      <w:lvlJc w:val="left"/>
      <w:pPr>
        <w:ind w:left="197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1" w:tplc="1AA48126">
      <w:start w:val="1"/>
      <w:numFmt w:val="bullet"/>
      <w:lvlText w:val="o"/>
      <w:lvlJc w:val="left"/>
      <w:pPr>
        <w:ind w:left="305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2" w:tplc="24BC9F30">
      <w:start w:val="1"/>
      <w:numFmt w:val="bullet"/>
      <w:lvlText w:val="▪"/>
      <w:lvlJc w:val="left"/>
      <w:pPr>
        <w:ind w:left="377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3" w:tplc="94EA651E">
      <w:start w:val="1"/>
      <w:numFmt w:val="bullet"/>
      <w:lvlText w:val="•"/>
      <w:lvlJc w:val="left"/>
      <w:pPr>
        <w:ind w:left="449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4" w:tplc="ADCA9BE4">
      <w:start w:val="1"/>
      <w:numFmt w:val="bullet"/>
      <w:lvlText w:val="o"/>
      <w:lvlJc w:val="left"/>
      <w:pPr>
        <w:ind w:left="521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5" w:tplc="0336660A">
      <w:start w:val="1"/>
      <w:numFmt w:val="bullet"/>
      <w:lvlText w:val="▪"/>
      <w:lvlJc w:val="left"/>
      <w:pPr>
        <w:ind w:left="593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6" w:tplc="E8049C26">
      <w:start w:val="1"/>
      <w:numFmt w:val="bullet"/>
      <w:lvlText w:val="•"/>
      <w:lvlJc w:val="left"/>
      <w:pPr>
        <w:ind w:left="665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7" w:tplc="D92861DE">
      <w:start w:val="1"/>
      <w:numFmt w:val="bullet"/>
      <w:lvlText w:val="o"/>
      <w:lvlJc w:val="left"/>
      <w:pPr>
        <w:ind w:left="737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lvl w:ilvl="8" w:tplc="D6DAF754">
      <w:start w:val="1"/>
      <w:numFmt w:val="bullet"/>
      <w:lvlText w:val="▪"/>
      <w:lvlJc w:val="left"/>
      <w:pPr>
        <w:ind w:left="8097"/>
      </w:pPr>
      <w:rPr>
        <w:rFonts w:ascii="Arial" w:eastAsia="Arial" w:hAnsi="Arial" w:cs="Arial"/>
        <w:b w:val="0"/>
        <w:i w:val="0"/>
        <w:strike w:val="0"/>
        <w:dstrike w:val="0"/>
        <w:color w:val="800080"/>
        <w:sz w:val="32"/>
        <w:szCs w:val="32"/>
        <w:u w:val="none" w:color="000000"/>
        <w:bdr w:val="none" w:sz="0" w:space="0" w:color="auto"/>
        <w:shd w:val="clear" w:color="auto" w:fill="auto"/>
        <w:vertAlign w:val="baseline"/>
      </w:rPr>
    </w:lvl>
  </w:abstractNum>
  <w:abstractNum w:abstractNumId="11" w15:restartNumberingAfterBreak="0">
    <w:nsid w:val="621453DF"/>
    <w:multiLevelType w:val="hybridMultilevel"/>
    <w:tmpl w:val="9D7874D2"/>
    <w:lvl w:ilvl="0" w:tplc="26D4E0C2">
      <w:start w:val="4"/>
      <w:numFmt w:val="decimal"/>
      <w:lvlText w:val="%1"/>
      <w:lvlJc w:val="left"/>
      <w:pPr>
        <w:ind w:left="23"/>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00B20A90">
      <w:start w:val="1"/>
      <w:numFmt w:val="lowerLetter"/>
      <w:lvlText w:val="%2"/>
      <w:lvlJc w:val="left"/>
      <w:pPr>
        <w:ind w:left="10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99C806AA">
      <w:start w:val="1"/>
      <w:numFmt w:val="lowerRoman"/>
      <w:lvlText w:val="%3"/>
      <w:lvlJc w:val="left"/>
      <w:pPr>
        <w:ind w:left="18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FF282FEE">
      <w:start w:val="1"/>
      <w:numFmt w:val="decimal"/>
      <w:lvlText w:val="%4"/>
      <w:lvlJc w:val="left"/>
      <w:pPr>
        <w:ind w:left="25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14E60EBC">
      <w:start w:val="1"/>
      <w:numFmt w:val="lowerLetter"/>
      <w:lvlText w:val="%5"/>
      <w:lvlJc w:val="left"/>
      <w:pPr>
        <w:ind w:left="32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96104D00">
      <w:start w:val="1"/>
      <w:numFmt w:val="lowerRoman"/>
      <w:lvlText w:val="%6"/>
      <w:lvlJc w:val="left"/>
      <w:pPr>
        <w:ind w:left="39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71089A2A">
      <w:start w:val="1"/>
      <w:numFmt w:val="decimal"/>
      <w:lvlText w:val="%7"/>
      <w:lvlJc w:val="left"/>
      <w:pPr>
        <w:ind w:left="46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B67A14FE">
      <w:start w:val="1"/>
      <w:numFmt w:val="lowerLetter"/>
      <w:lvlText w:val="%8"/>
      <w:lvlJc w:val="left"/>
      <w:pPr>
        <w:ind w:left="54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A720EA80">
      <w:start w:val="1"/>
      <w:numFmt w:val="lowerRoman"/>
      <w:lvlText w:val="%9"/>
      <w:lvlJc w:val="left"/>
      <w:pPr>
        <w:ind w:left="61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12" w15:restartNumberingAfterBreak="0">
    <w:nsid w:val="65CA4322"/>
    <w:multiLevelType w:val="hybridMultilevel"/>
    <w:tmpl w:val="72187FD8"/>
    <w:lvl w:ilvl="0" w:tplc="F3687244">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C55F2">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C0032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3C750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12D83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3A5F1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023880">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B6EBD0">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9474E2">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81C4328"/>
    <w:multiLevelType w:val="hybridMultilevel"/>
    <w:tmpl w:val="1A06C644"/>
    <w:lvl w:ilvl="0" w:tplc="A614F0D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6052FA">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A2CD38">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688A72">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B86CFE">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B8004A">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AEF082">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76CD46">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7A7512">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EA15823"/>
    <w:multiLevelType w:val="hybridMultilevel"/>
    <w:tmpl w:val="B6349E7C"/>
    <w:lvl w:ilvl="0" w:tplc="1DC2E548">
      <w:start w:val="1"/>
      <w:numFmt w:val="lowerLetter"/>
      <w:lvlText w:val="%1."/>
      <w:lvlJc w:val="left"/>
      <w:pPr>
        <w:ind w:left="378" w:hanging="360"/>
      </w:pPr>
      <w:rPr>
        <w:rFonts w:hint="default"/>
      </w:rPr>
    </w:lvl>
    <w:lvl w:ilvl="1" w:tplc="100A0019" w:tentative="1">
      <w:start w:val="1"/>
      <w:numFmt w:val="lowerLetter"/>
      <w:lvlText w:val="%2."/>
      <w:lvlJc w:val="left"/>
      <w:pPr>
        <w:ind w:left="1098" w:hanging="360"/>
      </w:pPr>
    </w:lvl>
    <w:lvl w:ilvl="2" w:tplc="100A001B" w:tentative="1">
      <w:start w:val="1"/>
      <w:numFmt w:val="lowerRoman"/>
      <w:lvlText w:val="%3."/>
      <w:lvlJc w:val="right"/>
      <w:pPr>
        <w:ind w:left="1818" w:hanging="180"/>
      </w:pPr>
    </w:lvl>
    <w:lvl w:ilvl="3" w:tplc="100A000F" w:tentative="1">
      <w:start w:val="1"/>
      <w:numFmt w:val="decimal"/>
      <w:lvlText w:val="%4."/>
      <w:lvlJc w:val="left"/>
      <w:pPr>
        <w:ind w:left="2538" w:hanging="360"/>
      </w:pPr>
    </w:lvl>
    <w:lvl w:ilvl="4" w:tplc="100A0019" w:tentative="1">
      <w:start w:val="1"/>
      <w:numFmt w:val="lowerLetter"/>
      <w:lvlText w:val="%5."/>
      <w:lvlJc w:val="left"/>
      <w:pPr>
        <w:ind w:left="3258" w:hanging="360"/>
      </w:pPr>
    </w:lvl>
    <w:lvl w:ilvl="5" w:tplc="100A001B" w:tentative="1">
      <w:start w:val="1"/>
      <w:numFmt w:val="lowerRoman"/>
      <w:lvlText w:val="%6."/>
      <w:lvlJc w:val="right"/>
      <w:pPr>
        <w:ind w:left="3978" w:hanging="180"/>
      </w:pPr>
    </w:lvl>
    <w:lvl w:ilvl="6" w:tplc="100A000F" w:tentative="1">
      <w:start w:val="1"/>
      <w:numFmt w:val="decimal"/>
      <w:lvlText w:val="%7."/>
      <w:lvlJc w:val="left"/>
      <w:pPr>
        <w:ind w:left="4698" w:hanging="360"/>
      </w:pPr>
    </w:lvl>
    <w:lvl w:ilvl="7" w:tplc="100A0019" w:tentative="1">
      <w:start w:val="1"/>
      <w:numFmt w:val="lowerLetter"/>
      <w:lvlText w:val="%8."/>
      <w:lvlJc w:val="left"/>
      <w:pPr>
        <w:ind w:left="5418" w:hanging="360"/>
      </w:pPr>
    </w:lvl>
    <w:lvl w:ilvl="8" w:tplc="100A001B" w:tentative="1">
      <w:start w:val="1"/>
      <w:numFmt w:val="lowerRoman"/>
      <w:lvlText w:val="%9."/>
      <w:lvlJc w:val="right"/>
      <w:pPr>
        <w:ind w:left="6138" w:hanging="180"/>
      </w:pPr>
    </w:lvl>
  </w:abstractNum>
  <w:abstractNum w:abstractNumId="15" w15:restartNumberingAfterBreak="0">
    <w:nsid w:val="70233B5D"/>
    <w:multiLevelType w:val="hybridMultilevel"/>
    <w:tmpl w:val="4C72180C"/>
    <w:lvl w:ilvl="0" w:tplc="FFFFFFFF">
      <w:start w:val="1"/>
      <w:numFmt w:val="bullet"/>
      <w:lvlText w:val="•"/>
      <w:lvlJc w:val="left"/>
      <w:pPr>
        <w:ind w:left="74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100A000F">
      <w:start w:val="1"/>
      <w:numFmt w:val="decimal"/>
      <w:lvlText w:val="%2."/>
      <w:lvlJc w:val="left"/>
      <w:pPr>
        <w:ind w:left="1103" w:hanging="360"/>
      </w:p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1DF3F6F"/>
    <w:multiLevelType w:val="hybridMultilevel"/>
    <w:tmpl w:val="7D1621BC"/>
    <w:lvl w:ilvl="0" w:tplc="111E18B0">
      <w:start w:val="1"/>
      <w:numFmt w:val="decimal"/>
      <w:lvlText w:val="%1."/>
      <w:lvlJc w:val="left"/>
      <w:pPr>
        <w:ind w:left="383" w:hanging="360"/>
      </w:pPr>
      <w:rPr>
        <w:rFonts w:hint="default"/>
      </w:rPr>
    </w:lvl>
    <w:lvl w:ilvl="1" w:tplc="100A0019" w:tentative="1">
      <w:start w:val="1"/>
      <w:numFmt w:val="lowerLetter"/>
      <w:lvlText w:val="%2."/>
      <w:lvlJc w:val="left"/>
      <w:pPr>
        <w:ind w:left="1103" w:hanging="360"/>
      </w:pPr>
    </w:lvl>
    <w:lvl w:ilvl="2" w:tplc="100A001B" w:tentative="1">
      <w:start w:val="1"/>
      <w:numFmt w:val="lowerRoman"/>
      <w:lvlText w:val="%3."/>
      <w:lvlJc w:val="right"/>
      <w:pPr>
        <w:ind w:left="1823" w:hanging="180"/>
      </w:pPr>
    </w:lvl>
    <w:lvl w:ilvl="3" w:tplc="100A000F" w:tentative="1">
      <w:start w:val="1"/>
      <w:numFmt w:val="decimal"/>
      <w:lvlText w:val="%4."/>
      <w:lvlJc w:val="left"/>
      <w:pPr>
        <w:ind w:left="2543" w:hanging="360"/>
      </w:pPr>
    </w:lvl>
    <w:lvl w:ilvl="4" w:tplc="100A0019" w:tentative="1">
      <w:start w:val="1"/>
      <w:numFmt w:val="lowerLetter"/>
      <w:lvlText w:val="%5."/>
      <w:lvlJc w:val="left"/>
      <w:pPr>
        <w:ind w:left="3263" w:hanging="360"/>
      </w:pPr>
    </w:lvl>
    <w:lvl w:ilvl="5" w:tplc="100A001B" w:tentative="1">
      <w:start w:val="1"/>
      <w:numFmt w:val="lowerRoman"/>
      <w:lvlText w:val="%6."/>
      <w:lvlJc w:val="right"/>
      <w:pPr>
        <w:ind w:left="3983" w:hanging="180"/>
      </w:pPr>
    </w:lvl>
    <w:lvl w:ilvl="6" w:tplc="100A000F" w:tentative="1">
      <w:start w:val="1"/>
      <w:numFmt w:val="decimal"/>
      <w:lvlText w:val="%7."/>
      <w:lvlJc w:val="left"/>
      <w:pPr>
        <w:ind w:left="4703" w:hanging="360"/>
      </w:pPr>
    </w:lvl>
    <w:lvl w:ilvl="7" w:tplc="100A0019" w:tentative="1">
      <w:start w:val="1"/>
      <w:numFmt w:val="lowerLetter"/>
      <w:lvlText w:val="%8."/>
      <w:lvlJc w:val="left"/>
      <w:pPr>
        <w:ind w:left="5423" w:hanging="360"/>
      </w:pPr>
    </w:lvl>
    <w:lvl w:ilvl="8" w:tplc="100A001B" w:tentative="1">
      <w:start w:val="1"/>
      <w:numFmt w:val="lowerRoman"/>
      <w:lvlText w:val="%9."/>
      <w:lvlJc w:val="right"/>
      <w:pPr>
        <w:ind w:left="6143" w:hanging="180"/>
      </w:pPr>
    </w:lvl>
  </w:abstractNum>
  <w:abstractNum w:abstractNumId="17" w15:restartNumberingAfterBreak="0">
    <w:nsid w:val="778F06D2"/>
    <w:multiLevelType w:val="hybridMultilevel"/>
    <w:tmpl w:val="B5B8DD7C"/>
    <w:lvl w:ilvl="0" w:tplc="9EB4E646">
      <w:start w:val="1"/>
      <w:numFmt w:val="bullet"/>
      <w:lvlText w:val="•"/>
      <w:lvlPicBulletId w:val="1"/>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B23A7C">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2AE26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44049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E0305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F6D95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72DBA0">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FE4FA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E2E0AE">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466847841">
    <w:abstractNumId w:val="10"/>
  </w:num>
  <w:num w:numId="2" w16cid:durableId="396707376">
    <w:abstractNumId w:val="5"/>
  </w:num>
  <w:num w:numId="3" w16cid:durableId="1457718041">
    <w:abstractNumId w:val="11"/>
  </w:num>
  <w:num w:numId="4" w16cid:durableId="2098136985">
    <w:abstractNumId w:val="7"/>
  </w:num>
  <w:num w:numId="5" w16cid:durableId="981692151">
    <w:abstractNumId w:val="6"/>
  </w:num>
  <w:num w:numId="6" w16cid:durableId="1513493689">
    <w:abstractNumId w:val="12"/>
  </w:num>
  <w:num w:numId="7" w16cid:durableId="1121463590">
    <w:abstractNumId w:val="2"/>
  </w:num>
  <w:num w:numId="8" w16cid:durableId="1178276415">
    <w:abstractNumId w:val="3"/>
  </w:num>
  <w:num w:numId="9" w16cid:durableId="818418943">
    <w:abstractNumId w:val="17"/>
  </w:num>
  <w:num w:numId="10" w16cid:durableId="955987800">
    <w:abstractNumId w:val="9"/>
  </w:num>
  <w:num w:numId="11" w16cid:durableId="2050258254">
    <w:abstractNumId w:val="13"/>
  </w:num>
  <w:num w:numId="12" w16cid:durableId="1459760820">
    <w:abstractNumId w:val="4"/>
  </w:num>
  <w:num w:numId="13" w16cid:durableId="1139766990">
    <w:abstractNumId w:val="14"/>
  </w:num>
  <w:num w:numId="14" w16cid:durableId="2084058065">
    <w:abstractNumId w:val="16"/>
  </w:num>
  <w:num w:numId="15" w16cid:durableId="887303439">
    <w:abstractNumId w:val="1"/>
  </w:num>
  <w:num w:numId="16" w16cid:durableId="1325620576">
    <w:abstractNumId w:val="0"/>
  </w:num>
  <w:num w:numId="17" w16cid:durableId="680470798">
    <w:abstractNumId w:val="8"/>
  </w:num>
  <w:num w:numId="18" w16cid:durableId="7292270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48D"/>
    <w:rsid w:val="0006149F"/>
    <w:rsid w:val="00067155"/>
    <w:rsid w:val="000E5DE2"/>
    <w:rsid w:val="000F609D"/>
    <w:rsid w:val="001901E6"/>
    <w:rsid w:val="002449D2"/>
    <w:rsid w:val="00294F15"/>
    <w:rsid w:val="002C74A2"/>
    <w:rsid w:val="002F0696"/>
    <w:rsid w:val="00396E7B"/>
    <w:rsid w:val="00445321"/>
    <w:rsid w:val="004D7E58"/>
    <w:rsid w:val="00616C1F"/>
    <w:rsid w:val="007912A6"/>
    <w:rsid w:val="007C7A1E"/>
    <w:rsid w:val="00921FB6"/>
    <w:rsid w:val="009A2FE4"/>
    <w:rsid w:val="009D0BCB"/>
    <w:rsid w:val="00A04818"/>
    <w:rsid w:val="00A877E1"/>
    <w:rsid w:val="00A94B9C"/>
    <w:rsid w:val="00AE3DE7"/>
    <w:rsid w:val="00AF35DE"/>
    <w:rsid w:val="00C846D4"/>
    <w:rsid w:val="00DE048D"/>
    <w:rsid w:val="00E73203"/>
    <w:rsid w:val="00ED17E9"/>
    <w:rsid w:val="00EE1DF9"/>
    <w:rsid w:val="00F34656"/>
    <w:rsid w:val="00F825E3"/>
    <w:rsid w:val="00FD4872"/>
  </w:rsids>
  <m:mathPr>
    <m:mathFont m:val="Cambria Math"/>
    <m:brkBin m:val="before"/>
    <m:brkBinSub m:val="--"/>
    <m:smallFrac m:val="0"/>
    <m:dispDef/>
    <m:lMargin m:val="0"/>
    <m:rMargin m:val="0"/>
    <m:defJc m:val="centerGroup"/>
    <m:wrapIndent m:val="1440"/>
    <m:intLim m:val="subSup"/>
    <m:naryLim m:val="undOvr"/>
  </m:mathPr>
  <w:themeFontLang w:val="es-GT"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8E46B"/>
  <w15:chartTrackingRefBased/>
  <w15:docId w15:val="{A3814927-5C7F-4B0B-A5E6-251BC5D31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48D"/>
  </w:style>
  <w:style w:type="paragraph" w:styleId="Ttulo1">
    <w:name w:val="heading 1"/>
    <w:basedOn w:val="Normal"/>
    <w:next w:val="Normal"/>
    <w:link w:val="Ttulo1Car"/>
    <w:uiPriority w:val="9"/>
    <w:qFormat/>
    <w:rsid w:val="00DE04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next w:val="Normal"/>
    <w:link w:val="Ttulo2Car"/>
    <w:uiPriority w:val="9"/>
    <w:unhideWhenUsed/>
    <w:qFormat/>
    <w:rsid w:val="00DE048D"/>
    <w:pPr>
      <w:keepNext/>
      <w:keepLines/>
      <w:spacing w:before="249" w:after="0"/>
      <w:ind w:right="272"/>
      <w:outlineLvl w:val="1"/>
    </w:pPr>
    <w:rPr>
      <w:rFonts w:ascii="Times New Roman" w:eastAsia="Times New Roman" w:hAnsi="Times New Roman" w:cs="Times New Roman"/>
      <w:b/>
      <w:color w:val="000000"/>
      <w:sz w:val="28"/>
      <w:lang w:eastAsia="es-GT" w:bidi="ml-I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E048D"/>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DE048D"/>
    <w:rPr>
      <w:rFonts w:ascii="Times New Roman" w:eastAsia="Times New Roman" w:hAnsi="Times New Roman" w:cs="Times New Roman"/>
      <w:b/>
      <w:color w:val="000000"/>
      <w:sz w:val="28"/>
      <w:lang w:eastAsia="es-GT" w:bidi="ml-IN"/>
    </w:rPr>
  </w:style>
  <w:style w:type="character" w:customStyle="1" w:styleId="Ttulo2Car1">
    <w:name w:val="Título 2 Car1"/>
    <w:rsid w:val="00DE048D"/>
    <w:rPr>
      <w:rFonts w:ascii="Times New Roman" w:eastAsia="Times New Roman" w:hAnsi="Times New Roman" w:cs="Times New Roman"/>
      <w:b/>
      <w:color w:val="000000"/>
      <w:sz w:val="28"/>
    </w:rPr>
  </w:style>
  <w:style w:type="character" w:customStyle="1" w:styleId="Ttulo1Car1">
    <w:name w:val="Título 1 Car1"/>
    <w:rsid w:val="00DE048D"/>
    <w:rPr>
      <w:rFonts w:ascii="Times New Roman" w:eastAsia="Times New Roman" w:hAnsi="Times New Roman" w:cs="Times New Roman"/>
      <w:b/>
      <w:color w:val="000000"/>
      <w:sz w:val="32"/>
    </w:rPr>
  </w:style>
  <w:style w:type="paragraph" w:customStyle="1" w:styleId="footnotedescription">
    <w:name w:val="footnote description"/>
    <w:next w:val="Normal"/>
    <w:link w:val="footnotedescriptionChar"/>
    <w:hidden/>
    <w:rsid w:val="00DE048D"/>
    <w:pPr>
      <w:spacing w:after="0"/>
      <w:ind w:left="23"/>
    </w:pPr>
    <w:rPr>
      <w:rFonts w:ascii="Times New Roman" w:eastAsia="Times New Roman" w:hAnsi="Times New Roman" w:cs="Times New Roman"/>
      <w:color w:val="000000"/>
      <w:sz w:val="20"/>
      <w:lang w:eastAsia="es-GT" w:bidi="ml-IN"/>
    </w:rPr>
  </w:style>
  <w:style w:type="character" w:customStyle="1" w:styleId="footnotedescriptionChar">
    <w:name w:val="footnote description Char"/>
    <w:link w:val="footnotedescription"/>
    <w:rsid w:val="00DE048D"/>
    <w:rPr>
      <w:rFonts w:ascii="Times New Roman" w:eastAsia="Times New Roman" w:hAnsi="Times New Roman" w:cs="Times New Roman"/>
      <w:color w:val="000000"/>
      <w:sz w:val="20"/>
      <w:lang w:eastAsia="es-GT" w:bidi="ml-IN"/>
    </w:rPr>
  </w:style>
  <w:style w:type="character" w:customStyle="1" w:styleId="footnotemark">
    <w:name w:val="footnote mark"/>
    <w:hidden/>
    <w:rsid w:val="00DE048D"/>
    <w:rPr>
      <w:rFonts w:ascii="Times New Roman" w:eastAsia="Times New Roman" w:hAnsi="Times New Roman" w:cs="Times New Roman"/>
      <w:color w:val="000000"/>
      <w:sz w:val="20"/>
      <w:vertAlign w:val="superscript"/>
    </w:rPr>
  </w:style>
  <w:style w:type="table" w:customStyle="1" w:styleId="TableGrid">
    <w:name w:val="TableGrid"/>
    <w:rsid w:val="00DE048D"/>
    <w:pPr>
      <w:spacing w:after="0" w:line="240" w:lineRule="auto"/>
    </w:pPr>
    <w:rPr>
      <w:rFonts w:eastAsiaTheme="minorEastAsia"/>
      <w:lang w:eastAsia="es-GT" w:bidi="ml-IN"/>
    </w:rPr>
    <w:tblPr>
      <w:tblCellMar>
        <w:top w:w="0" w:type="dxa"/>
        <w:left w:w="0" w:type="dxa"/>
        <w:bottom w:w="0" w:type="dxa"/>
        <w:right w:w="0" w:type="dxa"/>
      </w:tblCellMar>
    </w:tblPr>
  </w:style>
  <w:style w:type="paragraph" w:styleId="Piedepgina">
    <w:name w:val="footer"/>
    <w:basedOn w:val="Normal"/>
    <w:link w:val="PiedepginaCar"/>
    <w:uiPriority w:val="99"/>
    <w:unhideWhenUsed/>
    <w:rsid w:val="002C74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C74A2"/>
  </w:style>
  <w:style w:type="paragraph" w:styleId="TtuloTDC">
    <w:name w:val="TOC Heading"/>
    <w:basedOn w:val="Ttulo1"/>
    <w:next w:val="Normal"/>
    <w:uiPriority w:val="39"/>
    <w:unhideWhenUsed/>
    <w:qFormat/>
    <w:rsid w:val="002C74A2"/>
    <w:pPr>
      <w:outlineLvl w:val="9"/>
    </w:pPr>
    <w:rPr>
      <w:kern w:val="0"/>
      <w:lang w:eastAsia="es-GT" w:bidi="ml-IN"/>
      <w14:ligatures w14:val="none"/>
    </w:rPr>
  </w:style>
  <w:style w:type="paragraph" w:styleId="TDC2">
    <w:name w:val="toc 2"/>
    <w:basedOn w:val="Normal"/>
    <w:next w:val="Normal"/>
    <w:autoRedefine/>
    <w:uiPriority w:val="39"/>
    <w:unhideWhenUsed/>
    <w:rsid w:val="002C74A2"/>
    <w:pPr>
      <w:spacing w:after="100"/>
      <w:ind w:left="220"/>
    </w:pPr>
  </w:style>
  <w:style w:type="character" w:styleId="Hipervnculo">
    <w:name w:val="Hyperlink"/>
    <w:basedOn w:val="Fuentedeprrafopredeter"/>
    <w:uiPriority w:val="99"/>
    <w:unhideWhenUsed/>
    <w:rsid w:val="002C74A2"/>
    <w:rPr>
      <w:color w:val="0563C1" w:themeColor="hyperlink"/>
      <w:u w:val="single"/>
    </w:rPr>
  </w:style>
  <w:style w:type="paragraph" w:styleId="TDC1">
    <w:name w:val="toc 1"/>
    <w:basedOn w:val="Normal"/>
    <w:next w:val="Normal"/>
    <w:autoRedefine/>
    <w:uiPriority w:val="39"/>
    <w:unhideWhenUsed/>
    <w:rsid w:val="002C74A2"/>
    <w:pPr>
      <w:spacing w:after="100"/>
    </w:pPr>
  </w:style>
  <w:style w:type="paragraph" w:styleId="Prrafodelista">
    <w:name w:val="List Paragraph"/>
    <w:basedOn w:val="Normal"/>
    <w:uiPriority w:val="34"/>
    <w:qFormat/>
    <w:rsid w:val="000F609D"/>
    <w:pPr>
      <w:ind w:left="720"/>
      <w:contextualSpacing/>
    </w:pPr>
  </w:style>
  <w:style w:type="paragraph" w:styleId="Textoindependiente">
    <w:name w:val="Body Text"/>
    <w:basedOn w:val="Normal"/>
    <w:link w:val="TextoindependienteCar"/>
    <w:uiPriority w:val="1"/>
    <w:qFormat/>
    <w:rsid w:val="00FD4872"/>
    <w:pPr>
      <w:widowControl w:val="0"/>
      <w:autoSpaceDE w:val="0"/>
      <w:autoSpaceDN w:val="0"/>
      <w:spacing w:after="0" w:line="240" w:lineRule="auto"/>
    </w:pPr>
    <w:rPr>
      <w:rFonts w:ascii="Cambria" w:eastAsia="Cambria" w:hAnsi="Cambria" w:cs="Cambria"/>
      <w:kern w:val="0"/>
      <w:lang w:val="es-ES"/>
      <w14:ligatures w14:val="none"/>
    </w:rPr>
  </w:style>
  <w:style w:type="character" w:customStyle="1" w:styleId="TextoindependienteCar">
    <w:name w:val="Texto independiente Car"/>
    <w:basedOn w:val="Fuentedeprrafopredeter"/>
    <w:link w:val="Textoindependiente"/>
    <w:uiPriority w:val="1"/>
    <w:rsid w:val="00FD4872"/>
    <w:rPr>
      <w:rFonts w:ascii="Cambria" w:eastAsia="Cambria" w:hAnsi="Cambria" w:cs="Cambria"/>
      <w:kern w:val="0"/>
      <w:lang w:val="es-ES"/>
      <w14:ligatures w14:val="none"/>
    </w:rPr>
  </w:style>
  <w:style w:type="paragraph" w:styleId="Textonotapie">
    <w:name w:val="footnote text"/>
    <w:basedOn w:val="Normal"/>
    <w:link w:val="TextonotapieCar"/>
    <w:uiPriority w:val="99"/>
    <w:unhideWhenUsed/>
    <w:rsid w:val="00FD4872"/>
    <w:pPr>
      <w:widowControl w:val="0"/>
      <w:autoSpaceDE w:val="0"/>
      <w:autoSpaceDN w:val="0"/>
      <w:spacing w:after="0" w:line="240" w:lineRule="auto"/>
    </w:pPr>
    <w:rPr>
      <w:rFonts w:ascii="Cambria" w:eastAsia="Cambria" w:hAnsi="Cambria" w:cs="Cambria"/>
      <w:kern w:val="0"/>
      <w:sz w:val="20"/>
      <w:szCs w:val="20"/>
      <w:lang w:val="es-ES"/>
      <w14:ligatures w14:val="none"/>
    </w:rPr>
  </w:style>
  <w:style w:type="character" w:customStyle="1" w:styleId="TextonotapieCar">
    <w:name w:val="Texto nota pie Car"/>
    <w:basedOn w:val="Fuentedeprrafopredeter"/>
    <w:link w:val="Textonotapie"/>
    <w:uiPriority w:val="99"/>
    <w:rsid w:val="00FD4872"/>
    <w:rPr>
      <w:rFonts w:ascii="Cambria" w:eastAsia="Cambria" w:hAnsi="Cambria" w:cs="Cambria"/>
      <w:kern w:val="0"/>
      <w:sz w:val="20"/>
      <w:szCs w:val="20"/>
      <w:lang w:val="es-ES"/>
      <w14:ligatures w14:val="none"/>
    </w:rPr>
  </w:style>
  <w:style w:type="character" w:styleId="Refdenotaalpie">
    <w:name w:val="footnote reference"/>
    <w:basedOn w:val="Fuentedeprrafopredeter"/>
    <w:uiPriority w:val="99"/>
    <w:semiHidden/>
    <w:unhideWhenUsed/>
    <w:rsid w:val="00FD4872"/>
    <w:rPr>
      <w:vertAlign w:val="superscript"/>
    </w:rPr>
  </w:style>
  <w:style w:type="character" w:styleId="Mencinsinresolver">
    <w:name w:val="Unresolved Mention"/>
    <w:basedOn w:val="Fuentedeprrafopredeter"/>
    <w:uiPriority w:val="99"/>
    <w:semiHidden/>
    <w:unhideWhenUsed/>
    <w:rsid w:val="00AE3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ohchr.org/es/instruments-mechanisms/instruments/convention-elimination-all-forms-discrimination-against-women" TargetMode="External"/><Relationship Id="rId18" Type="http://schemas.openxmlformats.org/officeDocument/2006/relationships/hyperlink" Target="https://www.cepal.org/sites/default/files/events/files/10_tmaldonado.pd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congreso.gob.gt/detalle_pdf/iniciativas/5424"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congreso.gob.gt/detalle_pdf/iniciativas/5787"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uatemala.unfpa.org/sites/default/files/pub-pdf/Estrategia%20Pob.%20TRANS.pdf" TargetMode="External"/><Relationship Id="rId20" Type="http://schemas.openxmlformats.org/officeDocument/2006/relationships/hyperlink" Target="https://reinasdelanoche.org.gt/no-muero-me-matan-guatemala-202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gif"/><Relationship Id="rId24" Type="http://schemas.openxmlformats.org/officeDocument/2006/relationships/hyperlink" Target="https://www.hrw.org/es/news/2022/01/21/guatemala-ley-contra-personas-trans-amenaza-derechos" TargetMode="External"/><Relationship Id="rId5" Type="http://schemas.openxmlformats.org/officeDocument/2006/relationships/webSettings" Target="webSettings.xml"/><Relationship Id="rId15" Type="http://schemas.openxmlformats.org/officeDocument/2006/relationships/hyperlink" Target="https://www.hrw.org/es/news/2022/01/21/guatemala-ley-contra-personas-trans-amenaza" TargetMode="External"/><Relationship Id="rId23" Type="http://schemas.openxmlformats.org/officeDocument/2006/relationships/hyperlink" Target="https://www.ohchr.org/es/instruments-mechanisms/instruments/international-covenant-economic-social-and-cultural-rights"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reinasdelanoche.org.gt/1654-2/"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congreso.gob.gt/detalle_pdf/iniciativas/66#gsc.tab=0" TargetMode="External"/><Relationship Id="rId22" Type="http://schemas.openxmlformats.org/officeDocument/2006/relationships/hyperlink" Target="https://www.ohchr.org/es/instruments-mechanisms/instruments/international-covenant-civil-and-political-rights" TargetMode="External"/><Relationship Id="rId27"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es/news/2022/01/21/guatemala-ley-contra-personas-trans-amenaza" TargetMode="External"/><Relationship Id="rId3" Type="http://schemas.openxmlformats.org/officeDocument/2006/relationships/hyperlink" Target="https://www.ohchr.org/es/instruments-mechanisms/instruments/international-covenant-economic-social-and-cultural-rights" TargetMode="External"/><Relationship Id="rId7" Type="http://schemas.openxmlformats.org/officeDocument/2006/relationships/hyperlink" Target="https://www.congreso.gob.gt/detalle_pdf/iniciativas/66" TargetMode="External"/><Relationship Id="rId12" Type="http://schemas.openxmlformats.org/officeDocument/2006/relationships/hyperlink" Target="https://guatemala.unfpa.org/sites/default/files/pub-pdf/Estrategia%20Pob.%20TRANS.pdf" TargetMode="External"/><Relationship Id="rId2" Type="http://schemas.openxmlformats.org/officeDocument/2006/relationships/hyperlink" Target="https://www.ohchr.org/es/instruments-mechanisms/instruments/international-covenant-civil-and-political-rights" TargetMode="External"/><Relationship Id="rId1" Type="http://schemas.openxmlformats.org/officeDocument/2006/relationships/hyperlink" Target="https://www.ohchr.org/es/instruments-mechanisms/instruments/convention-elimination-all-forms-discrimination-against-women" TargetMode="External"/><Relationship Id="rId6" Type="http://schemas.openxmlformats.org/officeDocument/2006/relationships/hyperlink" Target="https://www.congreso.gob.gt/detalle_pdf/iniciativas/5424" TargetMode="External"/><Relationship Id="rId11" Type="http://schemas.openxmlformats.org/officeDocument/2006/relationships/hyperlink" Target="https://reinasdelanoche.org.gt/no-muero-me-matan-guatemala-2021/" TargetMode="External"/><Relationship Id="rId5" Type="http://schemas.openxmlformats.org/officeDocument/2006/relationships/hyperlink" Target="https://www.hrw.org/es/news/2022/01/21/guatemala-ley-contra-personas-trans-amenaza-derechos" TargetMode="External"/><Relationship Id="rId10" Type="http://schemas.openxmlformats.org/officeDocument/2006/relationships/hyperlink" Target="https://reinasdelanoche.org.gt/1654-2/" TargetMode="External"/><Relationship Id="rId4" Type="http://schemas.openxmlformats.org/officeDocument/2006/relationships/hyperlink" Target="https://www.france24.com/es/20200115-alejandro-giammattei-tom%C3%B3posesi%C3%B3n-como-presidente-de-guatemala-para-cambiar-el-rumbo-delpa%C3%ADs" TargetMode="External"/><Relationship Id="rId9" Type="http://schemas.openxmlformats.org/officeDocument/2006/relationships/hyperlink" Target="https://www.congreso.gob.gt/detalle_pdf/iniciativas/5787"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URIDICO%20IRIS%20BARILLAS\A&#209;O%202023\INFORME%20FINAL%20CEDOSTALC\Graficos%20Informe%20Final%20Cedostalc%20actualizado.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s-GT">
                <a:solidFill>
                  <a:schemeClr val="tx1"/>
                </a:solidFill>
              </a:rPr>
              <a:t>Tipo principal de abuso o violación a las Personas Trans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s-GT"/>
        </a:p>
      </c:txPr>
    </c:title>
    <c:autoTitleDeleted val="0"/>
    <c:plotArea>
      <c:layout/>
      <c:barChart>
        <c:barDir val="col"/>
        <c:grouping val="stacked"/>
        <c:varyColors val="0"/>
        <c:ser>
          <c:idx val="0"/>
          <c:order val="0"/>
          <c:spPr>
            <a:solidFill>
              <a:schemeClr val="accent2">
                <a:lumMod val="40000"/>
                <a:lumOff val="60000"/>
              </a:schemeClr>
            </a:solidFill>
            <a:ln>
              <a:noFill/>
            </a:ln>
            <a:effectLst/>
          </c:spPr>
          <c:invertIfNegative val="0"/>
          <c:dLbls>
            <c:delete val="1"/>
          </c:dLbls>
          <c:cat>
            <c:strRef>
              <c:f>Hoja1!$A$102:$A$106</c:f>
              <c:strCache>
                <c:ptCount val="5"/>
                <c:pt idx="0">
                  <c:v>Discriminación</c:v>
                </c:pt>
                <c:pt idx="1">
                  <c:v>Intimidación o amenaza</c:v>
                </c:pt>
                <c:pt idx="2">
                  <c:v>Golpiza o agresión física </c:v>
                </c:pt>
                <c:pt idx="3">
                  <c:v>Asesinato </c:v>
                </c:pt>
                <c:pt idx="4">
                  <c:v>Otro tipo de violación o abuso (detalle):</c:v>
                </c:pt>
              </c:strCache>
            </c:strRef>
          </c:cat>
          <c:val>
            <c:numRef>
              <c:f>Hoja1!$B$102:$B$106</c:f>
              <c:numCache>
                <c:formatCode>General</c:formatCode>
                <c:ptCount val="5"/>
                <c:pt idx="0">
                  <c:v>54</c:v>
                </c:pt>
                <c:pt idx="1">
                  <c:v>11</c:v>
                </c:pt>
                <c:pt idx="2">
                  <c:v>7</c:v>
                </c:pt>
                <c:pt idx="3">
                  <c:v>7</c:v>
                </c:pt>
                <c:pt idx="4">
                  <c:v>15</c:v>
                </c:pt>
              </c:numCache>
            </c:numRef>
          </c:val>
          <c:extLst>
            <c:ext xmlns:c16="http://schemas.microsoft.com/office/drawing/2014/chart" uri="{C3380CC4-5D6E-409C-BE32-E72D297353CC}">
              <c16:uniqueId val="{00000000-D5BB-4A6B-A945-771B7FC2CE45}"/>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s-G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Hoja1!$A$102:$A$106</c:f>
              <c:strCache>
                <c:ptCount val="5"/>
                <c:pt idx="0">
                  <c:v>Discriminación</c:v>
                </c:pt>
                <c:pt idx="1">
                  <c:v>Intimidación o amenaza</c:v>
                </c:pt>
                <c:pt idx="2">
                  <c:v>Golpiza o agresión física </c:v>
                </c:pt>
                <c:pt idx="3">
                  <c:v>Asesinato </c:v>
                </c:pt>
                <c:pt idx="4">
                  <c:v>Otro tipo de violación o abuso (detalle):</c:v>
                </c:pt>
              </c:strCache>
            </c:strRef>
          </c:cat>
          <c:val>
            <c:numRef>
              <c:f>Hoja1!$C$102:$C$106</c:f>
              <c:numCache>
                <c:formatCode>0%</c:formatCode>
                <c:ptCount val="5"/>
                <c:pt idx="0">
                  <c:v>0.57446808510638303</c:v>
                </c:pt>
                <c:pt idx="1">
                  <c:v>0.11702127659574468</c:v>
                </c:pt>
                <c:pt idx="2">
                  <c:v>7.4468085106382975E-2</c:v>
                </c:pt>
                <c:pt idx="3">
                  <c:v>7.4468085106382975E-2</c:v>
                </c:pt>
                <c:pt idx="4">
                  <c:v>0.15957446808510639</c:v>
                </c:pt>
              </c:numCache>
            </c:numRef>
          </c:val>
          <c:extLst>
            <c:ext xmlns:c16="http://schemas.microsoft.com/office/drawing/2014/chart" uri="{C3380CC4-5D6E-409C-BE32-E72D297353CC}">
              <c16:uniqueId val="{00000001-D5BB-4A6B-A945-771B7FC2CE45}"/>
            </c:ext>
          </c:extLst>
        </c:ser>
        <c:dLbls>
          <c:showLegendKey val="0"/>
          <c:showVal val="1"/>
          <c:showCatName val="0"/>
          <c:showSerName val="0"/>
          <c:showPercent val="0"/>
          <c:showBubbleSize val="0"/>
        </c:dLbls>
        <c:gapWidth val="150"/>
        <c:overlap val="100"/>
        <c:axId val="754369544"/>
        <c:axId val="754371184"/>
      </c:barChart>
      <c:catAx>
        <c:axId val="754369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GT"/>
          </a:p>
        </c:txPr>
        <c:crossAx val="754371184"/>
        <c:crosses val="autoZero"/>
        <c:auto val="1"/>
        <c:lblAlgn val="ctr"/>
        <c:lblOffset val="100"/>
        <c:noMultiLvlLbl val="0"/>
      </c:catAx>
      <c:valAx>
        <c:axId val="754371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s-GT"/>
          </a:p>
        </c:txPr>
        <c:crossAx val="754369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34051-5DC0-4B10-AD09-4557EFD42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3504</Words>
  <Characters>19274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Zapeta</dc:creator>
  <cp:keywords/>
  <dc:description/>
  <cp:lastModifiedBy>Luis Zapeta</cp:lastModifiedBy>
  <cp:revision>2</cp:revision>
  <dcterms:created xsi:type="dcterms:W3CDTF">2023-09-07T18:16:00Z</dcterms:created>
  <dcterms:modified xsi:type="dcterms:W3CDTF">2023-09-07T18:16:00Z</dcterms:modified>
</cp:coreProperties>
</file>