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8FFDF1" w14:textId="5F2BD19D" w:rsidR="004164BD" w:rsidRPr="00E50FDE" w:rsidRDefault="004164BD" w:rsidP="00E50FDE">
      <w:pPr>
        <w:contextualSpacing/>
        <w:jc w:val="right"/>
        <w:rPr>
          <w:rFonts w:ascii="Times New Roman" w:hAnsi="Times New Roman" w:cs="Times New Roman"/>
          <w:sz w:val="22"/>
          <w:szCs w:val="22"/>
          <w:lang w:val="es-ES"/>
        </w:rPr>
      </w:pPr>
      <w:bookmarkStart w:id="0" w:name="_GoBack"/>
      <w:bookmarkEnd w:id="0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Ciudad de México a </w:t>
      </w:r>
      <w:r w:rsidR="008E099F">
        <w:rPr>
          <w:rFonts w:ascii="Times New Roman" w:hAnsi="Times New Roman" w:cs="Times New Roman"/>
          <w:sz w:val="22"/>
          <w:szCs w:val="22"/>
          <w:lang w:val="es-ES"/>
        </w:rPr>
        <w:t>01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</w:t>
      </w:r>
      <w:r w:rsidR="008E099F">
        <w:rPr>
          <w:rFonts w:ascii="Times New Roman" w:hAnsi="Times New Roman" w:cs="Times New Roman"/>
          <w:sz w:val="22"/>
          <w:szCs w:val="22"/>
          <w:lang w:val="es-ES"/>
        </w:rPr>
        <w:t>febrero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2021</w:t>
      </w:r>
    </w:p>
    <w:p w14:paraId="770DE52F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B1E25B9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7E9A088A" w14:textId="60A36F1A" w:rsidR="004164BD" w:rsidRPr="00E50FDE" w:rsidRDefault="00DD53F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Señoras y señores</w:t>
      </w:r>
    </w:p>
    <w:p w14:paraId="0B3647AF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Comité para la Eliminación de la Discriminación Contra la Mujer</w:t>
      </w:r>
    </w:p>
    <w:p w14:paraId="3C68C5D6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Oficina del Alto Comisionado para los Derechos Humanos</w:t>
      </w:r>
    </w:p>
    <w:p w14:paraId="1A7A849A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Oficina de las Naciones Unidas en Ginebra</w:t>
      </w:r>
    </w:p>
    <w:p w14:paraId="0193A12B" w14:textId="4AC01EAB" w:rsidR="004164BD" w:rsidRPr="00E50FDE" w:rsidRDefault="004164BD" w:rsidP="00E50FDE">
      <w:pPr>
        <w:contextualSpacing/>
        <w:jc w:val="both"/>
        <w:rPr>
          <w:rStyle w:val="Hyperlink"/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1211 Ginebra 10, Suiza</w:t>
      </w:r>
    </w:p>
    <w:p w14:paraId="13D01CA0" w14:textId="31E6D16F" w:rsidR="00DD53F8" w:rsidRPr="00E50FDE" w:rsidRDefault="00DC3C61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hyperlink r:id="rId8" w:history="1">
        <w:r w:rsidR="00DD53F8" w:rsidRPr="00E50FDE">
          <w:rPr>
            <w:rStyle w:val="Hyperlink"/>
            <w:rFonts w:ascii="Times New Roman" w:hAnsi="Times New Roman" w:cs="Times New Roman"/>
            <w:sz w:val="22"/>
            <w:szCs w:val="22"/>
            <w:lang w:val="es-ES"/>
          </w:rPr>
          <w:t>cedaw@ohchr.org</w:t>
        </w:r>
      </w:hyperlink>
    </w:p>
    <w:p w14:paraId="685F9A87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50DDD061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AEFA00F" w14:textId="0C702901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I(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dh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>)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eas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Litigio Estratégico en Derechos Humanos, </w:t>
      </w:r>
      <w:r w:rsidR="00F26C78" w:rsidRPr="00E50FDE">
        <w:rPr>
          <w:rFonts w:ascii="Times New Roman" w:hAnsi="Times New Roman" w:cs="Times New Roman"/>
          <w:sz w:val="22"/>
          <w:szCs w:val="22"/>
          <w:lang w:val="es-ES"/>
        </w:rPr>
        <w:t>organización de la sociedad civil mexicana, se refiere, a continuación</w:t>
      </w:r>
      <w:r w:rsidR="00F339AA" w:rsidRPr="00E50FDE">
        <w:rPr>
          <w:rFonts w:ascii="Times New Roman" w:hAnsi="Times New Roman" w:cs="Times New Roman"/>
          <w:sz w:val="22"/>
          <w:szCs w:val="22"/>
          <w:lang w:val="es-ES"/>
        </w:rPr>
        <w:t>,</w:t>
      </w:r>
      <w:r w:rsidR="00F26C7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 la </w:t>
      </w:r>
      <w:r w:rsidR="00CA7208" w:rsidRPr="00E50FDE">
        <w:rPr>
          <w:rFonts w:ascii="Times New Roman" w:hAnsi="Times New Roman" w:cs="Times New Roman"/>
          <w:sz w:val="22"/>
          <w:szCs w:val="22"/>
          <w:lang w:val="es-ES"/>
        </w:rPr>
        <w:t>i</w:t>
      </w:r>
      <w:r w:rsidR="00F26C78" w:rsidRPr="00E50FDE">
        <w:rPr>
          <w:rFonts w:ascii="Times New Roman" w:hAnsi="Times New Roman" w:cs="Times New Roman"/>
          <w:sz w:val="22"/>
          <w:szCs w:val="22"/>
          <w:lang w:val="es-ES"/>
        </w:rPr>
        <w:t>nformación suministrada por México en relación con el seguimiento de las observaciones finales sobre su noveno informe periódico</w:t>
      </w:r>
      <w:r w:rsidR="00F26C78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"/>
      </w:r>
      <w:r w:rsidR="00F26C7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particular, informaremos sobre los incisos </w:t>
      </w:r>
      <w:r w:rsidR="00F339AA" w:rsidRPr="00E50FDE">
        <w:rPr>
          <w:rFonts w:ascii="Times New Roman" w:hAnsi="Times New Roman" w:cs="Times New Roman"/>
          <w:sz w:val="22"/>
          <w:szCs w:val="22"/>
          <w:lang w:val="es-ES"/>
        </w:rPr>
        <w:t>d)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="00F339AA" w:rsidRPr="00E50FDE">
        <w:rPr>
          <w:rFonts w:ascii="Times New Roman" w:hAnsi="Times New Roman" w:cs="Times New Roman"/>
          <w:sz w:val="22"/>
          <w:szCs w:val="22"/>
          <w:lang w:val="es-ES"/>
        </w:rPr>
        <w:t>e)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del párrafo 24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las Observaciones finales del Comité.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información 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que aquí proporcionaremos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>se obtuvo a partir de la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solicitud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>es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información </w:t>
      </w:r>
      <w:r w:rsidR="00D22FFC" w:rsidRPr="00E50FDE">
        <w:rPr>
          <w:rFonts w:ascii="Times New Roman" w:hAnsi="Times New Roman" w:cs="Times New Roman"/>
          <w:sz w:val="22"/>
          <w:szCs w:val="22"/>
          <w:lang w:val="es-ES"/>
        </w:rPr>
        <w:t>realizadas a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las entidades encargadas de la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>implementación y aplicación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la Alerta </w:t>
      </w:r>
      <w:proofErr w:type="spellStart"/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Protocolo Alba y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>la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lerta de 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>V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iolencia de 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>G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>énero.</w:t>
      </w:r>
    </w:p>
    <w:p w14:paraId="1DDB76FD" w14:textId="77777777" w:rsidR="00D22FFC" w:rsidRPr="00E50FDE" w:rsidRDefault="00D22FF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791F40B3" w14:textId="11534518" w:rsidR="00562B6C" w:rsidRPr="00E50FDE" w:rsidRDefault="00F339AA" w:rsidP="00E50FDE">
      <w:pPr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 xml:space="preserve">PÁRRAFO </w:t>
      </w:r>
      <w:r w:rsidR="00FE6B32"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 xml:space="preserve">24, </w:t>
      </w:r>
      <w:r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>d)</w:t>
      </w:r>
    </w:p>
    <w:p w14:paraId="2D034CEF" w14:textId="77777777" w:rsidR="00E375AB" w:rsidRPr="00E50FDE" w:rsidRDefault="00E375AB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42A37D4" w14:textId="6B15B346" w:rsidR="004164BD" w:rsidRPr="00E50FDE" w:rsidRDefault="00B96DF8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Simplificación y a</w:t>
      </w:r>
      <w:r w:rsidR="004164BD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rmonización del Programa Alerta </w:t>
      </w:r>
      <w:proofErr w:type="spellStart"/>
      <w:r w:rsidR="004164BD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Amber</w:t>
      </w:r>
      <w:proofErr w:type="spellEnd"/>
      <w:r w:rsidR="004164BD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 y el Protocolo Alba</w:t>
      </w:r>
      <w:r w:rsidR="00E64B3E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 y </w:t>
      </w: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agilización de la b</w:t>
      </w:r>
      <w:r w:rsidR="00E64B3E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úsqueda de mujeres y niñas desaparecidas</w:t>
      </w:r>
    </w:p>
    <w:p w14:paraId="64AC7435" w14:textId="518D55D5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32EC8C44" w14:textId="49E65728" w:rsidR="006B4436" w:rsidRPr="00E50FDE" w:rsidRDefault="00F339AA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 xml:space="preserve">Hasta el momento, </w:t>
      </w:r>
      <w:r w:rsidR="00892518" w:rsidRPr="00E50FDE">
        <w:rPr>
          <w:rFonts w:ascii="Times New Roman" w:hAnsi="Times New Roman" w:cs="Times New Roman"/>
          <w:sz w:val="22"/>
          <w:szCs w:val="22"/>
          <w:lang w:val="es-ES"/>
        </w:rPr>
        <w:t>nueve</w:t>
      </w:r>
      <w:r w:rsidR="006B443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DD53F8" w:rsidRPr="00E50FDE">
        <w:rPr>
          <w:rFonts w:ascii="Times New Roman" w:hAnsi="Times New Roman" w:cs="Times New Roman"/>
          <w:sz w:val="22"/>
          <w:szCs w:val="22"/>
          <w:lang w:val="es-ES"/>
        </w:rPr>
        <w:t>Entidades Federativas (</w:t>
      </w:r>
      <w:r w:rsidR="00951A6F" w:rsidRPr="00E50FDE">
        <w:rPr>
          <w:rFonts w:ascii="Times New Roman" w:hAnsi="Times New Roman" w:cs="Times New Roman"/>
          <w:sz w:val="22"/>
          <w:szCs w:val="22"/>
          <w:lang w:val="es-ES"/>
        </w:rPr>
        <w:t>EF</w:t>
      </w:r>
      <w:r w:rsidR="00DD53F8" w:rsidRPr="00E50FDE">
        <w:rPr>
          <w:rFonts w:ascii="Times New Roman" w:hAnsi="Times New Roman" w:cs="Times New Roman"/>
          <w:sz w:val="22"/>
          <w:szCs w:val="22"/>
          <w:lang w:val="es-ES"/>
        </w:rPr>
        <w:t>)</w:t>
      </w:r>
      <w:r w:rsidR="00951A6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6B443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del país 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>no</w:t>
      </w:r>
      <w:r w:rsidR="00951A6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1E11DB" w:rsidRPr="00E50FDE">
        <w:rPr>
          <w:rFonts w:ascii="Times New Roman" w:hAnsi="Times New Roman" w:cs="Times New Roman"/>
          <w:sz w:val="22"/>
          <w:szCs w:val="22"/>
          <w:lang w:val="es-ES"/>
        </w:rPr>
        <w:t>implementan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el Protocolo Alba</w:t>
      </w:r>
      <w:r w:rsidR="00951A6F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"/>
      </w:r>
      <w:r w:rsidR="00951A6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A904E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Dos de esas nueve EF </w:t>
      </w:r>
      <w:r w:rsidR="00951A6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se encuentran en proceso de </w:t>
      </w:r>
      <w:r w:rsidR="00A904EF" w:rsidRPr="00E50FDE">
        <w:rPr>
          <w:rFonts w:ascii="Times New Roman" w:hAnsi="Times New Roman" w:cs="Times New Roman"/>
          <w:sz w:val="22"/>
          <w:szCs w:val="22"/>
          <w:lang w:val="es-ES"/>
        </w:rPr>
        <w:t>adoptarlo.</w:t>
      </w:r>
      <w:r w:rsidR="00951A6F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3"/>
      </w:r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6E278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Tres EF </w:t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no han instalado el </w:t>
      </w:r>
      <w:r w:rsidR="001E11DB" w:rsidRPr="00E50FDE">
        <w:rPr>
          <w:rFonts w:ascii="Times New Roman" w:hAnsi="Times New Roman" w:cs="Times New Roman"/>
          <w:sz w:val="22"/>
          <w:szCs w:val="22"/>
          <w:lang w:val="es-ES"/>
        </w:rPr>
        <w:t>G</w:t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rupo </w:t>
      </w:r>
      <w:r w:rsidR="001E11DB" w:rsidRPr="00E50FDE">
        <w:rPr>
          <w:rFonts w:ascii="Times New Roman" w:hAnsi="Times New Roman" w:cs="Times New Roman"/>
          <w:sz w:val="22"/>
          <w:szCs w:val="22"/>
          <w:lang w:val="es-ES"/>
        </w:rPr>
        <w:t>T</w:t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écnico de </w:t>
      </w:r>
      <w:r w:rsidR="001E11DB" w:rsidRPr="00E50FDE">
        <w:rPr>
          <w:rFonts w:ascii="Times New Roman" w:hAnsi="Times New Roman" w:cs="Times New Roman"/>
          <w:sz w:val="22"/>
          <w:szCs w:val="22"/>
          <w:lang w:val="es-ES"/>
        </w:rPr>
        <w:t>C</w:t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olaboración, sin el cual la implementación efectiva del </w:t>
      </w:r>
      <w:r w:rsidR="00841F22" w:rsidRPr="00E50FDE">
        <w:rPr>
          <w:rFonts w:ascii="Times New Roman" w:hAnsi="Times New Roman" w:cs="Times New Roman"/>
          <w:sz w:val="22"/>
          <w:szCs w:val="22"/>
          <w:lang w:val="es-ES"/>
        </w:rPr>
        <w:t>P</w:t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>rotocolo se ve seriamente comprometida</w:t>
      </w:r>
      <w:r w:rsidR="006E4526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4"/>
      </w:r>
      <w:r w:rsidR="006E4526" w:rsidRPr="00E50FDE">
        <w:rPr>
          <w:rFonts w:ascii="Times New Roman" w:hAnsi="Times New Roman" w:cs="Times New Roman"/>
          <w:sz w:val="22"/>
          <w:szCs w:val="22"/>
          <w:lang w:val="es-ES"/>
        </w:rPr>
        <w:t>. A</w:t>
      </w:r>
      <w:r w:rsidR="00B654B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lgunas de las EF que 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>no</w:t>
      </w:r>
      <w:r w:rsidR="00B654B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han adoptado el Protocolo Alba, implementan otros protocolos de búsqueda</w:t>
      </w:r>
      <w:r w:rsidR="00310B95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224326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5"/>
      </w:r>
      <w:r w:rsidR="00310B9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0C61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En cuanto a la Alerta </w:t>
      </w:r>
      <w:proofErr w:type="spellStart"/>
      <w:r w:rsidR="000C61C9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="000C61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solo Baja California Sur reporta no </w:t>
      </w:r>
      <w:r w:rsidR="00892518" w:rsidRPr="00E50FDE">
        <w:rPr>
          <w:rFonts w:ascii="Times New Roman" w:hAnsi="Times New Roman" w:cs="Times New Roman"/>
          <w:sz w:val="22"/>
          <w:szCs w:val="22"/>
          <w:lang w:val="es-ES"/>
        </w:rPr>
        <w:t>activarla</w:t>
      </w:r>
      <w:r w:rsidR="000C61C9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</w:p>
    <w:p w14:paraId="03CF0DD5" w14:textId="77777777" w:rsidR="005D5AC9" w:rsidRPr="00E50FDE" w:rsidRDefault="005D5AC9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F30100D" w14:textId="083A0BDF" w:rsidR="00AE10F6" w:rsidRPr="00E50FDE" w:rsidRDefault="005D5AC9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Además de la falta de implementación nacional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125644" w:rsidRPr="00E50FDE">
        <w:rPr>
          <w:rFonts w:ascii="Times New Roman" w:hAnsi="Times New Roman" w:cs="Times New Roman"/>
          <w:sz w:val="22"/>
          <w:szCs w:val="22"/>
          <w:lang w:val="es-ES"/>
        </w:rPr>
        <w:t>del Protocolo,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se observan </w:t>
      </w:r>
      <w:r w:rsidR="00FC6FAD" w:rsidRPr="00E50FDE">
        <w:rPr>
          <w:rFonts w:ascii="Times New Roman" w:hAnsi="Times New Roman" w:cs="Times New Roman"/>
          <w:sz w:val="22"/>
          <w:szCs w:val="22"/>
          <w:lang w:val="es-ES"/>
        </w:rPr>
        <w:t>también discrepancias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cuanto a 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>su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activación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implementación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a su coordinación con la Alerta </w:t>
      </w:r>
      <w:proofErr w:type="spellStart"/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Lo anterior muestra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como se señala a continuación, </w:t>
      </w:r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que aún no existe en el país armonización en cuanto a los procedimientos para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>la</w:t>
      </w:r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activación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del Protocolo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 de la Alerta 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 que los procedimientos de búsqueda de mujeres </w:t>
      </w:r>
      <w:r w:rsidR="00FE6B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 niñas 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desaparecidas </w:t>
      </w:r>
      <w:r w:rsidR="00B96DF8" w:rsidRPr="00E50FDE">
        <w:rPr>
          <w:rFonts w:ascii="Times New Roman" w:hAnsi="Times New Roman" w:cs="Times New Roman"/>
          <w:sz w:val="22"/>
          <w:szCs w:val="22"/>
          <w:lang w:val="es-ES"/>
        </w:rPr>
        <w:t>no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son</w:t>
      </w:r>
      <w:r w:rsidR="00D702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homogéneos ni</w:t>
      </w:r>
      <w:r w:rsidR="008A2AA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ágiles</w:t>
      </w:r>
      <w:r w:rsidR="008B02A4" w:rsidRPr="00E50FDE">
        <w:rPr>
          <w:rFonts w:ascii="Times New Roman" w:hAnsi="Times New Roman" w:cs="Times New Roman"/>
          <w:sz w:val="22"/>
          <w:szCs w:val="22"/>
          <w:lang w:val="es-ES"/>
        </w:rPr>
        <w:t>. Esto trae</w:t>
      </w:r>
      <w:r w:rsidR="00907C2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>omo consecuencia</w:t>
      </w:r>
      <w:r w:rsidR="00907C2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>la protección desigual de las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niñas contra la desaparición en el país. </w:t>
      </w:r>
    </w:p>
    <w:p w14:paraId="1615A300" w14:textId="77777777" w:rsidR="00AE10F6" w:rsidRPr="00E50FDE" w:rsidRDefault="00AE10F6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4031F305" w14:textId="6879C38C" w:rsidR="00310B95" w:rsidRPr="00E50FDE" w:rsidRDefault="00BA036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I</w:t>
      </w:r>
      <w:r w:rsidR="00B654BB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ntegración del </w:t>
      </w:r>
      <w:r w:rsidR="002E6AE4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P</w:t>
      </w:r>
      <w:r w:rsidR="00B654BB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rotocolo </w:t>
      </w:r>
      <w:r w:rsidR="005D5AC9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Alba</w:t>
      </w:r>
    </w:p>
    <w:p w14:paraId="2911C7F7" w14:textId="377B256D" w:rsidR="00CA73E3" w:rsidRPr="00E50FDE" w:rsidRDefault="00B654BB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En la mayoría de las EF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Protocolo se integra de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tres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fases: 1) </w:t>
      </w:r>
      <w:r w:rsidR="00304985" w:rsidRPr="00E50FDE">
        <w:rPr>
          <w:rFonts w:ascii="Times New Roman" w:hAnsi="Times New Roman" w:cs="Times New Roman"/>
          <w:sz w:val="22"/>
          <w:szCs w:val="22"/>
          <w:lang w:val="es-ES"/>
        </w:rPr>
        <w:t>Recepción de la denuncia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 </w:t>
      </w:r>
      <w:r w:rsidR="0030498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reporte de la desaparición y/o no localización, apertura de la carpeta de investigación y realización de diligencias de búsqueda inmediata; 2) Solicitud de </w:t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colaboración a diversas autoridades para profundizar </w:t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las acciones de búsqueda e investigación; 3) Continuación de la investigación por hechos probablemente constitutivos de delitos</w:t>
      </w:r>
      <w:r w:rsidR="00BA0360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6"/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En otras EF la integración es distinta: </w:t>
      </w:r>
      <w:r w:rsidR="00CA73E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Ciudad de México y Sinaloa, si bien siguen la lógica de las primeras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dos</w:t>
      </w:r>
      <w:r w:rsidR="00CA73E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fases, establecen como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tercera</w:t>
      </w:r>
      <w:r w:rsidR="00CA73E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fase la desactivación de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l Protocolo</w:t>
      </w:r>
      <w:r w:rsidR="00CA73E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cuando se localiza a la persona desaparecida, siendo hasta entonces cuando se inician las investigaciones por la posible comisión de un delito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Colima integra el Protocolo con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dos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fases únicamente, en la primera se realizan ‘diligencias urgentes’ de búsqueda durante las primeras 12 horas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>en la segunda se realizan ‘diligencias inmediatas’, cuyo propósito es profundizar en la estrategia de búsqueda y localización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>Querétaro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>, Quintana Roo, Tabasco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el Estado de México establecen una fase específica para la difusión de la cédula 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o ficha </w:t>
      </w:r>
      <w:r w:rsidR="003A1204" w:rsidRPr="00E50FDE">
        <w:rPr>
          <w:rFonts w:ascii="Times New Roman" w:hAnsi="Times New Roman" w:cs="Times New Roman"/>
          <w:sz w:val="22"/>
          <w:szCs w:val="22"/>
          <w:lang w:val="es-ES"/>
        </w:rPr>
        <w:t>de búsqueda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Querétaro </w:t>
      </w:r>
      <w:r w:rsidR="00875E0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implementa una primera fase previa a la activación del protocolo e inicio de la carpeta de investigación, consistente en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>el rastreo y búsqueda de registros de la víctima en el Departamento de Localización Telefónica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El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Estado de México sigue un procedimiento particular</w:t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: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>luego de recibir la denuncia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reporte de la desaparición, 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Ministerio Público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>gira oficio a la Coordinación ODISEA para que elabor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 </w:t>
      </w:r>
      <w:r w:rsidR="008E7F4B" w:rsidRPr="00E50FDE">
        <w:rPr>
          <w:rFonts w:ascii="Times New Roman" w:hAnsi="Times New Roman" w:cs="Times New Roman"/>
          <w:sz w:val="22"/>
          <w:szCs w:val="22"/>
          <w:lang w:val="es-ES"/>
        </w:rPr>
        <w:t>la cédula de búsqueda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>, la cual es posteriormente difundida en redes sociales y grupos de búsqueda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FF5BC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Tabasco incluye como fases específicas la adopción de medidas de protección, el consentimiento del entrevistado para difundir la ficha de búsqueda y la evaluación de riesgos que pudiera enfrentar la víctima.  </w:t>
      </w:r>
    </w:p>
    <w:p w14:paraId="4C82388A" w14:textId="3ABFF028" w:rsidR="003A1204" w:rsidRPr="00E50FDE" w:rsidRDefault="003A1204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548B9274" w14:textId="1A014EB0" w:rsidR="00160F9E" w:rsidRPr="00E50FDE" w:rsidRDefault="00BA036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M</w:t>
      </w:r>
      <w:r w:rsidR="00160F9E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omento de activación del Protocolo Alba</w:t>
      </w:r>
    </w:p>
    <w:p w14:paraId="2CA07436" w14:textId="13A497ED" w:rsidR="00A8137A" w:rsidRPr="00E50FDE" w:rsidRDefault="005D1A1B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mayoría de las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>EF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activan el Protocolo inmediatamente después de recibida la noticia o denuncia de la desaparición y/o no localización de una mujer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niña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Difieren de esta práctica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e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>l Estado de México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, activándolo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después de que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el Ministerio Público gira oficio a la coordinación de ODI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 xml:space="preserve">SEA para la elaboración de la cédula de búsqueda; </w:t>
      </w:r>
      <w:r w:rsidR="00FF56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Querétaro lo activa después de haber solicitado el rastreo y </w:t>
      </w:r>
      <w:r w:rsidR="0039604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búsqueda de registros de la víctima en el Departamento de Localización Telefónica </w:t>
      </w:r>
      <w:r w:rsidR="00FF5632" w:rsidRPr="00E50FDE">
        <w:rPr>
          <w:rFonts w:ascii="Times New Roman" w:hAnsi="Times New Roman" w:cs="Times New Roman"/>
          <w:sz w:val="22"/>
          <w:szCs w:val="22"/>
          <w:lang w:val="es-ES"/>
        </w:rPr>
        <w:t>sin haber obtenido resultado</w:t>
      </w:r>
      <w:r w:rsidR="0039604A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FF56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favorable</w:t>
      </w:r>
      <w:r w:rsidR="0039604A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FF56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A8137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Sinaloa lo activa dentro de las primeras 12 horas después de recibida la denuncia, noticia o reporte de la desaparición, y; Puebla lo activa después de 24 horas, dentro de la fase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dos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del protocolo</w:t>
      </w:r>
      <w:r w:rsidR="000E6EF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14E06C10" w14:textId="22EC35B0" w:rsidR="00A8137A" w:rsidRPr="00E50FDE" w:rsidRDefault="00A8137A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54F90B4A" w14:textId="27FE4CC8" w:rsidR="00160F9E" w:rsidRPr="00E50FDE" w:rsidRDefault="00BA036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C</w:t>
      </w:r>
      <w:r w:rsidR="00B654BB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riterios </w:t>
      </w: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de </w:t>
      </w:r>
      <w:r w:rsidR="00B654BB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activa</w:t>
      </w: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ción d</w:t>
      </w:r>
      <w:r w:rsidR="000573F6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el Protocolo Alba</w:t>
      </w:r>
    </w:p>
    <w:p w14:paraId="687DA8C1" w14:textId="4985B93C" w:rsidR="00F14D15" w:rsidRPr="00E50FDE" w:rsidRDefault="000573F6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Aunque la mayoría </w:t>
      </w:r>
      <w:r w:rsidR="000744A9" w:rsidRPr="00E50FDE">
        <w:rPr>
          <w:rFonts w:ascii="Times New Roman" w:hAnsi="Times New Roman" w:cs="Times New Roman"/>
          <w:sz w:val="22"/>
          <w:szCs w:val="22"/>
          <w:lang w:val="es-ES"/>
        </w:rPr>
        <w:t>de las EF activa el Protocolo en todo caso de desaparición de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y/o </w:t>
      </w:r>
      <w:r w:rsidR="00892518" w:rsidRPr="00E50FDE">
        <w:rPr>
          <w:rFonts w:ascii="Times New Roman" w:hAnsi="Times New Roman" w:cs="Times New Roman"/>
          <w:sz w:val="22"/>
          <w:szCs w:val="22"/>
          <w:lang w:val="es-ES"/>
        </w:rPr>
        <w:t>niñas, algunas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EF han establecido requisitos adicionales para su activación. </w:t>
      </w:r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En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Chiapas no procede la activación del protocolo cuando existe una denuncia o reporte por la no localización y/o desaparición de una mujer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niña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ya que 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para ello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existe el programa de difusión de personas desaparecidas 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y/o no localizadas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denominado “has visto a?”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>; Por el contrario, Veracruz no activa el Protocolo cuando se trat</w:t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t>a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un delito diferente al de desaparición forzada o desaparición cometida por particulares.</w:t>
      </w:r>
      <w:r w:rsidR="00907C2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Yucatán y </w:t>
      </w:r>
      <w:r w:rsidR="00AE10F6"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a Ciudad de México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no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activan el Protocolo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cuando considera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n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que debido a la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>difusión de la alerta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se coloca en situación de riesgo a la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>persona desaparecida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y/o no localizada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A30B4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Quintana Roo no </w:t>
      </w:r>
      <w:r w:rsidR="00E17E03" w:rsidRPr="00E50FDE">
        <w:rPr>
          <w:rFonts w:ascii="Times New Roman" w:hAnsi="Times New Roman" w:cs="Times New Roman"/>
          <w:sz w:val="22"/>
          <w:szCs w:val="22"/>
          <w:lang w:val="es-ES"/>
        </w:rPr>
        <w:t>lo activa</w:t>
      </w:r>
      <w:r w:rsidR="00A30B4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cuando de las investigaciones se deriv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a</w:t>
      </w:r>
      <w:r w:rsidR="00A30B4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que la persona está bajo una medida de protección. Guerrero establece requisitos específicos para su activació</w:t>
      </w:r>
      <w:r w:rsidR="00BA0360" w:rsidRPr="00E50FDE">
        <w:rPr>
          <w:rFonts w:ascii="Times New Roman" w:hAnsi="Times New Roman" w:cs="Times New Roman"/>
          <w:sz w:val="22"/>
          <w:szCs w:val="22"/>
          <w:lang w:val="es-ES"/>
        </w:rPr>
        <w:t>n, relacionados con el perfil de la víctima (que sea mayor de edad y que pertenezca a algún grupo vulnerable)</w:t>
      </w:r>
      <w:r w:rsidR="00424C7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las circunstancias de la desaparición (que se suscite en colonia de la periferia, al salir del trabajo, etc</w:t>
      </w:r>
      <w:r w:rsidR="00F14D15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424C7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), a partir de los cuales se infiera que la víctima se encuentra en una situación de peligro inminente. En </w:t>
      </w:r>
      <w:r w:rsidR="00A30B4A" w:rsidRPr="00E50FDE">
        <w:rPr>
          <w:rFonts w:ascii="Times New Roman" w:hAnsi="Times New Roman" w:cs="Times New Roman"/>
          <w:sz w:val="22"/>
          <w:szCs w:val="22"/>
          <w:lang w:val="es-ES"/>
        </w:rPr>
        <w:t>Querétaro y Yucatán</w:t>
      </w:r>
      <w:r w:rsidR="00424C7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F14D15" w:rsidRPr="00E50FDE">
        <w:rPr>
          <w:rFonts w:ascii="Times New Roman" w:hAnsi="Times New Roman" w:cs="Times New Roman"/>
          <w:sz w:val="22"/>
          <w:szCs w:val="22"/>
          <w:lang w:val="es-ES"/>
        </w:rPr>
        <w:t>el Protocolo no se activa cuando: se trata de un problema meramente familiar, la persona desaparecida y/o no localizada mantiene comunicación con familiares y/o amigos o se encuentra con persona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F14D1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con quienes tenga una relación cercana, se trate de ausencias voluntarias o conductas reincidentes, y/o en cualquier otra situación en la que no sea latente una situación de riesgo. </w:t>
      </w:r>
    </w:p>
    <w:p w14:paraId="2B80EC43" w14:textId="77777777" w:rsidR="00F14D15" w:rsidRPr="00E50FDE" w:rsidRDefault="00F14D15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4FFDAE9D" w14:textId="09722904" w:rsidR="00160F9E" w:rsidRPr="00E50FDE" w:rsidRDefault="00BA036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lastRenderedPageBreak/>
        <w:t>F</w:t>
      </w:r>
      <w:r w:rsidR="00160F9E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ormas de comunicación entre</w:t>
      </w:r>
      <w:r w:rsidR="00C61958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 el Ministerio Público y las autoridades colaboradoras</w:t>
      </w:r>
    </w:p>
    <w:p w14:paraId="05E9CA44" w14:textId="17E8568F" w:rsidR="00285028" w:rsidRPr="00E50FDE" w:rsidRDefault="0028502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Para la búsqueda de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niñas desaparecidas y/o no localizadas la comunicación debe ser rápida y efectiva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362DB7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in embargo, </w:t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algunas EF 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>entablan</w:t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comunicaciones únicamente por escrito y por oficio, ya </w:t>
      </w:r>
      <w:r w:rsidR="004061E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sea </w:t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>de manera física o por mail</w:t>
      </w:r>
      <w:r w:rsidR="00E15914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7"/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mientras que otras 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>hacen</w:t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uso de vías económicas de comunicación como llamadas, mensajes y redes sociales - en adición a las comunicaciones formales por oficio – para favorecer la celeridad de las comunicaciones</w:t>
      </w:r>
      <w:r w:rsidR="00E15914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8"/>
      </w:r>
      <w:r w:rsidR="00E159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608F55FE" w14:textId="079F50C2" w:rsidR="005D1A1B" w:rsidRPr="00E50FDE" w:rsidRDefault="0028502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010AC195" w14:textId="7F882453" w:rsidR="00160F9E" w:rsidRPr="00E50FDE" w:rsidRDefault="00BA036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C</w:t>
      </w:r>
      <w:r w:rsidR="00160F9E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oordinación </w:t>
      </w:r>
      <w:r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 xml:space="preserve">para </w:t>
      </w:r>
      <w:r w:rsidR="00160F9E" w:rsidRPr="00E50FDE">
        <w:rPr>
          <w:rFonts w:ascii="Times New Roman" w:hAnsi="Times New Roman" w:cs="Times New Roman"/>
          <w:sz w:val="22"/>
          <w:szCs w:val="22"/>
          <w:u w:val="single"/>
          <w:lang w:val="es-ES"/>
        </w:rPr>
        <w:t>la implementación de protocolos de búsqueda</w:t>
      </w:r>
    </w:p>
    <w:p w14:paraId="0BE24FC3" w14:textId="182423EA" w:rsidR="00562B6C" w:rsidRPr="00E50FDE" w:rsidRDefault="0028502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coordinación </w:t>
      </w:r>
      <w:r w:rsidR="00362DB7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para la implementación del Protocolo Alba y la Alerta </w:t>
      </w:r>
      <w:proofErr w:type="spellStart"/>
      <w:r w:rsidR="00362DB7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tampoco es homogénea en el país.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</w:t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lgunas EF señalan que no pueden implementarse </w:t>
      </w:r>
      <w:r w:rsidR="00362DB7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ambos mecanismos de búsqueda </w:t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>de manera simultánea</w:t>
      </w:r>
      <w:r w:rsidR="000C61C9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9"/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>,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pero </w:t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>otras señalan que pueden coexistir sin problema, activando ambos en el caso de desaparición y/o no localización de niñas</w:t>
      </w:r>
      <w:r w:rsidR="00C34F6B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0C61C9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0"/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aquellas EF que activan ambos mecanismos de manera simultánea, la mayoría activa primero el Protocolo Alba y luego evalúa la necesidad y el riesgo de activar la Alerta </w:t>
      </w:r>
      <w:proofErr w:type="spellStart"/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="000C61C9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1"/>
      </w:r>
      <w:r w:rsidR="007522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7EABB80E" w14:textId="77777777" w:rsidR="00562B6C" w:rsidRPr="00E50FDE" w:rsidRDefault="00562B6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7A8C33BE" w14:textId="331BF8B0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Mitigación de riesgos asociados con la desaparición de mujeres y niñas</w:t>
      </w:r>
    </w:p>
    <w:p w14:paraId="67506CA6" w14:textId="77777777" w:rsidR="00C61958" w:rsidRPr="00E50FDE" w:rsidRDefault="00C6195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44A63BC" w14:textId="5947ED9E" w:rsidR="001864DA" w:rsidRPr="00E50FDE" w:rsidRDefault="00160F9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E</w:t>
      </w:r>
      <w:r w:rsidR="00CD66A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 </w:t>
      </w:r>
      <w:r w:rsidR="00C6195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importante </w:t>
      </w:r>
      <w:r w:rsidR="00CD66A3" w:rsidRPr="00E50FDE">
        <w:rPr>
          <w:rFonts w:ascii="Times New Roman" w:hAnsi="Times New Roman" w:cs="Times New Roman"/>
          <w:sz w:val="22"/>
          <w:szCs w:val="22"/>
          <w:lang w:val="es-ES"/>
        </w:rPr>
        <w:t>contar con información acerca de los perfiles de las víctimas</w:t>
      </w:r>
      <w:r w:rsidR="00C6195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="00CD66A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los sitios de desaparición y localización de la desaparición, para poder diseñar medidas de prevención y reducir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>no solo los riesgos asociados, sino también l</w:t>
      </w:r>
      <w:r w:rsidR="00CD66A3" w:rsidRPr="00E50FDE">
        <w:rPr>
          <w:rFonts w:ascii="Times New Roman" w:hAnsi="Times New Roman" w:cs="Times New Roman"/>
          <w:sz w:val="22"/>
          <w:szCs w:val="22"/>
          <w:lang w:val="es-ES"/>
        </w:rPr>
        <w:t>as desapariciones de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niñas</w:t>
      </w:r>
      <w:r w:rsidR="00CD66A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>No</w:t>
      </w:r>
      <w:r w:rsidR="003F1B7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todas 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las EF </w:t>
      </w:r>
      <w:r w:rsidR="003F1B7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desglosan información sobre edad y sexo de la víctima, </w:t>
      </w:r>
      <w:r w:rsidR="00ED015C" w:rsidRPr="00E50FDE">
        <w:rPr>
          <w:rFonts w:ascii="Times New Roman" w:hAnsi="Times New Roman" w:cs="Times New Roman"/>
          <w:sz w:val="22"/>
          <w:szCs w:val="22"/>
          <w:lang w:val="es-ES"/>
        </w:rPr>
        <w:t>ni registran</w:t>
      </w:r>
      <w:r w:rsidR="003F1B7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el municipio de la desaparición y/o localización. 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>Solo once EF desglosan la edad, sexo y municipio de desaparición de la víctima</w:t>
      </w:r>
      <w:r w:rsidR="005F4164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2"/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>siete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EF desglosan la edad y/o sexo y/o municipio</w:t>
      </w:r>
      <w:r w:rsidR="000F68E0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3"/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y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>c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uatro EF solo informan sobre el número de personas desaparecidas y/o localizadas, sin desglosar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ni la 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edad,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ni el 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>sexo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ni el 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>municipio de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la</w:t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desaparición</w:t>
      </w:r>
      <w:r w:rsidR="005F4164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4"/>
      </w:r>
      <w:r w:rsidR="005F4164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6983BED9" w14:textId="77777777" w:rsidR="000F68E0" w:rsidRPr="00E50FDE" w:rsidRDefault="000F68E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94EE7F3" w14:textId="6FD97F2E" w:rsidR="000852D8" w:rsidRPr="00E50FDE" w:rsidRDefault="00C6195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La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información acerca de los municipios 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>desaparición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localización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 importante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para 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poder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identificar 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posibles 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patrones de movilización de las víctimas 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>con</w:t>
      </w:r>
      <w:r w:rsidR="000F68E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fines de 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explotación sexual y/o trabajo forzoso, así como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posibles estructuras o redes criminales relacionadas. Al respecto, solo </w:t>
      </w:r>
      <w:r w:rsidR="006D5070" w:rsidRPr="00E50FDE">
        <w:rPr>
          <w:rFonts w:ascii="Times New Roman" w:hAnsi="Times New Roman" w:cs="Times New Roman"/>
          <w:sz w:val="22"/>
          <w:szCs w:val="22"/>
          <w:lang w:val="es-ES"/>
        </w:rPr>
        <w:t>cinco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EF proporcionan información detallada del lugar de la desaparición y el lugar de la localización</w:t>
      </w:r>
      <w:r w:rsidR="00E64B3E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5"/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>;</w:t>
      </w:r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otras </w:t>
      </w:r>
      <w:r w:rsidR="006D5070" w:rsidRPr="00E50FDE">
        <w:rPr>
          <w:rFonts w:ascii="Times New Roman" w:hAnsi="Times New Roman" w:cs="Times New Roman"/>
          <w:sz w:val="22"/>
          <w:szCs w:val="22"/>
          <w:lang w:val="es-ES"/>
        </w:rPr>
        <w:t>cuatro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EF </w:t>
      </w:r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manifiestan no poder </w:t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>proporcionar esta información ya que no sistematizan la información bajo estos rubros</w:t>
      </w:r>
      <w:r w:rsidR="00E64B3E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6"/>
      </w:r>
      <w:r w:rsidR="00E64B3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 </w:t>
      </w:r>
    </w:p>
    <w:p w14:paraId="18525B0E" w14:textId="77777777" w:rsidR="006617A0" w:rsidRPr="00E50FDE" w:rsidRDefault="006617A0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4D1A0CFA" w14:textId="6D12BB14" w:rsidR="004164BD" w:rsidRPr="00E50FDE" w:rsidRDefault="000852D8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COVID</w:t>
      </w:r>
      <w:r w:rsidR="006617A0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-19 y Búsqueda de mujeres</w:t>
      </w:r>
      <w:r w:rsidR="00FC0C6C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 y </w:t>
      </w:r>
      <w:r w:rsidR="006617A0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niñas</w:t>
      </w:r>
    </w:p>
    <w:p w14:paraId="2AD0E346" w14:textId="5997A684" w:rsidR="00540481" w:rsidRPr="00E50FDE" w:rsidRDefault="00540481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</w:p>
    <w:p w14:paraId="7C244CA2" w14:textId="7D557CE9" w:rsidR="002A1FA7" w:rsidRPr="00E50FDE" w:rsidRDefault="00540481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En México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las acciones de búsqueda e investigación son consideradas actividades esenciales, por lo que formalmente no fueron suspendidas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con 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motivo de la pandemia por COVID-19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, 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in embargo, sí se observaron complicaciones para llevar a cabo estas labores. </w:t>
      </w:r>
      <w:r w:rsidR="00302753"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Ciudad de México y </w:t>
      </w:r>
      <w:r w:rsidR="00841F22" w:rsidRPr="00E50FDE">
        <w:rPr>
          <w:rFonts w:ascii="Times New Roman" w:hAnsi="Times New Roman" w:cs="Times New Roman"/>
          <w:sz w:val="22"/>
          <w:szCs w:val="22"/>
          <w:lang w:val="es-ES"/>
        </w:rPr>
        <w:t>el Estado de México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manifestaron experimentar dificultades para realizar acciones de búsqueda</w:t>
      </w:r>
      <w:r w:rsidR="00841F22" w:rsidRPr="00E50FDE">
        <w:rPr>
          <w:rFonts w:ascii="Times New Roman" w:hAnsi="Times New Roman" w:cs="Times New Roman"/>
          <w:sz w:val="22"/>
          <w:szCs w:val="22"/>
          <w:lang w:val="es-ES"/>
        </w:rPr>
        <w:t>,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ya que</w:t>
      </w:r>
      <w:r w:rsidR="00841F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derivado de las recomendaciones de salud y la modalidad de “trabajo en casa”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se cuenta con menor personal </w:t>
      </w:r>
      <w:r w:rsidR="00841F22" w:rsidRPr="00E50FDE">
        <w:rPr>
          <w:rFonts w:ascii="Times New Roman" w:hAnsi="Times New Roman" w:cs="Times New Roman"/>
          <w:sz w:val="22"/>
          <w:szCs w:val="22"/>
          <w:lang w:val="es-ES"/>
        </w:rPr>
        <w:t>para realizar diligencias y las colaboraciones con diversas autoridades se han retrasado.</w:t>
      </w:r>
    </w:p>
    <w:p w14:paraId="742E5460" w14:textId="77777777" w:rsidR="00E375AB" w:rsidRPr="00E50FDE" w:rsidRDefault="00E375AB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3EA3988" w14:textId="77777777" w:rsidR="00786C44" w:rsidRPr="00E50FDE" w:rsidRDefault="00786C44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84CC58C" w14:textId="3097E654" w:rsidR="004164BD" w:rsidRPr="00E50FDE" w:rsidRDefault="006D5070" w:rsidP="00E50FDE">
      <w:pPr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 xml:space="preserve">PÁRRAFO 24, </w:t>
      </w:r>
      <w:r w:rsidR="002A1FA7"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>e</w:t>
      </w:r>
      <w:r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>)</w:t>
      </w:r>
    </w:p>
    <w:p w14:paraId="775CBDF0" w14:textId="5705902F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B794A1F" w14:textId="17AF9C56" w:rsidR="007A4E89" w:rsidRPr="00E50FDE" w:rsidRDefault="003F3260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Evaluación de impacto</w:t>
      </w:r>
    </w:p>
    <w:p w14:paraId="47C020AE" w14:textId="0F926193" w:rsidR="007A4E89" w:rsidRPr="00E50FDE" w:rsidRDefault="007A4E89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E52FD6B" w14:textId="21CFC99C" w:rsidR="00D411BD" w:rsidRPr="00E50FDE" w:rsidRDefault="00160F9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La falta de regulación del proceso de implementación y evaluación de la A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>lerta por Violencia de Género contra las Mujeres (</w:t>
      </w:r>
      <w:proofErr w:type="spellStart"/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>AVGMs</w:t>
      </w:r>
      <w:proofErr w:type="spellEnd"/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>)</w:t>
      </w:r>
      <w:r w:rsidR="00F8292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en la </w:t>
      </w:r>
      <w:r w:rsidR="00C6195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ley General de Acceso a las Mujeres a una Vida Libre de Violencia (LGAMVLV)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constituye uno de los principales obstáculos para evaluar el cumplimiento </w:t>
      </w:r>
      <w:r w:rsidR="00E50FDE" w:rsidRPr="00E50FDE">
        <w:rPr>
          <w:rFonts w:ascii="Times New Roman" w:hAnsi="Times New Roman" w:cs="Times New Roman"/>
          <w:sz w:val="22"/>
          <w:szCs w:val="22"/>
          <w:lang w:val="es-ES"/>
        </w:rPr>
        <w:t>e impacto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 las 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AVGMs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la reducción de la violencia contra las mujeres. Ni 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</w:t>
      </w:r>
      <w:r w:rsidR="00C6195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LGAMVLV 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>n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i 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>su reglamento establecen el procedimiento a seguir una vez dictada la declaratoria de AVGM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137D49CE" w14:textId="77777777" w:rsidR="00D411BD" w:rsidRPr="00E50FDE" w:rsidRDefault="00D411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77A6F530" w14:textId="466ABFC1" w:rsidR="000163D9" w:rsidRPr="00E50FDE" w:rsidRDefault="00160F9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En la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práctica, </w:t>
      </w:r>
      <w:r w:rsidR="00D411BD" w:rsidRPr="00E50FDE">
        <w:rPr>
          <w:rFonts w:ascii="Times New Roman" w:hAnsi="Times New Roman" w:cs="Times New Roman"/>
          <w:sz w:val="22"/>
          <w:szCs w:val="22"/>
          <w:lang w:val="es-ES"/>
        </w:rPr>
        <w:t>las EF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presentan su informe de cumplimiento al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Grupo Interinstitucional y Multidisciplinario (GIM)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>, quien se encarga de evaluar el nivel de cumplimiento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emitir </w:t>
      </w:r>
      <w:r w:rsidR="007D34B1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dictamen de evaluación correspondiente. </w:t>
      </w:r>
      <w:r w:rsidR="00D411BD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Pero cabe mencionar que esta práctica se ve limitada por la falta de presentación (o presentación incompleta/incorrecta) de informes de cumplimiento por parte de las EF. 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acuerdo con </w:t>
      </w:r>
      <w:r w:rsidR="002A1FA7" w:rsidRPr="00E50FDE">
        <w:rPr>
          <w:rFonts w:ascii="Times New Roman" w:hAnsi="Times New Roman" w:cs="Times New Roman"/>
          <w:sz w:val="22"/>
          <w:szCs w:val="22"/>
          <w:lang w:val="es-ES"/>
        </w:rPr>
        <w:t>la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CONAVIM, para julio 2020</w:t>
      </w:r>
      <w:r w:rsidR="002A1FA7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se habían presentado 17 informes de cumplimiento. De las 21 </w:t>
      </w:r>
      <w:proofErr w:type="spellStart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>AVGMs</w:t>
      </w:r>
      <w:proofErr w:type="spellEnd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declarada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se habían realizado solamente 12 dictámenes de evaluación para 9 </w:t>
      </w:r>
      <w:proofErr w:type="spellStart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>AVGMs</w:t>
      </w:r>
      <w:proofErr w:type="spellEnd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permaneciendo sin evaluar 12 de ellas. A su vez, la CONAVIM, a través de los </w:t>
      </w:r>
      <w:proofErr w:type="spellStart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>GIMs</w:t>
      </w:r>
      <w:proofErr w:type="spellEnd"/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instalados,</w:t>
      </w:r>
      <w:r w:rsidR="00FD61DD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>ha desarrollado la práctica de realizar eva</w:t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luaciones preliminares de los informes estatales, para dar tiempo a que éstos subsanen errores y así permitir la evaluación efectiva de las acciones implementadas</w:t>
      </w:r>
      <w:r w:rsidR="00FD61DD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7"/>
      </w:r>
      <w:r w:rsidR="000163D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6278E32F" w14:textId="77777777" w:rsidR="00FD61DD" w:rsidRPr="00E50FDE" w:rsidRDefault="00FD61DD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</w:p>
    <w:p w14:paraId="54FE2820" w14:textId="594292AF" w:rsidR="007A4E89" w:rsidRPr="00E50FDE" w:rsidRDefault="00FD61DD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Armonización y coordinación</w:t>
      </w:r>
    </w:p>
    <w:p w14:paraId="4593E5FB" w14:textId="04F17D69" w:rsidR="007A4E89" w:rsidRPr="00E50FDE" w:rsidRDefault="007A4E89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405A5BDE" w14:textId="2A1798B3" w:rsidR="00647D2A" w:rsidRPr="00E50FDE" w:rsidRDefault="00304985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os mecanismos de coordinación de las autoridades intervinientes en el proceso de implementación de la</w:t>
      </w:r>
      <w:r w:rsidR="00FD61DD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proofErr w:type="spellStart"/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AVGM</w:t>
      </w:r>
      <w:r w:rsidR="00FD61DD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="00FD61DD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no son homogéneos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De los Estados con </w:t>
      </w:r>
      <w:proofErr w:type="spellStart"/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AVGM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declaradas, algunos designan instituciones y/o autoridades estatales como mecanismos de coordinación</w:t>
      </w:r>
      <w:r w:rsidR="00E06312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8"/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, otr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>o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 se coordinan </w:t>
      </w:r>
      <w:r w:rsidR="00E0631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también 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través del </w:t>
      </w:r>
      <w:r w:rsidR="005B4CA0" w:rsidRPr="00E50FDE">
        <w:rPr>
          <w:rFonts w:ascii="Times New Roman" w:hAnsi="Times New Roman" w:cs="Times New Roman"/>
          <w:sz w:val="22"/>
          <w:szCs w:val="22"/>
          <w:lang w:val="es-ES"/>
        </w:rPr>
        <w:t>GIM</w:t>
      </w:r>
      <w:r w:rsidR="005B4CA0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19"/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,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otr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>o</w:t>
      </w:r>
      <w:r w:rsidR="005445BF" w:rsidRPr="00E50FDE">
        <w:rPr>
          <w:rFonts w:ascii="Times New Roman" w:hAnsi="Times New Roman" w:cs="Times New Roman"/>
          <w:sz w:val="22"/>
          <w:szCs w:val="22"/>
          <w:lang w:val="es-ES"/>
        </w:rPr>
        <w:t>s establecen mecanismos de seguimiento específicos</w:t>
      </w:r>
      <w:r w:rsidR="003B7CA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para la AVGM</w:t>
      </w:r>
      <w:r w:rsidR="005B4CA0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0"/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647D2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03345D05" w14:textId="672C48B1" w:rsidR="003E43B2" w:rsidRPr="00E50FDE" w:rsidRDefault="003E43B2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C7BD439" w14:textId="022541E5" w:rsidR="007A4E89" w:rsidRPr="00E50FDE" w:rsidRDefault="00304985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participación de las autoridades municipales en el diseño e implementación de los planes de trabajo para la implementación de las declaratorias de </w:t>
      </w:r>
      <w:proofErr w:type="spellStart"/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>AVGMs</w:t>
      </w:r>
      <w:proofErr w:type="spellEnd"/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se ve limitada dada la concentración de estas actividades 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en las autoridades estatales. 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>La CONAVIM h</w:t>
      </w:r>
      <w:r w:rsidR="003E43B2" w:rsidRPr="00E50FDE">
        <w:rPr>
          <w:rFonts w:ascii="Times New Roman" w:hAnsi="Times New Roman" w:cs="Times New Roman"/>
          <w:sz w:val="22"/>
          <w:szCs w:val="22"/>
          <w:lang w:val="es-ES"/>
        </w:rPr>
        <w:t>a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destinado 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esfuerzos para que los 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>m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unicipios sean involucrados en la implementación de las </w:t>
      </w:r>
      <w:proofErr w:type="spellStart"/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>AVGM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 xml:space="preserve">exhortándoles a 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>que desarrollen e implementen planes municipales de atención a la AVGM en armonía con el plan estatal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>. P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ara 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>tal fin, la</w:t>
      </w:r>
      <w:r w:rsidR="0059366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CONAVIM elaboró la guía para la elaboración de programas municipales para atender las AVGM</w:t>
      </w:r>
      <w:r w:rsidR="00C61958" w:rsidRPr="00E50FDE">
        <w:rPr>
          <w:rFonts w:ascii="Times New Roman" w:hAnsi="Times New Roman" w:cs="Times New Roman"/>
          <w:sz w:val="22"/>
          <w:szCs w:val="22"/>
          <w:lang w:val="es-ES"/>
        </w:rPr>
        <w:t>, s</w:t>
      </w:r>
      <w:r w:rsidR="00555FC9" w:rsidRPr="00E50FDE">
        <w:rPr>
          <w:rFonts w:ascii="Times New Roman" w:hAnsi="Times New Roman" w:cs="Times New Roman"/>
          <w:sz w:val="22"/>
          <w:szCs w:val="22"/>
          <w:lang w:val="es-ES"/>
        </w:rPr>
        <w:t>in embargo, d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total de 689 municipios con </w:t>
      </w:r>
      <w:proofErr w:type="spellStart"/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AVGM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declarada</w:t>
      </w:r>
      <w:r w:rsidR="00EC4795"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solo 82 han presentado su plan municipal de trabajo a la CONAVIM. </w:t>
      </w:r>
      <w:r w:rsidR="0028796C" w:rsidRPr="00E50FDE">
        <w:rPr>
          <w:rFonts w:ascii="Times New Roman" w:hAnsi="Times New Roman" w:cs="Times New Roman"/>
          <w:sz w:val="22"/>
          <w:szCs w:val="22"/>
          <w:lang w:val="es-ES"/>
        </w:rPr>
        <w:t>Únicamente los municipios alertados de los Estados de Michoacán, Puebla y Durango han presentado</w:t>
      </w:r>
      <w:r w:rsidR="00D7023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28796C" w:rsidRPr="00E50FDE">
        <w:rPr>
          <w:rFonts w:ascii="Times New Roman" w:hAnsi="Times New Roman" w:cs="Times New Roman"/>
          <w:sz w:val="22"/>
          <w:szCs w:val="22"/>
          <w:lang w:val="es-ES"/>
        </w:rPr>
        <w:t>sus planes municipales; del Estado de México y Jalisco solo un municipio de cada Estado ha presentado su plan municipal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; d</w:t>
      </w:r>
      <w:r w:rsidR="0028796C" w:rsidRPr="00E50FDE">
        <w:rPr>
          <w:rFonts w:ascii="Times New Roman" w:hAnsi="Times New Roman" w:cs="Times New Roman"/>
          <w:sz w:val="22"/>
          <w:szCs w:val="22"/>
          <w:lang w:val="es-ES"/>
        </w:rPr>
        <w:t>el resto de los Estados alertados, ningún municipio ha presentado su plan municipal.</w:t>
      </w:r>
      <w:r w:rsidR="00D47A2E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1"/>
      </w:r>
      <w:r w:rsidR="002879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3C91DA4F" w14:textId="4A0D30CA" w:rsidR="00F04C4C" w:rsidRPr="00E50FDE" w:rsidRDefault="00F04C4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3E016828" w14:textId="21E24724" w:rsidR="007A4E89" w:rsidRPr="00E50FDE" w:rsidRDefault="00A75D09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grado y forma de participación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 los municipios en la implementación de la A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V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GM también ha sido irregular. Algunas autoridades municipales 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participan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a través de procesos formativos y/o capacitación</w:t>
      </w:r>
      <w:r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2"/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</w:t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otras participan únicamente en la ejecución de los planes de trabajo a nivel municipal, no en su elaboración</w:t>
      </w:r>
      <w:r w:rsidR="00DE497D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3"/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>; y otras sí participan activamente, tanto en la elaboración como en la ejecución de los planes de trabajo para la implementación de las AVGM declaradas</w:t>
      </w:r>
      <w:r w:rsidR="00DE497D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4"/>
      </w:r>
      <w:r w:rsidR="008A633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00D000C8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06BE934" w14:textId="7B375398" w:rsidR="007A4E89" w:rsidRPr="00E50FDE" w:rsidRDefault="007A4E89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Participación de </w:t>
      </w:r>
      <w:proofErr w:type="spellStart"/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ONG</w:t>
      </w:r>
      <w:r w:rsidR="0089199E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s</w:t>
      </w:r>
      <w:proofErr w:type="spellEnd"/>
      <w:r w:rsidR="00BD261F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 / </w:t>
      </w:r>
      <w:proofErr w:type="spellStart"/>
      <w:r w:rsidR="00BD261F"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>OSCs</w:t>
      </w:r>
      <w:proofErr w:type="spellEnd"/>
      <w:r w:rsidRPr="00E50FDE">
        <w:rPr>
          <w:rFonts w:ascii="Times New Roman" w:hAnsi="Times New Roman" w:cs="Times New Roman"/>
          <w:b/>
          <w:bCs/>
          <w:sz w:val="22"/>
          <w:szCs w:val="22"/>
          <w:lang w:val="es-ES"/>
        </w:rPr>
        <w:t xml:space="preserve">, academia, defensoras y defensores de derechos humanos y perspectiva de género y mujeres víctimas de violencia. </w:t>
      </w:r>
    </w:p>
    <w:p w14:paraId="73A6A589" w14:textId="13B823E6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C0B243D" w14:textId="512EA31E" w:rsidR="0089199E" w:rsidRPr="00E50FDE" w:rsidRDefault="00F73D5F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CONAVIM,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 acuerdo con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la LGAMVLV, </w:t>
      </w:r>
      <w:r w:rsidR="00CD52D0" w:rsidRPr="00E50FDE">
        <w:rPr>
          <w:rFonts w:ascii="Times New Roman" w:hAnsi="Times New Roman" w:cs="Times New Roman"/>
          <w:sz w:val="22"/>
          <w:szCs w:val="22"/>
          <w:lang w:val="es-ES"/>
        </w:rPr>
        <w:t>señala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que 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participación de estos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actores sociales puede darse de la siguiente mane</w:t>
      </w:r>
      <w:r w:rsidR="00196114" w:rsidRPr="00E50FDE">
        <w:rPr>
          <w:rFonts w:ascii="Times New Roman" w:hAnsi="Times New Roman" w:cs="Times New Roman"/>
          <w:sz w:val="22"/>
          <w:szCs w:val="22"/>
          <w:lang w:val="es-ES"/>
        </w:rPr>
        <w:t>ra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: 1) Las </w:t>
      </w:r>
      <w:proofErr w:type="spellStart"/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>ONGs</w:t>
      </w:r>
      <w:proofErr w:type="spellEnd"/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pueden ser peticionarias de la AVGM; 2) E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xpertos y expertas de la academia pueden participar e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>n los grupos de trabajo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(GT)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y</w:t>
      </w:r>
      <w:r w:rsidR="00AA0FD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; 3)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Tanto 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ONGs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 xml:space="preserve">como víctimas pueden ser convocadas por los 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GIMs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para participar en sus sesiones y evaluar el cumplimiento de las medidas de la AVGM. </w:t>
      </w:r>
      <w:r w:rsidR="001961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Cabe mencionar que ni la LGAMVLV ni la CONAVIM se pronuncian sobre la participación de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defensores y defensoras de la perspectiva de género y los derechos humanos</w:t>
      </w:r>
      <w:r w:rsidR="00196114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el mecanismo de la AVGM. </w:t>
      </w:r>
      <w:r w:rsidR="00224326"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="0089199E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CONAVIM señala que la participación de estos actores sociales “puede llegar a darse”, sin establecer criterios, forma, ni grado de participación. </w:t>
      </w:r>
    </w:p>
    <w:p w14:paraId="64236D78" w14:textId="3E2B6E49" w:rsidR="005A5415" w:rsidRPr="00E50FDE" w:rsidRDefault="005A5415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332AA42" w14:textId="2311BC70" w:rsidR="005A5415" w:rsidRPr="00E50FDE" w:rsidRDefault="00754951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</w:t>
      </w:r>
      <w:r w:rsidR="0032290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CONAVIM tiene registro de que el </w:t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>86.5% de las solicitudes de AVGM han sido presentadas por OSC</w:t>
      </w:r>
      <w:r w:rsidR="00322906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5"/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que en 10 de los 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>GT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participan las 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OSCs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peticionarias de la AVGM</w:t>
      </w:r>
      <w:r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6"/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. Asimismo, tiene registro de que</w:t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94 personas de la academi</w:t>
      </w:r>
      <w:r w:rsidR="00322906" w:rsidRPr="00E50FDE">
        <w:rPr>
          <w:rFonts w:ascii="Times New Roman" w:hAnsi="Times New Roman" w:cs="Times New Roman"/>
          <w:sz w:val="22"/>
          <w:szCs w:val="22"/>
          <w:lang w:val="es-ES"/>
        </w:rPr>
        <w:t>a</w:t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participan ya sea en los 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>GT</w:t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o en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los</w:t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proofErr w:type="spellStart"/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>GIM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="005A5415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7"/>
      </w:r>
      <w:r w:rsidR="005A5415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5658D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acuerdo con los informes de cumplimiento presentados por algunos Estados, </w:t>
      </w:r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el involucramiento de las </w:t>
      </w:r>
      <w:proofErr w:type="spellStart"/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>OSCs</w:t>
      </w:r>
      <w:proofErr w:type="spellEnd"/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el mecanismo de la AVGM se da principalmente mediante capacitaciones, sea como oferentes o recipientes de las mismas,</w:t>
      </w:r>
      <w:r w:rsidR="005658D6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8"/>
      </w:r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="005658D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mesas de trabajo u organismos técnicos para la implementación de las medidas contenidas en la declaratoria de </w:t>
      </w:r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>la VGM</w:t>
      </w:r>
      <w:r w:rsidR="00165F3C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29"/>
      </w:r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  <w:r w:rsidR="008627A0" w:rsidRPr="00E50FDE">
        <w:rPr>
          <w:rFonts w:ascii="Times New Roman" w:hAnsi="Times New Roman" w:cs="Times New Roman"/>
          <w:sz w:val="22"/>
          <w:szCs w:val="22"/>
          <w:lang w:val="es-ES"/>
        </w:rPr>
        <w:t>C</w:t>
      </w:r>
      <w:r w:rsidR="00745619" w:rsidRPr="00E50FDE">
        <w:rPr>
          <w:rFonts w:ascii="Times New Roman" w:hAnsi="Times New Roman" w:cs="Times New Roman"/>
          <w:sz w:val="22"/>
          <w:szCs w:val="22"/>
          <w:lang w:val="es-ES"/>
        </w:rPr>
        <w:t>omo buena práctica, vale la pena</w:t>
      </w:r>
      <w:r w:rsidR="008627A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mencionar que el Estado de Morelos desarrolló una metodología para la elección de invitadas e invitados de la Academia y/o </w:t>
      </w:r>
      <w:r w:rsidR="00BD261F" w:rsidRPr="00E50FDE">
        <w:rPr>
          <w:rFonts w:ascii="Times New Roman" w:hAnsi="Times New Roman" w:cs="Times New Roman"/>
          <w:sz w:val="22"/>
          <w:szCs w:val="22"/>
          <w:lang w:val="es-ES"/>
        </w:rPr>
        <w:t>OSC</w:t>
      </w:r>
      <w:r w:rsidR="008627A0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que habrán de integrarse al </w:t>
      </w:r>
      <w:r w:rsidR="0074561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Sistema Estatal para Prevenir, Atender, </w:t>
      </w:r>
      <w:r w:rsidR="00745619"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Sancionar y Erradicar la Violencia contra las Mujeres (</w:t>
      </w:r>
      <w:r w:rsidR="008627A0" w:rsidRPr="00E50FDE">
        <w:rPr>
          <w:rFonts w:ascii="Times New Roman" w:hAnsi="Times New Roman" w:cs="Times New Roman"/>
          <w:sz w:val="22"/>
          <w:szCs w:val="22"/>
          <w:lang w:val="es-ES"/>
        </w:rPr>
        <w:t>SEPASE</w:t>
      </w:r>
      <w:r w:rsidR="00745619" w:rsidRPr="00E50FDE">
        <w:rPr>
          <w:rFonts w:ascii="Times New Roman" w:hAnsi="Times New Roman" w:cs="Times New Roman"/>
          <w:sz w:val="22"/>
          <w:szCs w:val="22"/>
          <w:lang w:val="es-ES"/>
        </w:rPr>
        <w:t>)</w:t>
      </w:r>
      <w:r w:rsidR="008627A0" w:rsidRPr="00E50FDE">
        <w:rPr>
          <w:rFonts w:ascii="Times New Roman" w:hAnsi="Times New Roman" w:cs="Times New Roman"/>
          <w:sz w:val="22"/>
          <w:szCs w:val="22"/>
          <w:lang w:val="es-ES"/>
        </w:rPr>
        <w:t>, mecanismo encargado de la coordinación e implementación de la AVGM.</w:t>
      </w:r>
      <w:r w:rsidR="00165F3C" w:rsidRPr="00E50FDE">
        <w:rPr>
          <w:rStyle w:val="FootnoteReference"/>
          <w:rFonts w:ascii="Times New Roman" w:hAnsi="Times New Roman" w:cs="Times New Roman"/>
          <w:sz w:val="22"/>
          <w:szCs w:val="22"/>
          <w:lang w:val="es-ES"/>
        </w:rPr>
        <w:footnoteReference w:id="30"/>
      </w:r>
      <w:r w:rsidR="00165F3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Michoacán, Morelos y Nuevo León se incluye también la participación de la academia</w:t>
      </w:r>
      <w:r w:rsidR="0074561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Cabe resaltar que no </w:t>
      </w:r>
      <w:r w:rsidR="00322906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se tiene registro sobre la participación de defensores y defensoras de derechos humanos y de la perspectiva de género, ni de mujeres víctimas de violencia en el mecanismo de la AVGM. </w:t>
      </w:r>
    </w:p>
    <w:p w14:paraId="73CE902D" w14:textId="567E1571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3E097D12" w14:textId="0D100065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39EBE8E6" w14:textId="2607ADC1" w:rsidR="004164BD" w:rsidRPr="00E50FDE" w:rsidRDefault="00E57714" w:rsidP="00E50FDE">
      <w:pPr>
        <w:contextualSpacing/>
        <w:jc w:val="center"/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</w:pPr>
      <w:r w:rsidRPr="00E50FDE">
        <w:rPr>
          <w:rFonts w:ascii="Times New Roman" w:hAnsi="Times New Roman" w:cs="Times New Roman"/>
          <w:b/>
          <w:bCs/>
          <w:sz w:val="22"/>
          <w:szCs w:val="22"/>
          <w:u w:val="single"/>
          <w:lang w:val="es-ES"/>
        </w:rPr>
        <w:t>RECOMENDACIONES</w:t>
      </w:r>
    </w:p>
    <w:p w14:paraId="3EF5DC4D" w14:textId="470B3518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750EB3D" w14:textId="77777777" w:rsidR="00224326" w:rsidRPr="00E50FDE" w:rsidRDefault="00224326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I(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dh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>)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eas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solicita al Comité considerar, para ser señaladas al Estado, las siguientes recomendaciones:</w:t>
      </w:r>
    </w:p>
    <w:p w14:paraId="1400B8A8" w14:textId="7AB8BDD3" w:rsidR="00E57714" w:rsidRPr="00E50FDE" w:rsidRDefault="00E57714" w:rsidP="00E50FDE">
      <w:pPr>
        <w:contextualSpacing/>
        <w:jc w:val="both"/>
        <w:rPr>
          <w:rFonts w:ascii="Times New Roman" w:hAnsi="Times New Roman" w:cs="Times New Roman"/>
          <w:b/>
          <w:bCs/>
          <w:sz w:val="22"/>
          <w:szCs w:val="22"/>
          <w:lang w:val="es-ES"/>
        </w:rPr>
      </w:pPr>
    </w:p>
    <w:p w14:paraId="00A6A475" w14:textId="77777777" w:rsidR="00CA7208" w:rsidRPr="00E50FDE" w:rsidRDefault="00125644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Promover la adopción e implementación nacional del Protocolo Alba</w:t>
      </w:r>
    </w:p>
    <w:p w14:paraId="6BB51AE0" w14:textId="5B8CD5C4" w:rsidR="00CA7208" w:rsidRPr="00E50FDE" w:rsidRDefault="00125644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Promover la homologación nacional de</w:t>
      </w:r>
      <w:r w:rsidR="00D61879" w:rsidRPr="00E50FDE">
        <w:rPr>
          <w:rFonts w:ascii="Times New Roman" w:hAnsi="Times New Roman" w:cs="Times New Roman"/>
          <w:sz w:val="22"/>
          <w:szCs w:val="22"/>
          <w:lang w:val="es-ES"/>
        </w:rPr>
        <w:t>l Protocolo Alba en cuanto a l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os criterios de activación</w:t>
      </w:r>
      <w:r w:rsidR="00D61879" w:rsidRPr="00E50FDE">
        <w:rPr>
          <w:rFonts w:ascii="Times New Roman" w:hAnsi="Times New Roman" w:cs="Times New Roman"/>
          <w:sz w:val="22"/>
          <w:szCs w:val="22"/>
          <w:lang w:val="es-ES"/>
        </w:rPr>
        <w:t>, su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composición trifásica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y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  <w:r w:rsidR="00D61879" w:rsidRPr="00E50FDE">
        <w:rPr>
          <w:rFonts w:ascii="Times New Roman" w:hAnsi="Times New Roman" w:cs="Times New Roman"/>
          <w:sz w:val="22"/>
          <w:szCs w:val="22"/>
          <w:lang w:val="es-ES"/>
        </w:rPr>
        <w:t>la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coordinación con otros 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>protocolos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especializados en la búsqueda de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niñas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</w:t>
      </w:r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especialmente la Alerta </w:t>
      </w:r>
      <w:proofErr w:type="spellStart"/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>Amber</w:t>
      </w:r>
      <w:proofErr w:type="spellEnd"/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el Protocolo Homologado de Búsqueda.</w:t>
      </w:r>
    </w:p>
    <w:p w14:paraId="1DD86306" w14:textId="79D25AB3" w:rsidR="00CA7208" w:rsidRPr="00E50FDE" w:rsidRDefault="00437C09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Promover la recopilación</w:t>
      </w:r>
      <w:r w:rsidR="00D6187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sistematización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de información relevante</w:t>
      </w:r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sobre el perfil de las víctimas, el lugar y circunstancias de la desaparición,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para diseñar estrategias </w:t>
      </w:r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efectivas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prevención </w:t>
      </w:r>
      <w:r w:rsidR="00D61879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la desaparición </w:t>
      </w:r>
      <w:r w:rsidR="007B025A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 los riesgos asociados a la misma. </w:t>
      </w:r>
    </w:p>
    <w:p w14:paraId="70CF68CB" w14:textId="1572E4A5" w:rsidR="00CA7208" w:rsidRPr="00E50FDE" w:rsidRDefault="007B025A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E</w:t>
      </w:r>
      <w:r w:rsidR="00437C09" w:rsidRPr="00E50FDE">
        <w:rPr>
          <w:rFonts w:ascii="Times New Roman" w:hAnsi="Times New Roman" w:cs="Times New Roman"/>
          <w:sz w:val="22"/>
          <w:szCs w:val="22"/>
          <w:lang w:val="es-ES"/>
        </w:rPr>
        <w:t>laborar, implementar y socializar mecanismos homogéneos de rendición de cuentas que posibiliten la presentación de información sobre la implementación del Protocolo Alb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a</w:t>
      </w:r>
    </w:p>
    <w:p w14:paraId="029507F5" w14:textId="2C9CF393" w:rsidR="00CA7208" w:rsidRPr="00E50FDE" w:rsidRDefault="007B025A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Adoptar las medidas necesarias para superar las dificultades ocasionadas por el COVID-19 en la activación e implementación de los Protocolos de búsqueda de mujeres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niñas</w:t>
      </w:r>
      <w:r w:rsidR="00FC0C6C" w:rsidRPr="00E50FDE">
        <w:rPr>
          <w:rFonts w:ascii="Times New Roman" w:hAnsi="Times New Roman" w:cs="Times New Roman"/>
          <w:sz w:val="22"/>
          <w:szCs w:val="22"/>
          <w:lang w:val="es-ES"/>
        </w:rPr>
        <w:t>.</w:t>
      </w:r>
    </w:p>
    <w:p w14:paraId="46B271B9" w14:textId="0603D4B3" w:rsidR="00CA7208" w:rsidRPr="00E50FDE" w:rsidRDefault="007B025A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 xml:space="preserve">Promover las reformas necesarias a la LGAMVLV y su reglamento para regular: 1) </w:t>
      </w:r>
      <w:r w:rsidR="00304985" w:rsidRPr="00E50FDE">
        <w:rPr>
          <w:rFonts w:ascii="Times New Roman" w:hAnsi="Times New Roman" w:cs="Times New Roman"/>
          <w:sz w:val="22"/>
          <w:szCs w:val="22"/>
          <w:lang w:val="es-ES"/>
        </w:rPr>
        <w:t>e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l proceso a seguir una vez declarada la AVGM, estableciendo plazos específicos para la presentación de informes estatales, así como las sanciones correspondientes en caso de incumplimiento; y 2) </w:t>
      </w:r>
      <w:r w:rsidR="00304985" w:rsidRPr="00E50FDE">
        <w:rPr>
          <w:rFonts w:ascii="Times New Roman" w:hAnsi="Times New Roman" w:cs="Times New Roman"/>
          <w:sz w:val="22"/>
          <w:szCs w:val="22"/>
          <w:lang w:val="es-ES"/>
        </w:rPr>
        <w:t>l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</w:t>
      </w:r>
      <w:r w:rsidR="00201A5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forma y grado de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participación de </w:t>
      </w:r>
      <w:proofErr w:type="spellStart"/>
      <w:r w:rsidRPr="00E50FDE">
        <w:rPr>
          <w:rFonts w:ascii="Times New Roman" w:hAnsi="Times New Roman" w:cs="Times New Roman"/>
          <w:sz w:val="22"/>
          <w:szCs w:val="22"/>
          <w:lang w:val="es-ES"/>
        </w:rPr>
        <w:t>O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>NG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</w:t>
      </w:r>
      <w:proofErr w:type="spellEnd"/>
      <w:r w:rsidRPr="00E50FDE">
        <w:rPr>
          <w:rFonts w:ascii="Times New Roman" w:hAnsi="Times New Roman" w:cs="Times New Roman"/>
          <w:sz w:val="22"/>
          <w:szCs w:val="22"/>
          <w:lang w:val="es-ES"/>
        </w:rPr>
        <w:t>, academia, defensores y defensoras de derechos humanos</w:t>
      </w:r>
      <w:r w:rsidR="00201A5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y mujeres víctimas de violencia en el mecanismo de la AVGM.</w:t>
      </w:r>
    </w:p>
    <w:p w14:paraId="7176E2FB" w14:textId="0EF43FF7" w:rsidR="00C61958" w:rsidRPr="00E50FDE" w:rsidRDefault="00C61958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Promover la socialización e implementación de la metodología para la elaboración del informe anual de cumplimiento de la AVGM, </w:t>
      </w:r>
      <w:r w:rsidR="005243F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y la guía para la elaboración de programas municipales para atender las AVGM, ambas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elaborad</w:t>
      </w:r>
      <w:r w:rsidR="005243F3" w:rsidRPr="00E50FDE">
        <w:rPr>
          <w:rFonts w:ascii="Times New Roman" w:hAnsi="Times New Roman" w:cs="Times New Roman"/>
          <w:sz w:val="22"/>
          <w:szCs w:val="22"/>
          <w:lang w:val="es-ES"/>
        </w:rPr>
        <w:t>as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por la CONAVIM</w:t>
      </w:r>
      <w:r w:rsidR="005243F3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. </w:t>
      </w:r>
    </w:p>
    <w:p w14:paraId="6CE5DCB6" w14:textId="371957CC" w:rsidR="00CA7208" w:rsidRPr="00E50FDE" w:rsidRDefault="00201A52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Incentivar la participación directa de las autoridades municipales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en la elaboración, ejecución y monitoreo 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del plan de trabajo de implementación de la declaratoria de AVGM </w:t>
      </w:r>
    </w:p>
    <w:p w14:paraId="278D5096" w14:textId="03E977CE" w:rsidR="00CA7208" w:rsidRPr="00E50FDE" w:rsidRDefault="00201A52" w:rsidP="00E50FDE">
      <w:pPr>
        <w:pStyle w:val="ListParagraph"/>
        <w:numPr>
          <w:ilvl w:val="0"/>
          <w:numId w:val="3"/>
        </w:numPr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Crear e implementar un mecanismo nacional de evaluación del impacto del mecanismo de la AVGM, que permita medir no solo el cumplimiento 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>de las EF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, sino también la repercusión del mecanismo de la AVGM en la disminución de la violencia contra las mujeres en </w:t>
      </w:r>
      <w:r w:rsidR="001302C2" w:rsidRPr="00E50FDE">
        <w:rPr>
          <w:rFonts w:ascii="Times New Roman" w:hAnsi="Times New Roman" w:cs="Times New Roman"/>
          <w:sz w:val="22"/>
          <w:szCs w:val="22"/>
          <w:lang w:val="es-ES"/>
        </w:rPr>
        <w:t>México.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</w:t>
      </w:r>
    </w:p>
    <w:p w14:paraId="6E483727" w14:textId="77777777" w:rsidR="00562B6C" w:rsidRPr="00E50FDE" w:rsidRDefault="00562B6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B5AABD1" w14:textId="77777777" w:rsidR="00562B6C" w:rsidRPr="00E50FDE" w:rsidRDefault="00562B6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5754C9A" w14:textId="6378C642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Con sentimientos de estima y consideración,</w:t>
      </w:r>
    </w:p>
    <w:p w14:paraId="5E234853" w14:textId="735943CF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428B5AAE" w14:textId="2FC30793" w:rsidR="00CA7208" w:rsidRPr="00E50FDE" w:rsidRDefault="00CA720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3FDA144" w14:textId="756D80A9" w:rsidR="00CA7208" w:rsidRPr="00E50FDE" w:rsidRDefault="00CA720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4EDCD62" w14:textId="31ECD0FD" w:rsidR="00D411BD" w:rsidRPr="00E50FDE" w:rsidRDefault="00D411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51A5013" w14:textId="3657794C" w:rsidR="00D411BD" w:rsidRDefault="00D411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54D525C9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286E9C5" w14:textId="77777777" w:rsidR="004164BD" w:rsidRPr="00E50FDE" w:rsidRDefault="004164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FCEF5E4" w14:textId="5F989933" w:rsidR="004164BD" w:rsidRPr="00E50FDE" w:rsidRDefault="004164BD" w:rsidP="00E50FDE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2"/>
          <w:szCs w:val="22"/>
          <w:lang w:val="es-ES" w:eastAsia="es-MX"/>
        </w:rPr>
      </w:pPr>
      <w:r w:rsidRPr="00E50FDE">
        <w:rPr>
          <w:rFonts w:ascii="Times New Roman" w:hAnsi="Times New Roman" w:cs="Times New Roman"/>
          <w:bCs/>
          <w:sz w:val="22"/>
          <w:szCs w:val="22"/>
          <w:lang w:val="es-ES" w:eastAsia="es-MX"/>
        </w:rPr>
        <w:t>Juan Carlos Gutiérrez Contreras</w:t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 xml:space="preserve">                            Arely Varela</w:t>
      </w:r>
    </w:p>
    <w:p w14:paraId="71BC21EA" w14:textId="762AAB11" w:rsidR="004164BD" w:rsidRPr="00E50FDE" w:rsidRDefault="00D411BD" w:rsidP="00E50FDE">
      <w:pPr>
        <w:autoSpaceDE w:val="0"/>
        <w:autoSpaceDN w:val="0"/>
        <w:adjustRightInd w:val="0"/>
        <w:contextualSpacing/>
        <w:jc w:val="both"/>
        <w:rPr>
          <w:rFonts w:ascii="Times New Roman" w:hAnsi="Times New Roman" w:cs="Times New Roman"/>
          <w:bCs/>
          <w:sz w:val="22"/>
          <w:szCs w:val="22"/>
          <w:lang w:val="es-ES" w:eastAsia="es-MX"/>
        </w:rPr>
      </w:pPr>
      <w:r w:rsidRPr="00E50FDE">
        <w:rPr>
          <w:rFonts w:ascii="Times New Roman" w:hAnsi="Times New Roman" w:cs="Times New Roman"/>
          <w:bCs/>
          <w:sz w:val="22"/>
          <w:szCs w:val="22"/>
          <w:lang w:val="es-ES" w:eastAsia="es-MX"/>
        </w:rPr>
        <w:t>Director General</w:t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ab/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ab/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ab/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ab/>
        <w:t>Abogada experta Género</w:t>
      </w:r>
      <w:r w:rsidR="008E099F">
        <w:rPr>
          <w:rFonts w:ascii="Times New Roman" w:hAnsi="Times New Roman" w:cs="Times New Roman"/>
          <w:bCs/>
          <w:sz w:val="22"/>
          <w:szCs w:val="22"/>
          <w:lang w:val="es-ES" w:eastAsia="es-MX"/>
        </w:rPr>
        <w:tab/>
      </w:r>
    </w:p>
    <w:p w14:paraId="72559C08" w14:textId="79740CE4" w:rsidR="00155CFB" w:rsidRPr="00E50FDE" w:rsidRDefault="00DC3C61" w:rsidP="00E50FDE">
      <w:pPr>
        <w:contextualSpacing/>
        <w:jc w:val="both"/>
        <w:rPr>
          <w:rStyle w:val="Hyperlink"/>
          <w:rFonts w:ascii="Times New Roman" w:hAnsi="Times New Roman" w:cs="Times New Roman"/>
          <w:bCs/>
          <w:sz w:val="22"/>
          <w:szCs w:val="22"/>
          <w:lang w:val="es-ES" w:eastAsia="es-MX"/>
        </w:rPr>
      </w:pPr>
      <w:hyperlink r:id="rId9" w:history="1">
        <w:r w:rsidR="004164BD" w:rsidRPr="00E50FDE">
          <w:rPr>
            <w:rStyle w:val="Hyperlink"/>
            <w:rFonts w:ascii="Times New Roman" w:hAnsi="Times New Roman" w:cs="Times New Roman"/>
            <w:bCs/>
            <w:sz w:val="22"/>
            <w:szCs w:val="22"/>
            <w:lang w:val="es-ES" w:eastAsia="es-MX"/>
          </w:rPr>
          <w:t>juancarlos@idheas.org.mx</w:t>
        </w:r>
      </w:hyperlink>
      <w:r w:rsidR="008E099F">
        <w:rPr>
          <w:rStyle w:val="Hyperlink"/>
          <w:rFonts w:ascii="Times New Roman" w:hAnsi="Times New Roman" w:cs="Times New Roman"/>
          <w:bCs/>
          <w:sz w:val="22"/>
          <w:szCs w:val="22"/>
          <w:lang w:val="es-ES" w:eastAsia="es-MX"/>
        </w:rPr>
        <w:t xml:space="preserve">                                    </w:t>
      </w:r>
      <w:hyperlink r:id="rId10" w:history="1">
        <w:r w:rsidR="008E099F" w:rsidRPr="005A591E">
          <w:rPr>
            <w:rStyle w:val="Hyperlink"/>
            <w:rFonts w:ascii="Times New Roman" w:hAnsi="Times New Roman" w:cs="Times New Roman"/>
            <w:bCs/>
            <w:sz w:val="22"/>
            <w:szCs w:val="22"/>
            <w:lang w:val="es-ES" w:eastAsia="es-MX"/>
          </w:rPr>
          <w:t>juridico@idheas.org.mx</w:t>
        </w:r>
      </w:hyperlink>
      <w:r w:rsidR="008E099F">
        <w:rPr>
          <w:rStyle w:val="Hyperlink"/>
          <w:rFonts w:ascii="Times New Roman" w:hAnsi="Times New Roman" w:cs="Times New Roman"/>
          <w:bCs/>
          <w:sz w:val="22"/>
          <w:szCs w:val="22"/>
          <w:lang w:val="es-ES" w:eastAsia="es-MX"/>
        </w:rPr>
        <w:t xml:space="preserve"> </w:t>
      </w:r>
    </w:p>
    <w:p w14:paraId="435BE53E" w14:textId="77777777" w:rsidR="00FC0C6C" w:rsidRPr="00E50FDE" w:rsidRDefault="00FC0C6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500C3599" w14:textId="77777777" w:rsidR="00FC0C6C" w:rsidRPr="00E50FDE" w:rsidRDefault="00FC0C6C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48D3BBC" w14:textId="77777777" w:rsidR="00D411BD" w:rsidRPr="00E50FDE" w:rsidRDefault="00D411BD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0455EBB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121B1DC1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629BAD2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7259A922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F811894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AF60643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2BF2AD22" w14:textId="77777777" w:rsidR="00E50FDE" w:rsidRPr="00E50FDE" w:rsidRDefault="00E50FDE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044FA305" w14:textId="3B5AF841" w:rsidR="00CA7208" w:rsidRPr="00E50FDE" w:rsidRDefault="00CA7208" w:rsidP="00E50FDE">
      <w:pPr>
        <w:contextualSpacing/>
        <w:jc w:val="both"/>
        <w:rPr>
          <w:rFonts w:ascii="Times New Roman" w:hAnsi="Times New Roman" w:cs="Times New Roman"/>
          <w:bCs/>
          <w:sz w:val="22"/>
          <w:szCs w:val="22"/>
          <w:lang w:val="es-ES" w:eastAsia="es-MX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ANEXO:</w:t>
      </w:r>
    </w:p>
    <w:p w14:paraId="7EEAD32A" w14:textId="11B3EAAC" w:rsidR="00CA7208" w:rsidRPr="00E50FDE" w:rsidRDefault="00CA7208" w:rsidP="00E50FDE">
      <w:p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</w:p>
    <w:p w14:paraId="667F8CEF" w14:textId="09394735" w:rsidR="00CA7208" w:rsidRPr="00E50FDE" w:rsidRDefault="00CA7208" w:rsidP="00E50FDE">
      <w:pPr>
        <w:pStyle w:val="FootnoteText"/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A través de la Plataforma Nacional del Transparencia se realizaron solicitudes de acceso a la información a las siguientes Entidades Federativas y Autoridades entre los meses de julio y septiembre 2020: </w:t>
      </w:r>
    </w:p>
    <w:p w14:paraId="088CA54B" w14:textId="5F238B21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Baja </w:t>
      </w:r>
      <w:r w:rsidR="00310B95" w:rsidRPr="00E50FDE">
        <w:rPr>
          <w:rFonts w:ascii="Times New Roman" w:hAnsi="Times New Roman" w:cs="Times New Roman"/>
          <w:sz w:val="22"/>
          <w:szCs w:val="22"/>
          <w:lang w:val="es-ES"/>
        </w:rPr>
        <w:t>California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733120 y 732120)</w:t>
      </w:r>
    </w:p>
    <w:p w14:paraId="02E676C3" w14:textId="3D2C5795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Baja California Sur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00291120, 00291320 y 00331120)</w:t>
      </w:r>
    </w:p>
    <w:p w14:paraId="1EFD60E2" w14:textId="59C74564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Campeche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100363320, 100365620, 100535820 y 100414120)</w:t>
      </w:r>
    </w:p>
    <w:p w14:paraId="288A3ED0" w14:textId="2BE173BA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Chiapas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00723620, 00727720 y 00826020)</w:t>
      </w:r>
    </w:p>
    <w:p w14:paraId="7C537570" w14:textId="34682EED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Chihuahua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083302020, 083322020 y 097562020)</w:t>
      </w:r>
    </w:p>
    <w:p w14:paraId="237A4DD9" w14:textId="0861A8C0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Ciudad de México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0113100074120, 0101000127220 y 0113100074420)</w:t>
      </w:r>
    </w:p>
    <w:p w14:paraId="04FCEFE1" w14:textId="26390699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Coahuila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00683920, 00684020, 00684120, 00684220 y 00684320)</w:t>
      </w:r>
    </w:p>
    <w:p w14:paraId="53EEEAB6" w14:textId="5B0576FC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Colima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00292120, 00291920, y 00329120)</w:t>
      </w:r>
    </w:p>
    <w:p w14:paraId="49BBFAC5" w14:textId="0C143588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Durango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00404820, 00404920, 00479320 y 00478920)</w:t>
      </w:r>
    </w:p>
    <w:p w14:paraId="46EBC6E9" w14:textId="53FDF02F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Estado de México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532420 y 00116/SJDH/IP/2020)</w:t>
      </w:r>
    </w:p>
    <w:p w14:paraId="085AB0D5" w14:textId="61602BDA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Guanajuato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01543020, 01546020 y 01820020)</w:t>
      </w:r>
    </w:p>
    <w:p w14:paraId="30D1BCC6" w14:textId="4739EC0F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Guerrero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00487720, 00487820 y 00489520)</w:t>
      </w:r>
    </w:p>
    <w:p w14:paraId="6AE34E40" w14:textId="72C0B561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Jalisco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04803420, 04804320, 05793220, 05794920, 05795020, 05795220 y 04820220)</w:t>
      </w:r>
    </w:p>
    <w:p w14:paraId="11B94ED8" w14:textId="6FF715C0" w:rsidR="00CA7208" w:rsidRPr="00E50FDE" w:rsidRDefault="00310B95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lastRenderedPageBreak/>
        <w:t>Michoacán</w:t>
      </w:r>
      <w:r w:rsidR="00CA720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="00CA7208" w:rsidRPr="00E50FDE">
        <w:rPr>
          <w:rFonts w:ascii="Times New Roman" w:hAnsi="Times New Roman" w:cs="Times New Roman"/>
          <w:sz w:val="22"/>
          <w:szCs w:val="22"/>
          <w:lang w:val="es-ES"/>
        </w:rPr>
        <w:t>s 00825320, 00825420, 00926120, 00926220 y 00827020)</w:t>
      </w:r>
    </w:p>
    <w:p w14:paraId="57C221C6" w14:textId="2833F1CF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Morelos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583520, 583120 y 587320)</w:t>
      </w:r>
    </w:p>
    <w:p w14:paraId="4482C7F9" w14:textId="34B999B9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Nayarit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000294120, 00294420, 00295320 y 00349920)</w:t>
      </w:r>
    </w:p>
    <w:p w14:paraId="6A188E90" w14:textId="0D4CD413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Nuevo </w:t>
      </w:r>
      <w:r w:rsidR="00310B95" w:rsidRPr="00E50FDE">
        <w:rPr>
          <w:rFonts w:ascii="Times New Roman" w:hAnsi="Times New Roman" w:cs="Times New Roman"/>
          <w:sz w:val="22"/>
          <w:szCs w:val="22"/>
          <w:lang w:val="es-ES"/>
        </w:rPr>
        <w:t>León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977320)</w:t>
      </w:r>
    </w:p>
    <w:p w14:paraId="7C27E5A2" w14:textId="15B2DBA7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Oaxaca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00780320, 00780620 y 00792820)</w:t>
      </w:r>
    </w:p>
    <w:p w14:paraId="113FD0D0" w14:textId="0D4BCD6D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Puebla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01451320, 01461620 y 01470020)</w:t>
      </w:r>
    </w:p>
    <w:p w14:paraId="14F4A9E7" w14:textId="1CA9B1C5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Querétaro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00519020, 00519220, 00674020 y 00674220)</w:t>
      </w:r>
    </w:p>
    <w:p w14:paraId="60117151" w14:textId="1573A94B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Quintana Roo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00674020 y 00674220)</w:t>
      </w:r>
    </w:p>
    <w:p w14:paraId="038E857A" w14:textId="5309AC23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Sinaloa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00906220, 00906620, 01046820, 01046920, 01047020 y 01046320)</w:t>
      </w:r>
    </w:p>
    <w:p w14:paraId="36CCD6B3" w14:textId="4C03CFCF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San Luis </w:t>
      </w:r>
      <w:r w:rsidR="00310B95" w:rsidRPr="00E50FDE">
        <w:rPr>
          <w:rFonts w:ascii="Times New Roman" w:hAnsi="Times New Roman" w:cs="Times New Roman"/>
          <w:sz w:val="22"/>
          <w:szCs w:val="22"/>
          <w:lang w:val="es-ES"/>
        </w:rPr>
        <w:t>Potosí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00930720, 00931220 y 00932820)</w:t>
      </w:r>
    </w:p>
    <w:p w14:paraId="3BBCBAEF" w14:textId="6BDAA775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Sonora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00711520 y 00712320)</w:t>
      </w:r>
    </w:p>
    <w:p w14:paraId="7B141C0F" w14:textId="32E5F2D0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Tabasco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00776920 y 00777220)</w:t>
      </w:r>
    </w:p>
    <w:p w14:paraId="2A84A115" w14:textId="47D9D8F3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Tamaulipas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659820, 545320 y 545220)</w:t>
      </w:r>
    </w:p>
    <w:p w14:paraId="6C805DB8" w14:textId="304A16D3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Tlaxcala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00335220 y 00335720)</w:t>
      </w:r>
    </w:p>
    <w:p w14:paraId="5BB4A0DE" w14:textId="1952BF07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Veracruz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01264220, 01264920 y 01455620)</w:t>
      </w:r>
    </w:p>
    <w:p w14:paraId="23E6DCF0" w14:textId="751116C5" w:rsidR="00CA7208" w:rsidRPr="00E50FDE" w:rsidRDefault="00310B95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Yucatán</w:t>
      </w:r>
      <w:r w:rsidR="00CA7208" w:rsidRPr="00E50FDE">
        <w:rPr>
          <w:rFonts w:ascii="Times New Roman" w:hAnsi="Times New Roman" w:cs="Times New Roman"/>
          <w:sz w:val="22"/>
          <w:szCs w:val="22"/>
          <w:lang w:val="es-ES"/>
        </w:rPr>
        <w:t xml:space="preserve">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="00CA7208" w:rsidRPr="00E50FDE">
        <w:rPr>
          <w:rFonts w:ascii="Times New Roman" w:hAnsi="Times New Roman" w:cs="Times New Roman"/>
          <w:sz w:val="22"/>
          <w:szCs w:val="22"/>
          <w:lang w:val="es-ES"/>
        </w:rPr>
        <w:t>s 01074420 y 01074720)</w:t>
      </w:r>
    </w:p>
    <w:p w14:paraId="7A73E147" w14:textId="2472BA7D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Zacatecas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00531020, 00531320, 00597820 y 00532420)</w:t>
      </w:r>
    </w:p>
    <w:p w14:paraId="23AC7309" w14:textId="3A28358C" w:rsidR="00CA7208" w:rsidRPr="00E50FDE" w:rsidRDefault="00CA7208" w:rsidP="00E50FDE">
      <w:pPr>
        <w:pStyle w:val="FootnoteText"/>
        <w:numPr>
          <w:ilvl w:val="0"/>
          <w:numId w:val="4"/>
        </w:numPr>
        <w:contextualSpacing/>
        <w:jc w:val="both"/>
        <w:rPr>
          <w:rFonts w:ascii="Times New Roman" w:hAnsi="Times New Roman" w:cs="Times New Roman"/>
          <w:sz w:val="22"/>
          <w:szCs w:val="22"/>
          <w:lang w:val="es-ES"/>
        </w:rPr>
      </w:pPr>
      <w:r w:rsidRPr="00E50FDE">
        <w:rPr>
          <w:rFonts w:ascii="Times New Roman" w:hAnsi="Times New Roman" w:cs="Times New Roman"/>
          <w:sz w:val="22"/>
          <w:szCs w:val="22"/>
          <w:lang w:val="es-ES"/>
        </w:rPr>
        <w:t>CONAVIM (</w:t>
      </w:r>
      <w:r w:rsidR="00D20409">
        <w:rPr>
          <w:rFonts w:ascii="Times New Roman" w:hAnsi="Times New Roman" w:cs="Times New Roman"/>
          <w:sz w:val="22"/>
          <w:szCs w:val="22"/>
          <w:lang w:val="es-ES"/>
        </w:rPr>
        <w:t>Folio</w:t>
      </w:r>
      <w:r w:rsidRPr="00E50FDE">
        <w:rPr>
          <w:rFonts w:ascii="Times New Roman" w:hAnsi="Times New Roman" w:cs="Times New Roman"/>
          <w:sz w:val="22"/>
          <w:szCs w:val="22"/>
          <w:lang w:val="es-ES"/>
        </w:rPr>
        <w:t>s 0000400190720 y 0000400190820)</w:t>
      </w:r>
    </w:p>
    <w:sectPr w:rsidR="00CA7208" w:rsidRPr="00E50FDE" w:rsidSect="004D1BD6">
      <w:headerReference w:type="even" r:id="rId11"/>
      <w:headerReference w:type="default" r:id="rId12"/>
      <w:footerReference w:type="even" r:id="rId13"/>
      <w:footerReference w:type="default" r:id="rId14"/>
      <w:pgSz w:w="12240" w:h="15840"/>
      <w:pgMar w:top="2410" w:right="1701" w:bottom="1985" w:left="1701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45B8ED" w14:textId="77777777" w:rsidR="00E90852" w:rsidRDefault="00E90852" w:rsidP="004164BD">
      <w:r>
        <w:separator/>
      </w:r>
    </w:p>
  </w:endnote>
  <w:endnote w:type="continuationSeparator" w:id="0">
    <w:p w14:paraId="052ED4FC" w14:textId="77777777" w:rsidR="00E90852" w:rsidRDefault="00E90852" w:rsidP="004164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Kefa">
    <w:altName w:val="Times New Roman"/>
    <w:charset w:val="00"/>
    <w:family w:val="auto"/>
    <w:pitch w:val="variable"/>
    <w:sig w:usb0="00000003" w:usb1="4000204B" w:usb2="00000800" w:usb3="00000000" w:csb0="00000001" w:csb1="00000000"/>
  </w:font>
  <w:font w:name="Kefa II Pro Italic">
    <w:altName w:val="Times New Roman"/>
    <w:charset w:val="00"/>
    <w:family w:val="auto"/>
    <w:pitch w:val="variable"/>
    <w:sig w:usb0="A00000AF" w:usb1="5000205B" w:usb2="00000800" w:usb3="00000000" w:csb0="0000009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-9093646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6FD5BC3C" w14:textId="1263AA4F" w:rsidR="00304985" w:rsidRDefault="00304985" w:rsidP="004D1B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DD8FDBF" w14:textId="77777777" w:rsidR="00304985" w:rsidRDefault="00304985" w:rsidP="00562B6C">
    <w:pPr>
      <w:pStyle w:val="Footer"/>
      <w:tabs>
        <w:tab w:val="clear" w:pos="4252"/>
        <w:tab w:val="clear" w:pos="8504"/>
        <w:tab w:val="center" w:pos="4419"/>
        <w:tab w:val="right" w:pos="8838"/>
      </w:tabs>
      <w:ind w:right="360"/>
    </w:pPr>
    <w:r>
      <w:rPr>
        <w:lang w:val="es-ES"/>
      </w:rPr>
      <w:t>[Escriba texto]</w:t>
    </w:r>
    <w:r>
      <w:rPr>
        <w:lang w:val="es-ES"/>
      </w:rPr>
      <w:tab/>
      <w:t>[Escriba texto]</w:t>
    </w:r>
    <w:r>
      <w:rPr>
        <w:lang w:val="es-ES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PageNumber"/>
      </w:rPr>
      <w:id w:val="1209150147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181179F" w14:textId="22528BAA" w:rsidR="00304985" w:rsidRDefault="00304985" w:rsidP="004D1BD6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 w:rsidR="00DC3C61">
          <w:rPr>
            <w:rStyle w:val="PageNumber"/>
            <w:noProof/>
          </w:rPr>
          <w:t>8</w:t>
        </w:r>
        <w:r>
          <w:rPr>
            <w:rStyle w:val="PageNumber"/>
          </w:rPr>
          <w:fldChar w:fldCharType="end"/>
        </w:r>
      </w:p>
    </w:sdtContent>
  </w:sdt>
  <w:p w14:paraId="5B82807F" w14:textId="18E79CF4" w:rsidR="00304985" w:rsidRPr="00CB5FB3" w:rsidRDefault="00304985" w:rsidP="00562B6C">
    <w:pPr>
      <w:tabs>
        <w:tab w:val="center" w:pos="4419"/>
      </w:tabs>
      <w:ind w:left="-1134" w:right="360"/>
      <w:jc w:val="center"/>
      <w:rPr>
        <w:rFonts w:ascii="Kefa II Pro Italic" w:eastAsia="Times New Roman" w:hAnsi="Kefa II Pro Italic"/>
        <w:color w:val="0D0D0D"/>
        <w:sz w:val="20"/>
        <w:szCs w:val="20"/>
        <w:lang w:val="es-MX"/>
      </w:rPr>
    </w:pPr>
    <w:r>
      <w:rPr>
        <w:rFonts w:ascii="Kefa II Pro Italic" w:eastAsia="Times New Roman" w:hAnsi="Kefa II Pro Italic"/>
        <w:color w:val="0D0D0D"/>
        <w:sz w:val="20"/>
        <w:szCs w:val="20"/>
        <w:lang w:val="es-MX"/>
      </w:rPr>
      <w:t xml:space="preserve">                         </w:t>
    </w:r>
  </w:p>
  <w:p w14:paraId="38886918" w14:textId="77777777" w:rsidR="00304985" w:rsidRDefault="00304985" w:rsidP="004D1BD6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31D34C" w14:textId="77777777" w:rsidR="00E90852" w:rsidRDefault="00E90852" w:rsidP="004164BD">
      <w:r>
        <w:separator/>
      </w:r>
    </w:p>
  </w:footnote>
  <w:footnote w:type="continuationSeparator" w:id="0">
    <w:p w14:paraId="6040EF03" w14:textId="77777777" w:rsidR="00E90852" w:rsidRDefault="00E90852" w:rsidP="004164BD">
      <w:r>
        <w:continuationSeparator/>
      </w:r>
    </w:p>
  </w:footnote>
  <w:footnote w:id="1">
    <w:p w14:paraId="0A06A99E" w14:textId="3B79FC4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CEDAW. Información suministrada por México en relación con el seguimiento de las observaciones finales sobre su noveno informe periódico, CEDAW/C/MEX/FCO/9, 21 de octubre de 2020.</w:t>
      </w:r>
    </w:p>
  </w:footnote>
  <w:footnote w:id="2">
    <w:p w14:paraId="5F8B6960" w14:textId="71465FF5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Aguascalientes, Baja California, Campeche, Durango, Hidalgo, Nuevo León, Oaxaca, San Luis Potosí y Sonora. </w:t>
      </w:r>
    </w:p>
  </w:footnote>
  <w:footnote w:id="3">
    <w:p w14:paraId="32574AAF" w14:textId="7B2B3DD4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Durango y Sonora.</w:t>
      </w:r>
    </w:p>
  </w:footnote>
  <w:footnote w:id="4">
    <w:p w14:paraId="694959F4" w14:textId="3C4680C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Puebla, Morelos y Tabasco.</w:t>
      </w:r>
    </w:p>
  </w:footnote>
  <w:footnote w:id="5">
    <w:p w14:paraId="7C130C1A" w14:textId="67E71779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Durango </w:t>
      </w:r>
      <w:r w:rsidR="00892518">
        <w:rPr>
          <w:rFonts w:ascii="Times New Roman" w:hAnsi="Times New Roman" w:cs="Times New Roman"/>
          <w:lang w:val="es-ES"/>
        </w:rPr>
        <w:t xml:space="preserve">- </w:t>
      </w:r>
      <w:r w:rsidRPr="00FC0C6C">
        <w:rPr>
          <w:rFonts w:ascii="Times New Roman" w:hAnsi="Times New Roman" w:cs="Times New Roman"/>
          <w:lang w:val="es-ES"/>
        </w:rPr>
        <w:t xml:space="preserve">Protocolo Homologado de Búsqueda; Oaxaca </w:t>
      </w:r>
      <w:r w:rsidR="00892518">
        <w:rPr>
          <w:rFonts w:ascii="Times New Roman" w:hAnsi="Times New Roman" w:cs="Times New Roman"/>
          <w:lang w:val="es-ES"/>
        </w:rPr>
        <w:t xml:space="preserve">- </w:t>
      </w:r>
      <w:r w:rsidRPr="00FC0C6C">
        <w:rPr>
          <w:rFonts w:ascii="Times New Roman" w:hAnsi="Times New Roman" w:cs="Times New Roman"/>
          <w:lang w:val="es-ES"/>
        </w:rPr>
        <w:t xml:space="preserve">Protocolo Estatal para Búsqueda de personas no Localizadas de la Fiscalía General del Estado; San Luis Potosí </w:t>
      </w:r>
      <w:r w:rsidR="00892518">
        <w:rPr>
          <w:rFonts w:ascii="Times New Roman" w:hAnsi="Times New Roman" w:cs="Times New Roman"/>
          <w:lang w:val="es-ES"/>
        </w:rPr>
        <w:t xml:space="preserve">- </w:t>
      </w:r>
      <w:r w:rsidRPr="00FC0C6C">
        <w:rPr>
          <w:rFonts w:ascii="Times New Roman" w:hAnsi="Times New Roman" w:cs="Times New Roman"/>
          <w:lang w:val="es-ES"/>
        </w:rPr>
        <w:t xml:space="preserve">Protocolo de Reacción Inmediata; Sonora </w:t>
      </w:r>
      <w:r w:rsidR="00892518">
        <w:rPr>
          <w:rFonts w:ascii="Times New Roman" w:hAnsi="Times New Roman" w:cs="Times New Roman"/>
          <w:lang w:val="es-ES"/>
        </w:rPr>
        <w:t xml:space="preserve">- </w:t>
      </w:r>
      <w:r w:rsidRPr="00FC0C6C">
        <w:rPr>
          <w:rFonts w:ascii="Times New Roman" w:hAnsi="Times New Roman" w:cs="Times New Roman"/>
          <w:lang w:val="es-ES"/>
        </w:rPr>
        <w:t>Protocolo Especializado en la Investigación de casos de Desaparición de Mujeres, Niñas y Adolescentes.</w:t>
      </w:r>
    </w:p>
  </w:footnote>
  <w:footnote w:id="6">
    <w:p w14:paraId="7551552B" w14:textId="40B44AAA" w:rsidR="00BA0360" w:rsidRPr="00FC0C6C" w:rsidRDefault="00BA0360" w:rsidP="00BA0360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="00FC0C6C" w:rsidRPr="00FC0C6C">
        <w:rPr>
          <w:rFonts w:ascii="Times New Roman" w:hAnsi="Times New Roman" w:cs="Times New Roman"/>
          <w:lang w:val="es-ES"/>
        </w:rPr>
        <w:t xml:space="preserve"> </w:t>
      </w:r>
      <w:r w:rsidRPr="00FC0C6C">
        <w:rPr>
          <w:rFonts w:ascii="Times New Roman" w:hAnsi="Times New Roman" w:cs="Times New Roman"/>
          <w:lang w:val="es-ES"/>
        </w:rPr>
        <w:t>Chiapas, Chihuahua, Guanajuato, Guerrero, Michoacán, Nayarit, Puebla, Yucatán, Veracruz y Zacatecas.</w:t>
      </w:r>
    </w:p>
  </w:footnote>
  <w:footnote w:id="7">
    <w:p w14:paraId="35118409" w14:textId="662018D7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Ciudad de </w:t>
      </w:r>
      <w:r w:rsidR="00892518" w:rsidRPr="00FC0C6C">
        <w:rPr>
          <w:rFonts w:ascii="Times New Roman" w:hAnsi="Times New Roman" w:cs="Times New Roman"/>
          <w:lang w:val="es-ES"/>
        </w:rPr>
        <w:t>México</w:t>
      </w:r>
      <w:r w:rsidRPr="00FC0C6C">
        <w:rPr>
          <w:rFonts w:ascii="Times New Roman" w:hAnsi="Times New Roman" w:cs="Times New Roman"/>
          <w:lang w:val="es-ES"/>
        </w:rPr>
        <w:t xml:space="preserve">, Colima, Estado de México, Sinaloa, Veracruz, </w:t>
      </w:r>
      <w:r w:rsidR="00892518" w:rsidRPr="00FC0C6C">
        <w:rPr>
          <w:rFonts w:ascii="Times New Roman" w:hAnsi="Times New Roman" w:cs="Times New Roman"/>
          <w:lang w:val="es-ES"/>
        </w:rPr>
        <w:t>Yucatán</w:t>
      </w:r>
      <w:r w:rsidRPr="00FC0C6C">
        <w:rPr>
          <w:rFonts w:ascii="Times New Roman" w:hAnsi="Times New Roman" w:cs="Times New Roman"/>
          <w:lang w:val="es-ES"/>
        </w:rPr>
        <w:t xml:space="preserve"> y Zacatecas.</w:t>
      </w:r>
    </w:p>
  </w:footnote>
  <w:footnote w:id="8">
    <w:p w14:paraId="121B8C14" w14:textId="7D7F81A5" w:rsidR="00304985" w:rsidRPr="00FC0C6C" w:rsidRDefault="00304985" w:rsidP="004C05DE">
      <w:pPr>
        <w:contextualSpacing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FC0C6C">
        <w:rPr>
          <w:rStyle w:val="FootnoteReference"/>
          <w:rFonts w:ascii="Times New Roman" w:hAnsi="Times New Roman" w:cs="Times New Roman"/>
          <w:sz w:val="20"/>
          <w:szCs w:val="20"/>
          <w:lang w:val="es-ES"/>
        </w:rPr>
        <w:footnoteRef/>
      </w:r>
      <w:r w:rsidRPr="00FC0C6C">
        <w:rPr>
          <w:rFonts w:ascii="Times New Roman" w:hAnsi="Times New Roman" w:cs="Times New Roman"/>
          <w:sz w:val="20"/>
          <w:szCs w:val="20"/>
          <w:lang w:val="es-ES"/>
        </w:rPr>
        <w:t xml:space="preserve"> Chihuahua, Guanajuato, Guerrero, Michoacán, Puebla, Querétaro, Quintana Roo y Tabasco.</w:t>
      </w:r>
    </w:p>
  </w:footnote>
  <w:footnote w:id="9">
    <w:p w14:paraId="7D82485C" w14:textId="37EA100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Chiapas y Michoacán</w:t>
      </w:r>
    </w:p>
  </w:footnote>
  <w:footnote w:id="10">
    <w:p w14:paraId="296E1F73" w14:textId="1D294393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Baja California Sur, Chihuahua, Guanajuato, Nayarit, Querétaro, Quintana Roo, Sinaloa, Tabasco, Veracruz y Zacatecas.</w:t>
      </w:r>
    </w:p>
  </w:footnote>
  <w:footnote w:id="11">
    <w:p w14:paraId="2AD855D3" w14:textId="79CE592E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Baja California Sur, Chihuahua, Guanajuato, Nayarit, Querétaro y Zacatecas.</w:t>
      </w:r>
    </w:p>
  </w:footnote>
  <w:footnote w:id="12">
    <w:p w14:paraId="038103D1" w14:textId="141C1EBF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Campeche, Chiapas, Chihuahua, Coahuila, Durango, Estado de México, Michoacán, Querétaro, Tamaulipas, Yucatán y Zacatecas.</w:t>
      </w:r>
    </w:p>
  </w:footnote>
  <w:footnote w:id="13">
    <w:p w14:paraId="009D1600" w14:textId="1E8AA471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Colima, Guerrero, Guanajuato, Oaxaca, Puebla, Quintana Roo y Sinaloa.</w:t>
      </w:r>
    </w:p>
  </w:footnote>
  <w:footnote w:id="14">
    <w:p w14:paraId="0DEF99EA" w14:textId="75E7CFE3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Ciudad de México, Jalisco, Nayarit y San Luis </w:t>
      </w:r>
      <w:r w:rsidR="00892518" w:rsidRPr="00FC0C6C">
        <w:rPr>
          <w:rFonts w:ascii="Times New Roman" w:hAnsi="Times New Roman" w:cs="Times New Roman"/>
          <w:lang w:val="es-ES"/>
        </w:rPr>
        <w:t>Potosí</w:t>
      </w:r>
      <w:r w:rsidRPr="00FC0C6C">
        <w:rPr>
          <w:rFonts w:ascii="Times New Roman" w:hAnsi="Times New Roman" w:cs="Times New Roman"/>
          <w:lang w:val="es-ES"/>
        </w:rPr>
        <w:t>.</w:t>
      </w:r>
    </w:p>
  </w:footnote>
  <w:footnote w:id="15">
    <w:p w14:paraId="65206F68" w14:textId="18256E36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Oaxaca, Chiapas, Durango, Michoacán y Puebla.</w:t>
      </w:r>
    </w:p>
  </w:footnote>
  <w:footnote w:id="16">
    <w:p w14:paraId="1BB3968C" w14:textId="658AF8D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Chihuahua, Estado de México, Guerrero y Zacatecas.</w:t>
      </w:r>
    </w:p>
  </w:footnote>
  <w:footnote w:id="17">
    <w:p w14:paraId="24177751" w14:textId="77777777" w:rsidR="00304985" w:rsidRPr="00FC0C6C" w:rsidRDefault="00304985" w:rsidP="00CD52D0">
      <w:pPr>
        <w:contextualSpacing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FC0C6C">
        <w:rPr>
          <w:rStyle w:val="FootnoteReference"/>
          <w:rFonts w:ascii="Times New Roman" w:hAnsi="Times New Roman" w:cs="Times New Roman"/>
          <w:sz w:val="20"/>
          <w:szCs w:val="20"/>
          <w:lang w:val="es-ES"/>
        </w:rPr>
        <w:footnoteRef/>
      </w:r>
      <w:r w:rsidRPr="00FC0C6C">
        <w:rPr>
          <w:rFonts w:ascii="Times New Roman" w:hAnsi="Times New Roman" w:cs="Times New Roman"/>
          <w:sz w:val="20"/>
          <w:szCs w:val="20"/>
          <w:lang w:val="es-ES"/>
        </w:rPr>
        <w:t xml:space="preserve"> CONAVIM. Reporte de seguimiento de los mecanismos de Alerta de Violencia de Género contra</w:t>
      </w:r>
    </w:p>
    <w:p w14:paraId="4E92580B" w14:textId="0C2C12F3" w:rsidR="00304985" w:rsidRPr="00FC0C6C" w:rsidRDefault="00304985" w:rsidP="00CD52D0">
      <w:pPr>
        <w:contextualSpacing/>
        <w:jc w:val="both"/>
        <w:rPr>
          <w:rFonts w:ascii="Times New Roman" w:hAnsi="Times New Roman" w:cs="Times New Roman"/>
          <w:sz w:val="20"/>
          <w:szCs w:val="20"/>
          <w:lang w:val="es-ES"/>
        </w:rPr>
      </w:pPr>
      <w:r w:rsidRPr="00FC0C6C">
        <w:rPr>
          <w:rFonts w:ascii="Times New Roman" w:hAnsi="Times New Roman" w:cs="Times New Roman"/>
          <w:sz w:val="20"/>
          <w:szCs w:val="20"/>
          <w:lang w:val="es-ES"/>
        </w:rPr>
        <w:t xml:space="preserve">las Mujeres 2020, </w:t>
      </w:r>
      <w:r w:rsidR="00FC0C6C" w:rsidRPr="00FC0C6C">
        <w:rPr>
          <w:rFonts w:ascii="Times New Roman" w:hAnsi="Times New Roman" w:cs="Times New Roman"/>
          <w:sz w:val="20"/>
          <w:szCs w:val="20"/>
          <w:lang w:val="es-ES"/>
        </w:rPr>
        <w:t>junio</w:t>
      </w:r>
      <w:r w:rsidRPr="00FC0C6C">
        <w:rPr>
          <w:rFonts w:ascii="Times New Roman" w:hAnsi="Times New Roman" w:cs="Times New Roman"/>
          <w:sz w:val="20"/>
          <w:szCs w:val="20"/>
          <w:lang w:val="es-ES"/>
        </w:rPr>
        <w:t xml:space="preserve"> 2020, pág. 28</w:t>
      </w:r>
    </w:p>
  </w:footnote>
  <w:footnote w:id="18">
    <w:p w14:paraId="3F454759" w14:textId="27C95AC1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Campeche, Instituto de la Mujer del Estado; Jalisco, Panel de Gobierno y Secretaria de Igualdad Sustantiva entre Mujeres y Hombres; </w:t>
      </w:r>
      <w:r w:rsidR="00892518" w:rsidRPr="00FC0C6C">
        <w:rPr>
          <w:rFonts w:ascii="Times New Roman" w:hAnsi="Times New Roman" w:cs="Times New Roman"/>
          <w:lang w:val="es-ES"/>
        </w:rPr>
        <w:t>Michoacán</w:t>
      </w:r>
      <w:r w:rsidRPr="00FC0C6C">
        <w:rPr>
          <w:rFonts w:ascii="Times New Roman" w:hAnsi="Times New Roman" w:cs="Times New Roman"/>
          <w:lang w:val="es-ES"/>
        </w:rPr>
        <w:t xml:space="preserve">, Nayarit, Puebla y San Luis </w:t>
      </w:r>
      <w:r w:rsidR="00892518" w:rsidRPr="00FC0C6C">
        <w:rPr>
          <w:rFonts w:ascii="Times New Roman" w:hAnsi="Times New Roman" w:cs="Times New Roman"/>
          <w:lang w:val="es-ES"/>
        </w:rPr>
        <w:t>Potosí</w:t>
      </w:r>
      <w:r w:rsidRPr="00FC0C6C">
        <w:rPr>
          <w:rFonts w:ascii="Times New Roman" w:hAnsi="Times New Roman" w:cs="Times New Roman"/>
          <w:lang w:val="es-ES"/>
        </w:rPr>
        <w:t xml:space="preserve">, Sistema Estatal para Prevenir, Atender, Sancionar y Erradicar la Violencia de Género contra Mujeres; y Veracruz, Titular de la Dirección General de Consolidación del Nuevo Sistema de Justicia Penal. </w:t>
      </w:r>
    </w:p>
  </w:footnote>
  <w:footnote w:id="19">
    <w:p w14:paraId="1C1FFCDD" w14:textId="34FAD646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Colima y </w:t>
      </w:r>
      <w:r w:rsidR="00892518" w:rsidRPr="00FC0C6C">
        <w:rPr>
          <w:rFonts w:ascii="Times New Roman" w:hAnsi="Times New Roman" w:cs="Times New Roman"/>
          <w:lang w:val="es-ES"/>
        </w:rPr>
        <w:t>Michoacán</w:t>
      </w:r>
      <w:r w:rsidRPr="00FC0C6C">
        <w:rPr>
          <w:rFonts w:ascii="Times New Roman" w:hAnsi="Times New Roman" w:cs="Times New Roman"/>
          <w:lang w:val="es-ES"/>
        </w:rPr>
        <w:t>.</w:t>
      </w:r>
    </w:p>
  </w:footnote>
  <w:footnote w:id="20">
    <w:p w14:paraId="07B7D7C3" w14:textId="285C3F5B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Guerrero, Programa de Atención a la Declaratoria de Alerta de Violencia de Género contra las Mujeres; Estado de México, Mecanismo de seguimiento de las Medidas de Seguridad, Prevención y Justicia para Atender y Erradicar las Violencias contras las Mujeres, Niñas y Adolescentes, y; Sinaloa, Programa Integral Alerta de Violencia de Genero contra las Mujeres Sinaloa.</w:t>
      </w:r>
    </w:p>
  </w:footnote>
  <w:footnote w:id="21">
    <w:p w14:paraId="743FD2F1" w14:textId="68F46AC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</w:t>
      </w:r>
      <w:r w:rsidR="00FC0C6C">
        <w:rPr>
          <w:rFonts w:ascii="Times New Roman" w:hAnsi="Times New Roman" w:cs="Times New Roman"/>
          <w:lang w:val="es-ES"/>
        </w:rPr>
        <w:t xml:space="preserve">Reporte </w:t>
      </w:r>
      <w:r w:rsidRPr="00FC0C6C">
        <w:rPr>
          <w:rFonts w:ascii="Times New Roman" w:hAnsi="Times New Roman" w:cs="Times New Roman"/>
          <w:lang w:val="es-ES"/>
        </w:rPr>
        <w:t>CONAVIM</w:t>
      </w:r>
    </w:p>
  </w:footnote>
  <w:footnote w:id="22">
    <w:p w14:paraId="064F3F92" w14:textId="5F48CF38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Campeche y Oaxaca.</w:t>
      </w:r>
    </w:p>
  </w:footnote>
  <w:footnote w:id="23">
    <w:p w14:paraId="28EA5485" w14:textId="2F0357F0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Nayarit, Sinaloa y Veracruz</w:t>
      </w:r>
    </w:p>
  </w:footnote>
  <w:footnote w:id="24">
    <w:p w14:paraId="3513F956" w14:textId="259BC4DA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San Luis Potosí, Puebla, Michoacán y Estado de México.</w:t>
      </w:r>
    </w:p>
  </w:footnote>
  <w:footnote w:id="25">
    <w:p w14:paraId="75C50DE9" w14:textId="3458BD6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</w:t>
      </w:r>
      <w:r w:rsidR="00FC0C6C">
        <w:rPr>
          <w:rFonts w:ascii="Times New Roman" w:hAnsi="Times New Roman" w:cs="Times New Roman"/>
          <w:lang w:val="es-ES"/>
        </w:rPr>
        <w:t xml:space="preserve">Reporte </w:t>
      </w:r>
      <w:r w:rsidR="00FC0C6C" w:rsidRPr="00FC0C6C">
        <w:rPr>
          <w:rFonts w:ascii="Times New Roman" w:hAnsi="Times New Roman" w:cs="Times New Roman"/>
          <w:lang w:val="es-ES"/>
        </w:rPr>
        <w:t>CONAVIM</w:t>
      </w:r>
      <w:r w:rsidRPr="00FC0C6C">
        <w:rPr>
          <w:rFonts w:ascii="Times New Roman" w:hAnsi="Times New Roman" w:cs="Times New Roman"/>
          <w:lang w:val="es-ES"/>
        </w:rPr>
        <w:t>, pág. 12.</w:t>
      </w:r>
    </w:p>
  </w:footnote>
  <w:footnote w:id="26">
    <w:p w14:paraId="76D1E35B" w14:textId="3E2D1354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</w:t>
      </w:r>
      <w:r w:rsidR="00FC0C6C">
        <w:rPr>
          <w:rFonts w:ascii="Times New Roman" w:hAnsi="Times New Roman" w:cs="Times New Roman"/>
          <w:lang w:val="es-ES"/>
        </w:rPr>
        <w:t xml:space="preserve">Reporte </w:t>
      </w:r>
      <w:r w:rsidR="00FC0C6C" w:rsidRPr="00FC0C6C">
        <w:rPr>
          <w:rFonts w:ascii="Times New Roman" w:hAnsi="Times New Roman" w:cs="Times New Roman"/>
          <w:lang w:val="es-ES"/>
        </w:rPr>
        <w:t>CONAVIM</w:t>
      </w:r>
      <w:r w:rsidR="00FC0C6C">
        <w:rPr>
          <w:rFonts w:ascii="Times New Roman" w:hAnsi="Times New Roman" w:cs="Times New Roman"/>
          <w:lang w:val="es-ES"/>
        </w:rPr>
        <w:t xml:space="preserve">, </w:t>
      </w:r>
      <w:r w:rsidRPr="00FC0C6C">
        <w:rPr>
          <w:rFonts w:ascii="Times New Roman" w:hAnsi="Times New Roman" w:cs="Times New Roman"/>
          <w:lang w:val="es-ES"/>
        </w:rPr>
        <w:t xml:space="preserve">pág. 15. Dichos </w:t>
      </w:r>
      <w:r w:rsidR="001302C2">
        <w:rPr>
          <w:rFonts w:ascii="Times New Roman" w:hAnsi="Times New Roman" w:cs="Times New Roman"/>
          <w:lang w:val="es-ES"/>
        </w:rPr>
        <w:t>GT</w:t>
      </w:r>
      <w:r w:rsidRPr="00FC0C6C">
        <w:rPr>
          <w:rFonts w:ascii="Times New Roman" w:hAnsi="Times New Roman" w:cs="Times New Roman"/>
          <w:lang w:val="es-ES"/>
        </w:rPr>
        <w:t xml:space="preserve"> corresponden a los Estados de Chiapas, Veracruz, Durango, Morelos, Guerrero, Zacatecas, Sinaloa, Jalisco, Nuevo León y San Luis Potosí.</w:t>
      </w:r>
    </w:p>
  </w:footnote>
  <w:footnote w:id="27">
    <w:p w14:paraId="4479314B" w14:textId="08A53629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</w:t>
      </w:r>
      <w:r w:rsidR="00FC0C6C">
        <w:rPr>
          <w:rFonts w:ascii="Times New Roman" w:hAnsi="Times New Roman" w:cs="Times New Roman"/>
          <w:lang w:val="es-ES"/>
        </w:rPr>
        <w:t xml:space="preserve">Reporte </w:t>
      </w:r>
      <w:r w:rsidR="00FC0C6C" w:rsidRPr="00FC0C6C">
        <w:rPr>
          <w:rFonts w:ascii="Times New Roman" w:hAnsi="Times New Roman" w:cs="Times New Roman"/>
          <w:lang w:val="es-ES"/>
        </w:rPr>
        <w:t>CONAVIM</w:t>
      </w:r>
      <w:r w:rsidR="00FC0C6C">
        <w:rPr>
          <w:rFonts w:ascii="Times New Roman" w:hAnsi="Times New Roman" w:cs="Times New Roman"/>
          <w:lang w:val="es-ES"/>
        </w:rPr>
        <w:t xml:space="preserve">, </w:t>
      </w:r>
      <w:r w:rsidRPr="00FC0C6C">
        <w:rPr>
          <w:rFonts w:ascii="Times New Roman" w:hAnsi="Times New Roman" w:cs="Times New Roman"/>
          <w:lang w:val="es-ES"/>
        </w:rPr>
        <w:t>pág. 18.</w:t>
      </w:r>
    </w:p>
  </w:footnote>
  <w:footnote w:id="28">
    <w:p w14:paraId="2EB73B0B" w14:textId="33B95C69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Tercer Informe Anual de la implementación de las medidas contenidas en la declaratoria de AVGM en Nuevo León, 2019; Informe Anual de implementación del mecanismo AVGM en Quintana Roo, 2019. </w:t>
      </w:r>
    </w:p>
  </w:footnote>
  <w:footnote w:id="29">
    <w:p w14:paraId="08EB0CC2" w14:textId="338427BC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Resumen ejecutivo de la AVGM Chiapas, 2017; Informe de Implementación del mecanismo de AVGM Morelos, 2019; Informe Quintana Roo; Informe Nuevo León; Informe Anual de Cumplimiento de la AVGM Colima, 2018; Informe de acciones realizadas para atender la AVGM Michoacán, 2019. </w:t>
      </w:r>
    </w:p>
  </w:footnote>
  <w:footnote w:id="30">
    <w:p w14:paraId="0C4FD868" w14:textId="602DDD51" w:rsidR="00304985" w:rsidRPr="00FC0C6C" w:rsidRDefault="00304985" w:rsidP="004C05DE">
      <w:pPr>
        <w:pStyle w:val="FootnoteText"/>
        <w:jc w:val="both"/>
        <w:rPr>
          <w:rFonts w:ascii="Times New Roman" w:hAnsi="Times New Roman" w:cs="Times New Roman"/>
          <w:lang w:val="es-ES"/>
        </w:rPr>
      </w:pPr>
      <w:r w:rsidRPr="00FC0C6C">
        <w:rPr>
          <w:rStyle w:val="FootnoteReference"/>
          <w:rFonts w:ascii="Times New Roman" w:hAnsi="Times New Roman" w:cs="Times New Roman"/>
          <w:lang w:val="es-ES"/>
        </w:rPr>
        <w:footnoteRef/>
      </w:r>
      <w:r w:rsidRPr="00FC0C6C">
        <w:rPr>
          <w:rFonts w:ascii="Times New Roman" w:hAnsi="Times New Roman" w:cs="Times New Roman"/>
          <w:lang w:val="es-ES"/>
        </w:rPr>
        <w:t xml:space="preserve"> Informe Morelos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8894D3" w14:textId="77777777" w:rsidR="00304985" w:rsidRDefault="00304985" w:rsidP="004D1BD6">
    <w:pPr>
      <w:pStyle w:val="Header"/>
      <w:tabs>
        <w:tab w:val="clear" w:pos="4252"/>
        <w:tab w:val="clear" w:pos="8504"/>
        <w:tab w:val="center" w:pos="4419"/>
        <w:tab w:val="right" w:pos="8838"/>
      </w:tabs>
    </w:pPr>
    <w:r>
      <w:rPr>
        <w:lang w:val="es-ES"/>
      </w:rPr>
      <w:t>[Escriba texto]</w:t>
    </w:r>
    <w:r>
      <w:rPr>
        <w:lang w:val="es-ES"/>
      </w:rPr>
      <w:tab/>
      <w:t>[Escriba texto]</w:t>
    </w:r>
    <w:r>
      <w:rPr>
        <w:lang w:val="es-ES"/>
      </w:rPr>
      <w:tab/>
      <w:t>[Escriba texto]</w:t>
    </w:r>
  </w:p>
  <w:p w14:paraId="4FC252E5" w14:textId="77777777" w:rsidR="00304985" w:rsidRDefault="0030498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3EBF1D" w14:textId="77777777" w:rsidR="00304985" w:rsidRDefault="00304985" w:rsidP="00562B6C">
    <w:pPr>
      <w:pStyle w:val="Header"/>
      <w:tabs>
        <w:tab w:val="clear" w:pos="4252"/>
        <w:tab w:val="clear" w:pos="8504"/>
        <w:tab w:val="center" w:pos="4419"/>
      </w:tabs>
      <w:spacing w:after="20"/>
      <w:ind w:right="-1085"/>
      <w:rPr>
        <w:rFonts w:ascii="Kefa" w:hAnsi="Kefa"/>
        <w:sz w:val="18"/>
        <w:szCs w:val="18"/>
      </w:rPr>
    </w:pPr>
    <w:r w:rsidRPr="00B2580D">
      <w:rPr>
        <w:noProof/>
        <w:sz w:val="22"/>
        <w:lang w:val="en-GB" w:eastAsia="en-GB"/>
      </w:rPr>
      <w:drawing>
        <wp:anchor distT="0" distB="0" distL="114300" distR="114300" simplePos="0" relativeHeight="251660288" behindDoc="1" locked="0" layoutInCell="1" allowOverlap="1" wp14:anchorId="50E657C6" wp14:editId="2FC238BF">
          <wp:simplePos x="0" y="0"/>
          <wp:positionH relativeFrom="column">
            <wp:posOffset>-89535</wp:posOffset>
          </wp:positionH>
          <wp:positionV relativeFrom="paragraph">
            <wp:posOffset>31930</wp:posOffset>
          </wp:positionV>
          <wp:extent cx="1662990" cy="789215"/>
          <wp:effectExtent l="0" t="0" r="0" b="0"/>
          <wp:wrapNone/>
          <wp:docPr id="2" name="Imagen 2" descr="C:\Users\Jurídico\Desktop\7. PRESENTACIONES\Principa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urídico\Desktop\7. PRESENTACIONES\Principal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71564" cy="7932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Kefa" w:hAnsi="Kefa"/>
        <w:sz w:val="18"/>
        <w:szCs w:val="18"/>
      </w:rPr>
      <w:tab/>
    </w:r>
  </w:p>
  <w:p w14:paraId="423686B0" w14:textId="77777777" w:rsidR="00304985" w:rsidRDefault="00304985" w:rsidP="004D1BD6">
    <w:pPr>
      <w:pStyle w:val="Header"/>
      <w:spacing w:after="20"/>
      <w:rPr>
        <w:sz w:val="22"/>
      </w:rPr>
    </w:pPr>
    <w:r>
      <w:rPr>
        <w:sz w:val="22"/>
      </w:rPr>
      <w:tab/>
    </w:r>
    <w:r>
      <w:rPr>
        <w:sz w:val="22"/>
      </w:rPr>
      <w:tab/>
      <w:t xml:space="preserve"> </w:t>
    </w:r>
  </w:p>
  <w:p w14:paraId="40D9EEE5" w14:textId="77777777" w:rsidR="00304985" w:rsidRDefault="00304985" w:rsidP="004D1BD6">
    <w:pPr>
      <w:pStyle w:val="Header"/>
      <w:spacing w:after="20"/>
      <w:rPr>
        <w:sz w:val="22"/>
      </w:rPr>
    </w:pPr>
    <w:r>
      <w:rPr>
        <w:sz w:val="22"/>
      </w:rPr>
      <w:tab/>
    </w:r>
    <w:r>
      <w:rPr>
        <w:sz w:val="22"/>
      </w:rPr>
      <w:tab/>
    </w:r>
  </w:p>
  <w:p w14:paraId="03AEA2AF" w14:textId="77777777" w:rsidR="00304985" w:rsidRDefault="00304985" w:rsidP="004164BD">
    <w:pPr>
      <w:pStyle w:val="Header"/>
      <w:tabs>
        <w:tab w:val="clear" w:pos="4252"/>
        <w:tab w:val="clear" w:pos="8504"/>
        <w:tab w:val="left" w:pos="1350"/>
      </w:tabs>
      <w:spacing w:after="20"/>
      <w:jc w:val="right"/>
      <w:rPr>
        <w:sz w:val="22"/>
      </w:rPr>
    </w:pPr>
    <w:r>
      <w:rPr>
        <w:sz w:val="22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17421"/>
    <w:multiLevelType w:val="hybridMultilevel"/>
    <w:tmpl w:val="B07ADC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556957"/>
    <w:multiLevelType w:val="hybridMultilevel"/>
    <w:tmpl w:val="7C30DA46"/>
    <w:lvl w:ilvl="0" w:tplc="BC128F7E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65C203FB"/>
    <w:multiLevelType w:val="hybridMultilevel"/>
    <w:tmpl w:val="4AAE7744"/>
    <w:lvl w:ilvl="0" w:tplc="5B52F406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1546FE8"/>
    <w:multiLevelType w:val="hybridMultilevel"/>
    <w:tmpl w:val="23E089D8"/>
    <w:lvl w:ilvl="0" w:tplc="C87232E6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78A"/>
    <w:rsid w:val="000002F6"/>
    <w:rsid w:val="00013CE0"/>
    <w:rsid w:val="000154D2"/>
    <w:rsid w:val="000163D9"/>
    <w:rsid w:val="00017037"/>
    <w:rsid w:val="00020288"/>
    <w:rsid w:val="00023DE5"/>
    <w:rsid w:val="000255AD"/>
    <w:rsid w:val="00030398"/>
    <w:rsid w:val="00037646"/>
    <w:rsid w:val="00041D09"/>
    <w:rsid w:val="00044C66"/>
    <w:rsid w:val="00054EB8"/>
    <w:rsid w:val="000553D0"/>
    <w:rsid w:val="000573F6"/>
    <w:rsid w:val="000634DA"/>
    <w:rsid w:val="000644C0"/>
    <w:rsid w:val="000655E8"/>
    <w:rsid w:val="000744A9"/>
    <w:rsid w:val="00074B39"/>
    <w:rsid w:val="0007514E"/>
    <w:rsid w:val="00075F1D"/>
    <w:rsid w:val="000852D8"/>
    <w:rsid w:val="00091D58"/>
    <w:rsid w:val="00095A0B"/>
    <w:rsid w:val="000A43C6"/>
    <w:rsid w:val="000A7787"/>
    <w:rsid w:val="000B1CC3"/>
    <w:rsid w:val="000B4F0E"/>
    <w:rsid w:val="000C2146"/>
    <w:rsid w:val="000C46FE"/>
    <w:rsid w:val="000C61C9"/>
    <w:rsid w:val="000D06CE"/>
    <w:rsid w:val="000D6FF2"/>
    <w:rsid w:val="000E3980"/>
    <w:rsid w:val="000E43C0"/>
    <w:rsid w:val="000E6EFF"/>
    <w:rsid w:val="000E70C1"/>
    <w:rsid w:val="000F4FA2"/>
    <w:rsid w:val="000F610A"/>
    <w:rsid w:val="000F68E0"/>
    <w:rsid w:val="00103D34"/>
    <w:rsid w:val="001124E0"/>
    <w:rsid w:val="00125644"/>
    <w:rsid w:val="00127F9D"/>
    <w:rsid w:val="001302C2"/>
    <w:rsid w:val="0013154F"/>
    <w:rsid w:val="00131E21"/>
    <w:rsid w:val="00131EDF"/>
    <w:rsid w:val="00133984"/>
    <w:rsid w:val="00134802"/>
    <w:rsid w:val="00134CEF"/>
    <w:rsid w:val="0014206E"/>
    <w:rsid w:val="0014224C"/>
    <w:rsid w:val="00145288"/>
    <w:rsid w:val="0014640D"/>
    <w:rsid w:val="00153B8D"/>
    <w:rsid w:val="0015478A"/>
    <w:rsid w:val="001552F9"/>
    <w:rsid w:val="00155CFB"/>
    <w:rsid w:val="0016004D"/>
    <w:rsid w:val="00160F9E"/>
    <w:rsid w:val="00163786"/>
    <w:rsid w:val="00165F3C"/>
    <w:rsid w:val="00175537"/>
    <w:rsid w:val="00176E48"/>
    <w:rsid w:val="001821C6"/>
    <w:rsid w:val="001864DA"/>
    <w:rsid w:val="00187165"/>
    <w:rsid w:val="00196114"/>
    <w:rsid w:val="001A2F75"/>
    <w:rsid w:val="001A53A1"/>
    <w:rsid w:val="001A7CB3"/>
    <w:rsid w:val="001B1F71"/>
    <w:rsid w:val="001C0EA0"/>
    <w:rsid w:val="001C4A79"/>
    <w:rsid w:val="001C7EC1"/>
    <w:rsid w:val="001D0A8F"/>
    <w:rsid w:val="001D3362"/>
    <w:rsid w:val="001E11DB"/>
    <w:rsid w:val="001E4168"/>
    <w:rsid w:val="001E69B0"/>
    <w:rsid w:val="001E6BD0"/>
    <w:rsid w:val="00201A52"/>
    <w:rsid w:val="002026D6"/>
    <w:rsid w:val="00211181"/>
    <w:rsid w:val="0021261D"/>
    <w:rsid w:val="00217D60"/>
    <w:rsid w:val="00224326"/>
    <w:rsid w:val="00225453"/>
    <w:rsid w:val="00226B8A"/>
    <w:rsid w:val="00241AC3"/>
    <w:rsid w:val="00244716"/>
    <w:rsid w:val="00261D09"/>
    <w:rsid w:val="002649E8"/>
    <w:rsid w:val="00265309"/>
    <w:rsid w:val="002672E0"/>
    <w:rsid w:val="00270BE1"/>
    <w:rsid w:val="00273DB9"/>
    <w:rsid w:val="002743AE"/>
    <w:rsid w:val="00285028"/>
    <w:rsid w:val="0028796C"/>
    <w:rsid w:val="00290090"/>
    <w:rsid w:val="002A1FA7"/>
    <w:rsid w:val="002A5504"/>
    <w:rsid w:val="002B2A5E"/>
    <w:rsid w:val="002B6CDF"/>
    <w:rsid w:val="002E6AE4"/>
    <w:rsid w:val="002F1403"/>
    <w:rsid w:val="002F4C80"/>
    <w:rsid w:val="002F6A1F"/>
    <w:rsid w:val="002F7959"/>
    <w:rsid w:val="00302753"/>
    <w:rsid w:val="003031D6"/>
    <w:rsid w:val="00304985"/>
    <w:rsid w:val="00310B95"/>
    <w:rsid w:val="00311AEA"/>
    <w:rsid w:val="0031536A"/>
    <w:rsid w:val="00322906"/>
    <w:rsid w:val="00325D11"/>
    <w:rsid w:val="003279FC"/>
    <w:rsid w:val="00331C83"/>
    <w:rsid w:val="00333992"/>
    <w:rsid w:val="00333B3F"/>
    <w:rsid w:val="00335DE0"/>
    <w:rsid w:val="003526ED"/>
    <w:rsid w:val="00355032"/>
    <w:rsid w:val="00357DA8"/>
    <w:rsid w:val="00360305"/>
    <w:rsid w:val="003604AF"/>
    <w:rsid w:val="00362DB7"/>
    <w:rsid w:val="00362EB5"/>
    <w:rsid w:val="00365225"/>
    <w:rsid w:val="003670BF"/>
    <w:rsid w:val="0037052C"/>
    <w:rsid w:val="003719A0"/>
    <w:rsid w:val="003732AD"/>
    <w:rsid w:val="00382978"/>
    <w:rsid w:val="003866A0"/>
    <w:rsid w:val="00386F7A"/>
    <w:rsid w:val="00395416"/>
    <w:rsid w:val="0039604A"/>
    <w:rsid w:val="003A097A"/>
    <w:rsid w:val="003A1204"/>
    <w:rsid w:val="003A2C0B"/>
    <w:rsid w:val="003A5535"/>
    <w:rsid w:val="003A63B5"/>
    <w:rsid w:val="003A68C6"/>
    <w:rsid w:val="003B7CAC"/>
    <w:rsid w:val="003C00C1"/>
    <w:rsid w:val="003C098D"/>
    <w:rsid w:val="003C0A21"/>
    <w:rsid w:val="003C449F"/>
    <w:rsid w:val="003C72B4"/>
    <w:rsid w:val="003D3D51"/>
    <w:rsid w:val="003D7059"/>
    <w:rsid w:val="003D72F6"/>
    <w:rsid w:val="003D7BF7"/>
    <w:rsid w:val="003E43B2"/>
    <w:rsid w:val="003E4C58"/>
    <w:rsid w:val="003E5E0F"/>
    <w:rsid w:val="003E65A8"/>
    <w:rsid w:val="003E7B1A"/>
    <w:rsid w:val="003F1B7C"/>
    <w:rsid w:val="003F2181"/>
    <w:rsid w:val="003F253A"/>
    <w:rsid w:val="003F3260"/>
    <w:rsid w:val="004061E8"/>
    <w:rsid w:val="00406935"/>
    <w:rsid w:val="0041034D"/>
    <w:rsid w:val="0041144A"/>
    <w:rsid w:val="00415E1A"/>
    <w:rsid w:val="004164BD"/>
    <w:rsid w:val="0042022F"/>
    <w:rsid w:val="0042118C"/>
    <w:rsid w:val="00424C70"/>
    <w:rsid w:val="004259BA"/>
    <w:rsid w:val="00425EC1"/>
    <w:rsid w:val="004275FE"/>
    <w:rsid w:val="00436EAC"/>
    <w:rsid w:val="00437C09"/>
    <w:rsid w:val="004421DC"/>
    <w:rsid w:val="00445653"/>
    <w:rsid w:val="00450113"/>
    <w:rsid w:val="00450572"/>
    <w:rsid w:val="00451105"/>
    <w:rsid w:val="00452405"/>
    <w:rsid w:val="00461B48"/>
    <w:rsid w:val="004671F2"/>
    <w:rsid w:val="00472BDA"/>
    <w:rsid w:val="004767A5"/>
    <w:rsid w:val="0048137E"/>
    <w:rsid w:val="004831B7"/>
    <w:rsid w:val="0048687B"/>
    <w:rsid w:val="00495125"/>
    <w:rsid w:val="004A1B60"/>
    <w:rsid w:val="004B17D5"/>
    <w:rsid w:val="004C05DE"/>
    <w:rsid w:val="004C377D"/>
    <w:rsid w:val="004C4C53"/>
    <w:rsid w:val="004C6FB7"/>
    <w:rsid w:val="004D1BD6"/>
    <w:rsid w:val="004E27F0"/>
    <w:rsid w:val="00500174"/>
    <w:rsid w:val="00503708"/>
    <w:rsid w:val="00504C9E"/>
    <w:rsid w:val="00516425"/>
    <w:rsid w:val="00520E16"/>
    <w:rsid w:val="00522E45"/>
    <w:rsid w:val="005243F3"/>
    <w:rsid w:val="00540028"/>
    <w:rsid w:val="00540481"/>
    <w:rsid w:val="005430D0"/>
    <w:rsid w:val="00544202"/>
    <w:rsid w:val="005445BF"/>
    <w:rsid w:val="00544A65"/>
    <w:rsid w:val="00544D79"/>
    <w:rsid w:val="00550FCC"/>
    <w:rsid w:val="00555FC9"/>
    <w:rsid w:val="00562B6C"/>
    <w:rsid w:val="005658D6"/>
    <w:rsid w:val="00572DC6"/>
    <w:rsid w:val="005821EC"/>
    <w:rsid w:val="00583C82"/>
    <w:rsid w:val="00583FF0"/>
    <w:rsid w:val="0058401A"/>
    <w:rsid w:val="00586713"/>
    <w:rsid w:val="00593662"/>
    <w:rsid w:val="00597463"/>
    <w:rsid w:val="005A2383"/>
    <w:rsid w:val="005A5415"/>
    <w:rsid w:val="005B34D7"/>
    <w:rsid w:val="005B4CA0"/>
    <w:rsid w:val="005C0568"/>
    <w:rsid w:val="005C0864"/>
    <w:rsid w:val="005C6D28"/>
    <w:rsid w:val="005C73EA"/>
    <w:rsid w:val="005D1A1B"/>
    <w:rsid w:val="005D266E"/>
    <w:rsid w:val="005D44FD"/>
    <w:rsid w:val="005D5AC9"/>
    <w:rsid w:val="005D5F37"/>
    <w:rsid w:val="005D65F6"/>
    <w:rsid w:val="005E1C34"/>
    <w:rsid w:val="005E4DFD"/>
    <w:rsid w:val="005E7C6C"/>
    <w:rsid w:val="005F212D"/>
    <w:rsid w:val="005F3A66"/>
    <w:rsid w:val="005F4164"/>
    <w:rsid w:val="005F6F5A"/>
    <w:rsid w:val="005F78C6"/>
    <w:rsid w:val="00601B23"/>
    <w:rsid w:val="006075BE"/>
    <w:rsid w:val="00607AF5"/>
    <w:rsid w:val="0061538D"/>
    <w:rsid w:val="0061697B"/>
    <w:rsid w:val="00643285"/>
    <w:rsid w:val="0064478C"/>
    <w:rsid w:val="00647393"/>
    <w:rsid w:val="00647D2A"/>
    <w:rsid w:val="00647EA3"/>
    <w:rsid w:val="00651167"/>
    <w:rsid w:val="0065207D"/>
    <w:rsid w:val="0065353B"/>
    <w:rsid w:val="006617A0"/>
    <w:rsid w:val="00667E3B"/>
    <w:rsid w:val="006705AE"/>
    <w:rsid w:val="00672C28"/>
    <w:rsid w:val="00675F88"/>
    <w:rsid w:val="00680278"/>
    <w:rsid w:val="0068363C"/>
    <w:rsid w:val="00691755"/>
    <w:rsid w:val="0069429C"/>
    <w:rsid w:val="006A0145"/>
    <w:rsid w:val="006A36A0"/>
    <w:rsid w:val="006A38C2"/>
    <w:rsid w:val="006A5E22"/>
    <w:rsid w:val="006A77EC"/>
    <w:rsid w:val="006A7E0E"/>
    <w:rsid w:val="006B0290"/>
    <w:rsid w:val="006B0ACF"/>
    <w:rsid w:val="006B0FAA"/>
    <w:rsid w:val="006B2CFA"/>
    <w:rsid w:val="006B4436"/>
    <w:rsid w:val="006B4D11"/>
    <w:rsid w:val="006C4856"/>
    <w:rsid w:val="006D1A55"/>
    <w:rsid w:val="006D5070"/>
    <w:rsid w:val="006E2786"/>
    <w:rsid w:val="006E4526"/>
    <w:rsid w:val="006F3CE1"/>
    <w:rsid w:val="006F473D"/>
    <w:rsid w:val="006F6986"/>
    <w:rsid w:val="007072CF"/>
    <w:rsid w:val="007113AD"/>
    <w:rsid w:val="0071248C"/>
    <w:rsid w:val="00722438"/>
    <w:rsid w:val="007228EE"/>
    <w:rsid w:val="007257B1"/>
    <w:rsid w:val="00730F03"/>
    <w:rsid w:val="00731FCE"/>
    <w:rsid w:val="00732857"/>
    <w:rsid w:val="00733BD8"/>
    <w:rsid w:val="00741F4C"/>
    <w:rsid w:val="007426E7"/>
    <w:rsid w:val="00743909"/>
    <w:rsid w:val="00745619"/>
    <w:rsid w:val="0075084B"/>
    <w:rsid w:val="00752232"/>
    <w:rsid w:val="00754951"/>
    <w:rsid w:val="00780E4C"/>
    <w:rsid w:val="00781F0F"/>
    <w:rsid w:val="00785927"/>
    <w:rsid w:val="00785FDB"/>
    <w:rsid w:val="00786C44"/>
    <w:rsid w:val="00793CB8"/>
    <w:rsid w:val="00795813"/>
    <w:rsid w:val="00796E85"/>
    <w:rsid w:val="007A27BE"/>
    <w:rsid w:val="007A4E89"/>
    <w:rsid w:val="007B025A"/>
    <w:rsid w:val="007B0AA9"/>
    <w:rsid w:val="007B2A39"/>
    <w:rsid w:val="007B34C8"/>
    <w:rsid w:val="007B5121"/>
    <w:rsid w:val="007C4538"/>
    <w:rsid w:val="007D219D"/>
    <w:rsid w:val="007D34B1"/>
    <w:rsid w:val="007D7C67"/>
    <w:rsid w:val="007E1F6D"/>
    <w:rsid w:val="007E3BE0"/>
    <w:rsid w:val="007E45DD"/>
    <w:rsid w:val="00803668"/>
    <w:rsid w:val="008126F9"/>
    <w:rsid w:val="00817B3F"/>
    <w:rsid w:val="00817B8A"/>
    <w:rsid w:val="00824FBA"/>
    <w:rsid w:val="0082589B"/>
    <w:rsid w:val="008258B1"/>
    <w:rsid w:val="00831DA3"/>
    <w:rsid w:val="008339A8"/>
    <w:rsid w:val="00841374"/>
    <w:rsid w:val="00841F22"/>
    <w:rsid w:val="0085149D"/>
    <w:rsid w:val="00851EBE"/>
    <w:rsid w:val="008572A5"/>
    <w:rsid w:val="008627A0"/>
    <w:rsid w:val="00863698"/>
    <w:rsid w:val="00865BB2"/>
    <w:rsid w:val="00866CEF"/>
    <w:rsid w:val="00872BBB"/>
    <w:rsid w:val="00873AE2"/>
    <w:rsid w:val="00873C17"/>
    <w:rsid w:val="00874746"/>
    <w:rsid w:val="00875E0B"/>
    <w:rsid w:val="00877A79"/>
    <w:rsid w:val="00887A21"/>
    <w:rsid w:val="00887C3E"/>
    <w:rsid w:val="0089199E"/>
    <w:rsid w:val="00891B86"/>
    <w:rsid w:val="00892518"/>
    <w:rsid w:val="00892538"/>
    <w:rsid w:val="00893874"/>
    <w:rsid w:val="008A03F4"/>
    <w:rsid w:val="008A2AA2"/>
    <w:rsid w:val="008A6339"/>
    <w:rsid w:val="008B02A4"/>
    <w:rsid w:val="008B499A"/>
    <w:rsid w:val="008C630D"/>
    <w:rsid w:val="008D3BBA"/>
    <w:rsid w:val="008D537F"/>
    <w:rsid w:val="008E099F"/>
    <w:rsid w:val="008E61BC"/>
    <w:rsid w:val="008E6D04"/>
    <w:rsid w:val="008E7F4B"/>
    <w:rsid w:val="008E7F84"/>
    <w:rsid w:val="008F55D2"/>
    <w:rsid w:val="008F76FE"/>
    <w:rsid w:val="00900C42"/>
    <w:rsid w:val="00902171"/>
    <w:rsid w:val="00905CEC"/>
    <w:rsid w:val="00906AF0"/>
    <w:rsid w:val="00907017"/>
    <w:rsid w:val="00907C28"/>
    <w:rsid w:val="0091520A"/>
    <w:rsid w:val="00916E32"/>
    <w:rsid w:val="009171EA"/>
    <w:rsid w:val="00937713"/>
    <w:rsid w:val="00941DFD"/>
    <w:rsid w:val="009432A3"/>
    <w:rsid w:val="00947D7D"/>
    <w:rsid w:val="00951A6F"/>
    <w:rsid w:val="00952B66"/>
    <w:rsid w:val="009605A9"/>
    <w:rsid w:val="00961AC9"/>
    <w:rsid w:val="00966957"/>
    <w:rsid w:val="009709D6"/>
    <w:rsid w:val="00971FDE"/>
    <w:rsid w:val="0097221A"/>
    <w:rsid w:val="0097441A"/>
    <w:rsid w:val="00974525"/>
    <w:rsid w:val="00981DF3"/>
    <w:rsid w:val="00992A25"/>
    <w:rsid w:val="00995DD0"/>
    <w:rsid w:val="009A2EA6"/>
    <w:rsid w:val="009A2F6C"/>
    <w:rsid w:val="009A5335"/>
    <w:rsid w:val="009A56DA"/>
    <w:rsid w:val="009A5946"/>
    <w:rsid w:val="009A6017"/>
    <w:rsid w:val="009A6C18"/>
    <w:rsid w:val="009B66A6"/>
    <w:rsid w:val="009C5472"/>
    <w:rsid w:val="009C607E"/>
    <w:rsid w:val="009C625A"/>
    <w:rsid w:val="009D13AA"/>
    <w:rsid w:val="009E1A07"/>
    <w:rsid w:val="009E7C67"/>
    <w:rsid w:val="009F5EB0"/>
    <w:rsid w:val="00A01C9E"/>
    <w:rsid w:val="00A02F20"/>
    <w:rsid w:val="00A1148F"/>
    <w:rsid w:val="00A13325"/>
    <w:rsid w:val="00A22CB2"/>
    <w:rsid w:val="00A261BB"/>
    <w:rsid w:val="00A302B7"/>
    <w:rsid w:val="00A30B4A"/>
    <w:rsid w:val="00A3104D"/>
    <w:rsid w:val="00A317B7"/>
    <w:rsid w:val="00A353D5"/>
    <w:rsid w:val="00A36843"/>
    <w:rsid w:val="00A4184C"/>
    <w:rsid w:val="00A47349"/>
    <w:rsid w:val="00A5470F"/>
    <w:rsid w:val="00A56F22"/>
    <w:rsid w:val="00A62873"/>
    <w:rsid w:val="00A63C5E"/>
    <w:rsid w:val="00A64035"/>
    <w:rsid w:val="00A75D09"/>
    <w:rsid w:val="00A80BE2"/>
    <w:rsid w:val="00A8137A"/>
    <w:rsid w:val="00A82CBE"/>
    <w:rsid w:val="00A82D53"/>
    <w:rsid w:val="00A904EF"/>
    <w:rsid w:val="00A96A40"/>
    <w:rsid w:val="00A96F0C"/>
    <w:rsid w:val="00AA0FDA"/>
    <w:rsid w:val="00AB7D28"/>
    <w:rsid w:val="00AC4A51"/>
    <w:rsid w:val="00AC7733"/>
    <w:rsid w:val="00AD3B84"/>
    <w:rsid w:val="00AE063A"/>
    <w:rsid w:val="00AE10F6"/>
    <w:rsid w:val="00B062EE"/>
    <w:rsid w:val="00B125A8"/>
    <w:rsid w:val="00B13698"/>
    <w:rsid w:val="00B21B9C"/>
    <w:rsid w:val="00B21CDA"/>
    <w:rsid w:val="00B25796"/>
    <w:rsid w:val="00B26C5E"/>
    <w:rsid w:val="00B275D1"/>
    <w:rsid w:val="00B3090C"/>
    <w:rsid w:val="00B334AD"/>
    <w:rsid w:val="00B33B19"/>
    <w:rsid w:val="00B345E0"/>
    <w:rsid w:val="00B34D42"/>
    <w:rsid w:val="00B37194"/>
    <w:rsid w:val="00B4530C"/>
    <w:rsid w:val="00B51B80"/>
    <w:rsid w:val="00B54BCE"/>
    <w:rsid w:val="00B55A3A"/>
    <w:rsid w:val="00B57DEF"/>
    <w:rsid w:val="00B63BB9"/>
    <w:rsid w:val="00B654BB"/>
    <w:rsid w:val="00B70945"/>
    <w:rsid w:val="00B71230"/>
    <w:rsid w:val="00B72B98"/>
    <w:rsid w:val="00B73079"/>
    <w:rsid w:val="00B76471"/>
    <w:rsid w:val="00B81CF9"/>
    <w:rsid w:val="00B84571"/>
    <w:rsid w:val="00B94D56"/>
    <w:rsid w:val="00B9641E"/>
    <w:rsid w:val="00B96DF8"/>
    <w:rsid w:val="00BA0360"/>
    <w:rsid w:val="00BA7465"/>
    <w:rsid w:val="00BB7185"/>
    <w:rsid w:val="00BC6139"/>
    <w:rsid w:val="00BD261F"/>
    <w:rsid w:val="00BD73AD"/>
    <w:rsid w:val="00BF3EE1"/>
    <w:rsid w:val="00BF5E77"/>
    <w:rsid w:val="00BF74E5"/>
    <w:rsid w:val="00C027E6"/>
    <w:rsid w:val="00C0434B"/>
    <w:rsid w:val="00C075B5"/>
    <w:rsid w:val="00C22902"/>
    <w:rsid w:val="00C34F6B"/>
    <w:rsid w:val="00C3669A"/>
    <w:rsid w:val="00C436E2"/>
    <w:rsid w:val="00C50881"/>
    <w:rsid w:val="00C511CC"/>
    <w:rsid w:val="00C53C7A"/>
    <w:rsid w:val="00C55691"/>
    <w:rsid w:val="00C5611C"/>
    <w:rsid w:val="00C60469"/>
    <w:rsid w:val="00C61958"/>
    <w:rsid w:val="00C61B3D"/>
    <w:rsid w:val="00C678D3"/>
    <w:rsid w:val="00C77532"/>
    <w:rsid w:val="00C775DD"/>
    <w:rsid w:val="00C86E13"/>
    <w:rsid w:val="00C90F20"/>
    <w:rsid w:val="00C92542"/>
    <w:rsid w:val="00C93AB0"/>
    <w:rsid w:val="00C94C9E"/>
    <w:rsid w:val="00CA11A3"/>
    <w:rsid w:val="00CA7208"/>
    <w:rsid w:val="00CA73E3"/>
    <w:rsid w:val="00CB1192"/>
    <w:rsid w:val="00CB23DE"/>
    <w:rsid w:val="00CB4698"/>
    <w:rsid w:val="00CB624B"/>
    <w:rsid w:val="00CC14B1"/>
    <w:rsid w:val="00CD1B30"/>
    <w:rsid w:val="00CD52D0"/>
    <w:rsid w:val="00CD66A3"/>
    <w:rsid w:val="00CD7103"/>
    <w:rsid w:val="00CF7133"/>
    <w:rsid w:val="00D05E15"/>
    <w:rsid w:val="00D06DA0"/>
    <w:rsid w:val="00D15C88"/>
    <w:rsid w:val="00D16B9E"/>
    <w:rsid w:val="00D20409"/>
    <w:rsid w:val="00D22FFC"/>
    <w:rsid w:val="00D2523D"/>
    <w:rsid w:val="00D25A7C"/>
    <w:rsid w:val="00D25C4A"/>
    <w:rsid w:val="00D3442B"/>
    <w:rsid w:val="00D36029"/>
    <w:rsid w:val="00D36A79"/>
    <w:rsid w:val="00D411BD"/>
    <w:rsid w:val="00D433CF"/>
    <w:rsid w:val="00D473D9"/>
    <w:rsid w:val="00D47A2E"/>
    <w:rsid w:val="00D5016B"/>
    <w:rsid w:val="00D51841"/>
    <w:rsid w:val="00D522C3"/>
    <w:rsid w:val="00D61879"/>
    <w:rsid w:val="00D64700"/>
    <w:rsid w:val="00D65B3F"/>
    <w:rsid w:val="00D70232"/>
    <w:rsid w:val="00D71E37"/>
    <w:rsid w:val="00D7294E"/>
    <w:rsid w:val="00D72B9A"/>
    <w:rsid w:val="00D730E0"/>
    <w:rsid w:val="00D73830"/>
    <w:rsid w:val="00D756C3"/>
    <w:rsid w:val="00D83333"/>
    <w:rsid w:val="00D840BB"/>
    <w:rsid w:val="00D84FBF"/>
    <w:rsid w:val="00D85DB9"/>
    <w:rsid w:val="00D86036"/>
    <w:rsid w:val="00D9221E"/>
    <w:rsid w:val="00DA688B"/>
    <w:rsid w:val="00DB396F"/>
    <w:rsid w:val="00DB3EE5"/>
    <w:rsid w:val="00DB46A7"/>
    <w:rsid w:val="00DB4C8B"/>
    <w:rsid w:val="00DB5FF1"/>
    <w:rsid w:val="00DB7F86"/>
    <w:rsid w:val="00DC3C61"/>
    <w:rsid w:val="00DD39AE"/>
    <w:rsid w:val="00DD53F8"/>
    <w:rsid w:val="00DD5BAC"/>
    <w:rsid w:val="00DE0956"/>
    <w:rsid w:val="00DE0BB8"/>
    <w:rsid w:val="00DE497D"/>
    <w:rsid w:val="00DE6BFD"/>
    <w:rsid w:val="00DF2C78"/>
    <w:rsid w:val="00DF518C"/>
    <w:rsid w:val="00DF739A"/>
    <w:rsid w:val="00E03761"/>
    <w:rsid w:val="00E04E06"/>
    <w:rsid w:val="00E06312"/>
    <w:rsid w:val="00E14D11"/>
    <w:rsid w:val="00E15914"/>
    <w:rsid w:val="00E15BDD"/>
    <w:rsid w:val="00E161A9"/>
    <w:rsid w:val="00E1693B"/>
    <w:rsid w:val="00E17E03"/>
    <w:rsid w:val="00E25FFF"/>
    <w:rsid w:val="00E375AB"/>
    <w:rsid w:val="00E41603"/>
    <w:rsid w:val="00E50FDE"/>
    <w:rsid w:val="00E51AC5"/>
    <w:rsid w:val="00E53739"/>
    <w:rsid w:val="00E56354"/>
    <w:rsid w:val="00E571EC"/>
    <w:rsid w:val="00E57714"/>
    <w:rsid w:val="00E64B3E"/>
    <w:rsid w:val="00E6561A"/>
    <w:rsid w:val="00E70B7B"/>
    <w:rsid w:val="00E74A5F"/>
    <w:rsid w:val="00E75083"/>
    <w:rsid w:val="00E77DCE"/>
    <w:rsid w:val="00E87497"/>
    <w:rsid w:val="00E877AC"/>
    <w:rsid w:val="00E90852"/>
    <w:rsid w:val="00E92BD4"/>
    <w:rsid w:val="00EA1E34"/>
    <w:rsid w:val="00EA511F"/>
    <w:rsid w:val="00EA79BE"/>
    <w:rsid w:val="00EB068A"/>
    <w:rsid w:val="00EB18D8"/>
    <w:rsid w:val="00EB2E67"/>
    <w:rsid w:val="00EB58DA"/>
    <w:rsid w:val="00EC16F0"/>
    <w:rsid w:val="00EC4795"/>
    <w:rsid w:val="00EC733D"/>
    <w:rsid w:val="00ED015C"/>
    <w:rsid w:val="00ED0ED4"/>
    <w:rsid w:val="00ED205D"/>
    <w:rsid w:val="00ED3786"/>
    <w:rsid w:val="00EE3C04"/>
    <w:rsid w:val="00EE4036"/>
    <w:rsid w:val="00EE5BCC"/>
    <w:rsid w:val="00EF1C08"/>
    <w:rsid w:val="00EF73CE"/>
    <w:rsid w:val="00F00102"/>
    <w:rsid w:val="00F00797"/>
    <w:rsid w:val="00F00ACE"/>
    <w:rsid w:val="00F04C4C"/>
    <w:rsid w:val="00F107DB"/>
    <w:rsid w:val="00F117EC"/>
    <w:rsid w:val="00F14245"/>
    <w:rsid w:val="00F14D15"/>
    <w:rsid w:val="00F16BB7"/>
    <w:rsid w:val="00F17CCC"/>
    <w:rsid w:val="00F26BAA"/>
    <w:rsid w:val="00F26C78"/>
    <w:rsid w:val="00F32893"/>
    <w:rsid w:val="00F3392F"/>
    <w:rsid w:val="00F339AA"/>
    <w:rsid w:val="00F33ABD"/>
    <w:rsid w:val="00F36910"/>
    <w:rsid w:val="00F37457"/>
    <w:rsid w:val="00F410CB"/>
    <w:rsid w:val="00F42359"/>
    <w:rsid w:val="00F45833"/>
    <w:rsid w:val="00F501CF"/>
    <w:rsid w:val="00F50208"/>
    <w:rsid w:val="00F67183"/>
    <w:rsid w:val="00F67A36"/>
    <w:rsid w:val="00F73D5F"/>
    <w:rsid w:val="00F773FB"/>
    <w:rsid w:val="00F80754"/>
    <w:rsid w:val="00F82922"/>
    <w:rsid w:val="00F830A6"/>
    <w:rsid w:val="00F83B3D"/>
    <w:rsid w:val="00F84840"/>
    <w:rsid w:val="00F90DC1"/>
    <w:rsid w:val="00F94996"/>
    <w:rsid w:val="00F9650A"/>
    <w:rsid w:val="00F977E0"/>
    <w:rsid w:val="00FA26E8"/>
    <w:rsid w:val="00FA750A"/>
    <w:rsid w:val="00FC0C6C"/>
    <w:rsid w:val="00FC6FAD"/>
    <w:rsid w:val="00FD2005"/>
    <w:rsid w:val="00FD5BD8"/>
    <w:rsid w:val="00FD61DD"/>
    <w:rsid w:val="00FD759C"/>
    <w:rsid w:val="00FE15A7"/>
    <w:rsid w:val="00FE3F3C"/>
    <w:rsid w:val="00FE6B32"/>
    <w:rsid w:val="00FF12A3"/>
    <w:rsid w:val="00FF46E1"/>
    <w:rsid w:val="00FF5610"/>
    <w:rsid w:val="00FF5632"/>
    <w:rsid w:val="00FF5BC3"/>
    <w:rsid w:val="00FF6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26842A"/>
  <w15:chartTrackingRefBased/>
  <w15:docId w15:val="{5D582927-223F-0F4F-9120-7AE9F5AD8F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3B8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164BD"/>
    <w:pPr>
      <w:tabs>
        <w:tab w:val="center" w:pos="4252"/>
        <w:tab w:val="right" w:pos="8504"/>
      </w:tabs>
    </w:pPr>
    <w:rPr>
      <w:rFonts w:ascii="Cambria" w:eastAsia="MS Mincho" w:hAnsi="Cambria" w:cs="Times New Roman"/>
      <w:lang w:val="es-ES_tradnl" w:eastAsia="es-ES"/>
    </w:rPr>
  </w:style>
  <w:style w:type="character" w:customStyle="1" w:styleId="HeaderChar">
    <w:name w:val="Header Char"/>
    <w:basedOn w:val="DefaultParagraphFont"/>
    <w:link w:val="Header"/>
    <w:uiPriority w:val="99"/>
    <w:rsid w:val="004164BD"/>
    <w:rPr>
      <w:rFonts w:ascii="Cambria" w:eastAsia="MS Mincho" w:hAnsi="Cambria" w:cs="Times New Roman"/>
      <w:lang w:val="es-ES_tradnl" w:eastAsia="es-ES"/>
    </w:rPr>
  </w:style>
  <w:style w:type="paragraph" w:styleId="Footer">
    <w:name w:val="footer"/>
    <w:basedOn w:val="Normal"/>
    <w:link w:val="FooterChar"/>
    <w:uiPriority w:val="99"/>
    <w:unhideWhenUsed/>
    <w:rsid w:val="004164BD"/>
    <w:pPr>
      <w:tabs>
        <w:tab w:val="center" w:pos="4252"/>
        <w:tab w:val="right" w:pos="8504"/>
      </w:tabs>
    </w:pPr>
    <w:rPr>
      <w:rFonts w:ascii="Cambria" w:eastAsia="MS Mincho" w:hAnsi="Cambria" w:cs="Times New Roman"/>
      <w:lang w:val="es-ES_tradnl" w:eastAsia="es-ES"/>
    </w:rPr>
  </w:style>
  <w:style w:type="character" w:customStyle="1" w:styleId="FooterChar">
    <w:name w:val="Footer Char"/>
    <w:basedOn w:val="DefaultParagraphFont"/>
    <w:link w:val="Footer"/>
    <w:uiPriority w:val="99"/>
    <w:rsid w:val="004164BD"/>
    <w:rPr>
      <w:rFonts w:ascii="Cambria" w:eastAsia="MS Mincho" w:hAnsi="Cambria" w:cs="Times New Roman"/>
      <w:lang w:val="es-ES_tradnl" w:eastAsia="es-ES"/>
    </w:rPr>
  </w:style>
  <w:style w:type="character" w:styleId="Hyperlink">
    <w:name w:val="Hyperlink"/>
    <w:basedOn w:val="DefaultParagraphFont"/>
    <w:uiPriority w:val="99"/>
    <w:unhideWhenUsed/>
    <w:rsid w:val="004164BD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164BD"/>
    <w:rPr>
      <w:color w:val="605E5C"/>
      <w:shd w:val="clear" w:color="auto" w:fill="E1DFDD"/>
    </w:rPr>
  </w:style>
  <w:style w:type="character" w:styleId="PageNumber">
    <w:name w:val="page number"/>
    <w:basedOn w:val="DefaultParagraphFont"/>
    <w:uiPriority w:val="99"/>
    <w:semiHidden/>
    <w:unhideWhenUsed/>
    <w:rsid w:val="00562B6C"/>
  </w:style>
  <w:style w:type="table" w:styleId="TableGrid">
    <w:name w:val="Table Grid"/>
    <w:basedOn w:val="TableNormal"/>
    <w:uiPriority w:val="39"/>
    <w:rsid w:val="00A11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E0631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E0631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E0631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F26C7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6C7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6C7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6C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6C7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27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39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86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86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322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5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1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870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98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109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41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daw@ohchr.org" TargetMode="External"/><Relationship Id="rId13" Type="http://schemas.openxmlformats.org/officeDocument/2006/relationships/footer" Target="footer1.xml"/><Relationship Id="rId18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customXml" Target="../customXml/item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juridico@idheas.org.mx" TargetMode="External"/><Relationship Id="rId19" Type="http://schemas.openxmlformats.org/officeDocument/2006/relationships/customXml" Target="../customXml/item4.xml"/><Relationship Id="rId4" Type="http://schemas.openxmlformats.org/officeDocument/2006/relationships/settings" Target="settings.xml"/><Relationship Id="rId9" Type="http://schemas.openxmlformats.org/officeDocument/2006/relationships/hyperlink" Target="mailto:juancarlos@idheas.org.mx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A5E5415-C91B-4155-A524-90075AFBA81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5073E3-2F29-4894-A80A-41769E667FA7}"/>
</file>

<file path=customXml/itemProps3.xml><?xml version="1.0" encoding="utf-8"?>
<ds:datastoreItem xmlns:ds="http://schemas.openxmlformats.org/officeDocument/2006/customXml" ds:itemID="{52867C52-7198-4DB3-BE4C-8D40469F8017}"/>
</file>

<file path=customXml/itemProps4.xml><?xml version="1.0" encoding="utf-8"?>
<ds:datastoreItem xmlns:ds="http://schemas.openxmlformats.org/officeDocument/2006/customXml" ds:itemID="{138DDFD3-9897-42DC-AB73-5BF58DD3234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2893</Words>
  <Characters>16491</Characters>
  <Application>Microsoft Office Word</Application>
  <DocSecurity>4</DocSecurity>
  <Lines>137</Lines>
  <Paragraphs>38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Varela Baltier, Adriana A</dc:creator>
  <cp:keywords/>
  <dc:description/>
  <cp:lastModifiedBy>OUKO Robert</cp:lastModifiedBy>
  <cp:revision>2</cp:revision>
  <dcterms:created xsi:type="dcterms:W3CDTF">2021-02-05T16:28:00Z</dcterms:created>
  <dcterms:modified xsi:type="dcterms:W3CDTF">2021-02-05T16:28:00Z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