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webSettings.xml" ContentType="application/vnd.openxmlformats-officedocument.wordprocessingml.webSetting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fontTable.xml" ContentType="application/vnd.openxmlformats-officedocument.wordprocessingml.fontTable+xml"/>
  <Override PartName="/customXml/itemProps7.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A1924" w:rsidRPr="008C5E8B" w:rsidRDefault="00FA1924" w:rsidP="00FA1924">
      <w:pPr>
        <w:jc w:val="both"/>
        <w:rPr>
          <w:rFonts w:eastAsia="Times New Roman" w:cs="Times New Roman"/>
          <w:color w:val="17365D"/>
          <w:spacing w:val="5"/>
          <w:kern w:val="28"/>
          <w:sz w:val="40"/>
          <w:szCs w:val="40"/>
          <w:lang w:val="en-IE"/>
        </w:rPr>
      </w:pPr>
      <w:r w:rsidRPr="008C5E8B">
        <w:rPr>
          <w:rFonts w:eastAsia="Times New Roman" w:cs="Times New Roman"/>
          <w:color w:val="17365D"/>
          <w:spacing w:val="5"/>
          <w:kern w:val="28"/>
          <w:sz w:val="40"/>
          <w:szCs w:val="40"/>
          <w:lang w:val="en-IE"/>
        </w:rPr>
        <w:t xml:space="preserve">European Union Agency for Fundamental Rights, selection of relevant and recent passages from published reports related to </w:t>
      </w:r>
      <w:r w:rsidR="00C7216D">
        <w:rPr>
          <w:rFonts w:eastAsia="Times New Roman" w:cs="Times New Roman"/>
          <w:color w:val="17365D"/>
          <w:spacing w:val="5"/>
          <w:kern w:val="28"/>
          <w:sz w:val="40"/>
          <w:szCs w:val="40"/>
          <w:lang w:val="en-IE"/>
        </w:rPr>
        <w:t>Ireland</w:t>
      </w:r>
      <w:r w:rsidRPr="008C5E8B">
        <w:rPr>
          <w:rFonts w:eastAsia="Times New Roman" w:cs="Times New Roman"/>
          <w:color w:val="17365D"/>
          <w:spacing w:val="5"/>
          <w:kern w:val="28"/>
          <w:sz w:val="40"/>
          <w:szCs w:val="40"/>
          <w:lang w:val="en-IE"/>
        </w:rPr>
        <w:t xml:space="preserve"> </w:t>
      </w:r>
    </w:p>
    <w:p w:rsidR="00FA1924" w:rsidRPr="008C5E8B" w:rsidRDefault="00FA1924" w:rsidP="00FA1924">
      <w:pPr>
        <w:pBdr>
          <w:bottom w:val="single" w:sz="8" w:space="4" w:color="4F81BD"/>
        </w:pBdr>
        <w:spacing w:after="300" w:line="240" w:lineRule="auto"/>
        <w:contextualSpacing/>
        <w:jc w:val="both"/>
        <w:rPr>
          <w:rFonts w:eastAsia="Times New Roman" w:cs="Times New Roman"/>
          <w:color w:val="17365D"/>
          <w:spacing w:val="5"/>
          <w:kern w:val="28"/>
          <w:sz w:val="40"/>
          <w:szCs w:val="40"/>
          <w:lang w:val="it-IT"/>
        </w:rPr>
      </w:pPr>
      <w:r w:rsidRPr="008C5E8B">
        <w:rPr>
          <w:rFonts w:eastAsia="Times New Roman" w:cs="Times New Roman"/>
          <w:color w:val="17365D"/>
          <w:spacing w:val="5"/>
          <w:kern w:val="28"/>
          <w:sz w:val="40"/>
          <w:szCs w:val="40"/>
          <w:lang w:val="it-IT"/>
        </w:rPr>
        <w:t>fra.europa.eu</w:t>
      </w:r>
    </w:p>
    <w:p w:rsidR="00FA1924" w:rsidRPr="008C5E8B" w:rsidRDefault="00C7216D" w:rsidP="00FA1924">
      <w:pPr>
        <w:numPr>
          <w:ilvl w:val="1"/>
          <w:numId w:val="0"/>
        </w:numPr>
        <w:spacing w:after="200" w:line="276" w:lineRule="auto"/>
        <w:jc w:val="both"/>
        <w:rPr>
          <w:rFonts w:eastAsia="Times New Roman" w:cs="Times New Roman"/>
          <w:i/>
          <w:iCs/>
          <w:color w:val="4F81BD"/>
          <w:spacing w:val="15"/>
          <w:sz w:val="24"/>
          <w:szCs w:val="24"/>
          <w:lang w:val="it-IT"/>
        </w:rPr>
      </w:pPr>
      <w:r>
        <w:rPr>
          <w:rFonts w:eastAsia="Times New Roman" w:cs="Times New Roman"/>
          <w:i/>
          <w:iCs/>
          <w:color w:val="4F81BD"/>
          <w:spacing w:val="15"/>
          <w:sz w:val="24"/>
          <w:szCs w:val="24"/>
          <w:lang w:val="it-IT"/>
        </w:rPr>
        <w:t>26 June</w:t>
      </w:r>
      <w:r w:rsidR="00FA1924" w:rsidRPr="008C5E8B">
        <w:rPr>
          <w:rFonts w:eastAsia="Times New Roman" w:cs="Times New Roman"/>
          <w:i/>
          <w:iCs/>
          <w:color w:val="4F81BD"/>
          <w:spacing w:val="15"/>
          <w:sz w:val="24"/>
          <w:szCs w:val="24"/>
          <w:lang w:val="it-IT"/>
        </w:rPr>
        <w:t xml:space="preserve"> 2017, Vienna</w:t>
      </w:r>
    </w:p>
    <w:p w:rsidR="00FA1924" w:rsidRPr="008C5E8B" w:rsidRDefault="00FA1924" w:rsidP="00FA1924">
      <w:pPr>
        <w:numPr>
          <w:ilvl w:val="1"/>
          <w:numId w:val="0"/>
        </w:numPr>
        <w:spacing w:after="200" w:line="276" w:lineRule="auto"/>
        <w:jc w:val="both"/>
        <w:rPr>
          <w:rFonts w:eastAsia="Times New Roman" w:cs="Times New Roman"/>
          <w:b/>
          <w:iCs/>
          <w:spacing w:val="15"/>
          <w:sz w:val="24"/>
          <w:szCs w:val="24"/>
          <w:lang w:val="it-IT"/>
        </w:rPr>
      </w:pPr>
      <w:r w:rsidRPr="008C5E8B">
        <w:rPr>
          <w:rFonts w:eastAsia="Times New Roman" w:cs="Times New Roman"/>
          <w:iCs/>
          <w:spacing w:val="15"/>
          <w:sz w:val="24"/>
          <w:szCs w:val="24"/>
          <w:lang w:val="it-IT"/>
        </w:rPr>
        <w:t xml:space="preserve">References to </w:t>
      </w:r>
      <w:r w:rsidR="00C7216D">
        <w:rPr>
          <w:rFonts w:eastAsia="Times New Roman" w:cs="Times New Roman"/>
          <w:iCs/>
          <w:spacing w:val="15"/>
          <w:sz w:val="24"/>
          <w:szCs w:val="24"/>
          <w:lang w:val="it-IT"/>
        </w:rPr>
        <w:t>Ireland</w:t>
      </w:r>
      <w:r w:rsidRPr="008C5E8B">
        <w:rPr>
          <w:rFonts w:eastAsia="Times New Roman" w:cs="Times New Roman"/>
          <w:iCs/>
          <w:spacing w:val="15"/>
          <w:sz w:val="24"/>
          <w:szCs w:val="24"/>
          <w:lang w:val="it-IT"/>
        </w:rPr>
        <w:t xml:space="preserve"> marked with </w:t>
      </w:r>
      <w:r w:rsidRPr="008C5E8B">
        <w:rPr>
          <w:rFonts w:eastAsia="Times New Roman" w:cs="Times New Roman"/>
          <w:b/>
          <w:iCs/>
          <w:spacing w:val="15"/>
          <w:sz w:val="24"/>
          <w:szCs w:val="24"/>
          <w:lang w:val="it-IT"/>
        </w:rPr>
        <w:t>bold</w:t>
      </w:r>
    </w:p>
    <w:p w:rsidR="00367C54" w:rsidRDefault="00367C54" w:rsidP="00D05937">
      <w:pPr>
        <w:pStyle w:val="Heading1"/>
      </w:pPr>
      <w:bookmarkStart w:id="0" w:name="_Toc473554190"/>
      <w:bookmarkStart w:id="1" w:name="_Toc473581174"/>
    </w:p>
    <w:sdt>
      <w:sdtPr>
        <w:rPr>
          <w:rFonts w:ascii="Daxline Offc Pro" w:eastAsiaTheme="minorHAnsi" w:hAnsi="Daxline Offc Pro" w:cstheme="minorBidi"/>
          <w:color w:val="auto"/>
          <w:sz w:val="22"/>
          <w:szCs w:val="22"/>
          <w:lang w:val="en-GB"/>
        </w:rPr>
        <w:id w:val="-1300525508"/>
        <w:docPartObj>
          <w:docPartGallery w:val="Table of Contents"/>
          <w:docPartUnique/>
        </w:docPartObj>
      </w:sdtPr>
      <w:sdtEndPr>
        <w:rPr>
          <w:b/>
          <w:bCs/>
          <w:noProof/>
        </w:rPr>
      </w:sdtEndPr>
      <w:sdtContent>
        <w:p w:rsidR="00367C54" w:rsidRDefault="00367C54">
          <w:pPr>
            <w:pStyle w:val="TOCHeading"/>
          </w:pPr>
          <w:r>
            <w:t>Contents</w:t>
          </w:r>
        </w:p>
        <w:p w:rsidR="00251C92" w:rsidRDefault="00367C54">
          <w:pPr>
            <w:pStyle w:val="TOC1"/>
            <w:tabs>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484640673" w:history="1">
            <w:r w:rsidR="00251C92" w:rsidRPr="00BB6C05">
              <w:rPr>
                <w:rStyle w:val="Hyperlink"/>
                <w:noProof/>
              </w:rPr>
              <w:t>Data Explorers, tools and themes</w:t>
            </w:r>
            <w:r w:rsidR="00251C92">
              <w:rPr>
                <w:noProof/>
                <w:webHidden/>
              </w:rPr>
              <w:tab/>
            </w:r>
            <w:r w:rsidR="00251C92">
              <w:rPr>
                <w:noProof/>
                <w:webHidden/>
              </w:rPr>
              <w:fldChar w:fldCharType="begin"/>
            </w:r>
            <w:r w:rsidR="00251C92">
              <w:rPr>
                <w:noProof/>
                <w:webHidden/>
              </w:rPr>
              <w:instrText xml:space="preserve"> PAGEREF _Toc484640673 \h </w:instrText>
            </w:r>
            <w:r w:rsidR="00251C92">
              <w:rPr>
                <w:noProof/>
                <w:webHidden/>
              </w:rPr>
            </w:r>
            <w:r w:rsidR="00251C92">
              <w:rPr>
                <w:noProof/>
                <w:webHidden/>
              </w:rPr>
              <w:fldChar w:fldCharType="separate"/>
            </w:r>
            <w:r w:rsidR="00251C92">
              <w:rPr>
                <w:noProof/>
                <w:webHidden/>
              </w:rPr>
              <w:t>2</w:t>
            </w:r>
            <w:r w:rsidR="00251C92">
              <w:rPr>
                <w:noProof/>
                <w:webHidden/>
              </w:rPr>
              <w:fldChar w:fldCharType="end"/>
            </w:r>
          </w:hyperlink>
        </w:p>
        <w:p w:rsidR="00251C92" w:rsidRDefault="0011685E">
          <w:pPr>
            <w:pStyle w:val="TOC2"/>
            <w:tabs>
              <w:tab w:val="right" w:leader="dot" w:pos="9016"/>
            </w:tabs>
            <w:rPr>
              <w:rFonts w:asciiTheme="minorHAnsi" w:eastAsiaTheme="minorEastAsia" w:hAnsiTheme="minorHAnsi"/>
              <w:noProof/>
              <w:lang w:eastAsia="en-GB"/>
            </w:rPr>
          </w:pPr>
          <w:hyperlink w:anchor="_Toc484640674" w:history="1">
            <w:r w:rsidR="00251C92" w:rsidRPr="00BB6C05">
              <w:rPr>
                <w:rStyle w:val="Hyperlink"/>
                <w:noProof/>
              </w:rPr>
              <w:t>Violence against women survey</w:t>
            </w:r>
            <w:r w:rsidR="00251C92">
              <w:rPr>
                <w:noProof/>
                <w:webHidden/>
              </w:rPr>
              <w:tab/>
            </w:r>
            <w:r w:rsidR="00251C92">
              <w:rPr>
                <w:noProof/>
                <w:webHidden/>
              </w:rPr>
              <w:fldChar w:fldCharType="begin"/>
            </w:r>
            <w:r w:rsidR="00251C92">
              <w:rPr>
                <w:noProof/>
                <w:webHidden/>
              </w:rPr>
              <w:instrText xml:space="preserve"> PAGEREF _Toc484640674 \h </w:instrText>
            </w:r>
            <w:r w:rsidR="00251C92">
              <w:rPr>
                <w:noProof/>
                <w:webHidden/>
              </w:rPr>
            </w:r>
            <w:r w:rsidR="00251C92">
              <w:rPr>
                <w:noProof/>
                <w:webHidden/>
              </w:rPr>
              <w:fldChar w:fldCharType="separate"/>
            </w:r>
            <w:r w:rsidR="00251C92">
              <w:rPr>
                <w:noProof/>
                <w:webHidden/>
              </w:rPr>
              <w:t>2</w:t>
            </w:r>
            <w:r w:rsidR="00251C92">
              <w:rPr>
                <w:noProof/>
                <w:webHidden/>
              </w:rPr>
              <w:fldChar w:fldCharType="end"/>
            </w:r>
          </w:hyperlink>
        </w:p>
        <w:p w:rsidR="00251C92" w:rsidRDefault="0011685E">
          <w:pPr>
            <w:pStyle w:val="TOC1"/>
            <w:tabs>
              <w:tab w:val="right" w:leader="dot" w:pos="9016"/>
            </w:tabs>
            <w:rPr>
              <w:rFonts w:asciiTheme="minorHAnsi" w:eastAsiaTheme="minorEastAsia" w:hAnsiTheme="minorHAnsi"/>
              <w:noProof/>
              <w:lang w:eastAsia="en-GB"/>
            </w:rPr>
          </w:pPr>
          <w:hyperlink w:anchor="_Toc484640675" w:history="1">
            <w:r w:rsidR="00251C92" w:rsidRPr="00BB6C05">
              <w:rPr>
                <w:rStyle w:val="Hyperlink"/>
                <w:rFonts w:eastAsia="Daxline Offc Pro"/>
                <w:noProof/>
              </w:rPr>
              <w:t>Annual Reports</w:t>
            </w:r>
            <w:r w:rsidR="00251C92">
              <w:rPr>
                <w:noProof/>
                <w:webHidden/>
              </w:rPr>
              <w:tab/>
            </w:r>
            <w:r w:rsidR="00251C92">
              <w:rPr>
                <w:noProof/>
                <w:webHidden/>
              </w:rPr>
              <w:fldChar w:fldCharType="begin"/>
            </w:r>
            <w:r w:rsidR="00251C92">
              <w:rPr>
                <w:noProof/>
                <w:webHidden/>
              </w:rPr>
              <w:instrText xml:space="preserve"> PAGEREF _Toc484640675 \h </w:instrText>
            </w:r>
            <w:r w:rsidR="00251C92">
              <w:rPr>
                <w:noProof/>
                <w:webHidden/>
              </w:rPr>
            </w:r>
            <w:r w:rsidR="00251C92">
              <w:rPr>
                <w:noProof/>
                <w:webHidden/>
              </w:rPr>
              <w:fldChar w:fldCharType="separate"/>
            </w:r>
            <w:r w:rsidR="00251C92">
              <w:rPr>
                <w:noProof/>
                <w:webHidden/>
              </w:rPr>
              <w:t>2</w:t>
            </w:r>
            <w:r w:rsidR="00251C92">
              <w:rPr>
                <w:noProof/>
                <w:webHidden/>
              </w:rPr>
              <w:fldChar w:fldCharType="end"/>
            </w:r>
          </w:hyperlink>
        </w:p>
        <w:p w:rsidR="00251C92" w:rsidRDefault="0011685E">
          <w:pPr>
            <w:pStyle w:val="TOC2"/>
            <w:tabs>
              <w:tab w:val="right" w:leader="dot" w:pos="9016"/>
            </w:tabs>
            <w:rPr>
              <w:rFonts w:asciiTheme="minorHAnsi" w:eastAsiaTheme="minorEastAsia" w:hAnsiTheme="minorHAnsi"/>
              <w:noProof/>
              <w:lang w:eastAsia="en-GB"/>
            </w:rPr>
          </w:pPr>
          <w:hyperlink w:anchor="_Toc484640676" w:history="1">
            <w:r w:rsidR="00251C92" w:rsidRPr="00BB6C05">
              <w:rPr>
                <w:rStyle w:val="Hyperlink"/>
                <w:noProof/>
              </w:rPr>
              <w:t>Fundamental Rights Report 2016</w:t>
            </w:r>
            <w:r w:rsidR="00251C92">
              <w:rPr>
                <w:noProof/>
                <w:webHidden/>
              </w:rPr>
              <w:tab/>
            </w:r>
            <w:r w:rsidR="00251C92">
              <w:rPr>
                <w:noProof/>
                <w:webHidden/>
              </w:rPr>
              <w:fldChar w:fldCharType="begin"/>
            </w:r>
            <w:r w:rsidR="00251C92">
              <w:rPr>
                <w:noProof/>
                <w:webHidden/>
              </w:rPr>
              <w:instrText xml:space="preserve"> PAGEREF _Toc484640676 \h </w:instrText>
            </w:r>
            <w:r w:rsidR="00251C92">
              <w:rPr>
                <w:noProof/>
                <w:webHidden/>
              </w:rPr>
            </w:r>
            <w:r w:rsidR="00251C92">
              <w:rPr>
                <w:noProof/>
                <w:webHidden/>
              </w:rPr>
              <w:fldChar w:fldCharType="separate"/>
            </w:r>
            <w:r w:rsidR="00251C92">
              <w:rPr>
                <w:noProof/>
                <w:webHidden/>
              </w:rPr>
              <w:t>2</w:t>
            </w:r>
            <w:r w:rsidR="00251C92">
              <w:rPr>
                <w:noProof/>
                <w:webHidden/>
              </w:rPr>
              <w:fldChar w:fldCharType="end"/>
            </w:r>
          </w:hyperlink>
        </w:p>
        <w:p w:rsidR="00251C92" w:rsidRDefault="0011685E">
          <w:pPr>
            <w:pStyle w:val="TOC3"/>
            <w:tabs>
              <w:tab w:val="left" w:pos="880"/>
              <w:tab w:val="right" w:leader="dot" w:pos="9016"/>
            </w:tabs>
            <w:rPr>
              <w:rFonts w:asciiTheme="minorHAnsi" w:eastAsiaTheme="minorEastAsia" w:hAnsiTheme="minorHAnsi"/>
              <w:noProof/>
              <w:lang w:eastAsia="en-GB"/>
            </w:rPr>
          </w:pPr>
          <w:hyperlink w:anchor="_Toc484640677" w:history="1">
            <w:r w:rsidR="00251C92" w:rsidRPr="00BB6C05">
              <w:rPr>
                <w:rStyle w:val="Hyperlink"/>
                <w:noProof/>
              </w:rPr>
              <w:t>1.</w:t>
            </w:r>
            <w:r w:rsidR="00251C92">
              <w:rPr>
                <w:rFonts w:asciiTheme="minorHAnsi" w:eastAsiaTheme="minorEastAsia" w:hAnsiTheme="minorHAnsi"/>
                <w:noProof/>
                <w:lang w:eastAsia="en-GB"/>
              </w:rPr>
              <w:tab/>
            </w:r>
            <w:r w:rsidR="00251C92" w:rsidRPr="00BB6C05">
              <w:rPr>
                <w:rStyle w:val="Hyperlink"/>
                <w:noProof/>
              </w:rPr>
              <w:t>Rights of the child</w:t>
            </w:r>
            <w:r w:rsidR="00251C92">
              <w:rPr>
                <w:noProof/>
                <w:webHidden/>
              </w:rPr>
              <w:tab/>
            </w:r>
            <w:r w:rsidR="00251C92">
              <w:rPr>
                <w:noProof/>
                <w:webHidden/>
              </w:rPr>
              <w:fldChar w:fldCharType="begin"/>
            </w:r>
            <w:r w:rsidR="00251C92">
              <w:rPr>
                <w:noProof/>
                <w:webHidden/>
              </w:rPr>
              <w:instrText xml:space="preserve"> PAGEREF _Toc484640677 \h </w:instrText>
            </w:r>
            <w:r w:rsidR="00251C92">
              <w:rPr>
                <w:noProof/>
                <w:webHidden/>
              </w:rPr>
            </w:r>
            <w:r w:rsidR="00251C92">
              <w:rPr>
                <w:noProof/>
                <w:webHidden/>
              </w:rPr>
              <w:fldChar w:fldCharType="separate"/>
            </w:r>
            <w:r w:rsidR="00251C92">
              <w:rPr>
                <w:noProof/>
                <w:webHidden/>
              </w:rPr>
              <w:t>2</w:t>
            </w:r>
            <w:r w:rsidR="00251C92">
              <w:rPr>
                <w:noProof/>
                <w:webHidden/>
              </w:rPr>
              <w:fldChar w:fldCharType="end"/>
            </w:r>
          </w:hyperlink>
        </w:p>
        <w:p w:rsidR="00251C92" w:rsidRDefault="0011685E">
          <w:pPr>
            <w:pStyle w:val="TOC3"/>
            <w:tabs>
              <w:tab w:val="left" w:pos="880"/>
              <w:tab w:val="right" w:leader="dot" w:pos="9016"/>
            </w:tabs>
            <w:rPr>
              <w:rFonts w:asciiTheme="minorHAnsi" w:eastAsiaTheme="minorEastAsia" w:hAnsiTheme="minorHAnsi"/>
              <w:noProof/>
              <w:lang w:eastAsia="en-GB"/>
            </w:rPr>
          </w:pPr>
          <w:hyperlink w:anchor="_Toc484640678" w:history="1">
            <w:r w:rsidR="00251C92" w:rsidRPr="00BB6C05">
              <w:rPr>
                <w:rStyle w:val="Hyperlink"/>
                <w:noProof/>
              </w:rPr>
              <w:t>2.</w:t>
            </w:r>
            <w:r w:rsidR="00251C92">
              <w:rPr>
                <w:rFonts w:asciiTheme="minorHAnsi" w:eastAsiaTheme="minorEastAsia" w:hAnsiTheme="minorHAnsi"/>
                <w:noProof/>
                <w:lang w:eastAsia="en-GB"/>
              </w:rPr>
              <w:tab/>
            </w:r>
            <w:r w:rsidR="00251C92" w:rsidRPr="00BB6C05">
              <w:rPr>
                <w:rStyle w:val="Hyperlink"/>
                <w:noProof/>
              </w:rPr>
              <w:t>Access to justice, including rights of crime victims</w:t>
            </w:r>
            <w:r w:rsidR="00251C92">
              <w:rPr>
                <w:noProof/>
                <w:webHidden/>
              </w:rPr>
              <w:tab/>
            </w:r>
            <w:r w:rsidR="00251C92">
              <w:rPr>
                <w:noProof/>
                <w:webHidden/>
              </w:rPr>
              <w:fldChar w:fldCharType="begin"/>
            </w:r>
            <w:r w:rsidR="00251C92">
              <w:rPr>
                <w:noProof/>
                <w:webHidden/>
              </w:rPr>
              <w:instrText xml:space="preserve"> PAGEREF _Toc484640678 \h </w:instrText>
            </w:r>
            <w:r w:rsidR="00251C92">
              <w:rPr>
                <w:noProof/>
                <w:webHidden/>
              </w:rPr>
            </w:r>
            <w:r w:rsidR="00251C92">
              <w:rPr>
                <w:noProof/>
                <w:webHidden/>
              </w:rPr>
              <w:fldChar w:fldCharType="separate"/>
            </w:r>
            <w:r w:rsidR="00251C92">
              <w:rPr>
                <w:noProof/>
                <w:webHidden/>
              </w:rPr>
              <w:t>2</w:t>
            </w:r>
            <w:r w:rsidR="00251C92">
              <w:rPr>
                <w:noProof/>
                <w:webHidden/>
              </w:rPr>
              <w:fldChar w:fldCharType="end"/>
            </w:r>
          </w:hyperlink>
        </w:p>
        <w:p w:rsidR="00251C92" w:rsidRDefault="0011685E">
          <w:pPr>
            <w:pStyle w:val="TOC2"/>
            <w:tabs>
              <w:tab w:val="right" w:leader="dot" w:pos="9016"/>
            </w:tabs>
            <w:rPr>
              <w:rFonts w:asciiTheme="minorHAnsi" w:eastAsiaTheme="minorEastAsia" w:hAnsiTheme="minorHAnsi"/>
              <w:noProof/>
              <w:lang w:eastAsia="en-GB"/>
            </w:rPr>
          </w:pPr>
          <w:hyperlink w:anchor="_Toc484640679" w:history="1">
            <w:r w:rsidR="00251C92" w:rsidRPr="00BB6C05">
              <w:rPr>
                <w:rStyle w:val="Hyperlink"/>
                <w:noProof/>
              </w:rPr>
              <w:t>Fundamental rights: challenges and achievements in 2014 - Annual Report 2014 (2015)</w:t>
            </w:r>
            <w:r w:rsidR="00251C92">
              <w:rPr>
                <w:noProof/>
                <w:webHidden/>
              </w:rPr>
              <w:tab/>
            </w:r>
            <w:r w:rsidR="00251C92">
              <w:rPr>
                <w:noProof/>
                <w:webHidden/>
              </w:rPr>
              <w:fldChar w:fldCharType="begin"/>
            </w:r>
            <w:r w:rsidR="00251C92">
              <w:rPr>
                <w:noProof/>
                <w:webHidden/>
              </w:rPr>
              <w:instrText xml:space="preserve"> PAGEREF _Toc484640679 \h </w:instrText>
            </w:r>
            <w:r w:rsidR="00251C92">
              <w:rPr>
                <w:noProof/>
                <w:webHidden/>
              </w:rPr>
            </w:r>
            <w:r w:rsidR="00251C92">
              <w:rPr>
                <w:noProof/>
                <w:webHidden/>
              </w:rPr>
              <w:fldChar w:fldCharType="separate"/>
            </w:r>
            <w:r w:rsidR="00251C92">
              <w:rPr>
                <w:noProof/>
                <w:webHidden/>
              </w:rPr>
              <w:t>3</w:t>
            </w:r>
            <w:r w:rsidR="00251C92">
              <w:rPr>
                <w:noProof/>
                <w:webHidden/>
              </w:rPr>
              <w:fldChar w:fldCharType="end"/>
            </w:r>
          </w:hyperlink>
        </w:p>
        <w:p w:rsidR="00251C92" w:rsidRDefault="0011685E">
          <w:pPr>
            <w:pStyle w:val="TOC3"/>
            <w:tabs>
              <w:tab w:val="left" w:pos="880"/>
              <w:tab w:val="right" w:leader="dot" w:pos="9016"/>
            </w:tabs>
            <w:rPr>
              <w:rFonts w:asciiTheme="minorHAnsi" w:eastAsiaTheme="minorEastAsia" w:hAnsiTheme="minorHAnsi"/>
              <w:noProof/>
              <w:lang w:eastAsia="en-GB"/>
            </w:rPr>
          </w:pPr>
          <w:hyperlink w:anchor="_Toc484640680" w:history="1">
            <w:r w:rsidR="00251C92" w:rsidRPr="00BB6C05">
              <w:rPr>
                <w:rStyle w:val="Hyperlink"/>
                <w:noProof/>
              </w:rPr>
              <w:t>1.</w:t>
            </w:r>
            <w:r w:rsidR="00251C92">
              <w:rPr>
                <w:rFonts w:asciiTheme="minorHAnsi" w:eastAsiaTheme="minorEastAsia" w:hAnsiTheme="minorHAnsi"/>
                <w:noProof/>
                <w:lang w:eastAsia="en-GB"/>
              </w:rPr>
              <w:tab/>
            </w:r>
            <w:r w:rsidR="00251C92" w:rsidRPr="00BB6C05">
              <w:rPr>
                <w:rStyle w:val="Hyperlink"/>
                <w:noProof/>
              </w:rPr>
              <w:t>Rights of the child</w:t>
            </w:r>
            <w:r w:rsidR="00251C92">
              <w:rPr>
                <w:noProof/>
                <w:webHidden/>
              </w:rPr>
              <w:tab/>
            </w:r>
            <w:r w:rsidR="00251C92">
              <w:rPr>
                <w:noProof/>
                <w:webHidden/>
              </w:rPr>
              <w:fldChar w:fldCharType="begin"/>
            </w:r>
            <w:r w:rsidR="00251C92">
              <w:rPr>
                <w:noProof/>
                <w:webHidden/>
              </w:rPr>
              <w:instrText xml:space="preserve"> PAGEREF _Toc484640680 \h </w:instrText>
            </w:r>
            <w:r w:rsidR="00251C92">
              <w:rPr>
                <w:noProof/>
                <w:webHidden/>
              </w:rPr>
            </w:r>
            <w:r w:rsidR="00251C92">
              <w:rPr>
                <w:noProof/>
                <w:webHidden/>
              </w:rPr>
              <w:fldChar w:fldCharType="separate"/>
            </w:r>
            <w:r w:rsidR="00251C92">
              <w:rPr>
                <w:noProof/>
                <w:webHidden/>
              </w:rPr>
              <w:t>3</w:t>
            </w:r>
            <w:r w:rsidR="00251C92">
              <w:rPr>
                <w:noProof/>
                <w:webHidden/>
              </w:rPr>
              <w:fldChar w:fldCharType="end"/>
            </w:r>
          </w:hyperlink>
        </w:p>
        <w:p w:rsidR="00251C92" w:rsidRDefault="0011685E">
          <w:pPr>
            <w:pStyle w:val="TOC1"/>
            <w:tabs>
              <w:tab w:val="right" w:leader="dot" w:pos="9016"/>
            </w:tabs>
            <w:rPr>
              <w:rFonts w:asciiTheme="minorHAnsi" w:eastAsiaTheme="minorEastAsia" w:hAnsiTheme="minorHAnsi"/>
              <w:noProof/>
              <w:lang w:eastAsia="en-GB"/>
            </w:rPr>
          </w:pPr>
          <w:hyperlink w:anchor="_Toc484640681" w:history="1">
            <w:r w:rsidR="00251C92" w:rsidRPr="00BB6C05">
              <w:rPr>
                <w:rStyle w:val="Hyperlink"/>
                <w:noProof/>
              </w:rPr>
              <w:t>Thematic Reports</w:t>
            </w:r>
            <w:r w:rsidR="00251C92">
              <w:rPr>
                <w:noProof/>
                <w:webHidden/>
              </w:rPr>
              <w:tab/>
            </w:r>
            <w:r w:rsidR="00251C92">
              <w:rPr>
                <w:noProof/>
                <w:webHidden/>
              </w:rPr>
              <w:fldChar w:fldCharType="begin"/>
            </w:r>
            <w:r w:rsidR="00251C92">
              <w:rPr>
                <w:noProof/>
                <w:webHidden/>
              </w:rPr>
              <w:instrText xml:space="preserve"> PAGEREF _Toc484640681 \h </w:instrText>
            </w:r>
            <w:r w:rsidR="00251C92">
              <w:rPr>
                <w:noProof/>
                <w:webHidden/>
              </w:rPr>
            </w:r>
            <w:r w:rsidR="00251C92">
              <w:rPr>
                <w:noProof/>
                <w:webHidden/>
              </w:rPr>
              <w:fldChar w:fldCharType="separate"/>
            </w:r>
            <w:r w:rsidR="00251C92">
              <w:rPr>
                <w:noProof/>
                <w:webHidden/>
              </w:rPr>
              <w:t>3</w:t>
            </w:r>
            <w:r w:rsidR="00251C92">
              <w:rPr>
                <w:noProof/>
                <w:webHidden/>
              </w:rPr>
              <w:fldChar w:fldCharType="end"/>
            </w:r>
          </w:hyperlink>
        </w:p>
        <w:p w:rsidR="00251C92" w:rsidRDefault="0011685E">
          <w:pPr>
            <w:pStyle w:val="TOC2"/>
            <w:tabs>
              <w:tab w:val="right" w:leader="dot" w:pos="9016"/>
            </w:tabs>
            <w:rPr>
              <w:rFonts w:asciiTheme="minorHAnsi" w:eastAsiaTheme="minorEastAsia" w:hAnsiTheme="minorHAnsi"/>
              <w:noProof/>
              <w:lang w:eastAsia="en-GB"/>
            </w:rPr>
          </w:pPr>
          <w:hyperlink w:anchor="_Toc484640682" w:history="1">
            <w:r w:rsidR="00251C92" w:rsidRPr="00BB6C05">
              <w:rPr>
                <w:rStyle w:val="Hyperlink"/>
                <w:noProof/>
              </w:rPr>
              <w:t>Criminal detention and alternatives: fundamental rights aspects in EU cross-border transfers (November 2016)</w:t>
            </w:r>
            <w:r w:rsidR="00251C92">
              <w:rPr>
                <w:noProof/>
                <w:webHidden/>
              </w:rPr>
              <w:tab/>
            </w:r>
            <w:r w:rsidR="00251C92">
              <w:rPr>
                <w:noProof/>
                <w:webHidden/>
              </w:rPr>
              <w:fldChar w:fldCharType="begin"/>
            </w:r>
            <w:r w:rsidR="00251C92">
              <w:rPr>
                <w:noProof/>
                <w:webHidden/>
              </w:rPr>
              <w:instrText xml:space="preserve"> PAGEREF _Toc484640682 \h </w:instrText>
            </w:r>
            <w:r w:rsidR="00251C92">
              <w:rPr>
                <w:noProof/>
                <w:webHidden/>
              </w:rPr>
            </w:r>
            <w:r w:rsidR="00251C92">
              <w:rPr>
                <w:noProof/>
                <w:webHidden/>
              </w:rPr>
              <w:fldChar w:fldCharType="separate"/>
            </w:r>
            <w:r w:rsidR="00251C92">
              <w:rPr>
                <w:noProof/>
                <w:webHidden/>
              </w:rPr>
              <w:t>3</w:t>
            </w:r>
            <w:r w:rsidR="00251C92">
              <w:rPr>
                <w:noProof/>
                <w:webHidden/>
              </w:rPr>
              <w:fldChar w:fldCharType="end"/>
            </w:r>
          </w:hyperlink>
        </w:p>
        <w:p w:rsidR="00251C92" w:rsidRDefault="0011685E">
          <w:pPr>
            <w:pStyle w:val="TOC2"/>
            <w:tabs>
              <w:tab w:val="right" w:leader="dot" w:pos="9016"/>
            </w:tabs>
            <w:rPr>
              <w:rFonts w:asciiTheme="minorHAnsi" w:eastAsiaTheme="minorEastAsia" w:hAnsiTheme="minorHAnsi"/>
              <w:noProof/>
              <w:lang w:eastAsia="en-GB"/>
            </w:rPr>
          </w:pPr>
          <w:hyperlink w:anchor="_Toc484640683" w:history="1">
            <w:r w:rsidR="00251C92" w:rsidRPr="00BB6C05">
              <w:rPr>
                <w:rStyle w:val="Hyperlink"/>
                <w:noProof/>
              </w:rPr>
              <w:t>Guardianship systems for children deprived of parental care in the European Union (October 2015)</w:t>
            </w:r>
            <w:r w:rsidR="00251C92">
              <w:rPr>
                <w:noProof/>
                <w:webHidden/>
              </w:rPr>
              <w:tab/>
            </w:r>
            <w:r w:rsidR="00251C92">
              <w:rPr>
                <w:noProof/>
                <w:webHidden/>
              </w:rPr>
              <w:fldChar w:fldCharType="begin"/>
            </w:r>
            <w:r w:rsidR="00251C92">
              <w:rPr>
                <w:noProof/>
                <w:webHidden/>
              </w:rPr>
              <w:instrText xml:space="preserve"> PAGEREF _Toc484640683 \h </w:instrText>
            </w:r>
            <w:r w:rsidR="00251C92">
              <w:rPr>
                <w:noProof/>
                <w:webHidden/>
              </w:rPr>
            </w:r>
            <w:r w:rsidR="00251C92">
              <w:rPr>
                <w:noProof/>
                <w:webHidden/>
              </w:rPr>
              <w:fldChar w:fldCharType="separate"/>
            </w:r>
            <w:r w:rsidR="00251C92">
              <w:rPr>
                <w:noProof/>
                <w:webHidden/>
              </w:rPr>
              <w:t>6</w:t>
            </w:r>
            <w:r w:rsidR="00251C92">
              <w:rPr>
                <w:noProof/>
                <w:webHidden/>
              </w:rPr>
              <w:fldChar w:fldCharType="end"/>
            </w:r>
          </w:hyperlink>
        </w:p>
        <w:p w:rsidR="00251C92" w:rsidRDefault="0011685E">
          <w:pPr>
            <w:pStyle w:val="TOC2"/>
            <w:tabs>
              <w:tab w:val="right" w:leader="dot" w:pos="9016"/>
            </w:tabs>
            <w:rPr>
              <w:rFonts w:asciiTheme="minorHAnsi" w:eastAsiaTheme="minorEastAsia" w:hAnsiTheme="minorHAnsi"/>
              <w:noProof/>
              <w:lang w:eastAsia="en-GB"/>
            </w:rPr>
          </w:pPr>
          <w:hyperlink w:anchor="_Toc484640684" w:history="1">
            <w:r w:rsidR="00251C92" w:rsidRPr="00BB6C05">
              <w:rPr>
                <w:rStyle w:val="Hyperlink"/>
                <w:noProof/>
              </w:rPr>
              <w:t>Severe labour exploitation: workers moving within or into the European Union (June 2015)</w:t>
            </w:r>
            <w:r w:rsidR="00251C92">
              <w:rPr>
                <w:noProof/>
                <w:webHidden/>
              </w:rPr>
              <w:tab/>
            </w:r>
            <w:r w:rsidR="00251C92">
              <w:rPr>
                <w:noProof/>
                <w:webHidden/>
              </w:rPr>
              <w:fldChar w:fldCharType="begin"/>
            </w:r>
            <w:r w:rsidR="00251C92">
              <w:rPr>
                <w:noProof/>
                <w:webHidden/>
              </w:rPr>
              <w:instrText xml:space="preserve"> PAGEREF _Toc484640684 \h </w:instrText>
            </w:r>
            <w:r w:rsidR="00251C92">
              <w:rPr>
                <w:noProof/>
                <w:webHidden/>
              </w:rPr>
            </w:r>
            <w:r w:rsidR="00251C92">
              <w:rPr>
                <w:noProof/>
                <w:webHidden/>
              </w:rPr>
              <w:fldChar w:fldCharType="separate"/>
            </w:r>
            <w:r w:rsidR="00251C92">
              <w:rPr>
                <w:noProof/>
                <w:webHidden/>
              </w:rPr>
              <w:t>6</w:t>
            </w:r>
            <w:r w:rsidR="00251C92">
              <w:rPr>
                <w:noProof/>
                <w:webHidden/>
              </w:rPr>
              <w:fldChar w:fldCharType="end"/>
            </w:r>
          </w:hyperlink>
        </w:p>
        <w:p w:rsidR="00367C54" w:rsidRDefault="00367C54">
          <w:r>
            <w:rPr>
              <w:b/>
              <w:bCs/>
              <w:noProof/>
            </w:rPr>
            <w:fldChar w:fldCharType="end"/>
          </w:r>
        </w:p>
      </w:sdtContent>
    </w:sdt>
    <w:p w:rsidR="00367C54" w:rsidRPr="00367C54" w:rsidRDefault="00367C54" w:rsidP="00367C54">
      <w:pPr>
        <w:sectPr w:rsidR="00367C54" w:rsidRPr="00367C54">
          <w:footerReference w:type="default" r:id="rId13"/>
          <w:pgSz w:w="11906" w:h="16838"/>
          <w:pgMar w:top="1440" w:right="1440" w:bottom="1440" w:left="1440" w:header="708" w:footer="708" w:gutter="0"/>
          <w:cols w:space="708"/>
          <w:docGrid w:linePitch="360"/>
        </w:sectPr>
      </w:pPr>
    </w:p>
    <w:p w:rsidR="008C5E8B" w:rsidRPr="00D05937" w:rsidRDefault="008C5E8B" w:rsidP="00744F87">
      <w:pPr>
        <w:pStyle w:val="Heading1"/>
      </w:pPr>
      <w:bookmarkStart w:id="2" w:name="_Toc484640673"/>
      <w:r w:rsidRPr="00D05937">
        <w:t>Data Explorers, tools and themes</w:t>
      </w:r>
      <w:bookmarkEnd w:id="0"/>
      <w:bookmarkEnd w:id="1"/>
      <w:bookmarkEnd w:id="2"/>
    </w:p>
    <w:p w:rsidR="008C5E8B" w:rsidRPr="008C5E8B" w:rsidRDefault="008C5E8B" w:rsidP="00744F87">
      <w:pPr>
        <w:pStyle w:val="Heading2"/>
      </w:pPr>
      <w:bookmarkStart w:id="3" w:name="_Toc473554191"/>
      <w:bookmarkStart w:id="4" w:name="_Toc473581175"/>
      <w:bookmarkStart w:id="5" w:name="_Toc484640674"/>
      <w:bookmarkStart w:id="6" w:name="_Toc382475121"/>
      <w:bookmarkStart w:id="7" w:name="_Toc397330848"/>
      <w:bookmarkStart w:id="8" w:name="_Toc433979644"/>
      <w:bookmarkStart w:id="9" w:name="_Toc433987902"/>
      <w:bookmarkStart w:id="10" w:name="_Toc457795682"/>
      <w:bookmarkStart w:id="11" w:name="_Toc467167212"/>
      <w:bookmarkStart w:id="12" w:name="_Toc467493580"/>
      <w:r w:rsidRPr="008C5E8B">
        <w:t>Violence against women survey</w:t>
      </w:r>
      <w:bookmarkEnd w:id="3"/>
      <w:bookmarkEnd w:id="4"/>
      <w:bookmarkEnd w:id="5"/>
      <w:r w:rsidRPr="008C5E8B">
        <w:t xml:space="preserve"> </w:t>
      </w:r>
    </w:p>
    <w:p w:rsidR="008C5E8B" w:rsidRPr="008C5E8B" w:rsidRDefault="0011685E" w:rsidP="00744F87">
      <w:pPr>
        <w:jc w:val="both"/>
      </w:pPr>
      <w:hyperlink r:id="rId14" w:history="1">
        <w:r w:rsidR="008C5E8B" w:rsidRPr="008C5E8B">
          <w:rPr>
            <w:rStyle w:val="Hyperlink"/>
          </w:rPr>
          <w:t>http://fra.europa.eu/en/publications-and-resources/data-and-maps/survey-data-explorer-violence-against-women-survey?mdq1=country&amp;mdq2=420</w:t>
        </w:r>
      </w:hyperlink>
      <w:r w:rsidR="008C5E8B" w:rsidRPr="008C5E8B">
        <w:rPr>
          <w:rFonts w:eastAsiaTheme="majorEastAsia" w:cstheme="majorBidi"/>
          <w:color w:val="2E74B5" w:themeColor="accent1" w:themeShade="BF"/>
        </w:rPr>
        <w:t xml:space="preserve"> </w:t>
      </w:r>
    </w:p>
    <w:p w:rsidR="00D05937" w:rsidRPr="00B35413" w:rsidRDefault="00D05937" w:rsidP="00744F87">
      <w:pPr>
        <w:pStyle w:val="Heading1"/>
      </w:pPr>
      <w:bookmarkStart w:id="13" w:name="_Toc457553539"/>
      <w:bookmarkStart w:id="14" w:name="_Toc473554196"/>
      <w:bookmarkStart w:id="15" w:name="_Toc473581180"/>
      <w:bookmarkStart w:id="16" w:name="_Toc484640675"/>
      <w:bookmarkEnd w:id="6"/>
      <w:bookmarkEnd w:id="7"/>
      <w:bookmarkEnd w:id="8"/>
      <w:bookmarkEnd w:id="9"/>
      <w:bookmarkEnd w:id="10"/>
      <w:bookmarkEnd w:id="11"/>
      <w:bookmarkEnd w:id="12"/>
      <w:r w:rsidRPr="00B35413">
        <w:rPr>
          <w:rFonts w:eastAsia="Daxline Offc Pro"/>
        </w:rPr>
        <w:t>Annual Reports</w:t>
      </w:r>
      <w:bookmarkEnd w:id="13"/>
      <w:bookmarkEnd w:id="14"/>
      <w:bookmarkEnd w:id="15"/>
      <w:bookmarkEnd w:id="16"/>
    </w:p>
    <w:p w:rsidR="00D05937" w:rsidRPr="00D05937" w:rsidRDefault="00D05937" w:rsidP="00744F87">
      <w:pPr>
        <w:pStyle w:val="Heading2"/>
      </w:pPr>
      <w:bookmarkStart w:id="17" w:name="_Toc457553540"/>
      <w:bookmarkStart w:id="18" w:name="_Toc473554197"/>
      <w:bookmarkStart w:id="19" w:name="_Toc473581181"/>
      <w:bookmarkStart w:id="20" w:name="_Toc484640676"/>
      <w:r w:rsidRPr="00D05937">
        <w:t>Fundamental Rights Report 2016</w:t>
      </w:r>
      <w:bookmarkEnd w:id="17"/>
      <w:bookmarkEnd w:id="18"/>
      <w:bookmarkEnd w:id="19"/>
      <w:bookmarkEnd w:id="20"/>
    </w:p>
    <w:p w:rsidR="00D05937" w:rsidRPr="00B35413" w:rsidRDefault="0011685E" w:rsidP="00744F87">
      <w:pPr>
        <w:jc w:val="both"/>
      </w:pPr>
      <w:hyperlink r:id="rId15" w:history="1">
        <w:r w:rsidR="00D05937" w:rsidRPr="00B35413">
          <w:rPr>
            <w:rStyle w:val="Hyperlink"/>
          </w:rPr>
          <w:t>http://fra.europa.eu/en/publication/2016/fundamental-rights-report-2016</w:t>
        </w:r>
      </w:hyperlink>
      <w:r w:rsidR="00D05937" w:rsidRPr="00B35413">
        <w:t xml:space="preserve"> </w:t>
      </w:r>
    </w:p>
    <w:p w:rsidR="00347604" w:rsidRDefault="00347604" w:rsidP="00744F87">
      <w:pPr>
        <w:pStyle w:val="Heading3"/>
      </w:pPr>
      <w:bookmarkStart w:id="21" w:name="_Toc484640677"/>
      <w:r>
        <w:t>Rights of the child</w:t>
      </w:r>
      <w:bookmarkEnd w:id="21"/>
    </w:p>
    <w:p w:rsidR="00347604" w:rsidRDefault="00347604" w:rsidP="00744F87">
      <w:pPr>
        <w:jc w:val="both"/>
      </w:pPr>
      <w:r>
        <w:t>“</w:t>
      </w:r>
      <w:r w:rsidRPr="00347604">
        <w:t xml:space="preserve">Initiatives also targeted other forms of violence, such as corporal punishment, during 2015. </w:t>
      </w:r>
      <w:r>
        <w:t>…</w:t>
      </w:r>
      <w:r w:rsidRPr="00347604">
        <w:t xml:space="preserve"> In the meantime, </w:t>
      </w:r>
      <w:r w:rsidRPr="00347604">
        <w:rPr>
          <w:b/>
        </w:rPr>
        <w:t>Ireland</w:t>
      </w:r>
      <w:r w:rsidRPr="00347604">
        <w:t xml:space="preserve"> banned all forms of corporal punishment by adopting the Children First Act 2015, which removes</w:t>
      </w:r>
      <w:r>
        <w:t xml:space="preserve"> the defence of ‘reasonable chastisement’ from the law, effectively banning parents from physically punishing their children.” (p. 143)</w:t>
      </w:r>
    </w:p>
    <w:p w:rsidR="00F556BF" w:rsidRDefault="00F556BF" w:rsidP="00744F87">
      <w:pPr>
        <w:jc w:val="both"/>
      </w:pPr>
      <w:r>
        <w:t xml:space="preserve">“Throughout the year, Member States such as Austria, Bulgaria, Germany, </w:t>
      </w:r>
      <w:r w:rsidRPr="00F556BF">
        <w:rPr>
          <w:b/>
        </w:rPr>
        <w:t>Ireland</w:t>
      </w:r>
      <w:r>
        <w:t xml:space="preserve">, Portugal, Spain, and Croatia updated their legislation to include various provisions on sexual crimes against children that contain specific references to new technologies. For example, the Criminal Law (Sexual Offences) Bill 2015 introduced in </w:t>
      </w:r>
      <w:r w:rsidRPr="00F556BF">
        <w:rPr>
          <w:b/>
        </w:rPr>
        <w:t>Ireland</w:t>
      </w:r>
      <w:r>
        <w:t xml:space="preserve"> included two new offences targeting online sexual offenders to protect children from exploitation by way of new technologies, including social media.” (p. 144)</w:t>
      </w:r>
    </w:p>
    <w:p w:rsidR="00F556BF" w:rsidRPr="00F64AA9" w:rsidRDefault="00F556BF" w:rsidP="00744F87">
      <w:pPr>
        <w:jc w:val="both"/>
        <w:rPr>
          <w:b/>
        </w:rPr>
      </w:pPr>
      <w:r>
        <w:t xml:space="preserve">“For example, draft legislation in </w:t>
      </w:r>
      <w:r w:rsidRPr="00F556BF">
        <w:rPr>
          <w:b/>
        </w:rPr>
        <w:t>Ireland</w:t>
      </w:r>
      <w:r>
        <w:t xml:space="preserve"> provides children with access to support services, free of charge, according to their particular needs before, during, and for a period after criminal proceedings. The Criminal Law (Sexual Offences) Bill 2015 aims to protect child victims of sexual offences from any additional trauma that may arise as a result of giving evidence during criminal trials; it introduces measures extending the use of video-recorded evidence and limiting the circumstances in which an accused can personally cross-examine a child witness.” (p. 150)</w:t>
      </w:r>
    </w:p>
    <w:p w:rsidR="0089604D" w:rsidRDefault="0089604D" w:rsidP="00744F87">
      <w:pPr>
        <w:pStyle w:val="Heading3"/>
      </w:pPr>
      <w:bookmarkStart w:id="22" w:name="_Toc484640678"/>
      <w:r>
        <w:t>Access to justice, including rights of crime victims</w:t>
      </w:r>
      <w:bookmarkEnd w:id="22"/>
    </w:p>
    <w:p w:rsidR="00B206D5" w:rsidRDefault="00F556BF" w:rsidP="00744F87">
      <w:pPr>
        <w:jc w:val="both"/>
      </w:pPr>
      <w:r>
        <w:t>“</w:t>
      </w:r>
      <w:r w:rsidRPr="00F556BF">
        <w:rPr>
          <w:b/>
        </w:rPr>
        <w:t>Ireland</w:t>
      </w:r>
      <w:r>
        <w:t xml:space="preserve"> rolled out Garda Victim Service Offices to 28 Garda (police) divisions by 2015. Each office has a police officer and a civilian, whom NGOs have trained to deal with victims of crime and act as the central point of c</w:t>
      </w:r>
      <w:r w:rsidR="002E5B12">
        <w:t>ontact and support for victims.</w:t>
      </w:r>
      <w:r>
        <w:t xml:space="preserve"> The functions carried out by the office include identifying and liaising with victims of crime; arranging call-backs to victims by community police; sending them initial contact letters and follow-up letters (translated versions are available in many languages); providing information on available services; emailing embassies and tourists to assist with arranging travel documents, etc., at short notice; and referring tourist victims to the Irish Tourist Association Services. The police sends letters to victims of crime. These come from the superintendent of the relevant police station (at which the crime was reported), and contain the name of the investigating officer, the ‘pulse’ number of the crime, the telephone number of the investigating police station and the number of the Crime Victims Helpline. Police are also updating their information systems to help identify people who are at risk by flagging this in their IT systems. In addition, the Director of Public Prosecutions is to get additional staff members to assist with obligations under the Victims’ Rights Directive.”</w:t>
      </w:r>
      <w:r w:rsidR="002E5B12">
        <w:t xml:space="preserve"> (p. 169)</w:t>
      </w:r>
    </w:p>
    <w:p w:rsidR="002E5B12" w:rsidRDefault="005E6B92" w:rsidP="00744F87">
      <w:pPr>
        <w:jc w:val="both"/>
      </w:pPr>
      <w:r>
        <w:t xml:space="preserve"> </w:t>
      </w:r>
      <w:r w:rsidR="002E5B12">
        <w:t xml:space="preserve">“Meanwhile, the influence of the Istanbul Convention grew, with numerous countries adopting measures in line with its goals of preventing violence against women, enhancing victim protection and prosecuting perpetrators. … A further two Member States signed the convention (Cyprus and </w:t>
      </w:r>
      <w:r w:rsidR="002E5B12" w:rsidRPr="002E5B12">
        <w:rPr>
          <w:b/>
        </w:rPr>
        <w:t>Ireland</w:t>
      </w:r>
      <w:r w:rsidR="002E5B12">
        <w:t>), bringing the total number of EU Member State signatories to 25.” (p. 172)</w:t>
      </w:r>
    </w:p>
    <w:p w:rsidR="002E5B12" w:rsidRDefault="002E5B12" w:rsidP="00744F87">
      <w:pPr>
        <w:jc w:val="both"/>
      </w:pPr>
      <w:r>
        <w:t>“</w:t>
      </w:r>
      <w:r w:rsidRPr="002E5B12">
        <w:rPr>
          <w:b/>
        </w:rPr>
        <w:t>Ireland</w:t>
      </w:r>
      <w:r>
        <w:t xml:space="preserve"> increased funding to the National Office for the Prevention of Domestic, Sexual and Gender-Based Violence (COSC), from €1.9 million to €2.4 million. It will use this extra €500,000 towards a national awareness campaign allied to the Second National Strategy on Domestic, Sexual and Gender-based Violence 2016–2021. There are concerns that this increase will not be enough to ensure the provision of information, support and protection to victims of crime under the Victims’ Rights Directive.” (p. 174)</w:t>
      </w:r>
    </w:p>
    <w:p w:rsidR="00555D4D" w:rsidRPr="0007118B" w:rsidRDefault="00555D4D" w:rsidP="00744F87">
      <w:pPr>
        <w:pStyle w:val="Heading2"/>
      </w:pPr>
      <w:bookmarkStart w:id="23" w:name="_Toc457795688"/>
      <w:bookmarkStart w:id="24" w:name="_Toc467167218"/>
      <w:bookmarkStart w:id="25" w:name="_Toc467493587"/>
      <w:bookmarkStart w:id="26" w:name="_Toc473539562"/>
      <w:bookmarkStart w:id="27" w:name="_Toc484640679"/>
      <w:r w:rsidRPr="0007118B">
        <w:t>Fundamental rights: challenges and achievements in 2014 - Annual Report 2014 (2015)</w:t>
      </w:r>
      <w:bookmarkEnd w:id="23"/>
      <w:bookmarkEnd w:id="24"/>
      <w:bookmarkEnd w:id="25"/>
      <w:bookmarkEnd w:id="26"/>
      <w:bookmarkEnd w:id="27"/>
    </w:p>
    <w:p w:rsidR="00555D4D" w:rsidRPr="008C716C" w:rsidRDefault="0011685E" w:rsidP="00744F87">
      <w:pPr>
        <w:spacing w:line="276" w:lineRule="auto"/>
        <w:jc w:val="both"/>
        <w:rPr>
          <w:lang w:val="en-IE"/>
        </w:rPr>
      </w:pPr>
      <w:hyperlink r:id="rId16" w:history="1">
        <w:r w:rsidR="00555D4D" w:rsidRPr="008C716C">
          <w:rPr>
            <w:color w:val="0563C1" w:themeColor="hyperlink"/>
            <w:u w:val="single"/>
            <w:lang w:val="en-IE"/>
          </w:rPr>
          <w:t>http://fra.europa.eu/sites/default/files/fra-annual-report-2014_en.pdf</w:t>
        </w:r>
      </w:hyperlink>
      <w:r w:rsidR="00555D4D" w:rsidRPr="008C716C">
        <w:rPr>
          <w:lang w:val="en-IE"/>
        </w:rPr>
        <w:t xml:space="preserve">  </w:t>
      </w:r>
    </w:p>
    <w:p w:rsidR="00A228E0" w:rsidRDefault="00A228E0" w:rsidP="00744F87">
      <w:pPr>
        <w:pStyle w:val="Heading3"/>
        <w:numPr>
          <w:ilvl w:val="0"/>
          <w:numId w:val="4"/>
        </w:numPr>
      </w:pPr>
      <w:bookmarkStart w:id="28" w:name="_Toc484640680"/>
      <w:r>
        <w:t>Rights of the child</w:t>
      </w:r>
      <w:bookmarkEnd w:id="28"/>
    </w:p>
    <w:p w:rsidR="00A228E0" w:rsidRPr="00A228E0" w:rsidRDefault="00A228E0" w:rsidP="00744F87">
      <w:pPr>
        <w:jc w:val="both"/>
      </w:pPr>
      <w:r>
        <w:t xml:space="preserve">“Ensuring effective monitoring of private institutions working with children remains a challenge in Europe, because of insufficient monitoring mechanisms, a lack of human resources and, more importantly, a lack of clearly defined quality standards for service delivery. The lack of monitoring was raised by the ECtHR in its ruling against </w:t>
      </w:r>
      <w:r w:rsidRPr="00A228E0">
        <w:rPr>
          <w:b/>
        </w:rPr>
        <w:t>Ireland</w:t>
      </w:r>
      <w:r>
        <w:t xml:space="preserve"> for failing to protect a girl who was a victim of sexual abuse by a lay teacher in an Irish National School run by the Catholic Church. As a consequence of this judgment, the </w:t>
      </w:r>
      <w:r w:rsidRPr="00A228E0">
        <w:rPr>
          <w:b/>
        </w:rPr>
        <w:t>Irish</w:t>
      </w:r>
      <w:r>
        <w:t xml:space="preserve"> government has approved an out-of-court settlement scheme for other survivors of child abuse in schools.” (p. 132)</w:t>
      </w:r>
    </w:p>
    <w:p w:rsidR="00BE2928" w:rsidRDefault="00BE2928" w:rsidP="00744F87">
      <w:pPr>
        <w:pStyle w:val="Heading1"/>
      </w:pPr>
      <w:bookmarkStart w:id="29" w:name="_Toc473554211"/>
      <w:bookmarkStart w:id="30" w:name="_Toc473559192"/>
      <w:bookmarkStart w:id="31" w:name="_Toc484640681"/>
      <w:r w:rsidRPr="00BE2928">
        <w:t>Thematic Reports</w:t>
      </w:r>
      <w:bookmarkEnd w:id="29"/>
      <w:bookmarkEnd w:id="30"/>
      <w:bookmarkEnd w:id="31"/>
    </w:p>
    <w:p w:rsidR="00A228E0" w:rsidRDefault="00A228E0" w:rsidP="00744F87">
      <w:pPr>
        <w:pStyle w:val="Heading2"/>
        <w:rPr>
          <w:rFonts w:eastAsiaTheme="minorHAnsi" w:cstheme="minorBidi"/>
          <w:color w:val="auto"/>
          <w:sz w:val="22"/>
          <w:szCs w:val="22"/>
        </w:rPr>
      </w:pPr>
    </w:p>
    <w:p w:rsidR="00B13CA6" w:rsidRDefault="00B13CA6" w:rsidP="00744F87">
      <w:pPr>
        <w:pStyle w:val="Heading2"/>
      </w:pPr>
      <w:bookmarkStart w:id="32" w:name="_Toc484640682"/>
      <w:r>
        <w:t>Criminal detention and alternatives: fundamental rights aspects in EU cross-border transfers (November 2016)</w:t>
      </w:r>
      <w:bookmarkEnd w:id="32"/>
    </w:p>
    <w:p w:rsidR="00B13CA6" w:rsidRDefault="0011685E" w:rsidP="00744F87">
      <w:pPr>
        <w:jc w:val="both"/>
      </w:pPr>
      <w:hyperlink r:id="rId17" w:history="1">
        <w:r w:rsidR="00B13CA6" w:rsidRPr="001747EE">
          <w:rPr>
            <w:rStyle w:val="Hyperlink"/>
          </w:rPr>
          <w:t>http://fra.europa.eu/en/publication/2016/criminal-detention-and-alternatives-fundamental-rights-aspects-eu-cross-border</w:t>
        </w:r>
      </w:hyperlink>
      <w:r w:rsidR="00B13CA6">
        <w:t xml:space="preserve"> </w:t>
      </w:r>
    </w:p>
    <w:p w:rsidR="00BA6B42" w:rsidRDefault="00BA6B42" w:rsidP="00744F87">
      <w:pPr>
        <w:jc w:val="both"/>
      </w:pPr>
      <w:r>
        <w:t xml:space="preserve">“There have been significant developments since the Commission’s 2014 implementation assessment, with only a handful or fewer Member States not yet having formally implemented the instruments. The European Judicial Network provides updated information online on the status of implementation. As of 1 May 2016, Bulgaria and </w:t>
      </w:r>
      <w:r w:rsidRPr="00BA6B42">
        <w:rPr>
          <w:b/>
        </w:rPr>
        <w:t>Ireland</w:t>
      </w:r>
      <w:r>
        <w:t xml:space="preserve"> had not fully implemented the Framework Decision on transfer of prisoners (implementation processes are ongoing in both countries). For the Framework Decision on probation and alternative sanctions, only </w:t>
      </w:r>
      <w:r w:rsidRPr="00BA6B42">
        <w:rPr>
          <w:b/>
        </w:rPr>
        <w:t>Ireland</w:t>
      </w:r>
      <w:r>
        <w:t xml:space="preserve"> had not completed implementation, but this is pending (the United Kingdom is not taking part). Twenty-three EU Member States had implemented the Framework Decision on the ESO, with an additional three (Cyprus, </w:t>
      </w:r>
      <w:r w:rsidRPr="00BA6B42">
        <w:rPr>
          <w:b/>
        </w:rPr>
        <w:t>Ireland</w:t>
      </w:r>
      <w:r>
        <w:t>, and Luxembourg) being in the process of implementation and two (Belgium and Bulgaria) having yet to implement it.” (p. 27)</w:t>
      </w:r>
    </w:p>
    <w:p w:rsidR="009D1535" w:rsidRDefault="009D1535" w:rsidP="00744F87">
      <w:pPr>
        <w:jc w:val="both"/>
      </w:pPr>
      <w:r>
        <w:t xml:space="preserve">“In </w:t>
      </w:r>
      <w:r w:rsidRPr="009D1535">
        <w:rPr>
          <w:b/>
        </w:rPr>
        <w:t>Ireland</w:t>
      </w:r>
      <w:r>
        <w:t>,</w:t>
      </w:r>
      <w:r w:rsidRPr="009D1535">
        <w:t xml:space="preserve"> the Probation Service has an ‘international desk’ to deal with transfers of sentenced persons subject to probation or other supervision orders and other requests. For both inward and outward transfers, the sentenced person can seek assistance by contacting the ‘international desk’ through their assigned probation officer. It is then up to the probation services of the two countries involved to liaise regarding the transfer application. If a translator or interpreter is required to complete the procedure, this is provided by the court. The authorities, if in agreement, will then come to an informal arrangement for carrying out the order in the other jurisdiction. </w:t>
      </w:r>
    </w:p>
    <w:p w:rsidR="009D1535" w:rsidRDefault="009D1535" w:rsidP="00744F87">
      <w:pPr>
        <w:jc w:val="both"/>
      </w:pPr>
      <w:r w:rsidRPr="009D1535">
        <w:t xml:space="preserve">As far as inward transfers are concerned, the Probation Service in </w:t>
      </w:r>
      <w:r w:rsidRPr="009D1535">
        <w:rPr>
          <w:b/>
        </w:rPr>
        <w:t>Ireland</w:t>
      </w:r>
      <w:r w:rsidRPr="009D1535">
        <w:t xml:space="preserve"> shall undergo relevant inquiries, including with the family of the sentenced person to assess familial and other connections. The Probation Service also tries to assign someone to the sentenced person to ensure that they have adequate support on arrival. Sometimes no direct equivalent community sanction is available in Ireland – for example, </w:t>
      </w:r>
      <w:r w:rsidRPr="009D1535">
        <w:rPr>
          <w:b/>
        </w:rPr>
        <w:t>Ireland</w:t>
      </w:r>
      <w:r w:rsidRPr="009D1535">
        <w:t xml:space="preserve"> does not impose electronic monitoring, something which is common in England and Wales. However, a pragmatic and constructive approach is taken in these cases, with a coherent – though not identical – sentence agreed on. This may require the agreement of the sentencing court in the issuing state. In </w:t>
      </w:r>
      <w:r w:rsidRPr="009D1535">
        <w:rPr>
          <w:b/>
        </w:rPr>
        <w:t>Ireland</w:t>
      </w:r>
      <w:r w:rsidRPr="009D1535">
        <w:t xml:space="preserve">, when a case is prepared, the key questions asked in both inward and outward transfers are: </w:t>
      </w:r>
    </w:p>
    <w:p w:rsidR="009D1535" w:rsidRDefault="009D1535" w:rsidP="009D1535">
      <w:pPr>
        <w:pStyle w:val="ListParagraph"/>
        <w:numPr>
          <w:ilvl w:val="0"/>
          <w:numId w:val="5"/>
        </w:numPr>
        <w:jc w:val="both"/>
      </w:pPr>
      <w:r w:rsidRPr="009D1535">
        <w:t xml:space="preserve">Do they have a base in the country to which they are to be transferred? </w:t>
      </w:r>
    </w:p>
    <w:p w:rsidR="009D1535" w:rsidRDefault="009D1535" w:rsidP="009D1535">
      <w:pPr>
        <w:pStyle w:val="ListParagraph"/>
        <w:numPr>
          <w:ilvl w:val="0"/>
          <w:numId w:val="5"/>
        </w:numPr>
        <w:jc w:val="both"/>
      </w:pPr>
      <w:r w:rsidRPr="009D1535">
        <w:t xml:space="preserve">Do they have family support in the country to which they are to be transferred? </w:t>
      </w:r>
    </w:p>
    <w:p w:rsidR="009D1535" w:rsidRDefault="009D1535" w:rsidP="009D1535">
      <w:pPr>
        <w:pStyle w:val="ListParagraph"/>
        <w:numPr>
          <w:ilvl w:val="0"/>
          <w:numId w:val="5"/>
        </w:numPr>
        <w:jc w:val="both"/>
      </w:pPr>
      <w:r w:rsidRPr="009D1535">
        <w:t xml:space="preserve">Is it in their best interests to be transferred? (including humanitarian concerns) </w:t>
      </w:r>
    </w:p>
    <w:p w:rsidR="009D1535" w:rsidRDefault="009D1535" w:rsidP="009D1535">
      <w:pPr>
        <w:pStyle w:val="ListParagraph"/>
        <w:numPr>
          <w:ilvl w:val="0"/>
          <w:numId w:val="5"/>
        </w:numPr>
        <w:jc w:val="both"/>
      </w:pPr>
      <w:r w:rsidRPr="009D1535">
        <w:t xml:space="preserve">How will it affect their rehabilitation? </w:t>
      </w:r>
    </w:p>
    <w:p w:rsidR="009D1535" w:rsidRDefault="009D1535" w:rsidP="009D1535">
      <w:pPr>
        <w:pStyle w:val="ListParagraph"/>
        <w:numPr>
          <w:ilvl w:val="0"/>
          <w:numId w:val="5"/>
        </w:numPr>
        <w:jc w:val="both"/>
      </w:pPr>
      <w:r w:rsidRPr="009D1535">
        <w:t>Are there any significant risks or dangers?</w:t>
      </w:r>
      <w:r>
        <w:t>” (p. 33)</w:t>
      </w:r>
    </w:p>
    <w:p w:rsidR="00B00A87" w:rsidRDefault="00B00A87" w:rsidP="00744F87">
      <w:pPr>
        <w:jc w:val="both"/>
      </w:pPr>
      <w:r>
        <w:t>“</w:t>
      </w:r>
      <w:r w:rsidRPr="00B00A87">
        <w:t>According to FRA’s research, as of 1 June 2015, Bulgaria had refused several transfers as issuing state because its authorities did not accept the consequences that the adaptions of the sentences by potential executing states would have had.</w:t>
      </w:r>
      <w:r>
        <w:t xml:space="preserve"> </w:t>
      </w:r>
      <w:r w:rsidRPr="00B00A87">
        <w:t xml:space="preserve">In </w:t>
      </w:r>
      <w:r w:rsidRPr="00B00A87">
        <w:rPr>
          <w:b/>
        </w:rPr>
        <w:t>Ireland</w:t>
      </w:r>
      <w:r w:rsidRPr="00B00A87">
        <w:t>, in respect of prisoners requesting to transfer out of the country, applications can be, and already have been, refused when substantial reductions in sentences can be expected or if there is good reason to believe that an applicant would not ordinarily reside in the jurisdiction he or she is applying to.</w:t>
      </w:r>
      <w:r>
        <w:t>” (p. 46)</w:t>
      </w:r>
    </w:p>
    <w:p w:rsidR="006B44AE" w:rsidRDefault="006B44AE" w:rsidP="00744F87">
      <w:pPr>
        <w:jc w:val="both"/>
      </w:pPr>
      <w:r>
        <w:t>“</w:t>
      </w:r>
      <w:r w:rsidRPr="007F1391">
        <w:rPr>
          <w:b/>
        </w:rPr>
        <w:t>Ireland</w:t>
      </w:r>
      <w:r w:rsidRPr="006B44AE">
        <w:t xml:space="preserve"> seems to refuse transfers as executing state frequently. In respect of prisoners requesting transfers into Ireland, grounds for refusal most commonly fall under one of three categories. First, the transfer may be refused because there are not sufficient family ties in Ireland to merit the person’s transfer back to the country. Second, the lack of a similar sentence in </w:t>
      </w:r>
      <w:r w:rsidRPr="006B44AE">
        <w:rPr>
          <w:b/>
        </w:rPr>
        <w:t>Ireland</w:t>
      </w:r>
      <w:r w:rsidRPr="006B44AE">
        <w:t xml:space="preserve"> may result in a refusal.</w:t>
      </w:r>
      <w:r>
        <w:t xml:space="preserve"> </w:t>
      </w:r>
      <w:r w:rsidRPr="006B44AE">
        <w:t xml:space="preserve">For example, prisoners from the United Kingdom may not be transferred back to </w:t>
      </w:r>
      <w:r w:rsidRPr="006B44AE">
        <w:rPr>
          <w:b/>
        </w:rPr>
        <w:t>Ireland</w:t>
      </w:r>
      <w:r w:rsidRPr="006B44AE">
        <w:t xml:space="preserve"> because there is no equivalent sentence to that imposed in the United Kingdom, although they are not prohibited from applying. A third issue – in the context of </w:t>
      </w:r>
      <w:r w:rsidRPr="006B44AE">
        <w:rPr>
          <w:b/>
        </w:rPr>
        <w:t>Irish</w:t>
      </w:r>
      <w:r w:rsidRPr="006B44AE">
        <w:t xml:space="preserve"> prisoners in the United Kingdom – is when a prisoner might be released ‘on license.’ No such regime exists in </w:t>
      </w:r>
      <w:r w:rsidRPr="006B44AE">
        <w:rPr>
          <w:b/>
        </w:rPr>
        <w:t>Ireland</w:t>
      </w:r>
      <w:r w:rsidRPr="006B44AE">
        <w:t xml:space="preserve">. The case of Sweeney v. Governor of Loughan House involved a defendant on whom the United Kingdom had imposed a 16-year sentence, half of which he was supposed to serve in the community. In Ireland, he was released after serving 8 years in prison because the country has no equivalent to the ‘on license’ regime. As a result of this precedent, there appears, according to anecdotal evidence, to be a freeze on transfers from the United Kingdom into </w:t>
      </w:r>
      <w:r w:rsidRPr="006B44AE">
        <w:rPr>
          <w:b/>
        </w:rPr>
        <w:t>Ireland</w:t>
      </w:r>
      <w:r>
        <w:t xml:space="preserve">. </w:t>
      </w:r>
      <w:r w:rsidRPr="006B44AE">
        <w:t>Meanwhile, the United Kingdom has refused some transfers from abroad based on less than six months being left to serve, as permitted pursuant to</w:t>
      </w:r>
      <w:r>
        <w:t xml:space="preserve"> Article 9 (1) (h) of the Framework Decision on transfer of prisoners.” (p. 47)</w:t>
      </w:r>
    </w:p>
    <w:p w:rsidR="006B44AE" w:rsidRDefault="006B44AE" w:rsidP="00744F87">
      <w:pPr>
        <w:jc w:val="both"/>
      </w:pPr>
      <w:r>
        <w:t xml:space="preserve">“While bail may bring its own problems, in </w:t>
      </w:r>
      <w:r w:rsidRPr="006B44AE">
        <w:rPr>
          <w:b/>
        </w:rPr>
        <w:t>Ireland</w:t>
      </w:r>
      <w:r>
        <w:t>, bail, rather than detention, is the ‘default position’ in pre-trial criminal investigations. “If you oppose bail, there must be a reason. Bail is the default position,” says an Irish judge. The conditions vary from a so-called “mobile phone condition” – which requires the suspect to carry a </w:t>
      </w:r>
      <w:r w:rsidR="007F1391">
        <w:t>fully charged</w:t>
      </w:r>
      <w:r>
        <w:t xml:space="preserve"> phone at all times and answer it whenever the police calls – to money bail from € 100 to € 10,000.” (p. 64)</w:t>
      </w:r>
    </w:p>
    <w:p w:rsidR="00D567CB" w:rsidRDefault="00D567CB" w:rsidP="00744F87">
      <w:pPr>
        <w:jc w:val="both"/>
      </w:pPr>
      <w:r>
        <w:t xml:space="preserve">“Another related alternative measure that is widely used at the pre-trial stage within the EU is that of mandatory registration, also known as the duty to report. According to FRA’s findings, 18 Member States require mandatory registration at pre-trial stage, with </w:t>
      </w:r>
      <w:r w:rsidRPr="00D567CB">
        <w:rPr>
          <w:b/>
        </w:rPr>
        <w:t>Ireland</w:t>
      </w:r>
      <w:r>
        <w:t xml:space="preserve"> and Italy providing analogous requirements notwithstanding their lack of transposing legislation. Direct supervision by the national probation services is envisaged in 11 Member States, while seizure of documents occurs at the pre-trial stage in seven Member States.” (p. 66)</w:t>
      </w:r>
    </w:p>
    <w:p w:rsidR="00D567CB" w:rsidRDefault="00D567CB" w:rsidP="00744F87">
      <w:pPr>
        <w:jc w:val="both"/>
      </w:pPr>
      <w:r>
        <w:t xml:space="preserve">“Data show that 25 of the 28 EU Member States offer suspended sentences. Conditional sentencing appears to be a less available alternative: 16 out of 28 offer conditional sentences (Belgium, Cyprus, the Czech Republic, Germany, Estonia, Finland, France, Croatia, Hungary, </w:t>
      </w:r>
      <w:r w:rsidRPr="00D567CB">
        <w:rPr>
          <w:b/>
        </w:rPr>
        <w:t>Ireland</w:t>
      </w:r>
      <w:r>
        <w:t>, Malta, Poland, Romania, Sweden, Slovenia, and the United Kingdom).” (p. 67)</w:t>
      </w:r>
    </w:p>
    <w:p w:rsidR="00C96AC2" w:rsidRDefault="00C96AC2" w:rsidP="00744F87">
      <w:pPr>
        <w:jc w:val="both"/>
      </w:pPr>
      <w:r>
        <w:t xml:space="preserve">“Restrictions of movement as an alternative sanction can come in many forms. These include house arrest with electronic monitoring; prohibitions on entering certain locations; limitations on leaving the country; or deportation orders. House arrest with electronic monitoring is commonly used among EU Member States. The states that allow electronic monitoring include: Austria, Belgium, Cyprus, the Czech Republic, Denmark, Estonia, Finland, France, </w:t>
      </w:r>
      <w:r w:rsidRPr="00C96AC2">
        <w:rPr>
          <w:b/>
        </w:rPr>
        <w:t>Ireland</w:t>
      </w:r>
      <w:r>
        <w:t>, Italy, Latvia, Poland, Portugal and Spain.” (p. 69)</w:t>
      </w:r>
    </w:p>
    <w:p w:rsidR="00AF4005" w:rsidRDefault="00AF4005" w:rsidP="00744F87">
      <w:pPr>
        <w:jc w:val="both"/>
      </w:pPr>
      <w:r>
        <w:t>“According to the research findings, very few states include special provisions securing the rights of vulnerable individuals in their laws implementing the Framework Decisions. … In Ireland, in case of any doubt, an assessment of mental capacity is carried out.” (p. 72)</w:t>
      </w:r>
    </w:p>
    <w:p w:rsidR="00AF4005" w:rsidRDefault="00AF4005" w:rsidP="00744F87">
      <w:pPr>
        <w:jc w:val="both"/>
      </w:pPr>
      <w:r>
        <w:t xml:space="preserve">“The most commonly available alternative to pre and post-trial imprisonment for children across EU Member States appears to be supervision by non-judicial bodies. These can include parents, guardians, or non-judicial bodies. Such measures are available in 15 Member States: Belgium, Bulgaria, Croatia, Denmark, Finland, Germany, Greece, </w:t>
      </w:r>
      <w:r w:rsidRPr="00AF4005">
        <w:rPr>
          <w:b/>
        </w:rPr>
        <w:t>Ireland</w:t>
      </w:r>
      <w:r>
        <w:t>, Lithuania, Portugal, Romania, Slovakia, Spain, Sweden and the United Kingdom (England and Wales, Northern Ireland and Scotland).” (p. 76)</w:t>
      </w:r>
    </w:p>
    <w:p w:rsidR="00D567CB" w:rsidRDefault="00D567CB" w:rsidP="00744F87">
      <w:pPr>
        <w:jc w:val="both"/>
      </w:pPr>
      <w:r>
        <w:t xml:space="preserve">“In </w:t>
      </w:r>
      <w:r w:rsidRPr="00D567CB">
        <w:rPr>
          <w:b/>
        </w:rPr>
        <w:t>Ireland</w:t>
      </w:r>
      <w:r>
        <w:t>, transgender prisoners are placed in prisons based on their sex characteristics, in violation of their gender identity. Notwithstanding, Irish courts have the power to place a prisoner in a male or female prison by issuing a warrant.” (p. 81)</w:t>
      </w:r>
    </w:p>
    <w:p w:rsidR="00AF4005" w:rsidRDefault="00AF4005" w:rsidP="00AF4005">
      <w:pPr>
        <w:spacing w:after="0"/>
        <w:jc w:val="both"/>
        <w:rPr>
          <w:b/>
        </w:rPr>
      </w:pPr>
      <w:r>
        <w:rPr>
          <w:b/>
        </w:rPr>
        <w:t xml:space="preserve">Promising Practice: </w:t>
      </w:r>
      <w:r w:rsidRPr="00AF4005">
        <w:rPr>
          <w:b/>
        </w:rPr>
        <w:t>Informing accused or sentenced persons about the possibility of transfer</w:t>
      </w:r>
    </w:p>
    <w:p w:rsidR="00AF4005" w:rsidRDefault="00AF4005" w:rsidP="00AF4005">
      <w:pPr>
        <w:spacing w:after="0"/>
        <w:jc w:val="both"/>
      </w:pPr>
      <w:r w:rsidRPr="00AF4005">
        <w:t xml:space="preserve">“Romania, Luxembourg, </w:t>
      </w:r>
      <w:r w:rsidRPr="00AF4005">
        <w:rPr>
          <w:b/>
        </w:rPr>
        <w:t>Ireland</w:t>
      </w:r>
      <w:r w:rsidRPr="00AF4005">
        <w:t xml:space="preserve">, Hungary, the Netherlands and Finland </w:t>
      </w:r>
      <w:r>
        <w:t xml:space="preserve">also make relevant </w:t>
      </w:r>
      <w:r w:rsidRPr="00AF4005">
        <w:t>information sheets publicly available online.” (p. 86)</w:t>
      </w:r>
    </w:p>
    <w:p w:rsidR="00AF4005" w:rsidRPr="00AF4005" w:rsidRDefault="00AF4005" w:rsidP="00AF4005">
      <w:pPr>
        <w:spacing w:after="0"/>
        <w:jc w:val="both"/>
      </w:pPr>
    </w:p>
    <w:p w:rsidR="001E52EB" w:rsidRPr="00FB13B2" w:rsidRDefault="001E52EB" w:rsidP="00744F87">
      <w:pPr>
        <w:pStyle w:val="Heading2"/>
      </w:pPr>
      <w:bookmarkStart w:id="33" w:name="_Toc484640683"/>
      <w:r w:rsidRPr="00FB13B2">
        <w:t>Guardianship systems for children deprived of parental care in the European Union (October 2015)</w:t>
      </w:r>
      <w:bookmarkEnd w:id="33"/>
    </w:p>
    <w:p w:rsidR="001E52EB" w:rsidRPr="00FB13B2" w:rsidRDefault="0011685E" w:rsidP="00744F87">
      <w:pPr>
        <w:jc w:val="both"/>
        <w:rPr>
          <w:lang w:val="en-IE"/>
        </w:rPr>
      </w:pPr>
      <w:hyperlink r:id="rId18" w:history="1">
        <w:r w:rsidR="001E52EB" w:rsidRPr="00FB13B2">
          <w:rPr>
            <w:rStyle w:val="Hyperlink"/>
          </w:rPr>
          <w:t>http://fra.europa.eu/en/publication/2015/guardianship-children-deprived-parental-care</w:t>
        </w:r>
      </w:hyperlink>
      <w:r w:rsidR="001E52EB" w:rsidRPr="00FB13B2">
        <w:t xml:space="preserve"> </w:t>
      </w:r>
    </w:p>
    <w:p w:rsidR="00AA0BE6" w:rsidRDefault="00FB13B2" w:rsidP="00744F87">
      <w:pPr>
        <w:jc w:val="both"/>
      </w:pPr>
      <w:r w:rsidRPr="00FB13B2">
        <w:t xml:space="preserve">“To address the specific needs of unaccompanied children in </w:t>
      </w:r>
      <w:r w:rsidRPr="00FB13B2">
        <w:rPr>
          <w:b/>
        </w:rPr>
        <w:t>Ireland</w:t>
      </w:r>
      <w:r w:rsidRPr="00FB13B2">
        <w:t>, a specialised team of social workers – the Child and Family Agency Social Work Team for Separated Children Seeking Asylum (SWTSCSA) – has been established in Dublin. The team receives referrals mostly from two national services, the Garda National Immigration Bureau (GNIB) and the Office of the Refugee Applications Commissioner (ORAC). Referrals may also be accepted from other social work teams in Ireland that do not have the necessary resources or experience to care for the separated child in question.” (p. 33)</w:t>
      </w:r>
    </w:p>
    <w:p w:rsidR="00FB13B2" w:rsidRPr="00FB13B2" w:rsidRDefault="00FB13B2" w:rsidP="00744F87">
      <w:pPr>
        <w:jc w:val="both"/>
      </w:pPr>
      <w:r>
        <w:t xml:space="preserve">“The examples of </w:t>
      </w:r>
      <w:r w:rsidRPr="00FB13B2">
        <w:rPr>
          <w:b/>
        </w:rPr>
        <w:t>Ireland</w:t>
      </w:r>
      <w:r>
        <w:t xml:space="preserve"> and Poland illustrate well the special arrangements setting up a higher level of protection for child victims of trafficking. </w:t>
      </w:r>
      <w:r w:rsidR="00D934B4">
        <w:t>…</w:t>
      </w:r>
      <w:r>
        <w:t xml:space="preserve"> In </w:t>
      </w:r>
      <w:r w:rsidRPr="00D934B4">
        <w:rPr>
          <w:b/>
        </w:rPr>
        <w:t>Ireland</w:t>
      </w:r>
      <w:r>
        <w:t>, additional support is given to unaccompanied child victims</w:t>
      </w:r>
      <w:r w:rsidR="00D934B4">
        <w:t xml:space="preserve"> of trafficking, with specific protocols in place between relevant migration, judicial and child protection authorities. Specialised accommodation facilities are available for child victims. The national child protection authority acts in loco parentis for all child victims of trafficking but not for all unaccompanied children taken into care. It has a clear responsibility, under the Child Care Act, to make all necessary provisions for any unaccompanied children identified as potential or suspected victims of trafficking. All children identified as victims of trafficking must immediately be referred to the specialised social work team in Dublin.” (p. 36)</w:t>
      </w:r>
    </w:p>
    <w:p w:rsidR="00B112FA" w:rsidRPr="00810BF9" w:rsidRDefault="00B112FA" w:rsidP="00744F87">
      <w:pPr>
        <w:pStyle w:val="Heading2"/>
      </w:pPr>
      <w:bookmarkStart w:id="34" w:name="_Toc484640684"/>
      <w:r w:rsidRPr="00810BF9">
        <w:t>Severe labour exploitation: workers moving within or into the European Union (June 2015)</w:t>
      </w:r>
      <w:bookmarkEnd w:id="34"/>
    </w:p>
    <w:p w:rsidR="00B112FA" w:rsidRPr="00810BF9" w:rsidRDefault="0011685E" w:rsidP="00744F87">
      <w:pPr>
        <w:jc w:val="both"/>
      </w:pPr>
      <w:hyperlink r:id="rId19" w:history="1">
        <w:r w:rsidR="00B112FA" w:rsidRPr="00810BF9">
          <w:rPr>
            <w:rStyle w:val="Hyperlink"/>
          </w:rPr>
          <w:t>http://fra.europa.eu/en/publication/2015/severe-labour-exploitation-workers-moving-within-or-european-union</w:t>
        </w:r>
      </w:hyperlink>
      <w:r w:rsidR="00B112FA" w:rsidRPr="00810BF9">
        <w:t xml:space="preserve"> </w:t>
      </w:r>
    </w:p>
    <w:p w:rsidR="004F1DEB" w:rsidRPr="00810BF9" w:rsidRDefault="00123BB5" w:rsidP="00744F87">
      <w:pPr>
        <w:jc w:val="both"/>
      </w:pPr>
      <w:r w:rsidRPr="00810BF9">
        <w:t>“Desk research revealed that at the level of Member State legislation the protection of workers against the most severe forms of lab</w:t>
      </w:r>
      <w:r w:rsidR="004F1DEB" w:rsidRPr="00810BF9">
        <w:t>our exploitation is not as com</w:t>
      </w:r>
      <w:r w:rsidRPr="00810BF9">
        <w:t>prehensive and strong as could be expected. In half of EU Member States (Bul</w:t>
      </w:r>
      <w:r w:rsidR="004F1DEB" w:rsidRPr="00810BF9">
        <w:t>garia, the Czech Republic, Den</w:t>
      </w:r>
      <w:r w:rsidRPr="00810BF9">
        <w:t>mark, Finland, Germany</w:t>
      </w:r>
      <w:r w:rsidR="004F1DEB" w:rsidRPr="00810BF9">
        <w:t xml:space="preserve">, Greece, </w:t>
      </w:r>
      <w:r w:rsidR="004F1DEB" w:rsidRPr="00810BF9">
        <w:rPr>
          <w:b/>
        </w:rPr>
        <w:t>Ireland</w:t>
      </w:r>
      <w:r w:rsidR="004F1DEB" w:rsidRPr="00810BF9">
        <w:t>, Latvia, Lux</w:t>
      </w:r>
      <w:r w:rsidRPr="00810BF9">
        <w:t>embourg, Malta, the Netherlands, Poland, Slovakia and Sweden) slavery, servitu</w:t>
      </w:r>
      <w:r w:rsidR="004F1DEB" w:rsidRPr="00810BF9">
        <w:t>de and forced labour are crimi</w:t>
      </w:r>
      <w:r w:rsidRPr="00810BF9">
        <w:t xml:space="preserve">nalised only in specific contexts. </w:t>
      </w:r>
    </w:p>
    <w:p w:rsidR="00123BB5" w:rsidRPr="00810BF9" w:rsidRDefault="00123BB5" w:rsidP="00744F87">
      <w:pPr>
        <w:jc w:val="both"/>
      </w:pPr>
      <w:r w:rsidRPr="00810BF9">
        <w:t>However, field research findings, and in particular the case studies collected, demonstrate that at present cases of slavery – including slavery</w:t>
      </w:r>
      <w:r w:rsidRPr="00810BF9">
        <w:noBreakHyphen/>
        <w:t>like practices – and servitude occur in EU Member States</w:t>
      </w:r>
      <w:r w:rsidR="004F1DEB" w:rsidRPr="00810BF9">
        <w:t>” (p. 36)</w:t>
      </w:r>
    </w:p>
    <w:p w:rsidR="004F1DEB" w:rsidRPr="005B0C00" w:rsidRDefault="004F1DEB" w:rsidP="00744F87">
      <w:pPr>
        <w:jc w:val="both"/>
        <w:rPr>
          <w:highlight w:val="yellow"/>
        </w:rPr>
      </w:pPr>
      <w:r w:rsidRPr="00810BF9">
        <w:t>“Obligations contracted between EU institutions and their partners in public procurement proceedings can be more effective w</w:t>
      </w:r>
      <w:r w:rsidR="00810BF9" w:rsidRPr="00810BF9">
        <w:t>hen they are combined with pub</w:t>
      </w:r>
      <w:r w:rsidRPr="00810BF9">
        <w:t>licly blacklisting companies that have been convicted of labour exploitation or wit</w:t>
      </w:r>
      <w:r w:rsidR="00810BF9">
        <w:t>h effective systems of accredi</w:t>
      </w:r>
      <w:r w:rsidRPr="00810BF9">
        <w:t>tation or certification</w:t>
      </w:r>
      <w:r>
        <w:t xml:space="preserve">. Two examples of this emerge from </w:t>
      </w:r>
      <w:r w:rsidRPr="00810BF9">
        <w:rPr>
          <w:b/>
        </w:rPr>
        <w:t>Ireland</w:t>
      </w:r>
      <w:r>
        <w:t xml:space="preserve"> and France. In Ireland, in 2013, the National Employment Rights Authority (NERA) started to publish</w:t>
      </w:r>
      <w:r w:rsidR="00810BF9">
        <w:t xml:space="preserve"> the names of those employers whose cases had been brought before the District or Circuit Court and who had had a sanction imposed. NERA’s report contains 15 pages of names and addresses of employers who were prosecuted, their industry or sector and the legislation to which the conviction relates. In 2013, most convictions were of employers in the catering industry. Organisation of Working Time Act and Employment Permits Act claims formed the majority of the convictions. Catering has long been the leading sector for complaints to and inspections by NERA, with over 500 inspections and €132,005 in recovered wages in 2012, and twice that in 2013: 1,048 inspections and €252,109 in recovered wages.” (pp. 60 -61)</w:t>
      </w:r>
    </w:p>
    <w:sectPr w:rsidR="004F1DEB" w:rsidRPr="005B0C00" w:rsidSect="00251C9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1685E" w:rsidRDefault="0011685E" w:rsidP="00251C92">
      <w:pPr>
        <w:spacing w:after="0" w:line="240" w:lineRule="auto"/>
      </w:pPr>
      <w:r>
        <w:separator/>
      </w:r>
    </w:p>
  </w:endnote>
  <w:endnote w:type="continuationSeparator" w:id="0">
    <w:p w:rsidR="0011685E" w:rsidRDefault="0011685E" w:rsidP="00251C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Daxline Offc Pro">
    <w:panose1 w:val="020B0504020101020102"/>
    <w:charset w:val="00"/>
    <w:family w:val="swiss"/>
    <w:pitch w:val="variable"/>
    <w:sig w:usb0="A00002FF" w:usb1="4000A4FB"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8738069"/>
      <w:docPartObj>
        <w:docPartGallery w:val="Page Numbers (Bottom of Page)"/>
        <w:docPartUnique/>
      </w:docPartObj>
    </w:sdtPr>
    <w:sdtEndPr>
      <w:rPr>
        <w:noProof/>
      </w:rPr>
    </w:sdtEndPr>
    <w:sdtContent>
      <w:p w:rsidR="00251C92" w:rsidRDefault="00251C92">
        <w:pPr>
          <w:pStyle w:val="Footer"/>
          <w:jc w:val="right"/>
        </w:pPr>
        <w:r>
          <w:fldChar w:fldCharType="begin"/>
        </w:r>
        <w:r>
          <w:instrText xml:space="preserve"> PAGE   \* MERGEFORMAT </w:instrText>
        </w:r>
        <w:r>
          <w:fldChar w:fldCharType="separate"/>
        </w:r>
        <w:r w:rsidR="00051564">
          <w:rPr>
            <w:noProof/>
          </w:rPr>
          <w:t>1</w:t>
        </w:r>
        <w:r>
          <w:rPr>
            <w:noProof/>
          </w:rPr>
          <w:fldChar w:fldCharType="end"/>
        </w:r>
      </w:p>
    </w:sdtContent>
  </w:sdt>
  <w:p w:rsidR="00251C92" w:rsidRDefault="00251C9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1685E" w:rsidRDefault="0011685E" w:rsidP="00251C92">
      <w:pPr>
        <w:spacing w:after="0" w:line="240" w:lineRule="auto"/>
      </w:pPr>
      <w:r>
        <w:separator/>
      </w:r>
    </w:p>
  </w:footnote>
  <w:footnote w:type="continuationSeparator" w:id="0">
    <w:p w:rsidR="0011685E" w:rsidRDefault="0011685E" w:rsidP="00251C9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0F02FE"/>
    <w:multiLevelType w:val="multilevel"/>
    <w:tmpl w:val="E536DA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2A348AE"/>
    <w:multiLevelType w:val="hybridMultilevel"/>
    <w:tmpl w:val="DA00AC7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 w15:restartNumberingAfterBreak="0">
    <w:nsid w:val="7DEA5FED"/>
    <w:multiLevelType w:val="hybridMultilevel"/>
    <w:tmpl w:val="F082360C"/>
    <w:lvl w:ilvl="0" w:tplc="D256E3A8">
      <w:start w:val="1"/>
      <w:numFmt w:val="decimal"/>
      <w:pStyle w:val="Heading3"/>
      <w:lvlText w:val="%1."/>
      <w:lvlJc w:val="left"/>
      <w:pPr>
        <w:ind w:left="1080" w:hanging="360"/>
      </w:p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num w:numId="1">
    <w:abstractNumId w:val="2"/>
  </w:num>
  <w:num w:numId="2">
    <w:abstractNumId w:val="2"/>
    <w:lvlOverride w:ilvl="0">
      <w:startOverride w:val="1"/>
    </w:lvlOverride>
  </w:num>
  <w:num w:numId="3">
    <w:abstractNumId w:val="0"/>
  </w:num>
  <w:num w:numId="4">
    <w:abstractNumId w:val="2"/>
    <w:lvlOverride w:ilvl="0">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1924"/>
    <w:rsid w:val="00002828"/>
    <w:rsid w:val="000101A1"/>
    <w:rsid w:val="00026658"/>
    <w:rsid w:val="00034883"/>
    <w:rsid w:val="00044F25"/>
    <w:rsid w:val="00051564"/>
    <w:rsid w:val="00055260"/>
    <w:rsid w:val="00097E82"/>
    <w:rsid w:val="000A2700"/>
    <w:rsid w:val="000A7413"/>
    <w:rsid w:val="000B1D1E"/>
    <w:rsid w:val="0011153C"/>
    <w:rsid w:val="0011685E"/>
    <w:rsid w:val="00123BB5"/>
    <w:rsid w:val="00141AA5"/>
    <w:rsid w:val="00176887"/>
    <w:rsid w:val="00176D30"/>
    <w:rsid w:val="00194BBF"/>
    <w:rsid w:val="001B24A3"/>
    <w:rsid w:val="001C485D"/>
    <w:rsid w:val="001C7516"/>
    <w:rsid w:val="001E52EB"/>
    <w:rsid w:val="001F6B6F"/>
    <w:rsid w:val="00217441"/>
    <w:rsid w:val="00251C92"/>
    <w:rsid w:val="002656F2"/>
    <w:rsid w:val="002A57B2"/>
    <w:rsid w:val="002D2953"/>
    <w:rsid w:val="002E0F11"/>
    <w:rsid w:val="002E444D"/>
    <w:rsid w:val="002E5B12"/>
    <w:rsid w:val="002E6978"/>
    <w:rsid w:val="00305266"/>
    <w:rsid w:val="003244E5"/>
    <w:rsid w:val="00347604"/>
    <w:rsid w:val="003653BE"/>
    <w:rsid w:val="00367C54"/>
    <w:rsid w:val="003C5615"/>
    <w:rsid w:val="00437884"/>
    <w:rsid w:val="004412DE"/>
    <w:rsid w:val="00445482"/>
    <w:rsid w:val="00472B56"/>
    <w:rsid w:val="004813D7"/>
    <w:rsid w:val="00483E80"/>
    <w:rsid w:val="0049666A"/>
    <w:rsid w:val="004A2C09"/>
    <w:rsid w:val="004A3120"/>
    <w:rsid w:val="004B6ECD"/>
    <w:rsid w:val="004F1DEB"/>
    <w:rsid w:val="004F2F17"/>
    <w:rsid w:val="005427B7"/>
    <w:rsid w:val="005475F3"/>
    <w:rsid w:val="00555D4D"/>
    <w:rsid w:val="00573BBB"/>
    <w:rsid w:val="00581109"/>
    <w:rsid w:val="00594745"/>
    <w:rsid w:val="005A35B5"/>
    <w:rsid w:val="005B0C00"/>
    <w:rsid w:val="005E6B92"/>
    <w:rsid w:val="005F30E3"/>
    <w:rsid w:val="005F5512"/>
    <w:rsid w:val="005F5D35"/>
    <w:rsid w:val="00631506"/>
    <w:rsid w:val="00657DA7"/>
    <w:rsid w:val="00677F86"/>
    <w:rsid w:val="006B44AE"/>
    <w:rsid w:val="006B7E92"/>
    <w:rsid w:val="00733B1D"/>
    <w:rsid w:val="00735F97"/>
    <w:rsid w:val="00744F87"/>
    <w:rsid w:val="00746F6B"/>
    <w:rsid w:val="007E2D87"/>
    <w:rsid w:val="007F1391"/>
    <w:rsid w:val="00810BF9"/>
    <w:rsid w:val="00812730"/>
    <w:rsid w:val="00867677"/>
    <w:rsid w:val="008730C2"/>
    <w:rsid w:val="0089604D"/>
    <w:rsid w:val="0089777A"/>
    <w:rsid w:val="008A5CEB"/>
    <w:rsid w:val="008B3444"/>
    <w:rsid w:val="008C5E8B"/>
    <w:rsid w:val="008D6DC2"/>
    <w:rsid w:val="00915AB4"/>
    <w:rsid w:val="009217D5"/>
    <w:rsid w:val="009322F2"/>
    <w:rsid w:val="009417F7"/>
    <w:rsid w:val="009500EC"/>
    <w:rsid w:val="0095444F"/>
    <w:rsid w:val="009865A8"/>
    <w:rsid w:val="009D1535"/>
    <w:rsid w:val="009F1AA5"/>
    <w:rsid w:val="00A16CB8"/>
    <w:rsid w:val="00A228E0"/>
    <w:rsid w:val="00A408ED"/>
    <w:rsid w:val="00A5354C"/>
    <w:rsid w:val="00A81B05"/>
    <w:rsid w:val="00AA0BE6"/>
    <w:rsid w:val="00AB251B"/>
    <w:rsid w:val="00AB4C49"/>
    <w:rsid w:val="00AF4005"/>
    <w:rsid w:val="00B00A87"/>
    <w:rsid w:val="00B014CD"/>
    <w:rsid w:val="00B112FA"/>
    <w:rsid w:val="00B13CA6"/>
    <w:rsid w:val="00B206D5"/>
    <w:rsid w:val="00B4376A"/>
    <w:rsid w:val="00B4727F"/>
    <w:rsid w:val="00BA4BC9"/>
    <w:rsid w:val="00BA6B42"/>
    <w:rsid w:val="00BB3230"/>
    <w:rsid w:val="00BB4BE0"/>
    <w:rsid w:val="00BB4D9A"/>
    <w:rsid w:val="00BB554E"/>
    <w:rsid w:val="00BC18D8"/>
    <w:rsid w:val="00BC2029"/>
    <w:rsid w:val="00BC2636"/>
    <w:rsid w:val="00BE2928"/>
    <w:rsid w:val="00C5365B"/>
    <w:rsid w:val="00C7216D"/>
    <w:rsid w:val="00C96AC2"/>
    <w:rsid w:val="00CA142B"/>
    <w:rsid w:val="00CF147E"/>
    <w:rsid w:val="00D05937"/>
    <w:rsid w:val="00D51AD4"/>
    <w:rsid w:val="00D567CB"/>
    <w:rsid w:val="00D70DA3"/>
    <w:rsid w:val="00D83A89"/>
    <w:rsid w:val="00D934B4"/>
    <w:rsid w:val="00DA5A9F"/>
    <w:rsid w:val="00DA68E9"/>
    <w:rsid w:val="00DE5AD8"/>
    <w:rsid w:val="00E11C76"/>
    <w:rsid w:val="00EF5411"/>
    <w:rsid w:val="00EF7FC9"/>
    <w:rsid w:val="00F3205E"/>
    <w:rsid w:val="00F556BF"/>
    <w:rsid w:val="00F56643"/>
    <w:rsid w:val="00F64AA9"/>
    <w:rsid w:val="00F65F5C"/>
    <w:rsid w:val="00F67BC5"/>
    <w:rsid w:val="00F9729B"/>
    <w:rsid w:val="00FA1924"/>
    <w:rsid w:val="00FB13B2"/>
    <w:rsid w:val="00FC6E71"/>
    <w:rsid w:val="00FE0F15"/>
    <w:rsid w:val="00FE38E1"/>
    <w:rsid w:val="00FF072B"/>
    <w:rsid w:val="00FF42C0"/>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F851F8"/>
  <w15:chartTrackingRefBased/>
  <w15:docId w15:val="{FAB0925E-61B3-4CF3-A4F0-4742CCC360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A5A9F"/>
    <w:rPr>
      <w:rFonts w:ascii="Daxline Offc Pro" w:hAnsi="Daxline Offc Pro"/>
      <w:lang w:val="en-GB"/>
    </w:rPr>
  </w:style>
  <w:style w:type="paragraph" w:styleId="Heading1">
    <w:name w:val="heading 1"/>
    <w:basedOn w:val="Normal"/>
    <w:next w:val="Normal"/>
    <w:link w:val="Heading1Char"/>
    <w:uiPriority w:val="9"/>
    <w:qFormat/>
    <w:rsid w:val="00D05937"/>
    <w:pPr>
      <w:keepNext/>
      <w:keepLines/>
      <w:spacing w:before="240" w:after="0"/>
      <w:jc w:val="both"/>
      <w:outlineLvl w:val="0"/>
    </w:pPr>
    <w:rPr>
      <w:rFonts w:eastAsiaTheme="majorEastAsia" w:cstheme="majorBidi"/>
      <w:b/>
      <w:color w:val="2E74B5" w:themeColor="accent1" w:themeShade="BF"/>
      <w:sz w:val="32"/>
      <w:szCs w:val="32"/>
    </w:rPr>
  </w:style>
  <w:style w:type="paragraph" w:styleId="Heading2">
    <w:name w:val="heading 2"/>
    <w:basedOn w:val="Normal"/>
    <w:next w:val="Normal"/>
    <w:link w:val="Heading2Char"/>
    <w:uiPriority w:val="9"/>
    <w:unhideWhenUsed/>
    <w:qFormat/>
    <w:rsid w:val="008C5E8B"/>
    <w:pPr>
      <w:keepNext/>
      <w:keepLines/>
      <w:spacing w:after="0" w:line="276" w:lineRule="auto"/>
      <w:jc w:val="both"/>
      <w:outlineLvl w:val="1"/>
    </w:pPr>
    <w:rPr>
      <w:rFonts w:eastAsiaTheme="majorEastAsia"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D05937"/>
    <w:pPr>
      <w:keepNext/>
      <w:keepLines/>
      <w:numPr>
        <w:numId w:val="1"/>
      </w:numPr>
      <w:spacing w:after="0" w:line="276" w:lineRule="auto"/>
      <w:jc w:val="both"/>
      <w:outlineLvl w:val="2"/>
    </w:pPr>
    <w:rPr>
      <w:rFonts w:eastAsiaTheme="majorEastAsia"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5937"/>
    <w:rPr>
      <w:rFonts w:ascii="Daxline Offc Pro" w:eastAsiaTheme="majorEastAsia" w:hAnsi="Daxline Offc Pro" w:cstheme="majorBidi"/>
      <w:b/>
      <w:color w:val="2E74B5" w:themeColor="accent1" w:themeShade="BF"/>
      <w:sz w:val="32"/>
      <w:szCs w:val="32"/>
      <w:lang w:val="en-GB"/>
    </w:rPr>
  </w:style>
  <w:style w:type="character" w:customStyle="1" w:styleId="Heading2Char">
    <w:name w:val="Heading 2 Char"/>
    <w:basedOn w:val="DefaultParagraphFont"/>
    <w:link w:val="Heading2"/>
    <w:uiPriority w:val="9"/>
    <w:rsid w:val="008C5E8B"/>
    <w:rPr>
      <w:rFonts w:ascii="Daxline Offc Pro" w:eastAsiaTheme="majorEastAsia" w:hAnsi="Daxline Offc Pro" w:cstheme="majorBidi"/>
      <w:color w:val="2E74B5" w:themeColor="accent1" w:themeShade="BF"/>
      <w:sz w:val="26"/>
      <w:szCs w:val="26"/>
      <w:lang w:val="en-GB"/>
    </w:rPr>
  </w:style>
  <w:style w:type="character" w:styleId="Hyperlink">
    <w:name w:val="Hyperlink"/>
    <w:basedOn w:val="DefaultParagraphFont"/>
    <w:uiPriority w:val="99"/>
    <w:unhideWhenUsed/>
    <w:rsid w:val="008C5E8B"/>
    <w:rPr>
      <w:color w:val="0563C1" w:themeColor="hyperlink"/>
      <w:u w:val="single"/>
    </w:rPr>
  </w:style>
  <w:style w:type="character" w:styleId="FollowedHyperlink">
    <w:name w:val="FollowedHyperlink"/>
    <w:basedOn w:val="DefaultParagraphFont"/>
    <w:uiPriority w:val="99"/>
    <w:semiHidden/>
    <w:unhideWhenUsed/>
    <w:rsid w:val="00D05937"/>
    <w:rPr>
      <w:color w:val="954F72" w:themeColor="followedHyperlink"/>
      <w:u w:val="single"/>
    </w:rPr>
  </w:style>
  <w:style w:type="character" w:customStyle="1" w:styleId="Heading3Char">
    <w:name w:val="Heading 3 Char"/>
    <w:basedOn w:val="DefaultParagraphFont"/>
    <w:link w:val="Heading3"/>
    <w:uiPriority w:val="9"/>
    <w:rsid w:val="00D05937"/>
    <w:rPr>
      <w:rFonts w:ascii="Daxline Offc Pro" w:eastAsiaTheme="majorEastAsia" w:hAnsi="Daxline Offc Pro" w:cstheme="majorBidi"/>
      <w:color w:val="1F4D78" w:themeColor="accent1" w:themeShade="7F"/>
      <w:sz w:val="24"/>
      <w:szCs w:val="24"/>
      <w:lang w:val="en-GB"/>
    </w:rPr>
  </w:style>
  <w:style w:type="character" w:customStyle="1" w:styleId="apple-converted-space">
    <w:name w:val="apple-converted-space"/>
    <w:basedOn w:val="DefaultParagraphFont"/>
    <w:rsid w:val="00483E80"/>
  </w:style>
  <w:style w:type="paragraph" w:styleId="TOCHeading">
    <w:name w:val="TOC Heading"/>
    <w:basedOn w:val="Heading1"/>
    <w:next w:val="Normal"/>
    <w:uiPriority w:val="39"/>
    <w:unhideWhenUsed/>
    <w:qFormat/>
    <w:rsid w:val="00367C54"/>
    <w:pPr>
      <w:jc w:val="left"/>
      <w:outlineLvl w:val="9"/>
    </w:pPr>
    <w:rPr>
      <w:rFonts w:asciiTheme="majorHAnsi" w:hAnsiTheme="majorHAnsi"/>
      <w:b w:val="0"/>
      <w:lang w:val="en-US"/>
    </w:rPr>
  </w:style>
  <w:style w:type="paragraph" w:styleId="TOC1">
    <w:name w:val="toc 1"/>
    <w:basedOn w:val="Normal"/>
    <w:next w:val="Normal"/>
    <w:autoRedefine/>
    <w:uiPriority w:val="39"/>
    <w:unhideWhenUsed/>
    <w:rsid w:val="00367C54"/>
    <w:pPr>
      <w:spacing w:after="100"/>
    </w:pPr>
  </w:style>
  <w:style w:type="paragraph" w:styleId="TOC2">
    <w:name w:val="toc 2"/>
    <w:basedOn w:val="Normal"/>
    <w:next w:val="Normal"/>
    <w:autoRedefine/>
    <w:uiPriority w:val="39"/>
    <w:unhideWhenUsed/>
    <w:rsid w:val="00367C54"/>
    <w:pPr>
      <w:spacing w:after="100"/>
      <w:ind w:left="220"/>
    </w:pPr>
  </w:style>
  <w:style w:type="paragraph" w:styleId="TOC3">
    <w:name w:val="toc 3"/>
    <w:basedOn w:val="Normal"/>
    <w:next w:val="Normal"/>
    <w:autoRedefine/>
    <w:uiPriority w:val="39"/>
    <w:unhideWhenUsed/>
    <w:rsid w:val="00367C54"/>
    <w:pPr>
      <w:spacing w:after="100"/>
      <w:ind w:left="440"/>
    </w:pPr>
  </w:style>
  <w:style w:type="paragraph" w:styleId="ListParagraph">
    <w:name w:val="List Paragraph"/>
    <w:basedOn w:val="Normal"/>
    <w:uiPriority w:val="34"/>
    <w:qFormat/>
    <w:rsid w:val="009D1535"/>
    <w:pPr>
      <w:ind w:left="720"/>
      <w:contextualSpacing/>
    </w:pPr>
  </w:style>
  <w:style w:type="paragraph" w:styleId="Header">
    <w:name w:val="header"/>
    <w:basedOn w:val="Normal"/>
    <w:link w:val="HeaderChar"/>
    <w:uiPriority w:val="99"/>
    <w:unhideWhenUsed/>
    <w:rsid w:val="00251C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1C92"/>
    <w:rPr>
      <w:rFonts w:ascii="Daxline Offc Pro" w:hAnsi="Daxline Offc Pro"/>
      <w:lang w:val="en-GB"/>
    </w:rPr>
  </w:style>
  <w:style w:type="paragraph" w:styleId="Footer">
    <w:name w:val="footer"/>
    <w:basedOn w:val="Normal"/>
    <w:link w:val="FooterChar"/>
    <w:uiPriority w:val="99"/>
    <w:unhideWhenUsed/>
    <w:rsid w:val="00251C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1C92"/>
    <w:rPr>
      <w:rFonts w:ascii="Daxline Offc Pro" w:hAnsi="Daxline Offc Pro"/>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885473">
      <w:bodyDiv w:val="1"/>
      <w:marLeft w:val="0"/>
      <w:marRight w:val="0"/>
      <w:marTop w:val="0"/>
      <w:marBottom w:val="0"/>
      <w:divBdr>
        <w:top w:val="none" w:sz="0" w:space="0" w:color="auto"/>
        <w:left w:val="none" w:sz="0" w:space="0" w:color="auto"/>
        <w:bottom w:val="none" w:sz="0" w:space="0" w:color="auto"/>
        <w:right w:val="none" w:sz="0" w:space="0" w:color="auto"/>
      </w:divBdr>
    </w:div>
    <w:div w:id="182402426">
      <w:bodyDiv w:val="1"/>
      <w:marLeft w:val="0"/>
      <w:marRight w:val="0"/>
      <w:marTop w:val="0"/>
      <w:marBottom w:val="0"/>
      <w:divBdr>
        <w:top w:val="none" w:sz="0" w:space="0" w:color="auto"/>
        <w:left w:val="none" w:sz="0" w:space="0" w:color="auto"/>
        <w:bottom w:val="none" w:sz="0" w:space="0" w:color="auto"/>
        <w:right w:val="none" w:sz="0" w:space="0" w:color="auto"/>
      </w:divBdr>
    </w:div>
    <w:div w:id="282659953">
      <w:bodyDiv w:val="1"/>
      <w:marLeft w:val="0"/>
      <w:marRight w:val="0"/>
      <w:marTop w:val="0"/>
      <w:marBottom w:val="0"/>
      <w:divBdr>
        <w:top w:val="none" w:sz="0" w:space="0" w:color="auto"/>
        <w:left w:val="none" w:sz="0" w:space="0" w:color="auto"/>
        <w:bottom w:val="none" w:sz="0" w:space="0" w:color="auto"/>
        <w:right w:val="none" w:sz="0" w:space="0" w:color="auto"/>
      </w:divBdr>
    </w:div>
    <w:div w:id="582496011">
      <w:bodyDiv w:val="1"/>
      <w:marLeft w:val="0"/>
      <w:marRight w:val="0"/>
      <w:marTop w:val="0"/>
      <w:marBottom w:val="0"/>
      <w:divBdr>
        <w:top w:val="none" w:sz="0" w:space="0" w:color="auto"/>
        <w:left w:val="none" w:sz="0" w:space="0" w:color="auto"/>
        <w:bottom w:val="none" w:sz="0" w:space="0" w:color="auto"/>
        <w:right w:val="none" w:sz="0" w:space="0" w:color="auto"/>
      </w:divBdr>
    </w:div>
    <w:div w:id="666640662">
      <w:bodyDiv w:val="1"/>
      <w:marLeft w:val="0"/>
      <w:marRight w:val="0"/>
      <w:marTop w:val="0"/>
      <w:marBottom w:val="0"/>
      <w:divBdr>
        <w:top w:val="none" w:sz="0" w:space="0" w:color="auto"/>
        <w:left w:val="none" w:sz="0" w:space="0" w:color="auto"/>
        <w:bottom w:val="none" w:sz="0" w:space="0" w:color="auto"/>
        <w:right w:val="none" w:sz="0" w:space="0" w:color="auto"/>
      </w:divBdr>
    </w:div>
    <w:div w:id="693533715">
      <w:bodyDiv w:val="1"/>
      <w:marLeft w:val="0"/>
      <w:marRight w:val="0"/>
      <w:marTop w:val="0"/>
      <w:marBottom w:val="0"/>
      <w:divBdr>
        <w:top w:val="none" w:sz="0" w:space="0" w:color="auto"/>
        <w:left w:val="none" w:sz="0" w:space="0" w:color="auto"/>
        <w:bottom w:val="none" w:sz="0" w:space="0" w:color="auto"/>
        <w:right w:val="none" w:sz="0" w:space="0" w:color="auto"/>
      </w:divBdr>
    </w:div>
    <w:div w:id="1109085450">
      <w:bodyDiv w:val="1"/>
      <w:marLeft w:val="0"/>
      <w:marRight w:val="0"/>
      <w:marTop w:val="0"/>
      <w:marBottom w:val="0"/>
      <w:divBdr>
        <w:top w:val="none" w:sz="0" w:space="0" w:color="auto"/>
        <w:left w:val="none" w:sz="0" w:space="0" w:color="auto"/>
        <w:bottom w:val="none" w:sz="0" w:space="0" w:color="auto"/>
        <w:right w:val="none" w:sz="0" w:space="0" w:color="auto"/>
      </w:divBdr>
    </w:div>
    <w:div w:id="1129326663">
      <w:bodyDiv w:val="1"/>
      <w:marLeft w:val="0"/>
      <w:marRight w:val="0"/>
      <w:marTop w:val="0"/>
      <w:marBottom w:val="0"/>
      <w:divBdr>
        <w:top w:val="none" w:sz="0" w:space="0" w:color="auto"/>
        <w:left w:val="none" w:sz="0" w:space="0" w:color="auto"/>
        <w:bottom w:val="none" w:sz="0" w:space="0" w:color="auto"/>
        <w:right w:val="none" w:sz="0" w:space="0" w:color="auto"/>
      </w:divBdr>
    </w:div>
    <w:div w:id="1257515599">
      <w:bodyDiv w:val="1"/>
      <w:marLeft w:val="0"/>
      <w:marRight w:val="0"/>
      <w:marTop w:val="0"/>
      <w:marBottom w:val="0"/>
      <w:divBdr>
        <w:top w:val="none" w:sz="0" w:space="0" w:color="auto"/>
        <w:left w:val="none" w:sz="0" w:space="0" w:color="auto"/>
        <w:bottom w:val="none" w:sz="0" w:space="0" w:color="auto"/>
        <w:right w:val="none" w:sz="0" w:space="0" w:color="auto"/>
      </w:divBdr>
    </w:div>
    <w:div w:id="1268269722">
      <w:bodyDiv w:val="1"/>
      <w:marLeft w:val="0"/>
      <w:marRight w:val="0"/>
      <w:marTop w:val="0"/>
      <w:marBottom w:val="0"/>
      <w:divBdr>
        <w:top w:val="none" w:sz="0" w:space="0" w:color="auto"/>
        <w:left w:val="none" w:sz="0" w:space="0" w:color="auto"/>
        <w:bottom w:val="none" w:sz="0" w:space="0" w:color="auto"/>
        <w:right w:val="none" w:sz="0" w:space="0" w:color="auto"/>
      </w:divBdr>
    </w:div>
    <w:div w:id="1317147169">
      <w:bodyDiv w:val="1"/>
      <w:marLeft w:val="0"/>
      <w:marRight w:val="0"/>
      <w:marTop w:val="0"/>
      <w:marBottom w:val="0"/>
      <w:divBdr>
        <w:top w:val="none" w:sz="0" w:space="0" w:color="auto"/>
        <w:left w:val="none" w:sz="0" w:space="0" w:color="auto"/>
        <w:bottom w:val="none" w:sz="0" w:space="0" w:color="auto"/>
        <w:right w:val="none" w:sz="0" w:space="0" w:color="auto"/>
      </w:divBdr>
    </w:div>
    <w:div w:id="1417239603">
      <w:bodyDiv w:val="1"/>
      <w:marLeft w:val="0"/>
      <w:marRight w:val="0"/>
      <w:marTop w:val="0"/>
      <w:marBottom w:val="0"/>
      <w:divBdr>
        <w:top w:val="none" w:sz="0" w:space="0" w:color="auto"/>
        <w:left w:val="none" w:sz="0" w:space="0" w:color="auto"/>
        <w:bottom w:val="none" w:sz="0" w:space="0" w:color="auto"/>
        <w:right w:val="none" w:sz="0" w:space="0" w:color="auto"/>
      </w:divBdr>
    </w:div>
    <w:div w:id="1603610835">
      <w:bodyDiv w:val="1"/>
      <w:marLeft w:val="0"/>
      <w:marRight w:val="0"/>
      <w:marTop w:val="0"/>
      <w:marBottom w:val="0"/>
      <w:divBdr>
        <w:top w:val="none" w:sz="0" w:space="0" w:color="auto"/>
        <w:left w:val="none" w:sz="0" w:space="0" w:color="auto"/>
        <w:bottom w:val="none" w:sz="0" w:space="0" w:color="auto"/>
        <w:right w:val="none" w:sz="0" w:space="0" w:color="auto"/>
      </w:divBdr>
    </w:div>
    <w:div w:id="1786004190">
      <w:bodyDiv w:val="1"/>
      <w:marLeft w:val="0"/>
      <w:marRight w:val="0"/>
      <w:marTop w:val="0"/>
      <w:marBottom w:val="0"/>
      <w:divBdr>
        <w:top w:val="none" w:sz="0" w:space="0" w:color="auto"/>
        <w:left w:val="none" w:sz="0" w:space="0" w:color="auto"/>
        <w:bottom w:val="none" w:sz="0" w:space="0" w:color="auto"/>
        <w:right w:val="none" w:sz="0" w:space="0" w:color="auto"/>
      </w:divBdr>
    </w:div>
    <w:div w:id="1852259006">
      <w:bodyDiv w:val="1"/>
      <w:marLeft w:val="0"/>
      <w:marRight w:val="0"/>
      <w:marTop w:val="0"/>
      <w:marBottom w:val="0"/>
      <w:divBdr>
        <w:top w:val="none" w:sz="0" w:space="0" w:color="auto"/>
        <w:left w:val="none" w:sz="0" w:space="0" w:color="auto"/>
        <w:bottom w:val="none" w:sz="0" w:space="0" w:color="auto"/>
        <w:right w:val="none" w:sz="0" w:space="0" w:color="auto"/>
      </w:divBdr>
      <w:divsChild>
        <w:div w:id="554775655">
          <w:marLeft w:val="3285"/>
          <w:marRight w:val="-14745"/>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http://fra.europa.eu/en/publication/2015/guardianship-children-deprived-parental-care"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fra.europa.eu/en/publication/2016/criminal-detention-and-alternatives-fundamental-rights-aspects-eu-cross-border" TargetMode="External"/><Relationship Id="rId2" Type="http://schemas.openxmlformats.org/officeDocument/2006/relationships/customXml" Target="../customXml/item2.xml"/><Relationship Id="rId16" Type="http://schemas.openxmlformats.org/officeDocument/2006/relationships/hyperlink" Target="http://fra.europa.eu/sites/default/files/fra-annual-report-2014_en.pdf" TargetMode="External"/><Relationship Id="rId20" Type="http://schemas.openxmlformats.org/officeDocument/2006/relationships/fontTable" Target="fontTable.xml"/><Relationship Id="rId1" Type="http://schemas.openxmlformats.org/officeDocument/2006/relationships/customXml" Target="../customXml/item1.xml"/><Relationship Id="rId11" Type="http://schemas.openxmlformats.org/officeDocument/2006/relationships/footnotes" Target="footnotes.xml"/><Relationship Id="rId15" Type="http://schemas.openxmlformats.org/officeDocument/2006/relationships/hyperlink" Target="http://fra.europa.eu/en/publication/2016/fundamental-rights-report-2016" TargetMode="External"/><Relationship Id="rId10" Type="http://schemas.openxmlformats.org/officeDocument/2006/relationships/webSettings" Target="webSettings.xml"/><Relationship Id="rId19" Type="http://schemas.openxmlformats.org/officeDocument/2006/relationships/hyperlink" Target="http://fra.europa.eu/en/publication/2015/severe-labour-exploitation-workers-moving-within-or-european-union" TargetMode="External"/><Relationship Id="rId14" Type="http://schemas.openxmlformats.org/officeDocument/2006/relationships/hyperlink" Target="http://fra.europa.eu/en/publications-and-resources/data-and-maps/survey-data-explorer-violence-against-women-survey?mdq1=country&amp;mdq2=420" TargetMode="External"/><Relationship Id="rId9" Type="http://schemas.openxmlformats.org/officeDocument/2006/relationships/settings" Target="settings.xml"/><Relationship Id="rId22" Type="http://schemas.openxmlformats.org/officeDocument/2006/relationships/customXml" Target="../customXml/item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2f02d29-08ed-4ba3-8631-04ec787fba6c" ContentTypeId="0x01010067AD7CD5C461412DBD5AECDF4DD01DD000C0CD4D2585974D42B5CE8F2431434F40007F15596399F948CF893BFFEB008DFBA6"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C3AAF12-9704-4CAD-B1EE-F3870F82DF36}"/>
</file>

<file path=customXml/itemProps2.xml><?xml version="1.0" encoding="utf-8"?>
<ds:datastoreItem xmlns:ds="http://schemas.openxmlformats.org/officeDocument/2006/customXml" ds:itemID="{41E73F63-8BD1-4D0B-93CB-58C2157B91C8}"/>
</file>

<file path=customXml/itemProps3.xml><?xml version="1.0" encoding="utf-8"?>
<ds:datastoreItem xmlns:ds="http://schemas.openxmlformats.org/officeDocument/2006/customXml" ds:itemID="{8B04C6EF-5A25-43B3-BBB0-FC8498129F89}"/>
</file>

<file path=customXml/itemProps4.xml><?xml version="1.0" encoding="utf-8"?>
<ds:datastoreItem xmlns:ds="http://schemas.openxmlformats.org/officeDocument/2006/customXml" ds:itemID="{2A45FE48-B06C-4C93-9C68-4A4A5E3F6254}">
  <ds:schemaRefs>
    <ds:schemaRef ds:uri="Microsoft.SharePoint.Taxonomy.ContentTypeSync"/>
  </ds:schemaRefs>
</ds:datastoreItem>
</file>

<file path=customXml/itemProps5.xml><?xml version="1.0" encoding="utf-8"?>
<ds:datastoreItem xmlns:ds="http://schemas.openxmlformats.org/officeDocument/2006/customXml" ds:itemID="{35486D3F-B111-4EB7-99E0-292099170E85}">
  <ds:schemaRefs>
    <ds:schemaRef ds:uri="http://schemas.microsoft.com/sharepoint/events"/>
  </ds:schemaRefs>
</ds:datastoreItem>
</file>

<file path=customXml/itemProps6.xml><?xml version="1.0" encoding="utf-8"?>
<ds:datastoreItem xmlns:ds="http://schemas.openxmlformats.org/officeDocument/2006/customXml" ds:itemID="{41E73F63-8BD1-4D0B-93CB-58C2157B91C8}">
  <ds:schemaRefs>
    <ds:schemaRef ds:uri="http://schemas.openxmlformats.org/officeDocument/2006/bibliography"/>
  </ds:schemaRefs>
</ds:datastoreItem>
</file>

<file path=customXml/itemProps7.xml><?xml version="1.0" encoding="utf-8"?>
<ds:datastoreItem xmlns:ds="http://schemas.openxmlformats.org/officeDocument/2006/customXml" ds:itemID="{C3A9B42F-80F3-408D-9756-60D85085C7C3}"/>
</file>

<file path=docProps/app.xml><?xml version="1.0" encoding="utf-8"?>
<Properties xmlns="http://schemas.openxmlformats.org/officeDocument/2006/extended-properties" xmlns:vt="http://schemas.openxmlformats.org/officeDocument/2006/docPropsVTypes">
  <Template>Normal</Template>
  <TotalTime>25</TotalTime>
  <Pages>1</Pages>
  <Words>2838</Words>
  <Characters>16178</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EU Fundamental Rights Agency</Company>
  <LinksUpToDate>false</LinksUpToDate>
  <CharactersWithSpaces>18979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HARDY Doriane (FRA)</dc:creator>
  <cp:keywords/>
  <dc:description/>
  <cp:lastModifiedBy>Jonas GRIMHEDEN</cp:lastModifiedBy>
  <cp:revision>8</cp:revision>
  <dcterms:created xsi:type="dcterms:W3CDTF">2017-06-07T14:13:00Z</dcterms:created>
  <dcterms:modified xsi:type="dcterms:W3CDTF">2017-06-07T21:15:00Z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