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3583D" w14:textId="68968DAC" w:rsidR="00312E54" w:rsidRPr="00D17782" w:rsidRDefault="00D14408" w:rsidP="00312E54">
      <w:pPr>
        <w:spacing w:after="0" w:line="276" w:lineRule="auto"/>
        <w:ind w:right="-40"/>
        <w:jc w:val="center"/>
        <w:rPr>
          <w:rFonts w:ascii="Times New Roman" w:eastAsia="Calibri" w:hAnsi="Times New Roman" w:cs="Times New Roman"/>
          <w:b/>
          <w:sz w:val="36"/>
          <w:szCs w:val="36"/>
          <w:lang w:val="hy-AM"/>
        </w:rPr>
      </w:pPr>
      <w:r w:rsidRPr="00D17782">
        <w:rPr>
          <w:rFonts w:ascii="Times New Roman" w:hAnsi="Times New Roman" w:cs="Times New Roman"/>
          <w:noProof/>
        </w:rPr>
        <w:drawing>
          <wp:anchor distT="0" distB="0" distL="114300" distR="114300" simplePos="0" relativeHeight="251659264" behindDoc="1" locked="0" layoutInCell="1" allowOverlap="1" wp14:anchorId="0259DE69" wp14:editId="5AEFEC2B">
            <wp:simplePos x="0" y="0"/>
            <wp:positionH relativeFrom="margin">
              <wp:posOffset>5343525</wp:posOffset>
            </wp:positionH>
            <wp:positionV relativeFrom="paragraph">
              <wp:posOffset>-241935</wp:posOffset>
            </wp:positionV>
            <wp:extent cx="1143000" cy="1089660"/>
            <wp:effectExtent l="0" t="0" r="0" b="0"/>
            <wp:wrapNone/>
            <wp:docPr id="2" name="Picture 2" descr="Ombu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buds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1089660"/>
                    </a:xfrm>
                    <a:prstGeom prst="rect">
                      <a:avLst/>
                    </a:prstGeom>
                    <a:noFill/>
                  </pic:spPr>
                </pic:pic>
              </a:graphicData>
            </a:graphic>
            <wp14:sizeRelH relativeFrom="margin">
              <wp14:pctWidth>0</wp14:pctWidth>
            </wp14:sizeRelH>
            <wp14:sizeRelV relativeFrom="page">
              <wp14:pctHeight>0</wp14:pctHeight>
            </wp14:sizeRelV>
          </wp:anchor>
        </w:drawing>
      </w:r>
      <w:r w:rsidR="00312E54" w:rsidRPr="00D17782">
        <w:rPr>
          <w:rFonts w:ascii="Times New Roman" w:hAnsi="Times New Roman" w:cs="Times New Roman"/>
          <w:noProof/>
        </w:rPr>
        <w:drawing>
          <wp:anchor distT="0" distB="0" distL="114300" distR="114300" simplePos="0" relativeHeight="251660288" behindDoc="0" locked="0" layoutInCell="1" allowOverlap="1" wp14:anchorId="3D26D20E" wp14:editId="059352A9">
            <wp:simplePos x="0" y="0"/>
            <wp:positionH relativeFrom="margin">
              <wp:posOffset>-543919</wp:posOffset>
            </wp:positionH>
            <wp:positionV relativeFrom="margin">
              <wp:posOffset>-189175</wp:posOffset>
            </wp:positionV>
            <wp:extent cx="1146810" cy="1040765"/>
            <wp:effectExtent l="0" t="0" r="0" b="6985"/>
            <wp:wrapSquare wrapText="bothSides"/>
            <wp:docPr id="1" name="Picture 1" descr="2000px-Coat_of_arms_of_Arme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00px-Coat_of_arms_of_Armen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6810" cy="1040765"/>
                    </a:xfrm>
                    <a:prstGeom prst="rect">
                      <a:avLst/>
                    </a:prstGeom>
                    <a:noFill/>
                  </pic:spPr>
                </pic:pic>
              </a:graphicData>
            </a:graphic>
            <wp14:sizeRelH relativeFrom="page">
              <wp14:pctWidth>0</wp14:pctWidth>
            </wp14:sizeRelH>
            <wp14:sizeRelV relativeFrom="page">
              <wp14:pctHeight>0</wp14:pctHeight>
            </wp14:sizeRelV>
          </wp:anchor>
        </w:drawing>
      </w:r>
    </w:p>
    <w:p w14:paraId="661CEA4F" w14:textId="77777777" w:rsidR="00312E54" w:rsidRPr="00D17782" w:rsidRDefault="00312E54" w:rsidP="00312E54">
      <w:pPr>
        <w:tabs>
          <w:tab w:val="left" w:pos="1843"/>
          <w:tab w:val="right" w:pos="8704"/>
        </w:tabs>
        <w:spacing w:after="0" w:line="276" w:lineRule="auto"/>
        <w:ind w:hanging="270"/>
        <w:jc w:val="both"/>
        <w:rPr>
          <w:rFonts w:ascii="Times New Roman" w:eastAsia="Calibri" w:hAnsi="Times New Roman" w:cs="Times New Roman"/>
          <w:b/>
          <w:sz w:val="28"/>
          <w:szCs w:val="28"/>
        </w:rPr>
      </w:pPr>
      <w:r w:rsidRPr="00D17782">
        <w:rPr>
          <w:rFonts w:ascii="Times New Roman" w:eastAsia="Calibri" w:hAnsi="Times New Roman" w:cs="Times New Roman"/>
          <w:b/>
          <w:sz w:val="28"/>
          <w:szCs w:val="28"/>
        </w:rPr>
        <w:t xml:space="preserve">THE </w:t>
      </w:r>
      <w:r w:rsidRPr="00D17782">
        <w:rPr>
          <w:rFonts w:ascii="Times New Roman" w:eastAsia="Calibri" w:hAnsi="Times New Roman" w:cs="Times New Roman"/>
          <w:b/>
          <w:sz w:val="28"/>
          <w:szCs w:val="28"/>
          <w:lang w:val="hy-AM"/>
        </w:rPr>
        <w:t>HUMAN RIGHTS DEFENDER OF THE REPUBLIC</w:t>
      </w:r>
      <w:r w:rsidRPr="00D17782">
        <w:rPr>
          <w:rFonts w:ascii="Times New Roman" w:eastAsia="Calibri" w:hAnsi="Times New Roman" w:cs="Times New Roman"/>
          <w:b/>
          <w:sz w:val="28"/>
          <w:szCs w:val="28"/>
          <w:lang w:val="hy-AM"/>
        </w:rPr>
        <w:tab/>
      </w:r>
    </w:p>
    <w:p w14:paraId="7E55C3D8" w14:textId="77777777" w:rsidR="00312E54" w:rsidRPr="00D17782" w:rsidRDefault="00312E54" w:rsidP="00312E54">
      <w:pPr>
        <w:tabs>
          <w:tab w:val="right" w:pos="8197"/>
        </w:tabs>
        <w:spacing w:after="0" w:line="276" w:lineRule="auto"/>
        <w:ind w:left="2880" w:firstLine="720"/>
        <w:jc w:val="both"/>
        <w:rPr>
          <w:rFonts w:ascii="Times New Roman" w:eastAsia="Calibri" w:hAnsi="Times New Roman" w:cs="Times New Roman"/>
          <w:b/>
          <w:sz w:val="28"/>
          <w:szCs w:val="28"/>
          <w:lang w:val="hy-AM"/>
        </w:rPr>
      </w:pPr>
      <w:r w:rsidRPr="00D17782">
        <w:rPr>
          <w:rFonts w:ascii="Times New Roman" w:eastAsia="Calibri" w:hAnsi="Times New Roman" w:cs="Times New Roman"/>
          <w:b/>
          <w:sz w:val="28"/>
          <w:szCs w:val="28"/>
          <w:lang w:val="hy-AM"/>
        </w:rPr>
        <w:t>OF ARMENIA</w:t>
      </w:r>
      <w:r w:rsidRPr="00D17782">
        <w:rPr>
          <w:rFonts w:ascii="Times New Roman" w:eastAsia="Calibri" w:hAnsi="Times New Roman" w:cs="Times New Roman"/>
          <w:b/>
          <w:sz w:val="28"/>
          <w:szCs w:val="28"/>
          <w:lang w:val="hy-AM"/>
        </w:rPr>
        <w:tab/>
      </w:r>
    </w:p>
    <w:p w14:paraId="3B472BEE" w14:textId="77777777" w:rsidR="00312E54" w:rsidRPr="00D17782" w:rsidRDefault="00312E54" w:rsidP="00312E54">
      <w:pPr>
        <w:spacing w:after="0" w:line="276" w:lineRule="auto"/>
        <w:jc w:val="center"/>
        <w:rPr>
          <w:rFonts w:ascii="Times New Roman" w:eastAsia="Calibri" w:hAnsi="Times New Roman" w:cs="Times New Roman"/>
          <w:sz w:val="36"/>
          <w:szCs w:val="28"/>
          <w:lang w:val="hy-AM"/>
        </w:rPr>
      </w:pPr>
    </w:p>
    <w:p w14:paraId="346D2A0B" w14:textId="77777777" w:rsidR="00312E54" w:rsidRPr="00D17782" w:rsidRDefault="00312E54" w:rsidP="00312E54">
      <w:pPr>
        <w:spacing w:after="0" w:line="276" w:lineRule="auto"/>
        <w:jc w:val="center"/>
        <w:rPr>
          <w:rFonts w:ascii="Times New Roman" w:eastAsia="Calibri" w:hAnsi="Times New Roman" w:cs="Times New Roman"/>
          <w:sz w:val="36"/>
          <w:szCs w:val="28"/>
          <w:lang w:val="hy-AM"/>
        </w:rPr>
      </w:pPr>
    </w:p>
    <w:p w14:paraId="5AF2C701" w14:textId="77777777" w:rsidR="00312E54" w:rsidRPr="00D17782" w:rsidRDefault="00312E54" w:rsidP="00312E54">
      <w:pPr>
        <w:spacing w:after="0" w:line="276" w:lineRule="auto"/>
        <w:jc w:val="center"/>
        <w:rPr>
          <w:rFonts w:ascii="Times New Roman" w:eastAsia="Calibri" w:hAnsi="Times New Roman" w:cs="Times New Roman"/>
          <w:sz w:val="36"/>
          <w:szCs w:val="28"/>
          <w:lang w:val="hy-AM"/>
        </w:rPr>
      </w:pPr>
    </w:p>
    <w:p w14:paraId="2EC9577E" w14:textId="59ACA35B" w:rsidR="00312E54" w:rsidRPr="00D17782" w:rsidRDefault="00312E54" w:rsidP="00312E54">
      <w:pPr>
        <w:spacing w:before="240" w:after="240" w:line="276" w:lineRule="auto"/>
        <w:jc w:val="center"/>
        <w:rPr>
          <w:rFonts w:ascii="Times New Roman" w:eastAsia="Calibri" w:hAnsi="Times New Roman" w:cs="Times New Roman"/>
          <w:b/>
          <w:sz w:val="28"/>
          <w:szCs w:val="28"/>
          <w:lang w:val="en-GB"/>
        </w:rPr>
      </w:pPr>
      <w:r>
        <w:rPr>
          <w:rFonts w:ascii="Times New Roman" w:eastAsia="Calibri" w:hAnsi="Times New Roman" w:cs="Times New Roman"/>
          <w:b/>
          <w:sz w:val="24"/>
          <w:szCs w:val="24"/>
        </w:rPr>
        <w:t xml:space="preserve">WRITTEN </w:t>
      </w:r>
      <w:r w:rsidRPr="00D17782">
        <w:rPr>
          <w:rFonts w:ascii="Times New Roman" w:eastAsia="Calibri" w:hAnsi="Times New Roman" w:cs="Times New Roman"/>
          <w:b/>
          <w:sz w:val="24"/>
          <w:szCs w:val="24"/>
        </w:rPr>
        <w:t xml:space="preserve">SUBMISSION OF THE HUMAN RIGHTS DEFENDER OF ARMENIA </w:t>
      </w:r>
      <w:r w:rsidR="00D14408">
        <w:rPr>
          <w:rFonts w:ascii="Times New Roman" w:eastAsia="Calibri" w:hAnsi="Times New Roman" w:cs="Times New Roman"/>
          <w:b/>
          <w:sz w:val="24"/>
          <w:szCs w:val="24"/>
        </w:rPr>
        <w:t xml:space="preserve">ON THE FOLLOW-UP TO THE CONCLUDING OBSERVATIONS OF THE HUMAN RIGHTS COMMITTEE ON THE THIRD PERIODIC REPORT OF ARMENIA </w:t>
      </w:r>
    </w:p>
    <w:p w14:paraId="0B9BB4F3" w14:textId="77777777" w:rsidR="00312E54" w:rsidRPr="00D17782" w:rsidRDefault="00312E54" w:rsidP="00312E54">
      <w:pPr>
        <w:pStyle w:val="NormalWeb"/>
        <w:spacing w:before="240" w:after="240"/>
        <w:jc w:val="center"/>
        <w:rPr>
          <w:rFonts w:eastAsiaTheme="minorHAnsi"/>
          <w:sz w:val="22"/>
          <w:szCs w:val="22"/>
        </w:rPr>
      </w:pPr>
      <w:r w:rsidRPr="00D17782">
        <w:rPr>
          <w:b/>
          <w:bCs/>
          <w:i/>
          <w:iCs/>
        </w:rPr>
        <w:t>CONTACT INFORMATION:</w:t>
      </w:r>
    </w:p>
    <w:p w14:paraId="6F79789C" w14:textId="2808E9AB" w:rsidR="00312E54" w:rsidRPr="00D17782" w:rsidRDefault="00312E54" w:rsidP="00312E54">
      <w:pPr>
        <w:pStyle w:val="NormalWeb"/>
        <w:spacing w:before="240" w:after="240"/>
        <w:jc w:val="center"/>
        <w:rPr>
          <w:sz w:val="22"/>
          <w:szCs w:val="22"/>
        </w:rPr>
      </w:pPr>
      <w:r w:rsidRPr="00D17782">
        <w:rPr>
          <w:b/>
          <w:bCs/>
          <w:i/>
          <w:iCs/>
          <w:sz w:val="22"/>
          <w:szCs w:val="22"/>
        </w:rPr>
        <w:t xml:space="preserve">Ms. Anahit </w:t>
      </w:r>
      <w:proofErr w:type="spellStart"/>
      <w:r w:rsidRPr="00D17782">
        <w:rPr>
          <w:b/>
          <w:bCs/>
          <w:i/>
          <w:iCs/>
          <w:sz w:val="22"/>
          <w:szCs w:val="22"/>
        </w:rPr>
        <w:t>Manasyan</w:t>
      </w:r>
      <w:proofErr w:type="spellEnd"/>
      <w:r w:rsidRPr="00D17782">
        <w:rPr>
          <w:b/>
          <w:bCs/>
          <w:i/>
          <w:iCs/>
          <w:sz w:val="22"/>
          <w:szCs w:val="22"/>
        </w:rPr>
        <w:t>, the Human Rights Defender of Armenia</w:t>
      </w:r>
    </w:p>
    <w:p w14:paraId="2214EA91" w14:textId="77777777" w:rsidR="00312E54" w:rsidRPr="00D17782" w:rsidRDefault="00312E54" w:rsidP="00312E54">
      <w:pPr>
        <w:pStyle w:val="NormalWeb"/>
        <w:spacing w:before="240" w:after="240"/>
        <w:jc w:val="center"/>
        <w:rPr>
          <w:b/>
          <w:bCs/>
          <w:i/>
          <w:iCs/>
          <w:sz w:val="22"/>
          <w:szCs w:val="22"/>
        </w:rPr>
      </w:pPr>
      <w:hyperlink r:id="rId13" w:history="1">
        <w:r w:rsidRPr="00D17782">
          <w:rPr>
            <w:rStyle w:val="Hyperlink"/>
            <w:i/>
            <w:iCs/>
            <w:sz w:val="22"/>
            <w:szCs w:val="22"/>
          </w:rPr>
          <w:t>international@ombuds.am</w:t>
        </w:r>
      </w:hyperlink>
    </w:p>
    <w:p w14:paraId="177773C0" w14:textId="4F03D05F" w:rsidR="00312E54" w:rsidRDefault="00312E54" w:rsidP="00312E54">
      <w:pPr>
        <w:pStyle w:val="NormalWeb"/>
        <w:spacing w:before="240" w:after="240"/>
        <w:jc w:val="center"/>
        <w:rPr>
          <w:b/>
          <w:bCs/>
          <w:i/>
          <w:iCs/>
          <w:sz w:val="22"/>
          <w:szCs w:val="22"/>
        </w:rPr>
      </w:pPr>
      <w:r w:rsidRPr="00D17782">
        <w:rPr>
          <w:b/>
          <w:bCs/>
          <w:i/>
          <w:iCs/>
          <w:color w:val="FF0000"/>
          <w:sz w:val="22"/>
          <w:szCs w:val="22"/>
        </w:rPr>
        <w:t> </w:t>
      </w:r>
      <w:r w:rsidRPr="00D17782">
        <w:rPr>
          <w:b/>
          <w:bCs/>
          <w:i/>
          <w:iCs/>
          <w:sz w:val="22"/>
          <w:szCs w:val="22"/>
        </w:rPr>
        <w:t xml:space="preserve">Ms. </w:t>
      </w:r>
      <w:proofErr w:type="spellStart"/>
      <w:r>
        <w:rPr>
          <w:b/>
          <w:bCs/>
          <w:i/>
          <w:iCs/>
          <w:sz w:val="22"/>
          <w:szCs w:val="22"/>
        </w:rPr>
        <w:t>Anzhelica</w:t>
      </w:r>
      <w:proofErr w:type="spellEnd"/>
      <w:r>
        <w:rPr>
          <w:b/>
          <w:bCs/>
          <w:i/>
          <w:iCs/>
          <w:sz w:val="22"/>
          <w:szCs w:val="22"/>
        </w:rPr>
        <w:t xml:space="preserve"> </w:t>
      </w:r>
      <w:proofErr w:type="spellStart"/>
      <w:r>
        <w:rPr>
          <w:b/>
          <w:bCs/>
          <w:i/>
          <w:iCs/>
          <w:sz w:val="22"/>
          <w:szCs w:val="22"/>
        </w:rPr>
        <w:t>Movseseova</w:t>
      </w:r>
      <w:proofErr w:type="spellEnd"/>
      <w:r>
        <w:rPr>
          <w:b/>
          <w:bCs/>
          <w:i/>
          <w:iCs/>
          <w:sz w:val="22"/>
          <w:szCs w:val="22"/>
        </w:rPr>
        <w:t>, Advisor to the Human Rights Defender of Armenia</w:t>
      </w:r>
    </w:p>
    <w:p w14:paraId="605D9F15" w14:textId="34BE3EB1" w:rsidR="00D14408" w:rsidRPr="00D14408" w:rsidRDefault="00D14408" w:rsidP="00312E54">
      <w:pPr>
        <w:pStyle w:val="NormalWeb"/>
        <w:spacing w:before="240" w:after="240"/>
        <w:jc w:val="center"/>
        <w:rPr>
          <w:b/>
          <w:bCs/>
          <w:i/>
          <w:iCs/>
          <w:sz w:val="22"/>
          <w:szCs w:val="22"/>
        </w:rPr>
      </w:pPr>
      <w:hyperlink r:id="rId14" w:history="1">
        <w:r w:rsidRPr="00D14408">
          <w:rPr>
            <w:rStyle w:val="Hyperlink"/>
            <w:i/>
            <w:iCs/>
          </w:rPr>
          <w:t>anzhelika.movsesova@ombuds.am</w:t>
        </w:r>
      </w:hyperlink>
      <w:r w:rsidRPr="00D14408">
        <w:rPr>
          <w:i/>
          <w:iCs/>
        </w:rPr>
        <w:t xml:space="preserve"> </w:t>
      </w:r>
    </w:p>
    <w:p w14:paraId="557EF140" w14:textId="77777777" w:rsidR="00312E54" w:rsidRPr="00D17782" w:rsidRDefault="00312E54" w:rsidP="00312E54">
      <w:pPr>
        <w:pStyle w:val="NormalWeb"/>
        <w:spacing w:before="240" w:after="240"/>
        <w:jc w:val="center"/>
        <w:rPr>
          <w:sz w:val="22"/>
          <w:szCs w:val="22"/>
        </w:rPr>
      </w:pPr>
      <w:r w:rsidRPr="00D17782">
        <w:rPr>
          <w:b/>
          <w:bCs/>
          <w:i/>
          <w:iCs/>
        </w:rPr>
        <w:t>The</w:t>
      </w:r>
      <w:r w:rsidRPr="00D17782">
        <w:rPr>
          <w:b/>
          <w:bCs/>
          <w:i/>
          <w:iCs/>
          <w:sz w:val="28"/>
          <w:szCs w:val="28"/>
        </w:rPr>
        <w:t> </w:t>
      </w:r>
      <w:r w:rsidRPr="00D17782">
        <w:rPr>
          <w:b/>
          <w:bCs/>
          <w:i/>
          <w:iCs/>
          <w:sz w:val="22"/>
          <w:szCs w:val="22"/>
        </w:rPr>
        <w:t>Office of the Human Rights Defender of the Republic of Armenia</w:t>
      </w:r>
    </w:p>
    <w:p w14:paraId="01F9F8B3" w14:textId="77777777" w:rsidR="00312E54" w:rsidRPr="00D17782" w:rsidRDefault="00312E54" w:rsidP="00312E54">
      <w:pPr>
        <w:pStyle w:val="NormalWeb"/>
        <w:spacing w:before="240" w:after="240"/>
        <w:jc w:val="center"/>
        <w:rPr>
          <w:sz w:val="22"/>
          <w:szCs w:val="22"/>
        </w:rPr>
      </w:pPr>
      <w:r w:rsidRPr="00D17782">
        <w:rPr>
          <w:b/>
          <w:bCs/>
          <w:i/>
          <w:iCs/>
          <w:sz w:val="22"/>
          <w:szCs w:val="22"/>
        </w:rPr>
        <w:t>56a Pushkin str., Yerevan, Armenia,</w:t>
      </w:r>
    </w:p>
    <w:p w14:paraId="6DC69356" w14:textId="77777777" w:rsidR="00312E54" w:rsidRPr="00D17782" w:rsidRDefault="00312E54" w:rsidP="00312E54">
      <w:pPr>
        <w:pStyle w:val="NormalWeb"/>
        <w:spacing w:before="240" w:after="240"/>
        <w:jc w:val="center"/>
        <w:rPr>
          <w:sz w:val="22"/>
          <w:szCs w:val="22"/>
        </w:rPr>
      </w:pPr>
      <w:r w:rsidRPr="00D17782">
        <w:rPr>
          <w:b/>
          <w:bCs/>
          <w:i/>
          <w:iCs/>
          <w:sz w:val="22"/>
          <w:szCs w:val="22"/>
        </w:rPr>
        <w:t>Tel: (+37410) 53 88 42</w:t>
      </w:r>
    </w:p>
    <w:p w14:paraId="760F3FCE" w14:textId="77777777" w:rsidR="00312E54" w:rsidRPr="00D17782" w:rsidRDefault="00312E54" w:rsidP="00312E54">
      <w:pPr>
        <w:spacing w:after="0" w:line="276" w:lineRule="auto"/>
        <w:jc w:val="center"/>
        <w:rPr>
          <w:rFonts w:ascii="Times New Roman" w:hAnsi="Times New Roman" w:cs="Times New Roman"/>
          <w:lang w:val="hy-AM"/>
        </w:rPr>
      </w:pPr>
      <w:r w:rsidRPr="00D17782">
        <w:rPr>
          <w:rFonts w:ascii="Times New Roman" w:hAnsi="Times New Roman" w:cs="Times New Roman"/>
          <w:b/>
          <w:bCs/>
          <w:i/>
          <w:iCs/>
          <w:sz w:val="24"/>
          <w:szCs w:val="24"/>
        </w:rPr>
        <w:t> </w:t>
      </w:r>
      <w:hyperlink r:id="rId15" w:history="1">
        <w:r w:rsidRPr="00D17782">
          <w:rPr>
            <w:rStyle w:val="Hyperlink"/>
            <w:rFonts w:ascii="Times New Roman" w:hAnsi="Times New Roman" w:cs="Times New Roman"/>
            <w:i/>
            <w:iCs/>
            <w:sz w:val="24"/>
            <w:szCs w:val="24"/>
          </w:rPr>
          <w:t>www.ombuds.am</w:t>
        </w:r>
      </w:hyperlink>
    </w:p>
    <w:p w14:paraId="420FB274" w14:textId="77777777" w:rsidR="00312E54" w:rsidRPr="00D17782" w:rsidRDefault="00312E54" w:rsidP="00312E54">
      <w:pPr>
        <w:spacing w:after="0" w:line="276" w:lineRule="auto"/>
        <w:rPr>
          <w:rFonts w:ascii="Times New Roman" w:hAnsi="Times New Roman" w:cs="Times New Roman"/>
          <w:b/>
          <w:sz w:val="24"/>
          <w:szCs w:val="24"/>
          <w:lang w:val="en-GB"/>
        </w:rPr>
      </w:pPr>
    </w:p>
    <w:p w14:paraId="6F3DE647" w14:textId="0177D177" w:rsidR="00312E54" w:rsidRDefault="00312E54" w:rsidP="00312E54">
      <w:pPr>
        <w:spacing w:after="0" w:line="276" w:lineRule="auto"/>
        <w:jc w:val="center"/>
        <w:rPr>
          <w:rFonts w:ascii="Times New Roman" w:hAnsi="Times New Roman" w:cs="Times New Roman"/>
          <w:b/>
          <w:sz w:val="24"/>
          <w:szCs w:val="24"/>
          <w:lang w:val="en-GB"/>
        </w:rPr>
      </w:pPr>
    </w:p>
    <w:p w14:paraId="6CAB6871" w14:textId="06D2A952" w:rsidR="00D14408" w:rsidRDefault="00D14408" w:rsidP="00312E54">
      <w:pPr>
        <w:spacing w:after="0" w:line="276" w:lineRule="auto"/>
        <w:jc w:val="center"/>
        <w:rPr>
          <w:rFonts w:ascii="Times New Roman" w:hAnsi="Times New Roman" w:cs="Times New Roman"/>
          <w:b/>
          <w:sz w:val="24"/>
          <w:szCs w:val="24"/>
          <w:lang w:val="en-GB"/>
        </w:rPr>
      </w:pPr>
    </w:p>
    <w:p w14:paraId="5AB66DF4" w14:textId="23A50834" w:rsidR="00D14408" w:rsidRDefault="00D14408" w:rsidP="00312E54">
      <w:pPr>
        <w:spacing w:after="0" w:line="276" w:lineRule="auto"/>
        <w:jc w:val="center"/>
        <w:rPr>
          <w:rFonts w:ascii="Times New Roman" w:hAnsi="Times New Roman" w:cs="Times New Roman"/>
          <w:b/>
          <w:sz w:val="24"/>
          <w:szCs w:val="24"/>
          <w:lang w:val="en-GB"/>
        </w:rPr>
      </w:pPr>
    </w:p>
    <w:p w14:paraId="0D386F36" w14:textId="490F268F" w:rsidR="00D14408" w:rsidRDefault="00D14408" w:rsidP="00312E54">
      <w:pPr>
        <w:spacing w:after="0" w:line="276" w:lineRule="auto"/>
        <w:jc w:val="center"/>
        <w:rPr>
          <w:rFonts w:ascii="Times New Roman" w:hAnsi="Times New Roman" w:cs="Times New Roman"/>
          <w:b/>
          <w:sz w:val="24"/>
          <w:szCs w:val="24"/>
          <w:lang w:val="en-GB"/>
        </w:rPr>
      </w:pPr>
    </w:p>
    <w:p w14:paraId="654721C6" w14:textId="74E7A35C" w:rsidR="00D14408" w:rsidRDefault="00D14408" w:rsidP="00312E54">
      <w:pPr>
        <w:spacing w:after="0" w:line="276" w:lineRule="auto"/>
        <w:jc w:val="center"/>
        <w:rPr>
          <w:rFonts w:ascii="Times New Roman" w:hAnsi="Times New Roman" w:cs="Times New Roman"/>
          <w:b/>
          <w:sz w:val="24"/>
          <w:szCs w:val="24"/>
          <w:lang w:val="en-GB"/>
        </w:rPr>
      </w:pPr>
    </w:p>
    <w:p w14:paraId="7572F8FB" w14:textId="56C69910" w:rsidR="00D14408" w:rsidRDefault="00D14408" w:rsidP="00312E54">
      <w:pPr>
        <w:spacing w:after="0" w:line="276" w:lineRule="auto"/>
        <w:jc w:val="center"/>
        <w:rPr>
          <w:rFonts w:ascii="Times New Roman" w:hAnsi="Times New Roman" w:cs="Times New Roman"/>
          <w:b/>
          <w:sz w:val="24"/>
          <w:szCs w:val="24"/>
          <w:lang w:val="en-GB"/>
        </w:rPr>
      </w:pPr>
    </w:p>
    <w:p w14:paraId="1BEAD999" w14:textId="1BAA93CF" w:rsidR="00D14408" w:rsidRDefault="00D14408" w:rsidP="00312E54">
      <w:pPr>
        <w:spacing w:after="0" w:line="276" w:lineRule="auto"/>
        <w:jc w:val="center"/>
        <w:rPr>
          <w:rFonts w:ascii="Times New Roman" w:hAnsi="Times New Roman" w:cs="Times New Roman"/>
          <w:b/>
          <w:sz w:val="24"/>
          <w:szCs w:val="24"/>
          <w:lang w:val="en-GB"/>
        </w:rPr>
      </w:pPr>
    </w:p>
    <w:p w14:paraId="79F51BC7" w14:textId="4B37883E" w:rsidR="00D14408" w:rsidRDefault="00D14408" w:rsidP="00312E54">
      <w:pPr>
        <w:spacing w:after="0" w:line="276" w:lineRule="auto"/>
        <w:jc w:val="center"/>
        <w:rPr>
          <w:rFonts w:ascii="Times New Roman" w:hAnsi="Times New Roman" w:cs="Times New Roman"/>
          <w:b/>
          <w:sz w:val="24"/>
          <w:szCs w:val="24"/>
          <w:lang w:val="en-GB"/>
        </w:rPr>
      </w:pPr>
    </w:p>
    <w:p w14:paraId="2C72A28B" w14:textId="44D2772D" w:rsidR="00D14408" w:rsidRDefault="00D14408" w:rsidP="00312E54">
      <w:pPr>
        <w:spacing w:after="0" w:line="276" w:lineRule="auto"/>
        <w:jc w:val="center"/>
        <w:rPr>
          <w:rFonts w:ascii="Times New Roman" w:hAnsi="Times New Roman" w:cs="Times New Roman"/>
          <w:b/>
          <w:sz w:val="24"/>
          <w:szCs w:val="24"/>
          <w:lang w:val="en-GB"/>
        </w:rPr>
      </w:pPr>
    </w:p>
    <w:p w14:paraId="1C6B56D9" w14:textId="77777777" w:rsidR="00D14408" w:rsidRPr="00D17782" w:rsidRDefault="00D14408" w:rsidP="00312E54">
      <w:pPr>
        <w:spacing w:after="0" w:line="276" w:lineRule="auto"/>
        <w:jc w:val="center"/>
        <w:rPr>
          <w:rFonts w:ascii="Times New Roman" w:hAnsi="Times New Roman" w:cs="Times New Roman"/>
          <w:b/>
          <w:sz w:val="24"/>
          <w:szCs w:val="24"/>
          <w:lang w:val="en-GB"/>
        </w:rPr>
      </w:pPr>
    </w:p>
    <w:p w14:paraId="34B81F57" w14:textId="77777777" w:rsidR="00312E54" w:rsidRPr="00D17782" w:rsidRDefault="00312E54" w:rsidP="00312E54">
      <w:pPr>
        <w:spacing w:after="0" w:line="276" w:lineRule="auto"/>
        <w:jc w:val="center"/>
        <w:rPr>
          <w:rFonts w:ascii="Times New Roman" w:hAnsi="Times New Roman" w:cs="Times New Roman"/>
          <w:b/>
          <w:sz w:val="24"/>
          <w:szCs w:val="24"/>
          <w:lang w:val="en-GB"/>
        </w:rPr>
      </w:pPr>
    </w:p>
    <w:p w14:paraId="169715AA" w14:textId="77777777" w:rsidR="00312E54" w:rsidRPr="00D17782" w:rsidRDefault="00312E54" w:rsidP="00312E54">
      <w:pPr>
        <w:spacing w:after="0" w:line="276" w:lineRule="auto"/>
        <w:jc w:val="center"/>
        <w:rPr>
          <w:rFonts w:ascii="Times New Roman" w:hAnsi="Times New Roman" w:cs="Times New Roman"/>
          <w:b/>
          <w:sz w:val="28"/>
          <w:szCs w:val="28"/>
        </w:rPr>
      </w:pPr>
      <w:r w:rsidRPr="00D17782">
        <w:rPr>
          <w:rFonts w:ascii="Times New Roman" w:hAnsi="Times New Roman" w:cs="Times New Roman"/>
          <w:b/>
          <w:sz w:val="24"/>
          <w:szCs w:val="24"/>
          <w:lang w:val="en-GB"/>
        </w:rPr>
        <w:t>YEREVAN</w:t>
      </w:r>
      <w:r w:rsidRPr="00D17782">
        <w:rPr>
          <w:rFonts w:ascii="Times New Roman" w:hAnsi="Times New Roman" w:cs="Times New Roman"/>
          <w:b/>
          <w:color w:val="FF0000"/>
          <w:sz w:val="24"/>
          <w:szCs w:val="24"/>
          <w:lang w:val="hy-AM"/>
        </w:rPr>
        <w:t xml:space="preserve"> </w:t>
      </w:r>
      <w:r w:rsidRPr="00D17782">
        <w:rPr>
          <w:rFonts w:ascii="Times New Roman" w:hAnsi="Times New Roman" w:cs="Times New Roman"/>
          <w:b/>
          <w:sz w:val="24"/>
          <w:szCs w:val="24"/>
        </w:rPr>
        <w:t>2025</w:t>
      </w:r>
      <w:r w:rsidRPr="00D17782">
        <w:rPr>
          <w:rFonts w:ascii="Times New Roman" w:hAnsi="Times New Roman" w:cs="Times New Roman"/>
          <w:b/>
          <w:sz w:val="24"/>
          <w:szCs w:val="24"/>
        </w:rPr>
        <w:br w:type="page"/>
      </w:r>
    </w:p>
    <w:p w14:paraId="49E4EA6E" w14:textId="77777777" w:rsidR="00312E54" w:rsidRPr="00312E54" w:rsidRDefault="00312E54" w:rsidP="00312E54">
      <w:pPr>
        <w:jc w:val="both"/>
        <w:rPr>
          <w:rFonts w:asciiTheme="majorBidi" w:hAnsiTheme="majorBidi" w:cstheme="majorBidi"/>
          <w:b/>
          <w:bCs/>
          <w:sz w:val="24"/>
          <w:szCs w:val="24"/>
          <w:u w:val="single"/>
        </w:rPr>
      </w:pPr>
      <w:r w:rsidRPr="00312E54">
        <w:rPr>
          <w:rFonts w:asciiTheme="majorBidi" w:hAnsiTheme="majorBidi" w:cstheme="majorBidi"/>
          <w:b/>
          <w:bCs/>
          <w:sz w:val="24"/>
          <w:szCs w:val="24"/>
          <w:u w:val="single"/>
        </w:rPr>
        <w:lastRenderedPageBreak/>
        <w:t>Introduction:</w:t>
      </w:r>
    </w:p>
    <w:p w14:paraId="6E0253E7" w14:textId="77777777" w:rsidR="00312E54" w:rsidRPr="00EA3893" w:rsidRDefault="00312E54" w:rsidP="00312E54">
      <w:pPr>
        <w:jc w:val="both"/>
        <w:rPr>
          <w:rFonts w:asciiTheme="majorBidi" w:hAnsiTheme="majorBidi" w:cstheme="majorBidi"/>
          <w:sz w:val="24"/>
          <w:szCs w:val="24"/>
        </w:rPr>
      </w:pPr>
      <w:r w:rsidRPr="00EA3893">
        <w:rPr>
          <w:rFonts w:asciiTheme="majorBidi" w:hAnsiTheme="majorBidi" w:cstheme="majorBidi"/>
          <w:sz w:val="24"/>
          <w:szCs w:val="24"/>
        </w:rPr>
        <w:t xml:space="preserve">The Human Rights Defender’s Office of the Republic of Armenia is an Ombudsman and National Human Rights Institution with the highest "A" international status, functioning in accordance with the Paris Principles. The Defender’s Office was re-accredited with the A status in October 2024. </w:t>
      </w:r>
    </w:p>
    <w:p w14:paraId="6A59ABDE" w14:textId="77777777" w:rsidR="00312E54" w:rsidRPr="006A6BF7" w:rsidRDefault="00312E54" w:rsidP="00312E54">
      <w:pPr>
        <w:jc w:val="both"/>
        <w:rPr>
          <w:rFonts w:asciiTheme="majorBidi" w:hAnsiTheme="majorBidi" w:cstheme="majorBidi"/>
          <w:sz w:val="24"/>
          <w:szCs w:val="24"/>
        </w:rPr>
      </w:pPr>
      <w:r w:rsidRPr="00EA3893">
        <w:rPr>
          <w:rFonts w:asciiTheme="majorBidi" w:hAnsiTheme="majorBidi" w:cstheme="majorBidi"/>
          <w:sz w:val="24"/>
          <w:szCs w:val="24"/>
        </w:rPr>
        <w:t>Based on constitutional amendments, the Constitutional Law "On Human Rights Defender" of Armenia was adopted in 2016 and entered into force in 2017. The Constitutional Law elaborated and safeguarded the provisions of the Constitution; it established the Human Rights Defender as an independent official, tasked with monitoring the respect for human rights and freedoms by state and local self-government bodies and officials, as well as by private organizations operating in the field of public service, and facilitating the restoration of violated rights and the improvement of the legislation related to human rights and freedoms. The Defender also facilitates the restoration of violated rights and freedoms.</w:t>
      </w:r>
    </w:p>
    <w:p w14:paraId="0D2353AB" w14:textId="78F90DCC" w:rsidR="00312E54" w:rsidRDefault="00312E54" w:rsidP="00312E54">
      <w:pPr>
        <w:jc w:val="both"/>
        <w:rPr>
          <w:rFonts w:asciiTheme="majorBidi" w:hAnsiTheme="majorBidi" w:cstheme="majorBidi"/>
          <w:sz w:val="24"/>
          <w:szCs w:val="24"/>
        </w:rPr>
      </w:pPr>
      <w:r w:rsidRPr="002C07E6">
        <w:rPr>
          <w:rFonts w:asciiTheme="majorBidi" w:hAnsiTheme="majorBidi" w:cstheme="majorBidi"/>
          <w:sz w:val="24"/>
          <w:szCs w:val="24"/>
        </w:rPr>
        <w:t xml:space="preserve">The Human Rights Defender also conducts the monitoring of the implementation of the provisions of the UN Convention on the Rights of the Child, as well as the UN Convention on the Rights of Persons with Disabilities, as well as carries out the prevention of violations of the rights of the child and persons with disabilities, and the protection thereof. Furthermore, based on the amendments of the Constitutional Law in 2022, the mandate of the Defender was expanded, covering the protection of whistle-blowers. According to the latest amendments, the Defender is authorized to consider complaints from whistle-blowers and affiliated </w:t>
      </w:r>
      <w:proofErr w:type="gramStart"/>
      <w:r w:rsidRPr="002C07E6">
        <w:rPr>
          <w:rFonts w:asciiTheme="majorBidi" w:hAnsiTheme="majorBidi" w:cstheme="majorBidi"/>
          <w:sz w:val="24"/>
          <w:szCs w:val="24"/>
        </w:rPr>
        <w:t>persons</w:t>
      </w:r>
      <w:proofErr w:type="gramEnd"/>
      <w:r w:rsidRPr="002C07E6">
        <w:rPr>
          <w:rFonts w:asciiTheme="majorBidi" w:hAnsiTheme="majorBidi" w:cstheme="majorBidi"/>
          <w:sz w:val="24"/>
          <w:szCs w:val="24"/>
        </w:rPr>
        <w:t xml:space="preserve"> regarding </w:t>
      </w:r>
      <w:proofErr w:type="gramStart"/>
      <w:r w:rsidRPr="002C07E6">
        <w:rPr>
          <w:rFonts w:asciiTheme="majorBidi" w:hAnsiTheme="majorBidi" w:cstheme="majorBidi"/>
          <w:sz w:val="24"/>
          <w:szCs w:val="24"/>
        </w:rPr>
        <w:t>the violations</w:t>
      </w:r>
      <w:proofErr w:type="gramEnd"/>
      <w:r w:rsidRPr="002C07E6">
        <w:rPr>
          <w:rFonts w:asciiTheme="majorBidi" w:hAnsiTheme="majorBidi" w:cstheme="majorBidi"/>
          <w:sz w:val="24"/>
          <w:szCs w:val="24"/>
        </w:rPr>
        <w:t xml:space="preserve"> of their rights not only by public bodies and officials but also by organizations.</w:t>
      </w:r>
      <w:r w:rsidR="00326901">
        <w:rPr>
          <w:rFonts w:asciiTheme="majorBidi" w:hAnsiTheme="majorBidi" w:cstheme="majorBidi"/>
          <w:sz w:val="24"/>
          <w:szCs w:val="24"/>
        </w:rPr>
        <w:t xml:space="preserve"> </w:t>
      </w:r>
    </w:p>
    <w:p w14:paraId="1F4D8FCE" w14:textId="77777777" w:rsidR="00312E54" w:rsidRPr="002C07E6" w:rsidRDefault="00312E54" w:rsidP="00312E54">
      <w:pPr>
        <w:jc w:val="both"/>
        <w:rPr>
          <w:rFonts w:asciiTheme="majorBidi" w:hAnsiTheme="majorBidi" w:cstheme="majorBidi"/>
          <w:sz w:val="24"/>
          <w:szCs w:val="24"/>
        </w:rPr>
      </w:pPr>
      <w:r>
        <w:rPr>
          <w:rFonts w:asciiTheme="majorBidi" w:hAnsiTheme="majorBidi" w:cstheme="majorBidi"/>
          <w:sz w:val="24"/>
          <w:szCs w:val="24"/>
        </w:rPr>
        <w:t xml:space="preserve">The written submission is submitted to provide </w:t>
      </w:r>
      <w:r w:rsidRPr="002C07E6">
        <w:rPr>
          <w:rFonts w:asciiTheme="majorBidi" w:hAnsiTheme="majorBidi" w:cstheme="majorBidi"/>
          <w:sz w:val="24"/>
          <w:szCs w:val="24"/>
        </w:rPr>
        <w:t>follow-up</w:t>
      </w:r>
      <w:r>
        <w:rPr>
          <w:rFonts w:asciiTheme="majorBidi" w:hAnsiTheme="majorBidi" w:cstheme="majorBidi"/>
          <w:sz w:val="24"/>
          <w:szCs w:val="24"/>
        </w:rPr>
        <w:t xml:space="preserve"> information</w:t>
      </w:r>
      <w:r w:rsidRPr="002C07E6">
        <w:rPr>
          <w:rFonts w:asciiTheme="majorBidi" w:hAnsiTheme="majorBidi" w:cstheme="majorBidi"/>
          <w:sz w:val="24"/>
          <w:szCs w:val="24"/>
        </w:rPr>
        <w:t xml:space="preserve"> to the </w:t>
      </w:r>
      <w:r>
        <w:rPr>
          <w:rFonts w:asciiTheme="majorBidi" w:hAnsiTheme="majorBidi" w:cstheme="majorBidi"/>
          <w:sz w:val="24"/>
          <w:szCs w:val="24"/>
        </w:rPr>
        <w:t xml:space="preserve">concluding </w:t>
      </w:r>
      <w:r w:rsidRPr="002C07E6">
        <w:rPr>
          <w:rFonts w:asciiTheme="majorBidi" w:hAnsiTheme="majorBidi" w:cstheme="majorBidi"/>
          <w:sz w:val="24"/>
          <w:szCs w:val="24"/>
        </w:rPr>
        <w:t>observations</w:t>
      </w:r>
      <w:r>
        <w:rPr>
          <w:rFonts w:asciiTheme="majorBidi" w:hAnsiTheme="majorBidi" w:cstheme="majorBidi"/>
          <w:sz w:val="24"/>
          <w:szCs w:val="24"/>
        </w:rPr>
        <w:t xml:space="preserve"> of the Human Rights Committee</w:t>
      </w:r>
      <w:r w:rsidRPr="002C07E6">
        <w:rPr>
          <w:rFonts w:asciiTheme="majorBidi" w:hAnsiTheme="majorBidi" w:cstheme="majorBidi"/>
          <w:sz w:val="24"/>
          <w:szCs w:val="24"/>
        </w:rPr>
        <w:t xml:space="preserve"> on </w:t>
      </w:r>
      <w:r>
        <w:rPr>
          <w:rFonts w:asciiTheme="majorBidi" w:hAnsiTheme="majorBidi" w:cstheme="majorBidi"/>
          <w:sz w:val="24"/>
          <w:szCs w:val="24"/>
        </w:rPr>
        <w:t>the</w:t>
      </w:r>
      <w:r w:rsidRPr="002C07E6">
        <w:rPr>
          <w:rFonts w:asciiTheme="majorBidi" w:hAnsiTheme="majorBidi" w:cstheme="majorBidi"/>
          <w:sz w:val="24"/>
          <w:szCs w:val="24"/>
        </w:rPr>
        <w:t xml:space="preserve"> third periodic report</w:t>
      </w:r>
      <w:r>
        <w:rPr>
          <w:rFonts w:asciiTheme="majorBidi" w:hAnsiTheme="majorBidi" w:cstheme="majorBidi"/>
          <w:sz w:val="24"/>
          <w:szCs w:val="24"/>
        </w:rPr>
        <w:t xml:space="preserve"> of Armenia. </w:t>
      </w:r>
    </w:p>
    <w:p w14:paraId="7D928CA7" w14:textId="77777777" w:rsidR="00312E54" w:rsidRDefault="00312E54" w:rsidP="00312E54">
      <w:pPr>
        <w:jc w:val="both"/>
        <w:rPr>
          <w:rFonts w:asciiTheme="majorBidi" w:hAnsiTheme="majorBidi" w:cstheme="majorBidi"/>
          <w:b/>
          <w:bCs/>
          <w:sz w:val="24"/>
          <w:szCs w:val="24"/>
          <w:u w:val="single"/>
        </w:rPr>
      </w:pPr>
    </w:p>
    <w:p w14:paraId="400FA875" w14:textId="77777777" w:rsidR="00312E54" w:rsidRDefault="00312E54" w:rsidP="00263B65">
      <w:pPr>
        <w:jc w:val="both"/>
        <w:rPr>
          <w:rFonts w:asciiTheme="majorBidi" w:hAnsiTheme="majorBidi" w:cstheme="majorBidi"/>
          <w:sz w:val="24"/>
          <w:szCs w:val="24"/>
        </w:rPr>
      </w:pPr>
    </w:p>
    <w:p w14:paraId="286D6163" w14:textId="77777777" w:rsidR="00312E54" w:rsidRDefault="00312E54" w:rsidP="00263B65">
      <w:pPr>
        <w:jc w:val="both"/>
        <w:rPr>
          <w:rFonts w:asciiTheme="majorBidi" w:hAnsiTheme="majorBidi" w:cstheme="majorBidi"/>
          <w:sz w:val="24"/>
          <w:szCs w:val="24"/>
        </w:rPr>
      </w:pPr>
    </w:p>
    <w:p w14:paraId="6BF200AE" w14:textId="77777777" w:rsidR="00312E54" w:rsidRDefault="00312E54" w:rsidP="00263B65">
      <w:pPr>
        <w:jc w:val="both"/>
        <w:rPr>
          <w:rFonts w:asciiTheme="majorBidi" w:hAnsiTheme="majorBidi" w:cstheme="majorBidi"/>
          <w:sz w:val="24"/>
          <w:szCs w:val="24"/>
        </w:rPr>
      </w:pPr>
    </w:p>
    <w:p w14:paraId="2EACEC11" w14:textId="77777777" w:rsidR="00312E54" w:rsidRDefault="00312E54" w:rsidP="00263B65">
      <w:pPr>
        <w:jc w:val="both"/>
        <w:rPr>
          <w:rFonts w:asciiTheme="majorBidi" w:hAnsiTheme="majorBidi" w:cstheme="majorBidi"/>
          <w:sz w:val="24"/>
          <w:szCs w:val="24"/>
        </w:rPr>
      </w:pPr>
    </w:p>
    <w:p w14:paraId="1D911C34" w14:textId="77777777" w:rsidR="00312E54" w:rsidRDefault="00312E54" w:rsidP="00263B65">
      <w:pPr>
        <w:jc w:val="both"/>
        <w:rPr>
          <w:rFonts w:asciiTheme="majorBidi" w:hAnsiTheme="majorBidi" w:cstheme="majorBidi"/>
          <w:sz w:val="24"/>
          <w:szCs w:val="24"/>
        </w:rPr>
      </w:pPr>
    </w:p>
    <w:p w14:paraId="3C2BA3AB" w14:textId="77777777" w:rsidR="00312E54" w:rsidRDefault="00312E54" w:rsidP="00263B65">
      <w:pPr>
        <w:jc w:val="both"/>
        <w:rPr>
          <w:rFonts w:asciiTheme="majorBidi" w:hAnsiTheme="majorBidi" w:cstheme="majorBidi"/>
          <w:sz w:val="24"/>
          <w:szCs w:val="24"/>
        </w:rPr>
      </w:pPr>
    </w:p>
    <w:p w14:paraId="42736B41" w14:textId="77777777" w:rsidR="00312E54" w:rsidRDefault="00312E54" w:rsidP="00263B65">
      <w:pPr>
        <w:jc w:val="both"/>
        <w:rPr>
          <w:rFonts w:asciiTheme="majorBidi" w:hAnsiTheme="majorBidi" w:cstheme="majorBidi"/>
          <w:sz w:val="24"/>
          <w:szCs w:val="24"/>
        </w:rPr>
      </w:pPr>
    </w:p>
    <w:p w14:paraId="01CBAF4E" w14:textId="77777777" w:rsidR="00312E54" w:rsidRDefault="00312E54" w:rsidP="00263B65">
      <w:pPr>
        <w:jc w:val="both"/>
        <w:rPr>
          <w:rFonts w:asciiTheme="majorBidi" w:hAnsiTheme="majorBidi" w:cstheme="majorBidi"/>
          <w:sz w:val="24"/>
          <w:szCs w:val="24"/>
        </w:rPr>
      </w:pPr>
    </w:p>
    <w:p w14:paraId="245ECFDA" w14:textId="7A2AD30F" w:rsidR="002C07E6" w:rsidRDefault="002C07E6" w:rsidP="00263B65">
      <w:pPr>
        <w:jc w:val="both"/>
        <w:rPr>
          <w:rFonts w:asciiTheme="majorBidi" w:hAnsiTheme="majorBidi" w:cstheme="majorBidi"/>
          <w:sz w:val="24"/>
          <w:szCs w:val="24"/>
        </w:rPr>
      </w:pPr>
    </w:p>
    <w:p w14:paraId="57EFD1F8" w14:textId="77777777" w:rsidR="00312E54" w:rsidRDefault="00312E54" w:rsidP="00263B65">
      <w:pPr>
        <w:jc w:val="both"/>
        <w:rPr>
          <w:rFonts w:asciiTheme="majorBidi" w:hAnsiTheme="majorBidi" w:cstheme="majorBidi"/>
          <w:b/>
          <w:bCs/>
          <w:sz w:val="24"/>
          <w:szCs w:val="24"/>
          <w:u w:val="single"/>
        </w:rPr>
      </w:pPr>
    </w:p>
    <w:p w14:paraId="60E9832F" w14:textId="77777777" w:rsidR="00312E54" w:rsidRDefault="00312E54" w:rsidP="00263B65">
      <w:pPr>
        <w:jc w:val="both"/>
        <w:rPr>
          <w:rFonts w:asciiTheme="majorBidi" w:hAnsiTheme="majorBidi" w:cstheme="majorBidi"/>
          <w:b/>
          <w:bCs/>
          <w:sz w:val="24"/>
          <w:szCs w:val="24"/>
          <w:u w:val="single"/>
        </w:rPr>
      </w:pPr>
    </w:p>
    <w:p w14:paraId="23F69C24" w14:textId="77777777" w:rsidR="00312E54" w:rsidRDefault="00312E54" w:rsidP="00263B65">
      <w:pPr>
        <w:jc w:val="both"/>
        <w:rPr>
          <w:rFonts w:asciiTheme="majorBidi" w:hAnsiTheme="majorBidi" w:cstheme="majorBidi"/>
          <w:b/>
          <w:bCs/>
          <w:sz w:val="24"/>
          <w:szCs w:val="24"/>
          <w:u w:val="single"/>
        </w:rPr>
      </w:pPr>
    </w:p>
    <w:p w14:paraId="26FA76FD" w14:textId="795A9AEE" w:rsidR="00855954" w:rsidRDefault="00D4560D" w:rsidP="00263B65">
      <w:pPr>
        <w:jc w:val="both"/>
        <w:rPr>
          <w:rFonts w:asciiTheme="majorBidi" w:hAnsiTheme="majorBidi" w:cstheme="majorBidi"/>
          <w:b/>
          <w:bCs/>
          <w:sz w:val="24"/>
          <w:szCs w:val="24"/>
          <w:u w:val="single"/>
        </w:rPr>
      </w:pPr>
      <w:r w:rsidRPr="00D4560D">
        <w:rPr>
          <w:rFonts w:asciiTheme="majorBidi" w:hAnsiTheme="majorBidi" w:cstheme="majorBidi"/>
          <w:b/>
          <w:bCs/>
          <w:sz w:val="24"/>
          <w:szCs w:val="24"/>
          <w:u w:val="single"/>
        </w:rPr>
        <w:lastRenderedPageBreak/>
        <w:t>Violence against women</w:t>
      </w:r>
      <w:r>
        <w:rPr>
          <w:rFonts w:asciiTheme="majorBidi" w:hAnsiTheme="majorBidi" w:cstheme="majorBidi"/>
          <w:b/>
          <w:bCs/>
          <w:sz w:val="24"/>
          <w:szCs w:val="24"/>
          <w:u w:val="single"/>
        </w:rPr>
        <w:t>:</w:t>
      </w:r>
    </w:p>
    <w:p w14:paraId="481A4F2D" w14:textId="03A6FE2F" w:rsidR="00895A26" w:rsidRPr="00895A26" w:rsidRDefault="00E3564F" w:rsidP="00263B65">
      <w:pPr>
        <w:jc w:val="both"/>
        <w:rPr>
          <w:rFonts w:asciiTheme="majorBidi" w:hAnsiTheme="majorBidi" w:cstheme="majorBidi"/>
          <w:i/>
          <w:iCs/>
          <w:sz w:val="24"/>
          <w:szCs w:val="24"/>
        </w:rPr>
      </w:pPr>
      <w:r w:rsidRPr="00E3564F">
        <w:rPr>
          <w:rFonts w:asciiTheme="majorBidi" w:hAnsiTheme="majorBidi" w:cstheme="majorBidi"/>
          <w:i/>
          <w:iCs/>
          <w:sz w:val="24"/>
          <w:szCs w:val="24"/>
        </w:rPr>
        <w:t>Follow-up information related to paragraph 16</w:t>
      </w:r>
    </w:p>
    <w:p w14:paraId="62052276" w14:textId="383FD431" w:rsidR="00895A26" w:rsidRDefault="00895A26" w:rsidP="00263B65">
      <w:pPr>
        <w:pStyle w:val="ListParagraph"/>
        <w:numPr>
          <w:ilvl w:val="0"/>
          <w:numId w:val="1"/>
        </w:numPr>
        <w:tabs>
          <w:tab w:val="left" w:pos="360"/>
        </w:tabs>
        <w:ind w:left="0" w:firstLine="0"/>
        <w:jc w:val="both"/>
        <w:rPr>
          <w:rFonts w:asciiTheme="majorBidi" w:hAnsiTheme="majorBidi" w:cstheme="majorBidi"/>
          <w:sz w:val="24"/>
          <w:szCs w:val="24"/>
        </w:rPr>
      </w:pPr>
      <w:r>
        <w:rPr>
          <w:rFonts w:asciiTheme="majorBidi" w:hAnsiTheme="majorBidi" w:cstheme="majorBidi"/>
          <w:sz w:val="24"/>
          <w:szCs w:val="24"/>
        </w:rPr>
        <w:t xml:space="preserve">The </w:t>
      </w:r>
      <w:r w:rsidR="00981D96">
        <w:rPr>
          <w:rFonts w:asciiTheme="majorBidi" w:hAnsiTheme="majorBidi" w:cstheme="majorBidi"/>
          <w:sz w:val="24"/>
          <w:szCs w:val="24"/>
        </w:rPr>
        <w:t>Human Rights Defender (</w:t>
      </w:r>
      <w:r>
        <w:rPr>
          <w:rFonts w:asciiTheme="majorBidi" w:hAnsiTheme="majorBidi" w:cstheme="majorBidi"/>
          <w:sz w:val="24"/>
          <w:szCs w:val="24"/>
        </w:rPr>
        <w:t>HRD</w:t>
      </w:r>
      <w:r w:rsidR="00981D96">
        <w:rPr>
          <w:rFonts w:asciiTheme="majorBidi" w:hAnsiTheme="majorBidi" w:cstheme="majorBidi"/>
          <w:sz w:val="24"/>
          <w:szCs w:val="24"/>
        </w:rPr>
        <w:t>)</w:t>
      </w:r>
      <w:r>
        <w:rPr>
          <w:rFonts w:asciiTheme="majorBidi" w:hAnsiTheme="majorBidi" w:cstheme="majorBidi"/>
          <w:sz w:val="24"/>
          <w:szCs w:val="24"/>
        </w:rPr>
        <w:t xml:space="preserve"> has continuously raised the issues related to legislative gaps in </w:t>
      </w:r>
      <w:r w:rsidR="002567C1">
        <w:rPr>
          <w:rFonts w:asciiTheme="majorBidi" w:hAnsiTheme="majorBidi" w:cstheme="majorBidi"/>
          <w:sz w:val="24"/>
          <w:szCs w:val="24"/>
        </w:rPr>
        <w:t xml:space="preserve">the Law </w:t>
      </w:r>
      <w:r w:rsidR="002567C1" w:rsidRPr="00895A26">
        <w:rPr>
          <w:rFonts w:asciiTheme="majorBidi" w:hAnsiTheme="majorBidi" w:cstheme="majorBidi"/>
          <w:sz w:val="24"/>
          <w:szCs w:val="24"/>
        </w:rPr>
        <w:t>on Prevention of Violence within the Family, Protection of Victims of Violence within the Family and Restoration of Peace in the Family (hereinafter the Law)</w:t>
      </w:r>
      <w:r>
        <w:rPr>
          <w:rFonts w:asciiTheme="majorBidi" w:hAnsiTheme="majorBidi" w:cstheme="majorBidi"/>
          <w:sz w:val="24"/>
          <w:szCs w:val="24"/>
        </w:rPr>
        <w:t>, and the legal provisions regulating the field. The HRD notes that certain issues have been addressed through legislative amendments.</w:t>
      </w:r>
    </w:p>
    <w:p w14:paraId="21BDBE59" w14:textId="77777777" w:rsidR="00895A26" w:rsidRPr="00895A26" w:rsidRDefault="00895A26" w:rsidP="00263B65">
      <w:pPr>
        <w:pStyle w:val="ListParagraph"/>
        <w:tabs>
          <w:tab w:val="left" w:pos="360"/>
        </w:tabs>
        <w:ind w:left="0"/>
        <w:jc w:val="both"/>
        <w:rPr>
          <w:rFonts w:asciiTheme="majorBidi" w:hAnsiTheme="majorBidi" w:cstheme="majorBidi"/>
          <w:sz w:val="24"/>
          <w:szCs w:val="24"/>
        </w:rPr>
      </w:pPr>
    </w:p>
    <w:p w14:paraId="1D640BC8" w14:textId="2D781B58" w:rsidR="00263B65" w:rsidRDefault="00895A26" w:rsidP="00263B65">
      <w:pPr>
        <w:pStyle w:val="ListParagraph"/>
        <w:numPr>
          <w:ilvl w:val="0"/>
          <w:numId w:val="1"/>
        </w:numPr>
        <w:tabs>
          <w:tab w:val="left" w:pos="360"/>
        </w:tabs>
        <w:ind w:left="0" w:firstLine="0"/>
        <w:jc w:val="both"/>
        <w:rPr>
          <w:rFonts w:asciiTheme="majorBidi" w:hAnsiTheme="majorBidi" w:cstheme="majorBidi"/>
          <w:sz w:val="24"/>
          <w:szCs w:val="24"/>
        </w:rPr>
      </w:pPr>
      <w:r>
        <w:rPr>
          <w:rFonts w:asciiTheme="majorBidi" w:hAnsiTheme="majorBidi" w:cstheme="majorBidi"/>
          <w:sz w:val="24"/>
          <w:szCs w:val="24"/>
        </w:rPr>
        <w:t xml:space="preserve">Thus, </w:t>
      </w:r>
      <w:r w:rsidR="00CC1BF4">
        <w:rPr>
          <w:rFonts w:asciiTheme="majorBidi" w:hAnsiTheme="majorBidi" w:cstheme="majorBidi"/>
          <w:sz w:val="24"/>
          <w:szCs w:val="24"/>
        </w:rPr>
        <w:t xml:space="preserve">the Law </w:t>
      </w:r>
      <w:r>
        <w:rPr>
          <w:rFonts w:asciiTheme="majorBidi" w:hAnsiTheme="majorBidi" w:cstheme="majorBidi"/>
          <w:sz w:val="24"/>
          <w:szCs w:val="24"/>
        </w:rPr>
        <w:t xml:space="preserve">did not consider current and former partners </w:t>
      </w:r>
      <w:r w:rsidR="002567C1">
        <w:rPr>
          <w:rFonts w:asciiTheme="majorBidi" w:hAnsiTheme="majorBidi" w:cstheme="majorBidi"/>
          <w:sz w:val="24"/>
          <w:szCs w:val="24"/>
        </w:rPr>
        <w:t>as</w:t>
      </w:r>
      <w:r w:rsidRPr="005E6141">
        <w:rPr>
          <w:rFonts w:asciiTheme="majorBidi" w:hAnsiTheme="majorBidi" w:cstheme="majorBidi"/>
          <w:sz w:val="24"/>
          <w:szCs w:val="24"/>
        </w:rPr>
        <w:t xml:space="preserve"> subjects of domestic violence within the </w:t>
      </w:r>
      <w:r>
        <w:rPr>
          <w:rFonts w:asciiTheme="majorBidi" w:hAnsiTheme="majorBidi" w:cstheme="majorBidi"/>
          <w:sz w:val="24"/>
          <w:szCs w:val="24"/>
        </w:rPr>
        <w:t xml:space="preserve">context </w:t>
      </w:r>
      <w:r w:rsidRPr="005E6141">
        <w:rPr>
          <w:rFonts w:asciiTheme="majorBidi" w:hAnsiTheme="majorBidi" w:cstheme="majorBidi"/>
          <w:sz w:val="24"/>
          <w:szCs w:val="24"/>
        </w:rPr>
        <w:t xml:space="preserve">of the Law, </w:t>
      </w:r>
      <w:r>
        <w:rPr>
          <w:rFonts w:asciiTheme="majorBidi" w:hAnsiTheme="majorBidi" w:cstheme="majorBidi"/>
          <w:sz w:val="24"/>
          <w:szCs w:val="24"/>
        </w:rPr>
        <w:t xml:space="preserve">contradicting </w:t>
      </w:r>
      <w:r w:rsidRPr="005E6141">
        <w:rPr>
          <w:rFonts w:asciiTheme="majorBidi" w:hAnsiTheme="majorBidi" w:cstheme="majorBidi"/>
          <w:sz w:val="24"/>
          <w:szCs w:val="24"/>
        </w:rPr>
        <w:t>internationally accepted approaches</w:t>
      </w:r>
      <w:r>
        <w:rPr>
          <w:rFonts w:asciiTheme="majorBidi" w:hAnsiTheme="majorBidi" w:cstheme="majorBidi"/>
          <w:sz w:val="24"/>
          <w:szCs w:val="24"/>
        </w:rPr>
        <w:t xml:space="preserve"> and standards. Article 3 of </w:t>
      </w:r>
      <w:r w:rsidRPr="00ED3952">
        <w:rPr>
          <w:rFonts w:asciiTheme="majorBidi" w:hAnsiTheme="majorBidi" w:cstheme="majorBidi"/>
          <w:sz w:val="24"/>
          <w:szCs w:val="24"/>
        </w:rPr>
        <w:t>the Council of Europe Convention on Preventing and Combating Violence Against Women and Domestic Violence (</w:t>
      </w:r>
      <w:r w:rsidRPr="00263B65">
        <w:rPr>
          <w:rFonts w:asciiTheme="majorBidi" w:hAnsiTheme="majorBidi" w:cstheme="majorBidi"/>
          <w:sz w:val="24"/>
          <w:szCs w:val="24"/>
        </w:rPr>
        <w:t xml:space="preserve">Istanbul Convention) domestic violence is considered acts of physical, sexual, psychological or economic violence that occur within the family unit or domestic unit or between former or current spouses or partners. </w:t>
      </w:r>
      <w:r w:rsidR="00084F30" w:rsidRPr="00263B65">
        <w:rPr>
          <w:rFonts w:asciiTheme="majorBidi" w:hAnsiTheme="majorBidi" w:cstheme="majorBidi"/>
          <w:sz w:val="24"/>
          <w:szCs w:val="24"/>
        </w:rPr>
        <w:t xml:space="preserve">In 2024, </w:t>
      </w:r>
      <w:r w:rsidR="00263B65" w:rsidRPr="00263B65">
        <w:rPr>
          <w:rFonts w:asciiTheme="majorBidi" w:hAnsiTheme="majorBidi" w:cstheme="majorBidi"/>
          <w:sz w:val="24"/>
          <w:szCs w:val="24"/>
        </w:rPr>
        <w:t>amendments</w:t>
      </w:r>
      <w:r w:rsidRPr="00263B65">
        <w:rPr>
          <w:rFonts w:asciiTheme="majorBidi" w:hAnsiTheme="majorBidi" w:cstheme="majorBidi"/>
          <w:sz w:val="24"/>
          <w:szCs w:val="24"/>
        </w:rPr>
        <w:t xml:space="preserve"> were drafted to address issues such as partner relations within domestic violence and stalking. Specifically, the new provisions define physical, sexual, psychological, or economic violence</w:t>
      </w:r>
      <w:r w:rsidRPr="00D145FE">
        <w:rPr>
          <w:rFonts w:asciiTheme="majorBidi" w:hAnsiTheme="majorBidi" w:cstheme="majorBidi"/>
          <w:sz w:val="24"/>
          <w:szCs w:val="24"/>
        </w:rPr>
        <w:t>, neglect, or stalking among family members, sexual partners, or ex-partners as family and domestic violence.</w:t>
      </w:r>
    </w:p>
    <w:p w14:paraId="1E9AF12B" w14:textId="77777777" w:rsidR="00263B65" w:rsidRPr="00263B65" w:rsidRDefault="00263B65" w:rsidP="00263B65">
      <w:pPr>
        <w:pStyle w:val="ListParagraph"/>
        <w:ind w:left="0"/>
        <w:rPr>
          <w:rFonts w:asciiTheme="majorBidi" w:hAnsiTheme="majorBidi" w:cstheme="majorBidi"/>
          <w:sz w:val="24"/>
          <w:szCs w:val="24"/>
        </w:rPr>
      </w:pPr>
    </w:p>
    <w:p w14:paraId="524AE75E" w14:textId="77777777" w:rsidR="00263B65" w:rsidRPr="00263B65" w:rsidRDefault="00263B65" w:rsidP="00263B65">
      <w:pPr>
        <w:pStyle w:val="ListParagraph"/>
        <w:tabs>
          <w:tab w:val="left" w:pos="360"/>
        </w:tabs>
        <w:ind w:left="0"/>
        <w:jc w:val="both"/>
        <w:rPr>
          <w:rFonts w:asciiTheme="majorBidi" w:hAnsiTheme="majorBidi" w:cstheme="majorBidi"/>
          <w:sz w:val="24"/>
          <w:szCs w:val="24"/>
        </w:rPr>
      </w:pPr>
    </w:p>
    <w:p w14:paraId="2224C3B6" w14:textId="62A0FE36" w:rsidR="00263B65" w:rsidRPr="005A629E" w:rsidRDefault="00263B65" w:rsidP="00263B65">
      <w:pPr>
        <w:pStyle w:val="ListParagraph"/>
        <w:numPr>
          <w:ilvl w:val="0"/>
          <w:numId w:val="1"/>
        </w:numPr>
        <w:tabs>
          <w:tab w:val="left" w:pos="360"/>
        </w:tabs>
        <w:ind w:left="0" w:firstLine="0"/>
        <w:jc w:val="both"/>
        <w:rPr>
          <w:rFonts w:asciiTheme="majorBidi" w:hAnsiTheme="majorBidi" w:cstheme="majorBidi"/>
          <w:sz w:val="24"/>
          <w:szCs w:val="24"/>
        </w:rPr>
      </w:pPr>
      <w:r w:rsidRPr="005A629E">
        <w:rPr>
          <w:rFonts w:asciiTheme="majorBidi" w:hAnsiTheme="majorBidi" w:cstheme="majorBidi"/>
          <w:sz w:val="24"/>
          <w:szCs w:val="24"/>
        </w:rPr>
        <w:t>The HRD has consistently raised the issue of the liability mechanism's imperfection in cases of domestic violence. The then liability framework was not designed to address all forms of domestic violence. Moreover, the competent authorities were unable to provide an adequate response to those cases. Certain types of physical and sexual violence were recognized as criminal acts under the criminal law of Armenia. The legislation also acknowledged psychological violence, defined in the Criminal Code as causing severe physical pain or mental suffering.</w:t>
      </w:r>
    </w:p>
    <w:p w14:paraId="1B9B1849" w14:textId="77777777" w:rsidR="00263B65" w:rsidRPr="00263B65" w:rsidRDefault="00263B65" w:rsidP="00263B65">
      <w:pPr>
        <w:pStyle w:val="ListParagraph"/>
        <w:tabs>
          <w:tab w:val="left" w:pos="360"/>
        </w:tabs>
        <w:ind w:left="0"/>
        <w:jc w:val="both"/>
        <w:rPr>
          <w:rFonts w:asciiTheme="majorBidi" w:hAnsiTheme="majorBidi" w:cstheme="majorBidi"/>
          <w:sz w:val="24"/>
          <w:szCs w:val="24"/>
        </w:rPr>
      </w:pPr>
    </w:p>
    <w:p w14:paraId="33BB8EA1" w14:textId="5BB1F668" w:rsidR="00895A26" w:rsidRDefault="00895A26" w:rsidP="00263B65">
      <w:pPr>
        <w:pStyle w:val="ListParagraph"/>
        <w:numPr>
          <w:ilvl w:val="0"/>
          <w:numId w:val="1"/>
        </w:numPr>
        <w:tabs>
          <w:tab w:val="left" w:pos="360"/>
        </w:tabs>
        <w:ind w:left="0" w:firstLine="0"/>
        <w:jc w:val="both"/>
        <w:rPr>
          <w:rFonts w:asciiTheme="majorBidi" w:hAnsiTheme="majorBidi" w:cstheme="majorBidi"/>
          <w:sz w:val="24"/>
          <w:szCs w:val="24"/>
        </w:rPr>
      </w:pPr>
      <w:r w:rsidRPr="00895A26">
        <w:rPr>
          <w:rFonts w:asciiTheme="majorBidi" w:hAnsiTheme="majorBidi" w:cstheme="majorBidi"/>
          <w:sz w:val="24"/>
          <w:szCs w:val="24"/>
        </w:rPr>
        <w:t>The HRD highlights that stalking, forced marriage, and forced abortion were not criminalized under the previous Criminal Code. The new Criminal Code which entered</w:t>
      </w:r>
      <w:r w:rsidR="002567C1">
        <w:rPr>
          <w:rFonts w:asciiTheme="majorBidi" w:hAnsiTheme="majorBidi" w:cstheme="majorBidi"/>
          <w:sz w:val="24"/>
          <w:szCs w:val="24"/>
        </w:rPr>
        <w:t xml:space="preserve"> into force in</w:t>
      </w:r>
      <w:r w:rsidRPr="00895A26">
        <w:rPr>
          <w:rFonts w:asciiTheme="majorBidi" w:hAnsiTheme="majorBidi" w:cstheme="majorBidi"/>
          <w:sz w:val="24"/>
          <w:szCs w:val="24"/>
        </w:rPr>
        <w:t xml:space="preserve"> 2022 addressed gaps in the protection mechanism, criminalizing forced marriage and forced abortion</w:t>
      </w:r>
      <w:r w:rsidR="002567C1">
        <w:rPr>
          <w:rFonts w:asciiTheme="majorBidi" w:hAnsiTheme="majorBidi" w:cstheme="majorBidi"/>
          <w:sz w:val="24"/>
          <w:szCs w:val="24"/>
        </w:rPr>
        <w:t>.</w:t>
      </w:r>
      <w:r w:rsidRPr="00895A26">
        <w:rPr>
          <w:rFonts w:asciiTheme="majorBidi" w:hAnsiTheme="majorBidi" w:cstheme="majorBidi"/>
          <w:sz w:val="24"/>
          <w:szCs w:val="24"/>
        </w:rPr>
        <w:t xml:space="preserve"> </w:t>
      </w:r>
      <w:r w:rsidR="002567C1">
        <w:rPr>
          <w:rFonts w:asciiTheme="majorBidi" w:hAnsiTheme="majorBidi" w:cstheme="majorBidi"/>
          <w:sz w:val="24"/>
          <w:szCs w:val="24"/>
        </w:rPr>
        <w:t>T</w:t>
      </w:r>
      <w:r w:rsidRPr="00895A26">
        <w:rPr>
          <w:rFonts w:asciiTheme="majorBidi" w:hAnsiTheme="majorBidi" w:cstheme="majorBidi"/>
          <w:sz w:val="24"/>
          <w:szCs w:val="24"/>
        </w:rPr>
        <w:t xml:space="preserve">he new Code also introduced provisions recognizing the commission of such acts by a close relative, partner, or ex-partner as an aggravating circumstance. </w:t>
      </w:r>
    </w:p>
    <w:p w14:paraId="4DB680F6" w14:textId="77777777" w:rsidR="007E4B94" w:rsidRPr="007E4B94" w:rsidRDefault="007E4B94" w:rsidP="00263B65">
      <w:pPr>
        <w:pStyle w:val="ListParagraph"/>
        <w:ind w:left="0"/>
        <w:jc w:val="both"/>
        <w:rPr>
          <w:rFonts w:asciiTheme="majorBidi" w:hAnsiTheme="majorBidi" w:cstheme="majorBidi"/>
          <w:sz w:val="24"/>
          <w:szCs w:val="24"/>
        </w:rPr>
      </w:pPr>
    </w:p>
    <w:p w14:paraId="7F2ECDF5" w14:textId="640C3170" w:rsidR="007E4B94" w:rsidRDefault="007E4B94" w:rsidP="00263B65">
      <w:pPr>
        <w:pStyle w:val="ListParagraph"/>
        <w:numPr>
          <w:ilvl w:val="0"/>
          <w:numId w:val="1"/>
        </w:numPr>
        <w:tabs>
          <w:tab w:val="left" w:pos="360"/>
        </w:tabs>
        <w:ind w:left="0" w:firstLine="0"/>
        <w:jc w:val="both"/>
        <w:rPr>
          <w:rFonts w:asciiTheme="majorBidi" w:hAnsiTheme="majorBidi" w:cstheme="majorBidi"/>
          <w:sz w:val="24"/>
          <w:szCs w:val="24"/>
        </w:rPr>
      </w:pPr>
      <w:r>
        <w:rPr>
          <w:rFonts w:asciiTheme="majorBidi" w:hAnsiTheme="majorBidi" w:cstheme="majorBidi"/>
          <w:sz w:val="24"/>
          <w:szCs w:val="24"/>
        </w:rPr>
        <w:t xml:space="preserve">In 2024, through the amendments made to the Criminal Code, </w:t>
      </w:r>
      <w:r w:rsidRPr="00746C28">
        <w:rPr>
          <w:rFonts w:asciiTheme="majorBidi" w:hAnsiTheme="majorBidi" w:cstheme="majorBidi"/>
          <w:sz w:val="24"/>
          <w:szCs w:val="24"/>
        </w:rPr>
        <w:t>stalking was criminalized as a punishable act.</w:t>
      </w:r>
      <w:r>
        <w:rPr>
          <w:rFonts w:asciiTheme="majorBidi" w:hAnsiTheme="majorBidi" w:cstheme="majorBidi"/>
          <w:sz w:val="24"/>
          <w:szCs w:val="24"/>
        </w:rPr>
        <w:t xml:space="preserve"> It should be highlighted </w:t>
      </w:r>
      <w:r w:rsidRPr="00746C28">
        <w:rPr>
          <w:rFonts w:asciiTheme="majorBidi" w:hAnsiTheme="majorBidi" w:cstheme="majorBidi"/>
          <w:sz w:val="24"/>
          <w:szCs w:val="24"/>
        </w:rPr>
        <w:t>that the HRD has continuously raised this issue with the competent state bodies through the written opinions on draft laws and oral discussions taking into consideration the importance of the issue; the complaints addressed to the HRD has demonstrated that stalking is a persistent issue, which had not been addressed over the years.</w:t>
      </w:r>
    </w:p>
    <w:p w14:paraId="7B08F92C" w14:textId="77777777" w:rsidR="007E4B94" w:rsidRPr="007E4B94" w:rsidRDefault="007E4B94" w:rsidP="00263B65">
      <w:pPr>
        <w:pStyle w:val="ListParagraph"/>
        <w:ind w:left="0"/>
        <w:jc w:val="both"/>
        <w:rPr>
          <w:rFonts w:asciiTheme="majorBidi" w:hAnsiTheme="majorBidi" w:cstheme="majorBidi"/>
          <w:sz w:val="24"/>
          <w:szCs w:val="24"/>
        </w:rPr>
      </w:pPr>
    </w:p>
    <w:p w14:paraId="42D185DB" w14:textId="2F4CD2A1" w:rsidR="007E4B94" w:rsidRDefault="007E4B94" w:rsidP="00263B65">
      <w:pPr>
        <w:pStyle w:val="ListParagraph"/>
        <w:numPr>
          <w:ilvl w:val="0"/>
          <w:numId w:val="1"/>
        </w:numPr>
        <w:tabs>
          <w:tab w:val="left" w:pos="360"/>
        </w:tabs>
        <w:ind w:left="0" w:firstLine="0"/>
        <w:jc w:val="both"/>
        <w:rPr>
          <w:rFonts w:asciiTheme="majorBidi" w:hAnsiTheme="majorBidi" w:cstheme="majorBidi"/>
          <w:sz w:val="24"/>
          <w:szCs w:val="24"/>
        </w:rPr>
      </w:pPr>
      <w:r>
        <w:rPr>
          <w:rFonts w:asciiTheme="majorBidi" w:hAnsiTheme="majorBidi" w:cstheme="majorBidi"/>
          <w:sz w:val="24"/>
          <w:szCs w:val="24"/>
        </w:rPr>
        <w:t>Before</w:t>
      </w:r>
      <w:r w:rsidRPr="00F82001">
        <w:rPr>
          <w:rFonts w:asciiTheme="majorBidi" w:hAnsiTheme="majorBidi" w:cstheme="majorBidi"/>
          <w:sz w:val="24"/>
          <w:szCs w:val="24"/>
        </w:rPr>
        <w:t xml:space="preserve"> to the entry of the force of the new Criminal</w:t>
      </w:r>
      <w:r w:rsidR="002567C1">
        <w:rPr>
          <w:rFonts w:asciiTheme="majorBidi" w:hAnsiTheme="majorBidi" w:cstheme="majorBidi"/>
          <w:sz w:val="24"/>
          <w:szCs w:val="24"/>
        </w:rPr>
        <w:t xml:space="preserve"> Procedure</w:t>
      </w:r>
      <w:r w:rsidRPr="00F82001">
        <w:rPr>
          <w:rFonts w:asciiTheme="majorBidi" w:hAnsiTheme="majorBidi" w:cstheme="majorBidi"/>
          <w:sz w:val="24"/>
          <w:szCs w:val="24"/>
        </w:rPr>
        <w:t xml:space="preserve"> Code in 2022, cases of domestic violence were </w:t>
      </w:r>
      <w:r>
        <w:rPr>
          <w:rFonts w:asciiTheme="majorBidi" w:hAnsiTheme="majorBidi" w:cstheme="majorBidi"/>
          <w:sz w:val="24"/>
          <w:szCs w:val="24"/>
        </w:rPr>
        <w:t xml:space="preserve">publicly </w:t>
      </w:r>
      <w:r w:rsidRPr="00F82001">
        <w:rPr>
          <w:rFonts w:asciiTheme="majorBidi" w:hAnsiTheme="majorBidi" w:cstheme="majorBidi"/>
          <w:sz w:val="24"/>
          <w:szCs w:val="24"/>
        </w:rPr>
        <w:t>prosecuted only under certain conditions. According to the previous provisions, in particular Article 183 of the Criminal Procedure Code of the Republic regardless of whether the victim lodged an appeal, the prosecutor shall be entitled to initiate a criminal case under crimes provided for by part 1 of Article 183 in cases of domestic violence, if the person cannot defend his or her lawful interests due to being in a helpless state or being dependent on the person committing the alleged offence. In such a case, the criminal case shall be initiated and examined under the general procedure as prescribed by this Code, and in case of reconciliation between the victim and the accused the criminal prosecution shall not be terminated</w:t>
      </w:r>
      <w:r>
        <w:rPr>
          <w:rFonts w:asciiTheme="majorBidi" w:hAnsiTheme="majorBidi" w:cstheme="majorBidi"/>
          <w:sz w:val="24"/>
          <w:szCs w:val="24"/>
        </w:rPr>
        <w:t>.</w:t>
      </w:r>
    </w:p>
    <w:p w14:paraId="35C1265B" w14:textId="77777777" w:rsidR="007E4B94" w:rsidRPr="007E4B94" w:rsidRDefault="007E4B94" w:rsidP="00263B65">
      <w:pPr>
        <w:pStyle w:val="ListParagraph"/>
        <w:ind w:left="0"/>
        <w:jc w:val="both"/>
        <w:rPr>
          <w:rFonts w:asciiTheme="majorBidi" w:hAnsiTheme="majorBidi" w:cstheme="majorBidi"/>
          <w:sz w:val="24"/>
          <w:szCs w:val="24"/>
        </w:rPr>
      </w:pPr>
    </w:p>
    <w:p w14:paraId="7907A7E6" w14:textId="0E92004C" w:rsidR="007E4B94" w:rsidRPr="00E04ACE" w:rsidRDefault="007E4B94" w:rsidP="00E04ACE">
      <w:pPr>
        <w:pStyle w:val="ListParagraph"/>
        <w:numPr>
          <w:ilvl w:val="0"/>
          <w:numId w:val="1"/>
        </w:numPr>
        <w:tabs>
          <w:tab w:val="left" w:pos="360"/>
        </w:tabs>
        <w:ind w:left="0" w:firstLine="0"/>
        <w:jc w:val="both"/>
        <w:rPr>
          <w:rFonts w:asciiTheme="majorBidi" w:hAnsiTheme="majorBidi" w:cstheme="majorBidi"/>
          <w:sz w:val="24"/>
          <w:szCs w:val="24"/>
        </w:rPr>
      </w:pPr>
      <w:r w:rsidRPr="002568A8">
        <w:rPr>
          <w:rFonts w:asciiTheme="majorBidi" w:hAnsiTheme="majorBidi" w:cstheme="majorBidi"/>
          <w:sz w:val="24"/>
          <w:szCs w:val="24"/>
        </w:rPr>
        <w:t xml:space="preserve">With the adoption of the new Criminal Procedure </w:t>
      </w:r>
      <w:r w:rsidR="002567C1">
        <w:rPr>
          <w:rFonts w:asciiTheme="majorBidi" w:hAnsiTheme="majorBidi" w:cstheme="majorBidi"/>
          <w:sz w:val="24"/>
          <w:szCs w:val="24"/>
        </w:rPr>
        <w:t>Code</w:t>
      </w:r>
      <w:r w:rsidRPr="002568A8">
        <w:rPr>
          <w:rFonts w:asciiTheme="majorBidi" w:hAnsiTheme="majorBidi" w:cstheme="majorBidi"/>
          <w:sz w:val="24"/>
          <w:szCs w:val="24"/>
        </w:rPr>
        <w:t xml:space="preserve"> </w:t>
      </w:r>
      <w:r w:rsidR="002567C1" w:rsidRPr="00895A26">
        <w:rPr>
          <w:rFonts w:asciiTheme="majorBidi" w:hAnsiTheme="majorBidi" w:cstheme="majorBidi"/>
          <w:sz w:val="24"/>
          <w:szCs w:val="24"/>
        </w:rPr>
        <w:t>which entered</w:t>
      </w:r>
      <w:r w:rsidR="002567C1">
        <w:rPr>
          <w:rFonts w:asciiTheme="majorBidi" w:hAnsiTheme="majorBidi" w:cstheme="majorBidi"/>
          <w:sz w:val="24"/>
          <w:szCs w:val="24"/>
        </w:rPr>
        <w:t xml:space="preserve"> into force in</w:t>
      </w:r>
      <w:r w:rsidR="002567C1" w:rsidRPr="00895A26">
        <w:rPr>
          <w:rFonts w:asciiTheme="majorBidi" w:hAnsiTheme="majorBidi" w:cstheme="majorBidi"/>
          <w:sz w:val="24"/>
          <w:szCs w:val="24"/>
        </w:rPr>
        <w:t xml:space="preserve"> 2022</w:t>
      </w:r>
      <w:r w:rsidRPr="002568A8">
        <w:rPr>
          <w:rFonts w:asciiTheme="majorBidi" w:hAnsiTheme="majorBidi" w:cstheme="majorBidi"/>
          <w:sz w:val="24"/>
          <w:szCs w:val="24"/>
        </w:rPr>
        <w:t>, all acts classified as domestic violence were made subject to public prosecution. According to Article 11 of Criminal Procedure Code of Armenia regardless whether a criminal complaint is filed or withdrawn, criminal prosecution shall be carried out in a public manner at the initiative of the prosecutor for crimes involving domestic violence.</w:t>
      </w:r>
      <w:r>
        <w:rPr>
          <w:rFonts w:asciiTheme="majorBidi" w:hAnsiTheme="majorBidi" w:cstheme="majorBidi"/>
          <w:sz w:val="24"/>
          <w:szCs w:val="24"/>
        </w:rPr>
        <w:t xml:space="preserve"> The</w:t>
      </w:r>
      <w:r w:rsidRPr="002568A8">
        <w:rPr>
          <w:rFonts w:asciiTheme="majorBidi" w:hAnsiTheme="majorBidi" w:cstheme="majorBidi"/>
          <w:sz w:val="24"/>
          <w:szCs w:val="24"/>
        </w:rPr>
        <w:t xml:space="preserve"> new Criminal Procedure Code provides procedural guarantees of protection of victims of domestic violence. Domestic violence cases are subject of an investigation by public charges regardless of the existence of complaint by the victim and the status of the victim in contrast to previous regulations.</w:t>
      </w:r>
    </w:p>
    <w:p w14:paraId="7772C4AC" w14:textId="77777777" w:rsidR="00895A26" w:rsidRDefault="00895A26" w:rsidP="00263B65">
      <w:pPr>
        <w:pStyle w:val="ListParagraph"/>
        <w:tabs>
          <w:tab w:val="left" w:pos="360"/>
        </w:tabs>
        <w:ind w:left="0"/>
        <w:jc w:val="both"/>
        <w:rPr>
          <w:rFonts w:asciiTheme="majorBidi" w:hAnsiTheme="majorBidi" w:cstheme="majorBidi"/>
          <w:sz w:val="24"/>
          <w:szCs w:val="24"/>
        </w:rPr>
      </w:pPr>
    </w:p>
    <w:p w14:paraId="7D941C0A" w14:textId="5D8F6D92" w:rsidR="0028733A" w:rsidRPr="00895A26" w:rsidRDefault="00E3564F" w:rsidP="00263B65">
      <w:pPr>
        <w:pStyle w:val="ListParagraph"/>
        <w:numPr>
          <w:ilvl w:val="0"/>
          <w:numId w:val="1"/>
        </w:numPr>
        <w:tabs>
          <w:tab w:val="left" w:pos="360"/>
        </w:tabs>
        <w:ind w:left="0" w:firstLine="0"/>
        <w:jc w:val="both"/>
        <w:rPr>
          <w:rFonts w:asciiTheme="majorBidi" w:hAnsiTheme="majorBidi" w:cstheme="majorBidi"/>
          <w:sz w:val="24"/>
          <w:szCs w:val="24"/>
        </w:rPr>
      </w:pPr>
      <w:r>
        <w:rPr>
          <w:rFonts w:asciiTheme="majorBidi" w:hAnsiTheme="majorBidi" w:cstheme="majorBidi"/>
          <w:sz w:val="24"/>
          <w:szCs w:val="24"/>
        </w:rPr>
        <w:t xml:space="preserve">The </w:t>
      </w:r>
      <w:r w:rsidRPr="00895A26">
        <w:rPr>
          <w:rFonts w:asciiTheme="majorBidi" w:hAnsiTheme="majorBidi" w:cstheme="majorBidi"/>
          <w:sz w:val="24"/>
          <w:szCs w:val="24"/>
        </w:rPr>
        <w:t xml:space="preserve">HRD </w:t>
      </w:r>
      <w:r w:rsidR="007E4B94">
        <w:rPr>
          <w:rFonts w:asciiTheme="majorBidi" w:hAnsiTheme="majorBidi" w:cstheme="majorBidi"/>
          <w:sz w:val="24"/>
          <w:szCs w:val="24"/>
        </w:rPr>
        <w:t xml:space="preserve">notes that despite the advancements and progress in the legislative field, </w:t>
      </w:r>
      <w:r w:rsidR="002567C1">
        <w:rPr>
          <w:rFonts w:asciiTheme="majorBidi" w:hAnsiTheme="majorBidi" w:cstheme="majorBidi"/>
          <w:sz w:val="24"/>
          <w:szCs w:val="24"/>
        </w:rPr>
        <w:t>the</w:t>
      </w:r>
      <w:r w:rsidR="007E4B94">
        <w:rPr>
          <w:rFonts w:asciiTheme="majorBidi" w:hAnsiTheme="majorBidi" w:cstheme="majorBidi"/>
          <w:sz w:val="24"/>
          <w:szCs w:val="24"/>
        </w:rPr>
        <w:t xml:space="preserve"> </w:t>
      </w:r>
      <w:r w:rsidRPr="00895A26">
        <w:rPr>
          <w:rFonts w:asciiTheme="majorBidi" w:hAnsiTheme="majorBidi" w:cstheme="majorBidi"/>
          <w:sz w:val="24"/>
          <w:szCs w:val="24"/>
        </w:rPr>
        <w:t>gaps regarding prevention and elimination of domestic violence</w:t>
      </w:r>
      <w:r w:rsidR="007E4B94">
        <w:rPr>
          <w:rFonts w:asciiTheme="majorBidi" w:hAnsiTheme="majorBidi" w:cstheme="majorBidi"/>
          <w:sz w:val="24"/>
          <w:szCs w:val="24"/>
        </w:rPr>
        <w:t xml:space="preserve"> have</w:t>
      </w:r>
      <w:r w:rsidR="00570424">
        <w:rPr>
          <w:rFonts w:asciiTheme="majorBidi" w:hAnsiTheme="majorBidi" w:cstheme="majorBidi"/>
          <w:sz w:val="24"/>
          <w:szCs w:val="24"/>
        </w:rPr>
        <w:t xml:space="preserve"> still</w:t>
      </w:r>
      <w:r w:rsidR="007E4B94">
        <w:rPr>
          <w:rFonts w:asciiTheme="majorBidi" w:hAnsiTheme="majorBidi" w:cstheme="majorBidi"/>
          <w:sz w:val="24"/>
          <w:szCs w:val="24"/>
        </w:rPr>
        <w:t xml:space="preserve"> been </w:t>
      </w:r>
      <w:r w:rsidR="00404A9E">
        <w:rPr>
          <w:rFonts w:asciiTheme="majorBidi" w:hAnsiTheme="majorBidi" w:cstheme="majorBidi"/>
          <w:sz w:val="24"/>
          <w:szCs w:val="24"/>
        </w:rPr>
        <w:t>registered</w:t>
      </w:r>
      <w:r w:rsidR="00570424">
        <w:rPr>
          <w:rFonts w:asciiTheme="majorBidi" w:hAnsiTheme="majorBidi" w:cstheme="majorBidi"/>
          <w:sz w:val="24"/>
          <w:szCs w:val="24"/>
        </w:rPr>
        <w:t>.</w:t>
      </w:r>
      <w:r w:rsidRPr="00895A26">
        <w:rPr>
          <w:rFonts w:asciiTheme="majorBidi" w:hAnsiTheme="majorBidi" w:cstheme="majorBidi"/>
          <w:sz w:val="24"/>
          <w:szCs w:val="24"/>
        </w:rPr>
        <w:t xml:space="preserve"> </w:t>
      </w:r>
      <w:r w:rsidR="00570424">
        <w:rPr>
          <w:rFonts w:asciiTheme="majorBidi" w:hAnsiTheme="majorBidi" w:cstheme="majorBidi"/>
          <w:sz w:val="24"/>
          <w:szCs w:val="24"/>
        </w:rPr>
        <w:t>F</w:t>
      </w:r>
      <w:r w:rsidRPr="00895A26">
        <w:rPr>
          <w:rFonts w:asciiTheme="majorBidi" w:hAnsiTheme="majorBidi" w:cstheme="majorBidi"/>
          <w:sz w:val="24"/>
          <w:szCs w:val="24"/>
        </w:rPr>
        <w:t xml:space="preserve">or </w:t>
      </w:r>
      <w:r w:rsidR="00570424">
        <w:rPr>
          <w:rFonts w:asciiTheme="majorBidi" w:hAnsiTheme="majorBidi" w:cstheme="majorBidi"/>
          <w:sz w:val="24"/>
          <w:szCs w:val="24"/>
        </w:rPr>
        <w:t>instance</w:t>
      </w:r>
      <w:r w:rsidRPr="00895A26">
        <w:rPr>
          <w:rFonts w:asciiTheme="majorBidi" w:hAnsiTheme="majorBidi" w:cstheme="majorBidi"/>
          <w:sz w:val="24"/>
          <w:szCs w:val="24"/>
        </w:rPr>
        <w:t xml:space="preserve">, Article 12.1 of the Law provides that emergency intervention or </w:t>
      </w:r>
      <w:r w:rsidR="0028733A" w:rsidRPr="00895A26">
        <w:rPr>
          <w:rFonts w:asciiTheme="majorBidi" w:hAnsiTheme="majorBidi" w:cstheme="majorBidi"/>
          <w:sz w:val="24"/>
          <w:szCs w:val="24"/>
        </w:rPr>
        <w:t>protection orders</w:t>
      </w:r>
      <w:r w:rsidRPr="00895A26">
        <w:rPr>
          <w:rFonts w:asciiTheme="majorBidi" w:hAnsiTheme="majorBidi" w:cstheme="majorBidi"/>
          <w:sz w:val="24"/>
          <w:szCs w:val="24"/>
        </w:rPr>
        <w:t xml:space="preserve"> </w:t>
      </w:r>
      <w:r w:rsidR="0028733A" w:rsidRPr="00895A26">
        <w:rPr>
          <w:rFonts w:asciiTheme="majorBidi" w:hAnsiTheme="majorBidi" w:cstheme="majorBidi"/>
          <w:sz w:val="24"/>
          <w:szCs w:val="24"/>
        </w:rPr>
        <w:t>are not implemented</w:t>
      </w:r>
      <w:r w:rsidRPr="00895A26">
        <w:rPr>
          <w:rFonts w:asciiTheme="majorBidi" w:hAnsiTheme="majorBidi" w:cstheme="majorBidi"/>
          <w:sz w:val="24"/>
          <w:szCs w:val="24"/>
        </w:rPr>
        <w:t xml:space="preserve"> against a minor or a</w:t>
      </w:r>
      <w:r w:rsidR="0028733A" w:rsidRPr="00895A26">
        <w:rPr>
          <w:rFonts w:asciiTheme="majorBidi" w:hAnsiTheme="majorBidi" w:cstheme="majorBidi"/>
          <w:sz w:val="24"/>
          <w:szCs w:val="24"/>
        </w:rPr>
        <w:t>n incapacitated person.</w:t>
      </w:r>
      <w:r w:rsidR="0028733A">
        <w:rPr>
          <w:rStyle w:val="FootnoteReference"/>
          <w:rFonts w:asciiTheme="majorBidi" w:hAnsiTheme="majorBidi" w:cstheme="majorBidi"/>
          <w:sz w:val="24"/>
          <w:szCs w:val="24"/>
        </w:rPr>
        <w:footnoteReference w:id="1"/>
      </w:r>
      <w:r w:rsidR="00E27555">
        <w:rPr>
          <w:rFonts w:asciiTheme="majorBidi" w:hAnsiTheme="majorBidi" w:cstheme="majorBidi"/>
          <w:sz w:val="24"/>
          <w:szCs w:val="24"/>
        </w:rPr>
        <w:t xml:space="preserve"> In this regard, the HRD notes that provision of immunity on the basis of incapacity, especially for the application protection measures for victims, is problematic, and discriminatory against persons with disabilities.</w:t>
      </w:r>
    </w:p>
    <w:p w14:paraId="2B1F3003" w14:textId="77777777" w:rsidR="0028733A" w:rsidRDefault="0028733A" w:rsidP="00263B65">
      <w:pPr>
        <w:pStyle w:val="ListParagraph"/>
        <w:tabs>
          <w:tab w:val="left" w:pos="360"/>
        </w:tabs>
        <w:ind w:left="0"/>
        <w:jc w:val="both"/>
        <w:rPr>
          <w:rFonts w:asciiTheme="majorBidi" w:hAnsiTheme="majorBidi" w:cstheme="majorBidi"/>
          <w:sz w:val="24"/>
          <w:szCs w:val="24"/>
        </w:rPr>
      </w:pPr>
    </w:p>
    <w:p w14:paraId="69D10744" w14:textId="44AD1BF3" w:rsidR="00417A41" w:rsidRDefault="00E27555" w:rsidP="00417A41">
      <w:pPr>
        <w:pStyle w:val="ListParagraph"/>
        <w:numPr>
          <w:ilvl w:val="0"/>
          <w:numId w:val="1"/>
        </w:numPr>
        <w:tabs>
          <w:tab w:val="left" w:pos="360"/>
        </w:tabs>
        <w:ind w:left="0" w:firstLine="0"/>
        <w:jc w:val="both"/>
        <w:rPr>
          <w:rFonts w:asciiTheme="majorBidi" w:hAnsiTheme="majorBidi" w:cstheme="majorBidi"/>
          <w:sz w:val="24"/>
          <w:szCs w:val="24"/>
        </w:rPr>
      </w:pPr>
      <w:r>
        <w:rPr>
          <w:rFonts w:asciiTheme="majorBidi" w:hAnsiTheme="majorBidi" w:cstheme="majorBidi"/>
          <w:sz w:val="24"/>
          <w:szCs w:val="24"/>
        </w:rPr>
        <w:t>Moreover, t</w:t>
      </w:r>
      <w:r w:rsidR="0028733A" w:rsidRPr="0028733A">
        <w:rPr>
          <w:rFonts w:asciiTheme="majorBidi" w:hAnsiTheme="majorBidi" w:cstheme="majorBidi"/>
          <w:sz w:val="24"/>
          <w:szCs w:val="24"/>
        </w:rPr>
        <w:t>he HRD highlights that the United Nations High Commissioner for Human Rights has considered the automatic exemption of persons from criminal liability on the basis of disability to be discriminatory and unlawful.</w:t>
      </w:r>
      <w:r w:rsidR="0028733A">
        <w:rPr>
          <w:rFonts w:asciiTheme="majorBidi" w:hAnsiTheme="majorBidi" w:cstheme="majorBidi"/>
          <w:sz w:val="24"/>
          <w:szCs w:val="24"/>
        </w:rPr>
        <w:t xml:space="preserve"> In this regard, </w:t>
      </w:r>
      <w:r w:rsidR="0028733A" w:rsidRPr="0028733A">
        <w:rPr>
          <w:rFonts w:asciiTheme="majorBidi" w:hAnsiTheme="majorBidi" w:cstheme="majorBidi"/>
          <w:i/>
          <w:iCs/>
          <w:sz w:val="24"/>
          <w:szCs w:val="24"/>
        </w:rPr>
        <w:t>“disability-neutral doctrines on the subjective element of the crime should be applied, which take into consideration the situation of the individual defendant</w:t>
      </w:r>
      <w:r w:rsidR="0028733A">
        <w:rPr>
          <w:rFonts w:asciiTheme="majorBidi" w:hAnsiTheme="majorBidi" w:cstheme="majorBidi"/>
          <w:i/>
          <w:iCs/>
          <w:sz w:val="24"/>
          <w:szCs w:val="24"/>
        </w:rPr>
        <w:t>”</w:t>
      </w:r>
      <w:r w:rsidR="0028733A" w:rsidRPr="0028733A">
        <w:rPr>
          <w:rFonts w:asciiTheme="majorBidi" w:hAnsiTheme="majorBidi" w:cstheme="majorBidi"/>
          <w:i/>
          <w:iCs/>
          <w:sz w:val="24"/>
          <w:szCs w:val="24"/>
        </w:rPr>
        <w:t>.</w:t>
      </w:r>
      <w:r w:rsidR="0028733A">
        <w:rPr>
          <w:rFonts w:asciiTheme="majorBidi" w:hAnsiTheme="majorBidi" w:cstheme="majorBidi"/>
          <w:sz w:val="24"/>
          <w:szCs w:val="24"/>
        </w:rPr>
        <w:t xml:space="preserve"> </w:t>
      </w:r>
      <w:r w:rsidR="0028733A">
        <w:rPr>
          <w:rStyle w:val="FootnoteReference"/>
          <w:rFonts w:asciiTheme="majorBidi" w:hAnsiTheme="majorBidi" w:cstheme="majorBidi"/>
          <w:sz w:val="24"/>
          <w:szCs w:val="24"/>
        </w:rPr>
        <w:footnoteReference w:id="2"/>
      </w:r>
      <w:r w:rsidR="0028733A">
        <w:rPr>
          <w:rFonts w:asciiTheme="majorBidi" w:hAnsiTheme="majorBidi" w:cstheme="majorBidi"/>
          <w:sz w:val="24"/>
          <w:szCs w:val="24"/>
        </w:rPr>
        <w:t xml:space="preserve"> The recognition of the legal capacity of persons with </w:t>
      </w:r>
      <w:r w:rsidR="00AC7F08">
        <w:rPr>
          <w:rFonts w:asciiTheme="majorBidi" w:hAnsiTheme="majorBidi" w:cstheme="majorBidi"/>
          <w:sz w:val="24"/>
          <w:szCs w:val="24"/>
        </w:rPr>
        <w:t>disabilities</w:t>
      </w:r>
      <w:r w:rsidR="0028733A">
        <w:rPr>
          <w:rFonts w:asciiTheme="majorBidi" w:hAnsiTheme="majorBidi" w:cstheme="majorBidi"/>
          <w:sz w:val="24"/>
          <w:szCs w:val="24"/>
        </w:rPr>
        <w:t xml:space="preserve"> in criminal law requires the</w:t>
      </w:r>
      <w:r w:rsidR="00AC7F08">
        <w:rPr>
          <w:rFonts w:asciiTheme="majorBidi" w:hAnsiTheme="majorBidi" w:cstheme="majorBidi"/>
          <w:sz w:val="24"/>
          <w:szCs w:val="24"/>
        </w:rPr>
        <w:t xml:space="preserve"> elimination of the denial of criminal liability on the basis of mental and intellectual disabilities. Furthermore, </w:t>
      </w:r>
      <w:r w:rsidR="00AC7F08" w:rsidRPr="00AC7F08">
        <w:rPr>
          <w:rFonts w:asciiTheme="majorBidi" w:hAnsiTheme="majorBidi" w:cstheme="majorBidi"/>
          <w:sz w:val="24"/>
          <w:szCs w:val="24"/>
        </w:rPr>
        <w:t>the approach of prioritizing the protection of the rights of the perpetrator of domestic violence contradicts international standards, since</w:t>
      </w:r>
      <w:r w:rsidR="00AC7F08">
        <w:rPr>
          <w:rFonts w:asciiTheme="majorBidi" w:hAnsiTheme="majorBidi" w:cstheme="majorBidi"/>
          <w:sz w:val="24"/>
          <w:szCs w:val="24"/>
        </w:rPr>
        <w:t xml:space="preserve"> a women’s </w:t>
      </w:r>
      <w:r w:rsidR="00AC7F08" w:rsidRPr="00AC7F08">
        <w:rPr>
          <w:rFonts w:asciiTheme="majorBidi" w:hAnsiTheme="majorBidi" w:cstheme="majorBidi"/>
          <w:sz w:val="24"/>
          <w:szCs w:val="24"/>
        </w:rPr>
        <w:t>rights to life and physical and mental integrity cannot be subordinated to the rights of the perpetrator of violence.</w:t>
      </w:r>
      <w:r w:rsidR="00AC7F08">
        <w:rPr>
          <w:rFonts w:asciiTheme="majorBidi" w:hAnsiTheme="majorBidi" w:cstheme="majorBidi"/>
          <w:sz w:val="24"/>
          <w:szCs w:val="24"/>
        </w:rPr>
        <w:t xml:space="preserve"> </w:t>
      </w:r>
      <w:r w:rsidR="00AC7F08" w:rsidRPr="00417A41">
        <w:rPr>
          <w:rFonts w:asciiTheme="majorBidi" w:hAnsiTheme="majorBidi" w:cstheme="majorBidi"/>
          <w:sz w:val="24"/>
          <w:szCs w:val="24"/>
        </w:rPr>
        <w:t>This has been highlighted by Communication No. 6/2005 of the Committee on the Elimination of Discrimination against Women.</w:t>
      </w:r>
      <w:r w:rsidR="00AC7F08" w:rsidRPr="00417A41">
        <w:rPr>
          <w:rStyle w:val="FootnoteReference"/>
          <w:rFonts w:asciiTheme="majorBidi" w:hAnsiTheme="majorBidi" w:cstheme="majorBidi"/>
          <w:sz w:val="24"/>
          <w:szCs w:val="24"/>
        </w:rPr>
        <w:footnoteReference w:id="3"/>
      </w:r>
    </w:p>
    <w:p w14:paraId="1E5E7CFD" w14:textId="77777777" w:rsidR="00417A41" w:rsidRDefault="00417A41" w:rsidP="00417A41">
      <w:pPr>
        <w:pStyle w:val="ListParagraph"/>
        <w:tabs>
          <w:tab w:val="left" w:pos="360"/>
        </w:tabs>
        <w:ind w:left="0"/>
        <w:jc w:val="both"/>
        <w:rPr>
          <w:rFonts w:asciiTheme="majorBidi" w:hAnsiTheme="majorBidi" w:cstheme="majorBidi"/>
          <w:sz w:val="24"/>
          <w:szCs w:val="24"/>
        </w:rPr>
      </w:pPr>
    </w:p>
    <w:p w14:paraId="79F1F3EC" w14:textId="77777777" w:rsidR="00417A41" w:rsidRDefault="002D6328" w:rsidP="00417A41">
      <w:pPr>
        <w:pStyle w:val="ListParagraph"/>
        <w:numPr>
          <w:ilvl w:val="0"/>
          <w:numId w:val="1"/>
        </w:numPr>
        <w:tabs>
          <w:tab w:val="left" w:pos="360"/>
        </w:tabs>
        <w:ind w:left="0" w:firstLine="0"/>
        <w:jc w:val="both"/>
        <w:rPr>
          <w:rFonts w:asciiTheme="majorBidi" w:hAnsiTheme="majorBidi" w:cstheme="majorBidi"/>
          <w:sz w:val="24"/>
          <w:szCs w:val="24"/>
        </w:rPr>
      </w:pPr>
      <w:r w:rsidRPr="00417A41">
        <w:rPr>
          <w:rFonts w:asciiTheme="majorBidi" w:hAnsiTheme="majorBidi" w:cstheme="majorBidi"/>
          <w:sz w:val="24"/>
          <w:szCs w:val="24"/>
        </w:rPr>
        <w:t>The HRD highlights that although developments and progress have been achieved to improve the legislative regulations of the field, challenges still persist in the efforts of the implementation of the mentioned provisions; this is corroborated by the monitoring conducted by the HRD and the analysis of the applications and complaints addressed</w:t>
      </w:r>
      <w:r w:rsidR="006D594E" w:rsidRPr="00417A41">
        <w:rPr>
          <w:rFonts w:asciiTheme="majorBidi" w:hAnsiTheme="majorBidi" w:cstheme="majorBidi"/>
          <w:sz w:val="24"/>
          <w:szCs w:val="24"/>
        </w:rPr>
        <w:t xml:space="preserve"> to the Defender’s Office</w:t>
      </w:r>
      <w:r w:rsidRPr="00417A41">
        <w:rPr>
          <w:rFonts w:asciiTheme="majorBidi" w:hAnsiTheme="majorBidi" w:cstheme="majorBidi"/>
          <w:sz w:val="24"/>
          <w:szCs w:val="24"/>
        </w:rPr>
        <w:t xml:space="preserve">. </w:t>
      </w:r>
      <w:r w:rsidR="00417A41">
        <w:rPr>
          <w:rFonts w:asciiTheme="majorBidi" w:hAnsiTheme="majorBidi" w:cstheme="majorBidi"/>
          <w:sz w:val="24"/>
          <w:szCs w:val="24"/>
        </w:rPr>
        <w:br/>
      </w:r>
    </w:p>
    <w:p w14:paraId="2AC77705" w14:textId="41552179" w:rsidR="00095053" w:rsidRPr="00417A41" w:rsidRDefault="002D6328" w:rsidP="00417A41">
      <w:pPr>
        <w:pStyle w:val="ListParagraph"/>
        <w:numPr>
          <w:ilvl w:val="0"/>
          <w:numId w:val="1"/>
        </w:numPr>
        <w:tabs>
          <w:tab w:val="left" w:pos="360"/>
        </w:tabs>
        <w:ind w:left="0" w:firstLine="0"/>
        <w:jc w:val="both"/>
        <w:rPr>
          <w:rFonts w:asciiTheme="majorBidi" w:hAnsiTheme="majorBidi" w:cstheme="majorBidi"/>
          <w:sz w:val="24"/>
          <w:szCs w:val="24"/>
        </w:rPr>
      </w:pPr>
      <w:r w:rsidRPr="00417A41">
        <w:rPr>
          <w:rFonts w:asciiTheme="majorBidi" w:hAnsiTheme="majorBidi" w:cstheme="majorBidi"/>
          <w:sz w:val="24"/>
          <w:szCs w:val="24"/>
        </w:rPr>
        <w:t>The issue related to misconceptions and stereotypes regarding women and domestic violence continues to remain relevant Moreover, discriminatory approaches and stereotypes are rooted throughout society, including competent bodies responsible for responding to cases of violence.</w:t>
      </w:r>
      <w:r w:rsidRPr="002D6328">
        <w:t xml:space="preserve"> </w:t>
      </w:r>
      <w:r w:rsidRPr="00417A41">
        <w:rPr>
          <w:rFonts w:asciiTheme="majorBidi" w:hAnsiTheme="majorBidi" w:cstheme="majorBidi"/>
          <w:sz w:val="24"/>
          <w:szCs w:val="24"/>
        </w:rPr>
        <w:t>Cases of professional misconduct due to stereotypical approaches of competent authorities have been registered</w:t>
      </w:r>
      <w:r w:rsidR="006D594E" w:rsidRPr="00417A41">
        <w:rPr>
          <w:rFonts w:asciiTheme="majorBidi" w:hAnsiTheme="majorBidi" w:cstheme="majorBidi"/>
          <w:sz w:val="24"/>
          <w:szCs w:val="24"/>
        </w:rPr>
        <w:t xml:space="preserve">; </w:t>
      </w:r>
      <w:r w:rsidRPr="00417A41">
        <w:rPr>
          <w:rFonts w:asciiTheme="majorBidi" w:hAnsiTheme="majorBidi" w:cstheme="majorBidi"/>
          <w:sz w:val="24"/>
          <w:szCs w:val="24"/>
        </w:rPr>
        <w:t xml:space="preserve">for example, </w:t>
      </w:r>
      <w:r w:rsidR="006D594E" w:rsidRPr="00417A41">
        <w:rPr>
          <w:rFonts w:asciiTheme="majorBidi" w:hAnsiTheme="majorBidi" w:cstheme="majorBidi"/>
          <w:sz w:val="24"/>
          <w:szCs w:val="24"/>
        </w:rPr>
        <w:t xml:space="preserve">a case was registered when </w:t>
      </w:r>
      <w:r w:rsidRPr="00417A41">
        <w:rPr>
          <w:rFonts w:asciiTheme="majorBidi" w:hAnsiTheme="majorBidi" w:cstheme="majorBidi"/>
          <w:sz w:val="24"/>
          <w:szCs w:val="24"/>
        </w:rPr>
        <w:t>Police officers urged a person subjected to domestic violence not to file an application or report, due to perceptions prevalent</w:t>
      </w:r>
      <w:r w:rsidR="006D594E" w:rsidRPr="00417A41">
        <w:rPr>
          <w:rFonts w:asciiTheme="majorBidi" w:hAnsiTheme="majorBidi" w:cstheme="majorBidi"/>
          <w:sz w:val="24"/>
          <w:szCs w:val="24"/>
        </w:rPr>
        <w:t xml:space="preserve"> in the </w:t>
      </w:r>
      <w:r w:rsidRPr="00417A41">
        <w:rPr>
          <w:rFonts w:asciiTheme="majorBidi" w:hAnsiTheme="majorBidi" w:cstheme="majorBidi"/>
          <w:sz w:val="24"/>
          <w:szCs w:val="24"/>
        </w:rPr>
        <w:t>society</w:t>
      </w:r>
      <w:r w:rsidR="006D594E" w:rsidRPr="00417A41">
        <w:rPr>
          <w:rFonts w:asciiTheme="majorBidi" w:hAnsiTheme="majorBidi" w:cstheme="majorBidi"/>
          <w:sz w:val="24"/>
          <w:szCs w:val="24"/>
        </w:rPr>
        <w:t xml:space="preserve"> regarding the issue.</w:t>
      </w:r>
      <w:r w:rsidR="007E4B94" w:rsidRPr="00417A41">
        <w:rPr>
          <w:rFonts w:asciiTheme="majorBidi" w:hAnsiTheme="majorBidi" w:cstheme="majorBidi"/>
          <w:sz w:val="24"/>
          <w:szCs w:val="24"/>
        </w:rPr>
        <w:t xml:space="preserve"> </w:t>
      </w:r>
      <w:r w:rsidR="00095053" w:rsidRPr="00417A41">
        <w:rPr>
          <w:rFonts w:asciiTheme="majorBidi" w:hAnsiTheme="majorBidi" w:cstheme="majorBidi"/>
          <w:sz w:val="24"/>
          <w:szCs w:val="24"/>
        </w:rPr>
        <w:t>Therefore, the HRD has recommended organize mandatory and ongoing training for relevant professionals (police officers, investigators, prosecutors, judges, etc.) on the domestic legislative regulations as well as the international standards on the elimination and the combat against domestic of violence.</w:t>
      </w:r>
    </w:p>
    <w:p w14:paraId="22781010" w14:textId="77777777" w:rsidR="002D6328" w:rsidRPr="007D1CF3" w:rsidRDefault="002D6328" w:rsidP="00263B65">
      <w:pPr>
        <w:pStyle w:val="ListParagraph"/>
        <w:ind w:left="0"/>
        <w:jc w:val="both"/>
        <w:rPr>
          <w:rFonts w:asciiTheme="majorBidi" w:hAnsiTheme="majorBidi" w:cstheme="majorBidi"/>
          <w:sz w:val="24"/>
          <w:szCs w:val="24"/>
        </w:rPr>
      </w:pPr>
    </w:p>
    <w:p w14:paraId="7615194A" w14:textId="7521240F" w:rsidR="002D6328" w:rsidRDefault="006D594E" w:rsidP="00263B65">
      <w:pPr>
        <w:pStyle w:val="ListParagraph"/>
        <w:numPr>
          <w:ilvl w:val="0"/>
          <w:numId w:val="1"/>
        </w:numPr>
        <w:ind w:left="0" w:firstLine="0"/>
        <w:jc w:val="both"/>
        <w:rPr>
          <w:rFonts w:asciiTheme="majorBidi" w:hAnsiTheme="majorBidi" w:cstheme="majorBidi"/>
          <w:sz w:val="24"/>
          <w:szCs w:val="24"/>
        </w:rPr>
      </w:pPr>
      <w:r>
        <w:rPr>
          <w:rFonts w:asciiTheme="majorBidi" w:hAnsiTheme="majorBidi" w:cstheme="majorBidi"/>
          <w:sz w:val="24"/>
          <w:szCs w:val="24"/>
        </w:rPr>
        <w:t>The HRD notes that through the intervention of the Defender’s Office, based on complaints addressed to it, issues raised by citizens have been resolved, including d</w:t>
      </w:r>
      <w:r w:rsidRPr="006D594E">
        <w:rPr>
          <w:rFonts w:asciiTheme="majorBidi" w:hAnsiTheme="majorBidi" w:cstheme="majorBidi"/>
          <w:sz w:val="24"/>
          <w:szCs w:val="24"/>
        </w:rPr>
        <w:t>ecisions on the application of protective measures for persons subjected to domestic and family violence by competent authorit</w:t>
      </w:r>
      <w:r>
        <w:rPr>
          <w:rFonts w:asciiTheme="majorBidi" w:hAnsiTheme="majorBidi" w:cstheme="majorBidi"/>
          <w:sz w:val="24"/>
          <w:szCs w:val="24"/>
        </w:rPr>
        <w:t xml:space="preserve">ies, and </w:t>
      </w:r>
      <w:r w:rsidRPr="006D594E">
        <w:rPr>
          <w:rFonts w:asciiTheme="majorBidi" w:hAnsiTheme="majorBidi" w:cstheme="majorBidi"/>
          <w:sz w:val="24"/>
          <w:szCs w:val="24"/>
        </w:rPr>
        <w:t>provision of services by support centers and shelters provided for by law to persons subjected to domestic violence.</w:t>
      </w:r>
    </w:p>
    <w:p w14:paraId="28A62EF0" w14:textId="77777777" w:rsidR="006D594E" w:rsidRPr="007D1CF3" w:rsidRDefault="006D594E" w:rsidP="00263B65">
      <w:pPr>
        <w:pStyle w:val="ListParagraph"/>
        <w:ind w:left="0"/>
        <w:jc w:val="both"/>
        <w:rPr>
          <w:rFonts w:asciiTheme="majorBidi" w:hAnsiTheme="majorBidi" w:cstheme="majorBidi"/>
          <w:sz w:val="24"/>
          <w:szCs w:val="24"/>
        </w:rPr>
      </w:pPr>
    </w:p>
    <w:p w14:paraId="19B750DF" w14:textId="7230D70A" w:rsidR="006D594E" w:rsidRDefault="00FA222E" w:rsidP="00263B65">
      <w:pPr>
        <w:pStyle w:val="ListParagraph"/>
        <w:numPr>
          <w:ilvl w:val="0"/>
          <w:numId w:val="1"/>
        </w:numPr>
        <w:ind w:left="0" w:firstLine="0"/>
        <w:jc w:val="both"/>
        <w:rPr>
          <w:rFonts w:asciiTheme="majorBidi" w:hAnsiTheme="majorBidi" w:cstheme="majorBidi"/>
          <w:sz w:val="24"/>
          <w:szCs w:val="24"/>
        </w:rPr>
      </w:pPr>
      <w:r w:rsidRPr="00FA222E">
        <w:rPr>
          <w:rFonts w:asciiTheme="majorBidi" w:hAnsiTheme="majorBidi" w:cstheme="majorBidi"/>
          <w:sz w:val="24"/>
          <w:szCs w:val="24"/>
        </w:rPr>
        <w:t xml:space="preserve">The HRD has registered that the issue of providing full support to victims of violence and their family members remains relevant; for example, access to shelter services, as well as expanding the number of shelters and ensuring the availability of shelter services throughout </w:t>
      </w:r>
      <w:r>
        <w:rPr>
          <w:rFonts w:asciiTheme="majorBidi" w:hAnsiTheme="majorBidi" w:cstheme="majorBidi"/>
          <w:sz w:val="24"/>
          <w:szCs w:val="24"/>
        </w:rPr>
        <w:t xml:space="preserve">the territory of Armenia, and </w:t>
      </w:r>
      <w:r w:rsidRPr="00FA222E">
        <w:rPr>
          <w:rFonts w:asciiTheme="majorBidi" w:hAnsiTheme="majorBidi" w:cstheme="majorBidi"/>
          <w:sz w:val="24"/>
          <w:szCs w:val="24"/>
        </w:rPr>
        <w:t>the availability of services provided, including psychological and economic support.</w:t>
      </w:r>
    </w:p>
    <w:p w14:paraId="365BF5B2" w14:textId="77777777" w:rsidR="00AD695B" w:rsidRPr="007D1CF3" w:rsidRDefault="00AD695B" w:rsidP="00263B65">
      <w:pPr>
        <w:pStyle w:val="ListParagraph"/>
        <w:ind w:left="0"/>
        <w:jc w:val="both"/>
        <w:rPr>
          <w:rFonts w:asciiTheme="majorBidi" w:hAnsiTheme="majorBidi" w:cstheme="majorBidi"/>
          <w:sz w:val="24"/>
          <w:szCs w:val="24"/>
        </w:rPr>
      </w:pPr>
    </w:p>
    <w:p w14:paraId="56B69AC2" w14:textId="53247C7F" w:rsidR="00AD695B" w:rsidRDefault="00AD695B" w:rsidP="00263B65">
      <w:pPr>
        <w:pStyle w:val="ListParagraph"/>
        <w:numPr>
          <w:ilvl w:val="0"/>
          <w:numId w:val="1"/>
        </w:numPr>
        <w:ind w:left="0" w:firstLine="0"/>
        <w:jc w:val="both"/>
        <w:rPr>
          <w:rFonts w:asciiTheme="majorBidi" w:hAnsiTheme="majorBidi" w:cstheme="majorBidi"/>
          <w:sz w:val="24"/>
          <w:szCs w:val="24"/>
        </w:rPr>
      </w:pPr>
      <w:r w:rsidRPr="00AD695B">
        <w:rPr>
          <w:rFonts w:asciiTheme="majorBidi" w:hAnsiTheme="majorBidi" w:cstheme="majorBidi"/>
          <w:sz w:val="24"/>
          <w:szCs w:val="24"/>
        </w:rPr>
        <w:t>Additionally, the HRD has also registered gaps in interdepartmental cooperation in the combat against domestic in law enforcement practice as well as in the context of incomplete legislative mechanisms and the incomplete regulation of the provision of protection or support to a child subjected to violence.</w:t>
      </w:r>
    </w:p>
    <w:p w14:paraId="6F2484D2" w14:textId="77777777" w:rsidR="00570424" w:rsidRPr="00570424" w:rsidRDefault="00570424" w:rsidP="00263B65">
      <w:pPr>
        <w:pStyle w:val="ListParagraph"/>
        <w:ind w:left="0"/>
        <w:rPr>
          <w:rFonts w:asciiTheme="majorBidi" w:hAnsiTheme="majorBidi" w:cstheme="majorBidi"/>
          <w:sz w:val="24"/>
          <w:szCs w:val="24"/>
        </w:rPr>
      </w:pPr>
    </w:p>
    <w:p w14:paraId="49024239" w14:textId="77777777" w:rsidR="00570424" w:rsidRDefault="00570424" w:rsidP="00263B65">
      <w:pPr>
        <w:pStyle w:val="ListParagraph"/>
        <w:numPr>
          <w:ilvl w:val="0"/>
          <w:numId w:val="1"/>
        </w:numPr>
        <w:tabs>
          <w:tab w:val="left" w:pos="360"/>
        </w:tabs>
        <w:ind w:left="0" w:firstLine="0"/>
        <w:jc w:val="both"/>
        <w:rPr>
          <w:rFonts w:asciiTheme="majorBidi" w:hAnsiTheme="majorBidi" w:cstheme="majorBidi"/>
          <w:sz w:val="24"/>
          <w:szCs w:val="24"/>
        </w:rPr>
      </w:pPr>
      <w:r>
        <w:rPr>
          <w:rFonts w:asciiTheme="majorBidi" w:hAnsiTheme="majorBidi" w:cstheme="majorBidi"/>
          <w:sz w:val="24"/>
          <w:szCs w:val="24"/>
        </w:rPr>
        <w:t>The HRD underscores the absence or lack of a national strategy, and an action plan thereof, for the prevention of domestic and family violence. Although the draft of the Government Decision on “Approving the Strategy and Action Plan for the Implementation of Gender Policy in Armenia for 2024-2028” has been developed. It has not been adopted yet. According to the draft, the 5</w:t>
      </w:r>
      <w:r w:rsidRPr="009419BB">
        <w:rPr>
          <w:rFonts w:asciiTheme="majorBidi" w:hAnsiTheme="majorBidi" w:cstheme="majorBidi"/>
          <w:sz w:val="24"/>
          <w:szCs w:val="24"/>
          <w:vertAlign w:val="superscript"/>
        </w:rPr>
        <w:t>th</w:t>
      </w:r>
      <w:r>
        <w:rPr>
          <w:rFonts w:asciiTheme="majorBidi" w:hAnsiTheme="majorBidi" w:cstheme="majorBidi"/>
          <w:sz w:val="24"/>
          <w:szCs w:val="24"/>
        </w:rPr>
        <w:t xml:space="preserve"> priority of the Strategic Plan is </w:t>
      </w:r>
      <w:r w:rsidRPr="006D7FB6">
        <w:rPr>
          <w:rFonts w:asciiTheme="majorBidi" w:hAnsiTheme="majorBidi" w:cstheme="majorBidi"/>
          <w:sz w:val="24"/>
          <w:szCs w:val="24"/>
        </w:rPr>
        <w:t>the prevention and elimination of gender-based violence and discrimination,</w:t>
      </w:r>
      <w:r>
        <w:rPr>
          <w:rFonts w:asciiTheme="majorBidi" w:hAnsiTheme="majorBidi" w:cstheme="majorBidi"/>
          <w:sz w:val="24"/>
          <w:szCs w:val="24"/>
        </w:rPr>
        <w:t xml:space="preserve"> and the</w:t>
      </w:r>
      <w:r w:rsidRPr="006D7FB6">
        <w:rPr>
          <w:rFonts w:asciiTheme="majorBidi" w:hAnsiTheme="majorBidi" w:cstheme="majorBidi"/>
          <w:sz w:val="24"/>
          <w:szCs w:val="24"/>
        </w:rPr>
        <w:t xml:space="preserve"> protection and support for victims of domestic violence.</w:t>
      </w:r>
      <w:r>
        <w:rPr>
          <w:rFonts w:asciiTheme="majorBidi" w:hAnsiTheme="majorBidi" w:cstheme="majorBidi"/>
          <w:sz w:val="24"/>
          <w:szCs w:val="24"/>
        </w:rPr>
        <w:t xml:space="preserve"> Furthermore, the Strategic Plan also envisages the implementation of work aimed at the ratification of </w:t>
      </w:r>
      <w:bookmarkStart w:id="0" w:name="_Hlk193184791"/>
      <w:r>
        <w:rPr>
          <w:rFonts w:asciiTheme="majorBidi" w:hAnsiTheme="majorBidi" w:cstheme="majorBidi"/>
          <w:sz w:val="24"/>
          <w:szCs w:val="24"/>
        </w:rPr>
        <w:t>Istanbul Convention</w:t>
      </w:r>
      <w:bookmarkEnd w:id="0"/>
      <w:r>
        <w:rPr>
          <w:rFonts w:asciiTheme="majorBidi" w:hAnsiTheme="majorBidi" w:cstheme="majorBidi"/>
          <w:sz w:val="24"/>
          <w:szCs w:val="24"/>
        </w:rPr>
        <w:t xml:space="preserve">. </w:t>
      </w:r>
    </w:p>
    <w:p w14:paraId="76B34EA9" w14:textId="77777777" w:rsidR="00570424" w:rsidRDefault="00570424" w:rsidP="00263B65">
      <w:pPr>
        <w:pStyle w:val="ListParagraph"/>
        <w:ind w:left="0"/>
        <w:jc w:val="both"/>
        <w:rPr>
          <w:rFonts w:asciiTheme="majorBidi" w:hAnsiTheme="majorBidi" w:cstheme="majorBidi"/>
          <w:sz w:val="24"/>
          <w:szCs w:val="24"/>
        </w:rPr>
      </w:pPr>
    </w:p>
    <w:p w14:paraId="57DD8DF2" w14:textId="77777777" w:rsidR="00570424" w:rsidRDefault="00570424" w:rsidP="00263B65">
      <w:pPr>
        <w:pStyle w:val="ListParagraph"/>
        <w:numPr>
          <w:ilvl w:val="0"/>
          <w:numId w:val="1"/>
        </w:numPr>
        <w:ind w:left="0" w:firstLine="0"/>
        <w:jc w:val="both"/>
        <w:rPr>
          <w:rFonts w:asciiTheme="majorBidi" w:hAnsiTheme="majorBidi" w:cstheme="majorBidi"/>
          <w:sz w:val="24"/>
          <w:szCs w:val="24"/>
        </w:rPr>
      </w:pPr>
      <w:r w:rsidRPr="00F154F8">
        <w:rPr>
          <w:rFonts w:asciiTheme="majorBidi" w:hAnsiTheme="majorBidi" w:cstheme="majorBidi"/>
          <w:sz w:val="24"/>
          <w:szCs w:val="24"/>
        </w:rPr>
        <w:t>The HRD also underscores the importance of ratifying the Istanbul Convention, its critical importance in safeguarding human rights and combating violence against women. The HRD considers it crucial to establish proper mechanisms to ensure the application of appropriate legal tools to effectively address and combat this issue</w:t>
      </w:r>
      <w:r>
        <w:rPr>
          <w:rFonts w:asciiTheme="majorBidi" w:hAnsiTheme="majorBidi" w:cstheme="majorBidi"/>
          <w:sz w:val="24"/>
          <w:szCs w:val="24"/>
        </w:rPr>
        <w:t xml:space="preserve">. </w:t>
      </w:r>
    </w:p>
    <w:p w14:paraId="4697650B" w14:textId="5F7DD848" w:rsidR="00906B4B" w:rsidRPr="002D6328" w:rsidRDefault="00906B4B" w:rsidP="00263B65">
      <w:pPr>
        <w:pStyle w:val="ListParagraph"/>
        <w:ind w:left="0"/>
        <w:jc w:val="both"/>
        <w:rPr>
          <w:rFonts w:asciiTheme="majorBidi" w:hAnsiTheme="majorBidi" w:cstheme="majorBidi"/>
          <w:sz w:val="24"/>
          <w:szCs w:val="24"/>
        </w:rPr>
      </w:pPr>
    </w:p>
    <w:p w14:paraId="7BAF105B" w14:textId="77777777" w:rsidR="00EE0DDD" w:rsidRDefault="00EE0DDD" w:rsidP="00263B65">
      <w:pPr>
        <w:pStyle w:val="ListParagraph"/>
        <w:tabs>
          <w:tab w:val="left" w:pos="360"/>
        </w:tabs>
        <w:ind w:left="0"/>
        <w:jc w:val="both"/>
        <w:rPr>
          <w:rFonts w:asciiTheme="majorBidi" w:hAnsiTheme="majorBidi" w:cstheme="majorBidi"/>
          <w:b/>
          <w:bCs/>
          <w:sz w:val="24"/>
          <w:szCs w:val="24"/>
          <w:u w:val="single"/>
        </w:rPr>
      </w:pPr>
    </w:p>
    <w:p w14:paraId="45CA9D49" w14:textId="6ECF7F8B" w:rsidR="0085313C" w:rsidRDefault="00906B4B" w:rsidP="00263B65">
      <w:pPr>
        <w:pStyle w:val="ListParagraph"/>
        <w:tabs>
          <w:tab w:val="left" w:pos="360"/>
        </w:tabs>
        <w:ind w:left="0"/>
        <w:jc w:val="both"/>
        <w:rPr>
          <w:rFonts w:asciiTheme="majorBidi" w:hAnsiTheme="majorBidi" w:cstheme="majorBidi"/>
          <w:b/>
          <w:bCs/>
          <w:sz w:val="24"/>
          <w:szCs w:val="24"/>
          <w:u w:val="single"/>
        </w:rPr>
      </w:pPr>
      <w:r w:rsidRPr="00906B4B">
        <w:rPr>
          <w:rFonts w:asciiTheme="majorBidi" w:hAnsiTheme="majorBidi" w:cstheme="majorBidi"/>
          <w:b/>
          <w:bCs/>
          <w:sz w:val="24"/>
          <w:szCs w:val="24"/>
          <w:u w:val="single"/>
        </w:rPr>
        <w:t>Right of peaceful assembly and excessive use of force</w:t>
      </w:r>
      <w:r>
        <w:rPr>
          <w:rFonts w:asciiTheme="majorBidi" w:hAnsiTheme="majorBidi" w:cstheme="majorBidi"/>
          <w:b/>
          <w:bCs/>
          <w:sz w:val="24"/>
          <w:szCs w:val="24"/>
          <w:u w:val="single"/>
        </w:rPr>
        <w:t>:</w:t>
      </w:r>
    </w:p>
    <w:p w14:paraId="6F73FAA9" w14:textId="4F6410EB" w:rsidR="00906B4B" w:rsidRDefault="00906B4B" w:rsidP="00263B65">
      <w:pPr>
        <w:pStyle w:val="ListParagraph"/>
        <w:tabs>
          <w:tab w:val="left" w:pos="360"/>
        </w:tabs>
        <w:ind w:left="0"/>
        <w:jc w:val="both"/>
        <w:rPr>
          <w:rFonts w:asciiTheme="majorBidi" w:hAnsiTheme="majorBidi" w:cstheme="majorBidi"/>
          <w:b/>
          <w:bCs/>
          <w:sz w:val="24"/>
          <w:szCs w:val="24"/>
          <w:u w:val="single"/>
        </w:rPr>
      </w:pPr>
    </w:p>
    <w:p w14:paraId="4CE9D406" w14:textId="58BC0299" w:rsidR="00906B4B" w:rsidRPr="00263B65" w:rsidRDefault="00906B4B" w:rsidP="00263B65">
      <w:pPr>
        <w:pStyle w:val="ListParagraph"/>
        <w:tabs>
          <w:tab w:val="left" w:pos="360"/>
        </w:tabs>
        <w:ind w:left="0"/>
        <w:jc w:val="both"/>
        <w:rPr>
          <w:rFonts w:asciiTheme="majorBidi" w:hAnsiTheme="majorBidi" w:cstheme="majorBidi"/>
          <w:i/>
          <w:iCs/>
          <w:sz w:val="24"/>
          <w:szCs w:val="24"/>
        </w:rPr>
      </w:pPr>
      <w:r w:rsidRPr="00263B65">
        <w:rPr>
          <w:rFonts w:asciiTheme="majorBidi" w:hAnsiTheme="majorBidi" w:cstheme="majorBidi"/>
          <w:i/>
          <w:iCs/>
          <w:sz w:val="24"/>
          <w:szCs w:val="24"/>
        </w:rPr>
        <w:t>Follow-up information related to paragraph 40</w:t>
      </w:r>
    </w:p>
    <w:p w14:paraId="3FBC8D7C" w14:textId="123F7F12" w:rsidR="0085313C" w:rsidRPr="00263B65" w:rsidRDefault="0085313C" w:rsidP="00263B65">
      <w:pPr>
        <w:pStyle w:val="ListParagraph"/>
        <w:tabs>
          <w:tab w:val="left" w:pos="360"/>
        </w:tabs>
        <w:ind w:left="0"/>
        <w:jc w:val="both"/>
        <w:rPr>
          <w:rFonts w:asciiTheme="majorBidi" w:hAnsiTheme="majorBidi" w:cstheme="majorBidi"/>
          <w:i/>
          <w:iCs/>
          <w:color w:val="0D0D0D" w:themeColor="text1" w:themeTint="F2"/>
          <w:sz w:val="24"/>
          <w:szCs w:val="24"/>
        </w:rPr>
      </w:pPr>
    </w:p>
    <w:p w14:paraId="28FA935B" w14:textId="2488A53D" w:rsidR="0085313C" w:rsidRPr="00263B65" w:rsidRDefault="00263B65" w:rsidP="00F57A1F">
      <w:pPr>
        <w:pStyle w:val="ListParagraph"/>
        <w:numPr>
          <w:ilvl w:val="0"/>
          <w:numId w:val="1"/>
        </w:numPr>
        <w:tabs>
          <w:tab w:val="left" w:pos="0"/>
        </w:tabs>
        <w:ind w:left="270"/>
        <w:jc w:val="both"/>
        <w:rPr>
          <w:rFonts w:asciiTheme="majorBidi" w:hAnsiTheme="majorBidi" w:cstheme="majorBidi"/>
          <w:color w:val="0D0D0D" w:themeColor="text1" w:themeTint="F2"/>
          <w:sz w:val="24"/>
          <w:szCs w:val="24"/>
        </w:rPr>
      </w:pPr>
      <w:r w:rsidRPr="00263B65">
        <w:rPr>
          <w:rFonts w:asciiTheme="majorBidi" w:hAnsiTheme="majorBidi" w:cstheme="majorBidi"/>
          <w:color w:val="0D0D0D" w:themeColor="text1" w:themeTint="F2"/>
          <w:sz w:val="24"/>
          <w:szCs w:val="24"/>
        </w:rPr>
        <w:t xml:space="preserve"> </w:t>
      </w:r>
      <w:r w:rsidR="0085313C" w:rsidRPr="00263B65">
        <w:rPr>
          <w:rFonts w:asciiTheme="majorBidi" w:hAnsiTheme="majorBidi" w:cstheme="majorBidi"/>
          <w:color w:val="0D0D0D" w:themeColor="text1" w:themeTint="F2"/>
          <w:sz w:val="24"/>
          <w:szCs w:val="24"/>
        </w:rPr>
        <w:t xml:space="preserve">One of the main directions of the </w:t>
      </w:r>
      <w:r w:rsidR="0072618D">
        <w:rPr>
          <w:rFonts w:asciiTheme="majorBidi" w:hAnsiTheme="majorBidi" w:cstheme="majorBidi"/>
          <w:color w:val="0D0D0D" w:themeColor="text1" w:themeTint="F2"/>
          <w:sz w:val="24"/>
          <w:szCs w:val="24"/>
        </w:rPr>
        <w:t>HRD’s</w:t>
      </w:r>
      <w:r w:rsidR="0085313C" w:rsidRPr="00263B65">
        <w:rPr>
          <w:rFonts w:asciiTheme="majorBidi" w:hAnsiTheme="majorBidi" w:cstheme="majorBidi"/>
          <w:color w:val="0D0D0D" w:themeColor="text1" w:themeTint="F2"/>
          <w:sz w:val="24"/>
          <w:szCs w:val="24"/>
        </w:rPr>
        <w:t xml:space="preserve"> activities is the protection of the freedom of assembly as a fundamental human right. Ensuring effective guarantees for the exercise of the freedom of assembly and addressing issues related to the implementation of this right have been under the direct attention of the </w:t>
      </w:r>
      <w:r w:rsidR="0072618D">
        <w:rPr>
          <w:rFonts w:asciiTheme="majorBidi" w:hAnsiTheme="majorBidi" w:cstheme="majorBidi"/>
          <w:color w:val="0D0D0D" w:themeColor="text1" w:themeTint="F2"/>
          <w:sz w:val="24"/>
          <w:szCs w:val="24"/>
        </w:rPr>
        <w:t>HRD</w:t>
      </w:r>
      <w:r w:rsidR="0085313C" w:rsidRPr="00263B65">
        <w:rPr>
          <w:rFonts w:asciiTheme="majorBidi" w:hAnsiTheme="majorBidi" w:cstheme="majorBidi"/>
          <w:color w:val="0D0D0D" w:themeColor="text1" w:themeTint="F2"/>
          <w:sz w:val="24"/>
          <w:szCs w:val="24"/>
        </w:rPr>
        <w:t>.</w:t>
      </w:r>
    </w:p>
    <w:p w14:paraId="3E663BD8" w14:textId="77777777" w:rsidR="0085313C" w:rsidRPr="00263B65" w:rsidRDefault="0085313C" w:rsidP="00263B65">
      <w:pPr>
        <w:pStyle w:val="ListParagraph"/>
        <w:tabs>
          <w:tab w:val="left" w:pos="360"/>
        </w:tabs>
        <w:ind w:left="0"/>
        <w:jc w:val="both"/>
        <w:rPr>
          <w:rFonts w:asciiTheme="majorBidi" w:hAnsiTheme="majorBidi" w:cstheme="majorBidi"/>
          <w:color w:val="0D0D0D" w:themeColor="text1" w:themeTint="F2"/>
          <w:sz w:val="24"/>
          <w:szCs w:val="24"/>
        </w:rPr>
      </w:pPr>
    </w:p>
    <w:p w14:paraId="4722C87E" w14:textId="6FCC23CE" w:rsidR="0085313C" w:rsidRPr="00263B65" w:rsidRDefault="0085313C" w:rsidP="00E27555">
      <w:pPr>
        <w:pStyle w:val="ListParagraph"/>
        <w:numPr>
          <w:ilvl w:val="0"/>
          <w:numId w:val="1"/>
        </w:numPr>
        <w:tabs>
          <w:tab w:val="left" w:pos="360"/>
        </w:tabs>
        <w:ind w:left="0" w:firstLine="0"/>
        <w:jc w:val="both"/>
        <w:rPr>
          <w:rFonts w:asciiTheme="majorBidi" w:hAnsiTheme="majorBidi" w:cstheme="majorBidi"/>
          <w:color w:val="0D0D0D" w:themeColor="text1" w:themeTint="F2"/>
          <w:sz w:val="24"/>
          <w:szCs w:val="24"/>
        </w:rPr>
      </w:pPr>
      <w:r w:rsidRPr="00263B65">
        <w:rPr>
          <w:rFonts w:asciiTheme="majorBidi" w:hAnsiTheme="majorBidi" w:cstheme="majorBidi"/>
          <w:color w:val="0D0D0D" w:themeColor="text1" w:themeTint="F2"/>
          <w:sz w:val="24"/>
          <w:szCs w:val="24"/>
        </w:rPr>
        <w:t xml:space="preserve">The </w:t>
      </w:r>
      <w:r w:rsidR="0072618D">
        <w:rPr>
          <w:rFonts w:asciiTheme="majorBidi" w:hAnsiTheme="majorBidi" w:cstheme="majorBidi"/>
          <w:color w:val="0D0D0D" w:themeColor="text1" w:themeTint="F2"/>
          <w:sz w:val="24"/>
          <w:szCs w:val="24"/>
        </w:rPr>
        <w:t>Representatives</w:t>
      </w:r>
      <w:r w:rsidRPr="00263B65">
        <w:rPr>
          <w:rFonts w:asciiTheme="majorBidi" w:hAnsiTheme="majorBidi" w:cstheme="majorBidi"/>
          <w:color w:val="0D0D0D" w:themeColor="text1" w:themeTint="F2"/>
          <w:sz w:val="24"/>
          <w:szCs w:val="24"/>
        </w:rPr>
        <w:t xml:space="preserve"> of the </w:t>
      </w:r>
      <w:r w:rsidR="0072618D">
        <w:rPr>
          <w:rFonts w:asciiTheme="majorBidi" w:hAnsiTheme="majorBidi" w:cstheme="majorBidi"/>
          <w:color w:val="0D0D0D" w:themeColor="text1" w:themeTint="F2"/>
          <w:sz w:val="24"/>
          <w:szCs w:val="24"/>
        </w:rPr>
        <w:t>HRD</w:t>
      </w:r>
      <w:r w:rsidRPr="00263B65">
        <w:rPr>
          <w:rFonts w:asciiTheme="majorBidi" w:hAnsiTheme="majorBidi" w:cstheme="majorBidi"/>
          <w:color w:val="0D0D0D" w:themeColor="text1" w:themeTint="F2"/>
          <w:sz w:val="24"/>
          <w:szCs w:val="24"/>
        </w:rPr>
        <w:t xml:space="preserve"> has conducted continuous monitoring of assemblies, including publications in mass media and social media platforms. In the context of protecting and promoting the right to freedom of assembly, the </w:t>
      </w:r>
      <w:r w:rsidR="0072618D">
        <w:rPr>
          <w:rFonts w:asciiTheme="majorBidi" w:hAnsiTheme="majorBidi" w:cstheme="majorBidi"/>
          <w:color w:val="0D0D0D" w:themeColor="text1" w:themeTint="F2"/>
          <w:sz w:val="24"/>
          <w:szCs w:val="24"/>
        </w:rPr>
        <w:t>HRD</w:t>
      </w:r>
      <w:r w:rsidRPr="00263B65">
        <w:rPr>
          <w:rFonts w:asciiTheme="majorBidi" w:hAnsiTheme="majorBidi" w:cstheme="majorBidi"/>
          <w:color w:val="0D0D0D" w:themeColor="text1" w:themeTint="F2"/>
          <w:sz w:val="24"/>
          <w:szCs w:val="24"/>
        </w:rPr>
        <w:t xml:space="preserve"> has exercised their powers, also taking into account the complaints received.</w:t>
      </w:r>
    </w:p>
    <w:p w14:paraId="2ABDF4FF" w14:textId="546CB17A" w:rsidR="0085313C" w:rsidRPr="007D1CF3" w:rsidRDefault="0085313C" w:rsidP="00263B65">
      <w:pPr>
        <w:pStyle w:val="ListParagraph"/>
        <w:tabs>
          <w:tab w:val="left" w:pos="360"/>
        </w:tabs>
        <w:ind w:left="0"/>
        <w:jc w:val="both"/>
        <w:rPr>
          <w:rFonts w:asciiTheme="majorBidi" w:hAnsiTheme="majorBidi" w:cstheme="majorBidi"/>
          <w:color w:val="0D0D0D" w:themeColor="text1" w:themeTint="F2"/>
          <w:sz w:val="24"/>
          <w:szCs w:val="24"/>
        </w:rPr>
      </w:pPr>
    </w:p>
    <w:p w14:paraId="68E1832A" w14:textId="58151815" w:rsidR="0085313C" w:rsidRPr="00263B65" w:rsidRDefault="00C45A78" w:rsidP="00E27555">
      <w:pPr>
        <w:pStyle w:val="ListParagraph"/>
        <w:numPr>
          <w:ilvl w:val="0"/>
          <w:numId w:val="1"/>
        </w:numPr>
        <w:tabs>
          <w:tab w:val="left" w:pos="360"/>
        </w:tabs>
        <w:ind w:left="0" w:firstLine="0"/>
        <w:jc w:val="both"/>
        <w:rPr>
          <w:rFonts w:asciiTheme="majorBidi" w:hAnsiTheme="majorBidi" w:cstheme="majorBidi"/>
          <w:color w:val="0D0D0D" w:themeColor="text1" w:themeTint="F2"/>
          <w:sz w:val="24"/>
          <w:szCs w:val="24"/>
        </w:rPr>
      </w:pPr>
      <w:r w:rsidRPr="00263B65">
        <w:rPr>
          <w:rFonts w:asciiTheme="majorBidi" w:hAnsiTheme="majorBidi" w:cstheme="majorBidi"/>
          <w:color w:val="0D0D0D" w:themeColor="text1" w:themeTint="F2"/>
          <w:sz w:val="24"/>
          <w:szCs w:val="24"/>
        </w:rPr>
        <w:t xml:space="preserve">In 2024, </w:t>
      </w:r>
      <w:r w:rsidR="0072618D">
        <w:rPr>
          <w:rFonts w:asciiTheme="majorBidi" w:hAnsiTheme="majorBidi" w:cstheme="majorBidi"/>
          <w:color w:val="0D0D0D" w:themeColor="text1" w:themeTint="F2"/>
          <w:sz w:val="24"/>
          <w:szCs w:val="24"/>
        </w:rPr>
        <w:t>the HRD’s</w:t>
      </w:r>
      <w:r w:rsidRPr="00263B65">
        <w:rPr>
          <w:rFonts w:asciiTheme="majorBidi" w:hAnsiTheme="majorBidi" w:cstheme="majorBidi"/>
          <w:color w:val="0D0D0D" w:themeColor="text1" w:themeTint="F2"/>
          <w:sz w:val="24"/>
          <w:szCs w:val="24"/>
        </w:rPr>
        <w:t xml:space="preserve"> </w:t>
      </w:r>
      <w:r w:rsidR="0072618D">
        <w:rPr>
          <w:rFonts w:asciiTheme="majorBidi" w:hAnsiTheme="majorBidi" w:cstheme="majorBidi"/>
          <w:color w:val="0D0D0D" w:themeColor="text1" w:themeTint="F2"/>
          <w:sz w:val="24"/>
          <w:szCs w:val="24"/>
        </w:rPr>
        <w:t>Office</w:t>
      </w:r>
      <w:r w:rsidRPr="00263B65">
        <w:rPr>
          <w:rFonts w:asciiTheme="majorBidi" w:hAnsiTheme="majorBidi" w:cstheme="majorBidi"/>
          <w:color w:val="0D0D0D" w:themeColor="text1" w:themeTint="F2"/>
          <w:sz w:val="24"/>
          <w:szCs w:val="24"/>
        </w:rPr>
        <w:t xml:space="preserve"> identified systemic and persistent issues, including the mass administrative </w:t>
      </w:r>
      <w:r w:rsidR="0011418E">
        <w:rPr>
          <w:rFonts w:asciiTheme="majorBidi" w:hAnsiTheme="majorBidi" w:cstheme="majorBidi"/>
          <w:color w:val="0D0D0D" w:themeColor="text1" w:themeTint="F2"/>
          <w:sz w:val="24"/>
          <w:szCs w:val="24"/>
          <w:lang w:val="hy-AM"/>
        </w:rPr>
        <w:t xml:space="preserve">arrest </w:t>
      </w:r>
      <w:r w:rsidRPr="00263B65">
        <w:rPr>
          <w:rFonts w:asciiTheme="majorBidi" w:hAnsiTheme="majorBidi" w:cstheme="majorBidi"/>
          <w:color w:val="0D0D0D" w:themeColor="text1" w:themeTint="F2"/>
          <w:sz w:val="24"/>
          <w:szCs w:val="24"/>
        </w:rPr>
        <w:t xml:space="preserve">of assembly participants with violation of domestic laws and international standards. These issues also involved procedural violations in the deprivation of liberty (e.g., failure to present a legal basis for </w:t>
      </w:r>
      <w:r w:rsidR="0011418E">
        <w:rPr>
          <w:rFonts w:asciiTheme="majorBidi" w:hAnsiTheme="majorBidi" w:cstheme="majorBidi"/>
          <w:color w:val="0D0D0D" w:themeColor="text1" w:themeTint="F2"/>
          <w:sz w:val="24"/>
          <w:szCs w:val="24"/>
        </w:rPr>
        <w:t>arrest</w:t>
      </w:r>
      <w:r w:rsidRPr="00263B65">
        <w:rPr>
          <w:rFonts w:asciiTheme="majorBidi" w:hAnsiTheme="majorBidi" w:cstheme="majorBidi"/>
          <w:color w:val="0D0D0D" w:themeColor="text1" w:themeTint="F2"/>
          <w:sz w:val="24"/>
          <w:szCs w:val="24"/>
        </w:rPr>
        <w:t>), disproportionate use of force during arrests, failure to promptly inform individuals of the reasons for their detention and their rights, disrespectful behavior by police officers, and concerns regarding the legality of the special measures used by the police.</w:t>
      </w:r>
    </w:p>
    <w:p w14:paraId="7B06BA61" w14:textId="4C291A3E" w:rsidR="00C45A78" w:rsidRPr="00263B65" w:rsidRDefault="00C45A78" w:rsidP="00263B65">
      <w:pPr>
        <w:pStyle w:val="ListParagraph"/>
        <w:tabs>
          <w:tab w:val="left" w:pos="360"/>
        </w:tabs>
        <w:ind w:left="0"/>
        <w:jc w:val="both"/>
        <w:rPr>
          <w:rFonts w:asciiTheme="majorBidi" w:hAnsiTheme="majorBidi" w:cstheme="majorBidi"/>
          <w:color w:val="0D0D0D" w:themeColor="text1" w:themeTint="F2"/>
          <w:sz w:val="24"/>
          <w:szCs w:val="24"/>
        </w:rPr>
      </w:pPr>
    </w:p>
    <w:p w14:paraId="5FE091DD" w14:textId="53658A47" w:rsidR="00C45A78" w:rsidRPr="00263B65" w:rsidRDefault="00C45A78" w:rsidP="00E27555">
      <w:pPr>
        <w:pStyle w:val="ListParagraph"/>
        <w:numPr>
          <w:ilvl w:val="0"/>
          <w:numId w:val="1"/>
        </w:numPr>
        <w:tabs>
          <w:tab w:val="left" w:pos="360"/>
        </w:tabs>
        <w:ind w:left="0" w:firstLine="0"/>
        <w:jc w:val="both"/>
        <w:rPr>
          <w:rFonts w:asciiTheme="majorBidi" w:hAnsiTheme="majorBidi" w:cstheme="majorBidi"/>
          <w:color w:val="0D0D0D" w:themeColor="text1" w:themeTint="F2"/>
          <w:sz w:val="24"/>
          <w:szCs w:val="24"/>
        </w:rPr>
      </w:pPr>
      <w:r w:rsidRPr="00263B65">
        <w:rPr>
          <w:rFonts w:asciiTheme="majorBidi" w:hAnsiTheme="majorBidi" w:cstheme="majorBidi"/>
          <w:color w:val="0D0D0D" w:themeColor="text1" w:themeTint="F2"/>
          <w:sz w:val="24"/>
          <w:szCs w:val="24"/>
        </w:rPr>
        <w:t xml:space="preserve">It should also be noted that in 2024, the </w:t>
      </w:r>
      <w:r w:rsidR="0072618D">
        <w:rPr>
          <w:rFonts w:asciiTheme="majorBidi" w:hAnsiTheme="majorBidi" w:cstheme="majorBidi"/>
          <w:color w:val="0D0D0D" w:themeColor="text1" w:themeTint="F2"/>
          <w:sz w:val="24"/>
          <w:szCs w:val="24"/>
        </w:rPr>
        <w:t>HRD</w:t>
      </w:r>
      <w:r w:rsidRPr="00263B65">
        <w:rPr>
          <w:rFonts w:asciiTheme="majorBidi" w:hAnsiTheme="majorBidi" w:cstheme="majorBidi"/>
          <w:color w:val="0D0D0D" w:themeColor="text1" w:themeTint="F2"/>
          <w:sz w:val="24"/>
          <w:szCs w:val="24"/>
        </w:rPr>
        <w:t xml:space="preserve"> addressed, on multiple occasions through public statements, the inadmissibility of apparent violence and the spread of hate speech during protests and assemblies that took place across Armenia.</w:t>
      </w:r>
      <w:r w:rsidR="00417A41">
        <w:rPr>
          <w:rStyle w:val="FootnoteReference"/>
          <w:rFonts w:asciiTheme="majorBidi" w:hAnsiTheme="majorBidi" w:cstheme="majorBidi"/>
          <w:color w:val="0D0D0D" w:themeColor="text1" w:themeTint="F2"/>
          <w:sz w:val="24"/>
          <w:szCs w:val="24"/>
        </w:rPr>
        <w:footnoteReference w:id="4"/>
      </w:r>
    </w:p>
    <w:p w14:paraId="3054849B" w14:textId="356FF651" w:rsidR="00C45A78" w:rsidRPr="00263B65" w:rsidRDefault="00C45A78" w:rsidP="00263B65">
      <w:pPr>
        <w:pStyle w:val="ListParagraph"/>
        <w:tabs>
          <w:tab w:val="left" w:pos="360"/>
        </w:tabs>
        <w:ind w:left="0"/>
        <w:jc w:val="both"/>
        <w:rPr>
          <w:rFonts w:asciiTheme="majorBidi" w:hAnsiTheme="majorBidi" w:cstheme="majorBidi"/>
          <w:color w:val="0D0D0D" w:themeColor="text1" w:themeTint="F2"/>
          <w:sz w:val="24"/>
          <w:szCs w:val="24"/>
        </w:rPr>
      </w:pPr>
    </w:p>
    <w:p w14:paraId="23494A42" w14:textId="79769AE9" w:rsidR="00C45A78" w:rsidRPr="00263B65" w:rsidRDefault="00C45A78" w:rsidP="00E27555">
      <w:pPr>
        <w:pStyle w:val="ListParagraph"/>
        <w:numPr>
          <w:ilvl w:val="0"/>
          <w:numId w:val="1"/>
        </w:numPr>
        <w:tabs>
          <w:tab w:val="left" w:pos="360"/>
        </w:tabs>
        <w:ind w:left="0" w:firstLine="0"/>
        <w:jc w:val="both"/>
        <w:rPr>
          <w:rFonts w:asciiTheme="majorBidi" w:hAnsiTheme="majorBidi" w:cstheme="majorBidi"/>
          <w:color w:val="0D0D0D" w:themeColor="text1" w:themeTint="F2"/>
          <w:sz w:val="24"/>
          <w:szCs w:val="24"/>
        </w:rPr>
      </w:pPr>
      <w:r w:rsidRPr="00263B65">
        <w:rPr>
          <w:rFonts w:asciiTheme="majorBidi" w:hAnsiTheme="majorBidi" w:cstheme="majorBidi"/>
          <w:color w:val="0D0D0D" w:themeColor="text1" w:themeTint="F2"/>
          <w:sz w:val="24"/>
          <w:szCs w:val="24"/>
        </w:rPr>
        <w:t>In 2024, during assemblies held in the territory of Armenia, a total of 1,107 individuals were arrested and taken to the territorial divisions of the Ministry of Internal Affairs. Of these, 975 were suspected of violating Article 182 of the Code of Administrative Offenses, which concerns the failure to comply with the lawful demands of police officers or police troops. Meanwhile, according to the Ministry, 116 lawsuits were filed in the Administrative Court under this article. Of these, 71 cases are still under review, 2 cases were upheld, and 43 cases were dismissed.</w:t>
      </w:r>
    </w:p>
    <w:p w14:paraId="3E37CF87" w14:textId="7E214A93" w:rsidR="00C45A78" w:rsidRPr="00263B65" w:rsidRDefault="00C45A78" w:rsidP="00263B65">
      <w:pPr>
        <w:pStyle w:val="ListParagraph"/>
        <w:tabs>
          <w:tab w:val="left" w:pos="360"/>
        </w:tabs>
        <w:ind w:left="0"/>
        <w:jc w:val="both"/>
        <w:rPr>
          <w:rFonts w:asciiTheme="majorBidi" w:hAnsiTheme="majorBidi" w:cstheme="majorBidi"/>
          <w:color w:val="0D0D0D" w:themeColor="text1" w:themeTint="F2"/>
          <w:sz w:val="24"/>
          <w:szCs w:val="24"/>
        </w:rPr>
      </w:pPr>
    </w:p>
    <w:p w14:paraId="5E36F61E" w14:textId="741CE07A" w:rsidR="00C45A78" w:rsidRPr="00263B65" w:rsidRDefault="00C45A78" w:rsidP="00E27555">
      <w:pPr>
        <w:pStyle w:val="ListParagraph"/>
        <w:numPr>
          <w:ilvl w:val="0"/>
          <w:numId w:val="1"/>
        </w:numPr>
        <w:tabs>
          <w:tab w:val="left" w:pos="360"/>
        </w:tabs>
        <w:ind w:left="0" w:firstLine="0"/>
        <w:jc w:val="both"/>
        <w:rPr>
          <w:rFonts w:asciiTheme="majorBidi" w:hAnsiTheme="majorBidi" w:cstheme="majorBidi"/>
          <w:color w:val="0D0D0D" w:themeColor="text1" w:themeTint="F2"/>
          <w:sz w:val="24"/>
          <w:szCs w:val="24"/>
        </w:rPr>
      </w:pPr>
      <w:r w:rsidRPr="00263B65">
        <w:rPr>
          <w:rFonts w:asciiTheme="majorBidi" w:hAnsiTheme="majorBidi" w:cstheme="majorBidi"/>
          <w:color w:val="0D0D0D" w:themeColor="text1" w:themeTint="F2"/>
          <w:sz w:val="24"/>
          <w:szCs w:val="24"/>
        </w:rPr>
        <w:t xml:space="preserve">In this context, the issues described above and the statistical data indicate that questions regarding the justification and legality of administrative arrests (under Article 182 of the Code of Administrative Offenses) remain relevant. This, in turn, raises doubts about the true purposes and grounds for subjecting assembly participants to administrative </w:t>
      </w:r>
      <w:r w:rsidR="005B04B5" w:rsidRPr="00263B65">
        <w:rPr>
          <w:rFonts w:asciiTheme="majorBidi" w:hAnsiTheme="majorBidi" w:cstheme="majorBidi"/>
          <w:color w:val="0D0D0D" w:themeColor="text1" w:themeTint="F2"/>
          <w:sz w:val="24"/>
          <w:szCs w:val="24"/>
        </w:rPr>
        <w:t>arrest</w:t>
      </w:r>
      <w:r w:rsidRPr="00263B65">
        <w:rPr>
          <w:rFonts w:asciiTheme="majorBidi" w:hAnsiTheme="majorBidi" w:cstheme="majorBidi"/>
          <w:color w:val="0D0D0D" w:themeColor="text1" w:themeTint="F2"/>
          <w:sz w:val="24"/>
          <w:szCs w:val="24"/>
        </w:rPr>
        <w:t>.</w:t>
      </w:r>
    </w:p>
    <w:p w14:paraId="6A1ED842" w14:textId="12DCA42E" w:rsidR="00906B4B" w:rsidRPr="00263B65" w:rsidRDefault="00906B4B" w:rsidP="00263B65">
      <w:pPr>
        <w:pStyle w:val="ListParagraph"/>
        <w:tabs>
          <w:tab w:val="left" w:pos="360"/>
        </w:tabs>
        <w:ind w:left="0"/>
        <w:jc w:val="both"/>
        <w:rPr>
          <w:rFonts w:asciiTheme="majorBidi" w:hAnsiTheme="majorBidi" w:cstheme="majorBidi"/>
          <w:color w:val="0D0D0D" w:themeColor="text1" w:themeTint="F2"/>
          <w:sz w:val="24"/>
          <w:szCs w:val="24"/>
        </w:rPr>
      </w:pPr>
    </w:p>
    <w:p w14:paraId="4CE50F18" w14:textId="50779EFA" w:rsidR="005B04B5" w:rsidRPr="0072618D" w:rsidRDefault="005B04B5" w:rsidP="0072618D">
      <w:pPr>
        <w:pStyle w:val="ListParagraph"/>
        <w:numPr>
          <w:ilvl w:val="0"/>
          <w:numId w:val="1"/>
        </w:numPr>
        <w:tabs>
          <w:tab w:val="left" w:pos="360"/>
        </w:tabs>
        <w:ind w:left="0" w:firstLine="0"/>
        <w:jc w:val="both"/>
        <w:rPr>
          <w:rFonts w:asciiTheme="majorBidi" w:hAnsiTheme="majorBidi" w:cstheme="majorBidi"/>
          <w:color w:val="0D0D0D" w:themeColor="text1" w:themeTint="F2"/>
          <w:sz w:val="24"/>
          <w:szCs w:val="24"/>
        </w:rPr>
      </w:pPr>
      <w:r w:rsidRPr="00263B65">
        <w:rPr>
          <w:rFonts w:asciiTheme="majorBidi" w:hAnsiTheme="majorBidi" w:cstheme="majorBidi"/>
          <w:color w:val="0D0D0D" w:themeColor="text1" w:themeTint="F2"/>
          <w:sz w:val="24"/>
          <w:szCs w:val="24"/>
        </w:rPr>
        <w:t xml:space="preserve">It should be noted that individuals subjected to administrative arrest (in the vast majority of cases) became aware of their basic rights through the representatives of the </w:t>
      </w:r>
      <w:r w:rsidR="0072618D">
        <w:rPr>
          <w:rFonts w:asciiTheme="majorBidi" w:hAnsiTheme="majorBidi" w:cstheme="majorBidi"/>
          <w:color w:val="0D0D0D" w:themeColor="text1" w:themeTint="F2"/>
          <w:sz w:val="24"/>
          <w:szCs w:val="24"/>
        </w:rPr>
        <w:t>HRD</w:t>
      </w:r>
      <w:r w:rsidRPr="00263B65">
        <w:rPr>
          <w:rFonts w:asciiTheme="majorBidi" w:hAnsiTheme="majorBidi" w:cstheme="majorBidi"/>
          <w:color w:val="0D0D0D" w:themeColor="text1" w:themeTint="F2"/>
          <w:sz w:val="24"/>
          <w:szCs w:val="24"/>
        </w:rPr>
        <w:t xml:space="preserve"> during the rapid response visits conducted.</w:t>
      </w:r>
    </w:p>
    <w:p w14:paraId="51380A64" w14:textId="2D874309" w:rsidR="00D627F7" w:rsidRPr="007D1CF3" w:rsidRDefault="00D627F7" w:rsidP="00263B65">
      <w:pPr>
        <w:pStyle w:val="ListParagraph"/>
        <w:tabs>
          <w:tab w:val="left" w:pos="360"/>
        </w:tabs>
        <w:ind w:left="0"/>
        <w:jc w:val="both"/>
        <w:rPr>
          <w:rFonts w:ascii="Times New Roman" w:hAnsi="Times New Roman" w:cs="Times New Roman"/>
          <w:color w:val="0D0D0D" w:themeColor="text1" w:themeTint="F2"/>
          <w:sz w:val="24"/>
          <w:szCs w:val="24"/>
        </w:rPr>
      </w:pPr>
    </w:p>
    <w:p w14:paraId="39238C6F" w14:textId="7456B085" w:rsidR="00D627F7" w:rsidRPr="00263B65" w:rsidRDefault="00D627F7" w:rsidP="00E27555">
      <w:pPr>
        <w:pStyle w:val="ListParagraph"/>
        <w:numPr>
          <w:ilvl w:val="0"/>
          <w:numId w:val="1"/>
        </w:numPr>
        <w:tabs>
          <w:tab w:val="left" w:pos="360"/>
        </w:tabs>
        <w:ind w:left="0" w:firstLine="0"/>
        <w:jc w:val="both"/>
        <w:rPr>
          <w:rFonts w:ascii="Times New Roman" w:hAnsi="Times New Roman" w:cs="Times New Roman"/>
          <w:color w:val="0D0D0D" w:themeColor="text1" w:themeTint="F2"/>
          <w:sz w:val="24"/>
          <w:szCs w:val="24"/>
        </w:rPr>
      </w:pPr>
      <w:r w:rsidRPr="007D1CF3">
        <w:rPr>
          <w:rFonts w:ascii="Times New Roman" w:hAnsi="Times New Roman" w:cs="Times New Roman"/>
          <w:color w:val="0D0D0D" w:themeColor="text1" w:themeTint="F2"/>
          <w:sz w:val="24"/>
          <w:szCs w:val="24"/>
        </w:rPr>
        <w:t xml:space="preserve">With respect to the measures undertaken in 2024 to improve standards governing the use of special means and to enhance the professional skills of police officers, the Ministry of Internal Affairs has clarified that, on October 24, 2024, the National Assembly adopted the package of draft laws on the “Police Guard” along with related legislative proposals. This legislative reform envisions the establishment of a new specialized police unit, the Police Guard, tasked with the </w:t>
      </w:r>
      <w:r w:rsidRPr="00263B65">
        <w:rPr>
          <w:rFonts w:ascii="Times New Roman" w:hAnsi="Times New Roman" w:cs="Times New Roman"/>
          <w:color w:val="0D0D0D" w:themeColor="text1" w:themeTint="F2"/>
          <w:sz w:val="24"/>
          <w:szCs w:val="24"/>
        </w:rPr>
        <w:t>maintenance of public order and the safeguarding of public security.</w:t>
      </w:r>
    </w:p>
    <w:p w14:paraId="32A04C60" w14:textId="3CBEC605" w:rsidR="00D627F7" w:rsidRPr="00263B65" w:rsidRDefault="00D627F7" w:rsidP="00263B65">
      <w:pPr>
        <w:pStyle w:val="ListParagraph"/>
        <w:tabs>
          <w:tab w:val="left" w:pos="360"/>
        </w:tabs>
        <w:ind w:left="0"/>
        <w:jc w:val="both"/>
        <w:rPr>
          <w:rFonts w:ascii="Times New Roman" w:hAnsi="Times New Roman" w:cs="Times New Roman"/>
          <w:color w:val="0D0D0D" w:themeColor="text1" w:themeTint="F2"/>
          <w:sz w:val="24"/>
          <w:szCs w:val="24"/>
        </w:rPr>
      </w:pPr>
    </w:p>
    <w:p w14:paraId="7DBF7046" w14:textId="2F7AE16B" w:rsidR="00D627F7" w:rsidRPr="00417A41" w:rsidRDefault="00D627F7" w:rsidP="00F57A1F">
      <w:pPr>
        <w:pStyle w:val="ListParagraph"/>
        <w:numPr>
          <w:ilvl w:val="0"/>
          <w:numId w:val="1"/>
        </w:numPr>
        <w:ind w:left="0"/>
        <w:jc w:val="both"/>
        <w:rPr>
          <w:rFonts w:ascii="Times New Roman" w:hAnsi="Times New Roman" w:cs="Times New Roman"/>
          <w:color w:val="0D0D0D" w:themeColor="text1" w:themeTint="F2"/>
          <w:sz w:val="24"/>
          <w:szCs w:val="24"/>
        </w:rPr>
      </w:pPr>
      <w:r w:rsidRPr="00263B65">
        <w:rPr>
          <w:rFonts w:ascii="Times New Roman" w:hAnsi="Times New Roman" w:cs="Times New Roman"/>
          <w:color w:val="0D0D0D" w:themeColor="text1" w:themeTint="F2"/>
          <w:sz w:val="24"/>
          <w:szCs w:val="24"/>
        </w:rPr>
        <w:t xml:space="preserve">The responsibilities of the Police Guard will include the maintenance of public order, ensuring public security, providing state protection for critical infrastructure, ensuring the safety of cargo transportation, supporting the legal regimes during martial law and states of emergency, participating in the protection of the population during emergencies, assisting in the security of individuals subject to special state protection, and supporting bodies conducting criminal proceedings. The "Police Guard" law will come into full force, and the Police Guard will be established on November 1, </w:t>
      </w:r>
      <w:r w:rsidRPr="00417A41">
        <w:rPr>
          <w:rFonts w:ascii="Times New Roman" w:hAnsi="Times New Roman" w:cs="Times New Roman"/>
          <w:color w:val="0D0D0D" w:themeColor="text1" w:themeTint="F2"/>
          <w:sz w:val="24"/>
          <w:szCs w:val="24"/>
        </w:rPr>
        <w:t>2025.</w:t>
      </w:r>
    </w:p>
    <w:p w14:paraId="587BFB30" w14:textId="77777777" w:rsidR="005A629E" w:rsidRPr="00417A41" w:rsidRDefault="005A629E" w:rsidP="005A629E">
      <w:pPr>
        <w:pStyle w:val="ListParagraph"/>
        <w:rPr>
          <w:rFonts w:ascii="Times New Roman" w:hAnsi="Times New Roman" w:cs="Times New Roman"/>
          <w:color w:val="0D0D0D" w:themeColor="text1" w:themeTint="F2"/>
          <w:sz w:val="24"/>
          <w:szCs w:val="24"/>
        </w:rPr>
      </w:pPr>
    </w:p>
    <w:p w14:paraId="51919132" w14:textId="4BB4C933" w:rsidR="005A629E" w:rsidRPr="00417A41" w:rsidRDefault="005A629E" w:rsidP="00E27555">
      <w:pPr>
        <w:pStyle w:val="ListParagraph"/>
        <w:numPr>
          <w:ilvl w:val="0"/>
          <w:numId w:val="1"/>
        </w:numPr>
        <w:tabs>
          <w:tab w:val="left" w:pos="360"/>
        </w:tabs>
        <w:ind w:left="0" w:firstLine="0"/>
        <w:jc w:val="both"/>
        <w:rPr>
          <w:rFonts w:ascii="Times New Roman" w:hAnsi="Times New Roman" w:cs="Times New Roman"/>
          <w:color w:val="0D0D0D" w:themeColor="text1" w:themeTint="F2"/>
          <w:sz w:val="24"/>
          <w:szCs w:val="24"/>
        </w:rPr>
      </w:pPr>
      <w:r w:rsidRPr="00417A41">
        <w:rPr>
          <w:rFonts w:asciiTheme="majorBidi" w:hAnsiTheme="majorBidi" w:cstheme="majorBidi"/>
          <w:color w:val="0D0D0D" w:themeColor="text1" w:themeTint="F2"/>
          <w:sz w:val="24"/>
          <w:szCs w:val="24"/>
        </w:rPr>
        <w:t>Amendments have also been introduced to the Law on Freedom of Assembly of Armenia, aimed at refining the legal framework governing the exercise of the right to peaceful assembly. While these revisions seek to enhance procedural safeguards and align certain provisions with international human rights standards, significant concerns persist</w:t>
      </w:r>
      <w:r w:rsidR="0011418E" w:rsidRPr="00417A41">
        <w:rPr>
          <w:rFonts w:asciiTheme="majorBidi" w:hAnsiTheme="majorBidi" w:cstheme="majorBidi"/>
          <w:color w:val="0D0D0D" w:themeColor="text1" w:themeTint="F2"/>
          <w:sz w:val="24"/>
          <w:szCs w:val="24"/>
        </w:rPr>
        <w:t xml:space="preserve"> regarding law enforcement practice</w:t>
      </w:r>
      <w:r w:rsidRPr="00417A41">
        <w:rPr>
          <w:rFonts w:asciiTheme="majorBidi" w:hAnsiTheme="majorBidi" w:cstheme="majorBidi"/>
          <w:color w:val="0D0D0D" w:themeColor="text1" w:themeTint="F2"/>
          <w:sz w:val="24"/>
          <w:szCs w:val="24"/>
        </w:rPr>
        <w:t xml:space="preserve">. Issues related to the disproportionate use of force by law enforcement during assemblies remain unaddressed, raising questions about the effective protection of the right to freedom of assembly in practice. </w:t>
      </w:r>
    </w:p>
    <w:p w14:paraId="0194DEC6" w14:textId="77777777" w:rsidR="00D627F7" w:rsidRPr="00263B65" w:rsidRDefault="00D627F7" w:rsidP="00263B65">
      <w:pPr>
        <w:pStyle w:val="ListParagraph"/>
        <w:tabs>
          <w:tab w:val="left" w:pos="360"/>
        </w:tabs>
        <w:ind w:left="0"/>
        <w:jc w:val="both"/>
        <w:rPr>
          <w:rFonts w:ascii="Times New Roman" w:hAnsi="Times New Roman" w:cs="Times New Roman"/>
          <w:color w:val="0D0D0D" w:themeColor="text1" w:themeTint="F2"/>
          <w:sz w:val="24"/>
          <w:szCs w:val="24"/>
        </w:rPr>
      </w:pPr>
    </w:p>
    <w:p w14:paraId="28FCC2E0" w14:textId="114E3D5D" w:rsidR="00D627F7" w:rsidRPr="00417A41" w:rsidRDefault="00D627F7" w:rsidP="00E27555">
      <w:pPr>
        <w:pStyle w:val="ListParagraph"/>
        <w:numPr>
          <w:ilvl w:val="0"/>
          <w:numId w:val="1"/>
        </w:numPr>
        <w:tabs>
          <w:tab w:val="left" w:pos="360"/>
        </w:tabs>
        <w:ind w:left="0" w:firstLine="0"/>
        <w:jc w:val="both"/>
        <w:rPr>
          <w:rFonts w:ascii="Times New Roman" w:hAnsi="Times New Roman" w:cs="Times New Roman"/>
          <w:color w:val="0D0D0D" w:themeColor="text1" w:themeTint="F2"/>
          <w:sz w:val="24"/>
          <w:szCs w:val="24"/>
        </w:rPr>
      </w:pPr>
      <w:r w:rsidRPr="00263B65">
        <w:rPr>
          <w:rFonts w:ascii="Times New Roman" w:hAnsi="Times New Roman" w:cs="Times New Roman"/>
          <w:color w:val="0D0D0D" w:themeColor="text1" w:themeTint="F2"/>
          <w:sz w:val="24"/>
          <w:szCs w:val="24"/>
        </w:rPr>
        <w:t xml:space="preserve">Having the </w:t>
      </w:r>
      <w:r w:rsidRPr="00417A41">
        <w:rPr>
          <w:rFonts w:ascii="Times New Roman" w:hAnsi="Times New Roman" w:cs="Times New Roman"/>
          <w:color w:val="0D0D0D" w:themeColor="text1" w:themeTint="F2"/>
          <w:sz w:val="24"/>
          <w:szCs w:val="24"/>
        </w:rPr>
        <w:t>aforementioned in mind, the Defender particularly emphasizes the need to:</w:t>
      </w:r>
    </w:p>
    <w:p w14:paraId="03CCC812" w14:textId="77777777" w:rsidR="00D627F7" w:rsidRPr="00417A41" w:rsidRDefault="00D627F7" w:rsidP="00263B65">
      <w:pPr>
        <w:pStyle w:val="ListParagraph"/>
        <w:tabs>
          <w:tab w:val="left" w:pos="360"/>
        </w:tabs>
        <w:ind w:left="0"/>
        <w:jc w:val="both"/>
        <w:rPr>
          <w:rFonts w:ascii="Times New Roman" w:hAnsi="Times New Roman" w:cs="Times New Roman"/>
          <w:color w:val="0D0D0D" w:themeColor="text1" w:themeTint="F2"/>
          <w:sz w:val="24"/>
          <w:szCs w:val="24"/>
        </w:rPr>
      </w:pPr>
    </w:p>
    <w:p w14:paraId="622412F5" w14:textId="47D41677" w:rsidR="00D627F7" w:rsidRPr="00417A41" w:rsidRDefault="00D627F7" w:rsidP="00263B65">
      <w:pPr>
        <w:pStyle w:val="ListParagraph"/>
        <w:numPr>
          <w:ilvl w:val="0"/>
          <w:numId w:val="5"/>
        </w:numPr>
        <w:tabs>
          <w:tab w:val="left" w:pos="360"/>
        </w:tabs>
        <w:spacing w:after="0" w:line="240" w:lineRule="auto"/>
        <w:ind w:left="0" w:firstLine="0"/>
        <w:jc w:val="both"/>
        <w:rPr>
          <w:rFonts w:ascii="Times New Roman" w:hAnsi="Times New Roman" w:cs="Times New Roman"/>
          <w:color w:val="0D0D0D" w:themeColor="text1" w:themeTint="F2"/>
          <w:sz w:val="24"/>
          <w:szCs w:val="24"/>
        </w:rPr>
      </w:pPr>
      <w:r w:rsidRPr="00417A41">
        <w:rPr>
          <w:rFonts w:ascii="Times New Roman" w:hAnsi="Times New Roman" w:cs="Times New Roman"/>
          <w:color w:val="0D0D0D" w:themeColor="text1" w:themeTint="F2"/>
          <w:sz w:val="24"/>
          <w:szCs w:val="24"/>
        </w:rPr>
        <w:t xml:space="preserve">Ensure a proper examination of the legality of the </w:t>
      </w:r>
      <w:r w:rsidR="0011418E" w:rsidRPr="00417A41">
        <w:rPr>
          <w:rFonts w:ascii="Times New Roman" w:hAnsi="Times New Roman" w:cs="Times New Roman"/>
          <w:color w:val="0D0D0D" w:themeColor="text1" w:themeTint="F2"/>
          <w:sz w:val="24"/>
          <w:szCs w:val="24"/>
        </w:rPr>
        <w:t xml:space="preserve">use of force and </w:t>
      </w:r>
      <w:r w:rsidRPr="00417A41">
        <w:rPr>
          <w:rFonts w:ascii="Times New Roman" w:hAnsi="Times New Roman" w:cs="Times New Roman"/>
          <w:color w:val="0D0D0D" w:themeColor="text1" w:themeTint="F2"/>
          <w:sz w:val="24"/>
          <w:szCs w:val="24"/>
        </w:rPr>
        <w:t>special means,</w:t>
      </w:r>
    </w:p>
    <w:p w14:paraId="1CF83898" w14:textId="77777777" w:rsidR="00D627F7" w:rsidRPr="00417A41" w:rsidRDefault="00D627F7" w:rsidP="00263B65">
      <w:pPr>
        <w:pStyle w:val="ListParagraph"/>
        <w:tabs>
          <w:tab w:val="left" w:pos="360"/>
        </w:tabs>
        <w:spacing w:after="0" w:line="240" w:lineRule="auto"/>
        <w:ind w:left="0"/>
        <w:jc w:val="both"/>
        <w:rPr>
          <w:rFonts w:ascii="Times New Roman" w:hAnsi="Times New Roman" w:cs="Times New Roman"/>
          <w:color w:val="0D0D0D" w:themeColor="text1" w:themeTint="F2"/>
          <w:sz w:val="24"/>
          <w:szCs w:val="24"/>
        </w:rPr>
      </w:pPr>
    </w:p>
    <w:p w14:paraId="799FCECC" w14:textId="77777777" w:rsidR="00D627F7" w:rsidRPr="00417A41" w:rsidRDefault="00D627F7" w:rsidP="00263B65">
      <w:pPr>
        <w:pStyle w:val="ListParagraph"/>
        <w:numPr>
          <w:ilvl w:val="0"/>
          <w:numId w:val="5"/>
        </w:numPr>
        <w:tabs>
          <w:tab w:val="left" w:pos="360"/>
        </w:tabs>
        <w:spacing w:after="0" w:line="240" w:lineRule="auto"/>
        <w:ind w:left="0" w:firstLine="0"/>
        <w:jc w:val="both"/>
        <w:rPr>
          <w:rFonts w:ascii="Times New Roman" w:hAnsi="Times New Roman" w:cs="Times New Roman"/>
          <w:color w:val="0D0D0D" w:themeColor="text1" w:themeTint="F2"/>
          <w:sz w:val="24"/>
          <w:szCs w:val="24"/>
        </w:rPr>
      </w:pPr>
      <w:r w:rsidRPr="00417A41">
        <w:rPr>
          <w:rFonts w:ascii="Times New Roman" w:hAnsi="Times New Roman" w:cs="Times New Roman"/>
          <w:color w:val="0D0D0D" w:themeColor="text1" w:themeTint="F2"/>
          <w:sz w:val="24"/>
          <w:szCs w:val="24"/>
        </w:rPr>
        <w:t>Ensure public awareness regarding the type and quantity of special means used, as well as the grounds for their application,</w:t>
      </w:r>
    </w:p>
    <w:p w14:paraId="02CD4F11" w14:textId="77777777" w:rsidR="00D627F7" w:rsidRPr="00417A41" w:rsidRDefault="00D627F7" w:rsidP="00263B65">
      <w:pPr>
        <w:pStyle w:val="ListParagraph"/>
        <w:tabs>
          <w:tab w:val="left" w:pos="360"/>
        </w:tabs>
        <w:spacing w:after="0" w:line="240" w:lineRule="auto"/>
        <w:ind w:left="0"/>
        <w:jc w:val="both"/>
        <w:rPr>
          <w:rFonts w:ascii="Times New Roman" w:hAnsi="Times New Roman" w:cs="Times New Roman"/>
          <w:color w:val="0D0D0D" w:themeColor="text1" w:themeTint="F2"/>
          <w:sz w:val="24"/>
          <w:szCs w:val="24"/>
        </w:rPr>
      </w:pPr>
    </w:p>
    <w:p w14:paraId="195EE278" w14:textId="18517B24" w:rsidR="00D627F7" w:rsidRPr="00417A41" w:rsidRDefault="00D627F7" w:rsidP="00263B65">
      <w:pPr>
        <w:pStyle w:val="ListParagraph"/>
        <w:numPr>
          <w:ilvl w:val="0"/>
          <w:numId w:val="5"/>
        </w:numPr>
        <w:tabs>
          <w:tab w:val="left" w:pos="360"/>
        </w:tabs>
        <w:spacing w:after="0" w:line="240" w:lineRule="auto"/>
        <w:ind w:left="0" w:firstLine="0"/>
        <w:jc w:val="both"/>
        <w:rPr>
          <w:rFonts w:ascii="Times New Roman" w:hAnsi="Times New Roman" w:cs="Times New Roman"/>
          <w:color w:val="0D0D0D" w:themeColor="text1" w:themeTint="F2"/>
          <w:sz w:val="24"/>
          <w:szCs w:val="24"/>
        </w:rPr>
      </w:pPr>
      <w:r w:rsidRPr="00417A41">
        <w:rPr>
          <w:rFonts w:ascii="Times New Roman" w:hAnsi="Times New Roman" w:cs="Times New Roman"/>
          <w:color w:val="0D0D0D" w:themeColor="text1" w:themeTint="F2"/>
          <w:sz w:val="24"/>
          <w:szCs w:val="24"/>
        </w:rPr>
        <w:t xml:space="preserve">Continuously conduct training on the established standards and procedures for the use of </w:t>
      </w:r>
      <w:r w:rsidR="0011418E" w:rsidRPr="00417A41">
        <w:rPr>
          <w:rFonts w:ascii="Times New Roman" w:hAnsi="Times New Roman" w:cs="Times New Roman"/>
          <w:color w:val="0D0D0D" w:themeColor="text1" w:themeTint="F2"/>
          <w:sz w:val="24"/>
          <w:szCs w:val="24"/>
        </w:rPr>
        <w:t xml:space="preserve">force and </w:t>
      </w:r>
      <w:r w:rsidRPr="00417A41">
        <w:rPr>
          <w:rFonts w:ascii="Times New Roman" w:hAnsi="Times New Roman" w:cs="Times New Roman"/>
          <w:color w:val="0D0D0D" w:themeColor="text1" w:themeTint="F2"/>
          <w:sz w:val="24"/>
          <w:szCs w:val="24"/>
        </w:rPr>
        <w:t>special means.</w:t>
      </w:r>
    </w:p>
    <w:p w14:paraId="6822DE46" w14:textId="77777777" w:rsidR="00D627F7" w:rsidRPr="00263B65" w:rsidRDefault="00D627F7" w:rsidP="00263B65">
      <w:pPr>
        <w:pStyle w:val="ListParagraph"/>
        <w:tabs>
          <w:tab w:val="left" w:pos="360"/>
        </w:tabs>
        <w:ind w:left="0"/>
        <w:jc w:val="both"/>
        <w:rPr>
          <w:rFonts w:ascii="Times New Roman" w:hAnsi="Times New Roman" w:cs="Times New Roman"/>
          <w:color w:val="0D0D0D" w:themeColor="text1" w:themeTint="F2"/>
          <w:sz w:val="24"/>
          <w:szCs w:val="24"/>
        </w:rPr>
      </w:pPr>
    </w:p>
    <w:p w14:paraId="4DD78500" w14:textId="5E1DB8F5" w:rsidR="00D627F7" w:rsidRPr="00263B65" w:rsidRDefault="00D627F7" w:rsidP="00263B65">
      <w:pPr>
        <w:pStyle w:val="ListParagraph"/>
        <w:tabs>
          <w:tab w:val="left" w:pos="360"/>
        </w:tabs>
        <w:ind w:left="0"/>
        <w:jc w:val="both"/>
        <w:rPr>
          <w:rFonts w:ascii="Times New Roman" w:hAnsi="Times New Roman" w:cs="Times New Roman"/>
          <w:color w:val="0D0D0D" w:themeColor="text1" w:themeTint="F2"/>
          <w:sz w:val="24"/>
          <w:szCs w:val="24"/>
        </w:rPr>
      </w:pPr>
      <w:r w:rsidRPr="00263B65">
        <w:rPr>
          <w:rFonts w:ascii="Times New Roman" w:hAnsi="Times New Roman" w:cs="Times New Roman"/>
          <w:color w:val="0D0D0D" w:themeColor="text1" w:themeTint="F2"/>
          <w:sz w:val="24"/>
          <w:szCs w:val="24"/>
        </w:rPr>
        <w:t xml:space="preserve">These details are presented in the </w:t>
      </w:r>
      <w:hyperlink r:id="rId16" w:history="1">
        <w:r w:rsidRPr="00263B65">
          <w:rPr>
            <w:rStyle w:val="Hyperlink"/>
            <w:rFonts w:ascii="Times New Roman" w:hAnsi="Times New Roman" w:cs="Times New Roman"/>
            <w:color w:val="056AD0" w:themeColor="hyperlink" w:themeTint="F2"/>
            <w:sz w:val="24"/>
            <w:szCs w:val="24"/>
          </w:rPr>
          <w:t>2024 Annual Report</w:t>
        </w:r>
      </w:hyperlink>
      <w:r w:rsidRPr="00263B65">
        <w:rPr>
          <w:rFonts w:ascii="Times New Roman" w:hAnsi="Times New Roman" w:cs="Times New Roman"/>
          <w:color w:val="0D0D0D" w:themeColor="text1" w:themeTint="F2"/>
          <w:sz w:val="24"/>
          <w:szCs w:val="24"/>
        </w:rPr>
        <w:t xml:space="preserve">. </w:t>
      </w:r>
    </w:p>
    <w:p w14:paraId="29AB36F8" w14:textId="77777777" w:rsidR="00D627F7" w:rsidRPr="00263B65" w:rsidRDefault="00D627F7" w:rsidP="00263B65">
      <w:pPr>
        <w:pStyle w:val="ListParagraph"/>
        <w:tabs>
          <w:tab w:val="left" w:pos="360"/>
        </w:tabs>
        <w:ind w:left="0"/>
        <w:jc w:val="both"/>
        <w:rPr>
          <w:rFonts w:asciiTheme="majorBidi" w:hAnsiTheme="majorBidi" w:cstheme="majorBidi"/>
          <w:sz w:val="24"/>
          <w:szCs w:val="24"/>
        </w:rPr>
      </w:pPr>
    </w:p>
    <w:p w14:paraId="2E767E61" w14:textId="18AC2282" w:rsidR="0084239C" w:rsidRPr="00263B65" w:rsidRDefault="00906B4B" w:rsidP="00263B65">
      <w:pPr>
        <w:pStyle w:val="ListParagraph"/>
        <w:numPr>
          <w:ilvl w:val="0"/>
          <w:numId w:val="1"/>
        </w:numPr>
        <w:tabs>
          <w:tab w:val="left" w:pos="360"/>
        </w:tabs>
        <w:ind w:left="0" w:firstLine="0"/>
        <w:jc w:val="both"/>
        <w:rPr>
          <w:rFonts w:asciiTheme="majorBidi" w:hAnsiTheme="majorBidi" w:cstheme="majorBidi"/>
          <w:sz w:val="24"/>
          <w:szCs w:val="24"/>
        </w:rPr>
      </w:pPr>
      <w:r w:rsidRPr="00263B65">
        <w:rPr>
          <w:rFonts w:asciiTheme="majorBidi" w:hAnsiTheme="majorBidi" w:cstheme="majorBidi"/>
          <w:sz w:val="24"/>
          <w:szCs w:val="24"/>
        </w:rPr>
        <w:t>The criminal cases related to the post-election events of March 1, 2008, as well as those concerning incidents that took place between February 23 and March 2, including the illegal use of firearms, have been consolidated into a single investigation.</w:t>
      </w:r>
      <w:r w:rsidR="006B441A" w:rsidRPr="00263B65">
        <w:rPr>
          <w:rFonts w:asciiTheme="majorBidi" w:hAnsiTheme="majorBidi" w:cstheme="majorBidi"/>
          <w:sz w:val="24"/>
          <w:szCs w:val="24"/>
        </w:rPr>
        <w:t xml:space="preserve"> In this regard, according to the clarification received from the Prosecutor’s Office, the prosecutor overseeing the legality of the pre-trial investigation instructed the investigating officer to separate ten cases involving torture and abuse of power into new criminal proceedings on January 5, 2024, to ensure a proper and comprehensive examination of the cases, safeguard the interests of justice, and prevent violations of the procedural rights of individuals affected by the alleged offenses. </w:t>
      </w:r>
    </w:p>
    <w:p w14:paraId="472ECD91" w14:textId="4C957C14" w:rsidR="00D60D62" w:rsidRPr="00263B65" w:rsidRDefault="00D60D62" w:rsidP="00263B65">
      <w:pPr>
        <w:pStyle w:val="ListParagraph"/>
        <w:ind w:left="0"/>
        <w:jc w:val="both"/>
        <w:rPr>
          <w:rFonts w:asciiTheme="majorBidi" w:hAnsiTheme="majorBidi" w:cstheme="majorBidi"/>
          <w:sz w:val="24"/>
          <w:szCs w:val="24"/>
        </w:rPr>
      </w:pPr>
    </w:p>
    <w:p w14:paraId="5512A41D" w14:textId="1B59D48A" w:rsidR="00D60D62" w:rsidRPr="00417A41" w:rsidRDefault="000F492D" w:rsidP="00263B65">
      <w:pPr>
        <w:pStyle w:val="ListParagraph"/>
        <w:numPr>
          <w:ilvl w:val="0"/>
          <w:numId w:val="1"/>
        </w:numPr>
        <w:tabs>
          <w:tab w:val="left" w:pos="360"/>
        </w:tabs>
        <w:ind w:left="0" w:firstLine="0"/>
        <w:jc w:val="both"/>
        <w:rPr>
          <w:rFonts w:asciiTheme="majorBidi" w:hAnsiTheme="majorBidi" w:cstheme="majorBidi"/>
          <w:sz w:val="24"/>
          <w:szCs w:val="24"/>
        </w:rPr>
      </w:pPr>
      <w:r w:rsidRPr="00417A41">
        <w:rPr>
          <w:rFonts w:asciiTheme="majorBidi" w:hAnsiTheme="majorBidi" w:cstheme="majorBidi"/>
          <w:sz w:val="24"/>
          <w:szCs w:val="24"/>
        </w:rPr>
        <w:t xml:space="preserve">Pertaining to the events of June 2015, </w:t>
      </w:r>
      <w:r w:rsidR="00EE0DDD" w:rsidRPr="00417A41">
        <w:rPr>
          <w:rFonts w:asciiTheme="majorBidi" w:hAnsiTheme="majorBidi" w:cstheme="majorBidi"/>
          <w:sz w:val="24"/>
          <w:szCs w:val="24"/>
        </w:rPr>
        <w:t xml:space="preserve">the Special Investigation Service of Armenia has initiated criminal proceedings (case N. 62217915) under Articles 309 (Part 2), 164 (Part 2), and 185 (Part 1) of the Criminal Code of Armenia. </w:t>
      </w:r>
      <w:r w:rsidR="002F0CCA" w:rsidRPr="00417A41">
        <w:rPr>
          <w:rFonts w:asciiTheme="majorBidi" w:hAnsiTheme="majorBidi" w:cstheme="majorBidi"/>
          <w:sz w:val="24"/>
          <w:szCs w:val="24"/>
        </w:rPr>
        <w:t>The case involves the us</w:t>
      </w:r>
      <w:r w:rsidR="00D47A2B" w:rsidRPr="00417A41">
        <w:rPr>
          <w:rFonts w:asciiTheme="majorBidi" w:hAnsiTheme="majorBidi" w:cstheme="majorBidi"/>
          <w:sz w:val="24"/>
          <w:szCs w:val="24"/>
        </w:rPr>
        <w:t>e</w:t>
      </w:r>
      <w:r w:rsidR="002F0CCA" w:rsidRPr="00417A41">
        <w:rPr>
          <w:rFonts w:asciiTheme="majorBidi" w:hAnsiTheme="majorBidi" w:cstheme="majorBidi"/>
          <w:sz w:val="24"/>
          <w:szCs w:val="24"/>
        </w:rPr>
        <w:t xml:space="preserve"> of special measures aimed at ending the site-in, abuse of official powers, obstruction of the professional activities of journalists and representatives of mass media by public officials, and the intentional destruction or damage of property. On August 15, 2016, the investigative body decided to separate the case involving the commission of crimes under Articles 164 (Part 2), 164 (Part 1), and 185 (Part 1) of the Criminal Code of Armenia. The separation was made under case number 62221116. A guilty verdict was issued on February 20, 2017, in the case (ԵԿԴ/0219/01/16).</w:t>
      </w:r>
    </w:p>
    <w:p w14:paraId="011C4353" w14:textId="77777777" w:rsidR="002F0CCA" w:rsidRPr="00417A41" w:rsidRDefault="002F0CCA" w:rsidP="00263B65">
      <w:pPr>
        <w:pStyle w:val="ListParagraph"/>
        <w:ind w:left="0"/>
        <w:jc w:val="both"/>
        <w:rPr>
          <w:rFonts w:asciiTheme="majorBidi" w:hAnsiTheme="majorBidi" w:cstheme="majorBidi"/>
          <w:sz w:val="24"/>
          <w:szCs w:val="24"/>
        </w:rPr>
      </w:pPr>
    </w:p>
    <w:p w14:paraId="44C5D9F1" w14:textId="1B07848B" w:rsidR="004A778A" w:rsidRDefault="002F0CCA" w:rsidP="00263B65">
      <w:pPr>
        <w:pStyle w:val="ListParagraph"/>
        <w:numPr>
          <w:ilvl w:val="0"/>
          <w:numId w:val="1"/>
        </w:numPr>
        <w:tabs>
          <w:tab w:val="left" w:pos="360"/>
        </w:tabs>
        <w:ind w:left="0" w:firstLine="0"/>
        <w:jc w:val="both"/>
        <w:rPr>
          <w:rFonts w:asciiTheme="majorBidi" w:hAnsiTheme="majorBidi" w:cstheme="majorBidi"/>
          <w:sz w:val="24"/>
          <w:szCs w:val="24"/>
        </w:rPr>
      </w:pPr>
      <w:r w:rsidRPr="00417A41">
        <w:rPr>
          <w:rFonts w:asciiTheme="majorBidi" w:hAnsiTheme="majorBidi" w:cstheme="majorBidi"/>
          <w:sz w:val="24"/>
          <w:szCs w:val="24"/>
        </w:rPr>
        <w:t>During the July 2015 events, criminal</w:t>
      </w:r>
      <w:r w:rsidRPr="002F0CCA">
        <w:rPr>
          <w:rFonts w:asciiTheme="majorBidi" w:hAnsiTheme="majorBidi" w:cstheme="majorBidi"/>
          <w:sz w:val="24"/>
          <w:szCs w:val="24"/>
        </w:rPr>
        <w:t xml:space="preserve"> proceedings were initiated regarding the injuries of more than 20 journalists caused by the use of police special measures. After these proceedings were suspended and following the exhaustion of domestic remedies in 2021, the Committee to Protect Freedom of Expression submitted complaints on behalf of three affected journalists to international bodies, including the UN Human Rights Committee</w:t>
      </w:r>
      <w:r>
        <w:rPr>
          <w:rFonts w:asciiTheme="majorBidi" w:hAnsiTheme="majorBidi" w:cstheme="majorBidi"/>
          <w:sz w:val="24"/>
          <w:szCs w:val="24"/>
        </w:rPr>
        <w:t>.</w:t>
      </w:r>
    </w:p>
    <w:p w14:paraId="0A7491EE" w14:textId="77777777" w:rsidR="0011418E" w:rsidRDefault="0011418E" w:rsidP="0011418E">
      <w:pPr>
        <w:pStyle w:val="ListParagraph"/>
        <w:tabs>
          <w:tab w:val="left" w:pos="360"/>
        </w:tabs>
        <w:ind w:left="0"/>
        <w:jc w:val="both"/>
        <w:rPr>
          <w:rFonts w:asciiTheme="majorBidi" w:hAnsiTheme="majorBidi" w:cstheme="majorBidi"/>
          <w:sz w:val="24"/>
          <w:szCs w:val="24"/>
        </w:rPr>
      </w:pPr>
    </w:p>
    <w:p w14:paraId="0F9ECBF9" w14:textId="6EDD29F6" w:rsidR="0011418E" w:rsidRPr="0011418E" w:rsidRDefault="0011418E" w:rsidP="0011418E">
      <w:pPr>
        <w:pStyle w:val="ListParagraph"/>
        <w:numPr>
          <w:ilvl w:val="0"/>
          <w:numId w:val="1"/>
        </w:numPr>
        <w:tabs>
          <w:tab w:val="left" w:pos="360"/>
        </w:tabs>
        <w:ind w:left="0" w:firstLine="0"/>
        <w:jc w:val="both"/>
        <w:rPr>
          <w:rFonts w:asciiTheme="majorBidi" w:hAnsiTheme="majorBidi" w:cstheme="majorBidi"/>
          <w:sz w:val="24"/>
          <w:szCs w:val="24"/>
        </w:rPr>
      </w:pPr>
      <w:r w:rsidRPr="00263B65">
        <w:rPr>
          <w:rFonts w:asciiTheme="majorBidi" w:hAnsiTheme="majorBidi" w:cstheme="majorBidi"/>
          <w:sz w:val="24"/>
          <w:szCs w:val="24"/>
        </w:rPr>
        <w:t xml:space="preserve">Regarding the events of July 2016 that occurred in </w:t>
      </w:r>
      <w:proofErr w:type="spellStart"/>
      <w:r w:rsidRPr="00263B65">
        <w:rPr>
          <w:rFonts w:asciiTheme="majorBidi" w:hAnsiTheme="majorBidi" w:cstheme="majorBidi"/>
          <w:sz w:val="24"/>
          <w:szCs w:val="24"/>
        </w:rPr>
        <w:t>Saritagh</w:t>
      </w:r>
      <w:proofErr w:type="spellEnd"/>
      <w:r w:rsidRPr="00263B65">
        <w:rPr>
          <w:rFonts w:asciiTheme="majorBidi" w:hAnsiTheme="majorBidi" w:cstheme="majorBidi"/>
          <w:sz w:val="24"/>
          <w:szCs w:val="24"/>
        </w:rPr>
        <w:t xml:space="preserve"> neighborhood of Yerevan, the Special Investigative Service of Armenia has initiated a criminal case under Article 164 (1) and (3), 308 (1) and 309 (2) of the Criminal Code, concerning obstruction of journalists’ legitimate professional activities, abuse of office by Police officers, and actions involving abuse of authority combined with the use of force. Additionally, extensive investigative and other procedural actions have been implemented out in the criminal case, resulting in 79 individuals being recognized as victims, including 21 journalists and 58 civilians. The case concerning 9 individuals has been forwarded to the court, and 8 of them have been convicted for committing crimes under various articles of the Criminal Code of Armenia. The proceedings of criminal case No. 61205016 were suspended, which was appealed by the victims. Several separate cases have final guilty verdicts.</w:t>
      </w:r>
    </w:p>
    <w:p w14:paraId="007E5A77" w14:textId="77777777" w:rsidR="0011418E" w:rsidRPr="0011418E" w:rsidRDefault="0011418E" w:rsidP="0011418E">
      <w:pPr>
        <w:pStyle w:val="ListParagraph"/>
        <w:tabs>
          <w:tab w:val="left" w:pos="360"/>
        </w:tabs>
        <w:ind w:left="0"/>
        <w:jc w:val="both"/>
        <w:rPr>
          <w:rFonts w:asciiTheme="majorBidi" w:hAnsiTheme="majorBidi" w:cstheme="majorBidi"/>
          <w:sz w:val="24"/>
          <w:szCs w:val="24"/>
        </w:rPr>
      </w:pPr>
    </w:p>
    <w:p w14:paraId="12380F30" w14:textId="601F56CB" w:rsidR="002F0CCA" w:rsidRDefault="00A969B9" w:rsidP="00263B65">
      <w:pPr>
        <w:pStyle w:val="ListParagraph"/>
        <w:numPr>
          <w:ilvl w:val="0"/>
          <w:numId w:val="1"/>
        </w:numPr>
        <w:ind w:left="0" w:firstLine="0"/>
        <w:jc w:val="both"/>
        <w:rPr>
          <w:rFonts w:asciiTheme="majorBidi" w:hAnsiTheme="majorBidi" w:cstheme="majorBidi"/>
          <w:sz w:val="24"/>
          <w:szCs w:val="24"/>
        </w:rPr>
      </w:pPr>
      <w:r w:rsidRPr="004E39BE">
        <w:rPr>
          <w:rFonts w:asciiTheme="majorBidi" w:hAnsiTheme="majorBidi" w:cstheme="majorBidi"/>
          <w:sz w:val="24"/>
          <w:szCs w:val="24"/>
        </w:rPr>
        <w:t xml:space="preserve">According to the information provided by the Prosecutor General's Office, criminal proceedings were initiated regarding the events of April 2018, in connection with the violations of the rules for handling explosives and other hazardous devices, objects, or materials, and causing careless harm to human health at </w:t>
      </w:r>
      <w:proofErr w:type="spellStart"/>
      <w:r w:rsidRPr="004E39BE">
        <w:rPr>
          <w:rFonts w:asciiTheme="majorBidi" w:hAnsiTheme="majorBidi" w:cstheme="majorBidi"/>
          <w:sz w:val="24"/>
          <w:szCs w:val="24"/>
        </w:rPr>
        <w:t>Baghramyan</w:t>
      </w:r>
      <w:proofErr w:type="spellEnd"/>
      <w:r w:rsidRPr="004E39BE">
        <w:rPr>
          <w:rFonts w:asciiTheme="majorBidi" w:hAnsiTheme="majorBidi" w:cstheme="majorBidi"/>
          <w:sz w:val="24"/>
          <w:szCs w:val="24"/>
        </w:rPr>
        <w:t xml:space="preserve"> and Artsakh streets in Yerevan,</w:t>
      </w:r>
      <w:r w:rsidR="004E39BE" w:rsidRPr="004E39BE">
        <w:rPr>
          <w:rFonts w:asciiTheme="majorBidi" w:hAnsiTheme="majorBidi" w:cstheme="majorBidi"/>
          <w:sz w:val="24"/>
          <w:szCs w:val="24"/>
        </w:rPr>
        <w:t xml:space="preserve"> Charges </w:t>
      </w:r>
      <w:r w:rsidRPr="004E39BE">
        <w:rPr>
          <w:rFonts w:asciiTheme="majorBidi" w:hAnsiTheme="majorBidi" w:cstheme="majorBidi"/>
          <w:sz w:val="24"/>
          <w:szCs w:val="24"/>
        </w:rPr>
        <w:t xml:space="preserve">were filed against the former commander of the Police Forces under Articles 309, </w:t>
      </w:r>
      <w:r w:rsidR="004E39BE" w:rsidRPr="004E39BE">
        <w:rPr>
          <w:rFonts w:asciiTheme="majorBidi" w:hAnsiTheme="majorBidi" w:cstheme="majorBidi"/>
          <w:sz w:val="24"/>
          <w:szCs w:val="24"/>
        </w:rPr>
        <w:t>(</w:t>
      </w:r>
      <w:r w:rsidRPr="004E39BE">
        <w:rPr>
          <w:rFonts w:asciiTheme="majorBidi" w:hAnsiTheme="majorBidi" w:cstheme="majorBidi"/>
          <w:sz w:val="24"/>
          <w:szCs w:val="24"/>
        </w:rPr>
        <w:t>Part 2</w:t>
      </w:r>
      <w:r w:rsidR="004E39BE" w:rsidRPr="004E39BE">
        <w:rPr>
          <w:rFonts w:asciiTheme="majorBidi" w:hAnsiTheme="majorBidi" w:cstheme="majorBidi"/>
          <w:sz w:val="24"/>
          <w:szCs w:val="24"/>
        </w:rPr>
        <w:t>)</w:t>
      </w:r>
      <w:r w:rsidRPr="004E39BE">
        <w:rPr>
          <w:rFonts w:asciiTheme="majorBidi" w:hAnsiTheme="majorBidi" w:cstheme="majorBidi"/>
          <w:sz w:val="24"/>
          <w:szCs w:val="24"/>
        </w:rPr>
        <w:t>,</w:t>
      </w:r>
      <w:r w:rsidR="004E39BE" w:rsidRPr="004E39BE">
        <w:rPr>
          <w:rFonts w:asciiTheme="majorBidi" w:hAnsiTheme="majorBidi" w:cstheme="majorBidi"/>
          <w:sz w:val="24"/>
          <w:szCs w:val="24"/>
        </w:rPr>
        <w:t xml:space="preserve"> (</w:t>
      </w:r>
      <w:r w:rsidRPr="004E39BE">
        <w:rPr>
          <w:rFonts w:asciiTheme="majorBidi" w:hAnsiTheme="majorBidi" w:cstheme="majorBidi"/>
          <w:sz w:val="24"/>
          <w:szCs w:val="24"/>
        </w:rPr>
        <w:t>Part 3</w:t>
      </w:r>
      <w:r w:rsidR="004E39BE" w:rsidRPr="004E39BE">
        <w:rPr>
          <w:rFonts w:asciiTheme="majorBidi" w:hAnsiTheme="majorBidi" w:cstheme="majorBidi"/>
          <w:sz w:val="24"/>
          <w:szCs w:val="24"/>
        </w:rPr>
        <w:t>)</w:t>
      </w:r>
      <w:r w:rsidRPr="004E39BE">
        <w:rPr>
          <w:rFonts w:asciiTheme="majorBidi" w:hAnsiTheme="majorBidi" w:cstheme="majorBidi"/>
          <w:sz w:val="24"/>
          <w:szCs w:val="24"/>
        </w:rPr>
        <w:t xml:space="preserve"> of the Criminal Code of Armenia. The case was separated, and on March 19, 2019, it was sent to court with an indictment.</w:t>
      </w:r>
    </w:p>
    <w:p w14:paraId="2D519917" w14:textId="77777777" w:rsidR="004E39BE" w:rsidRDefault="004E39BE" w:rsidP="00263B65">
      <w:pPr>
        <w:pStyle w:val="ListParagraph"/>
        <w:ind w:left="0"/>
        <w:jc w:val="both"/>
        <w:rPr>
          <w:rFonts w:asciiTheme="majorBidi" w:hAnsiTheme="majorBidi" w:cstheme="majorBidi"/>
          <w:sz w:val="24"/>
          <w:szCs w:val="24"/>
        </w:rPr>
      </w:pPr>
    </w:p>
    <w:p w14:paraId="347AB069" w14:textId="78BAA270" w:rsidR="00263B65" w:rsidRPr="005B0BE8" w:rsidRDefault="004E39BE" w:rsidP="00263B65">
      <w:pPr>
        <w:pStyle w:val="ListParagraph"/>
        <w:numPr>
          <w:ilvl w:val="0"/>
          <w:numId w:val="1"/>
        </w:numPr>
        <w:ind w:left="0" w:firstLine="0"/>
        <w:jc w:val="both"/>
        <w:rPr>
          <w:rFonts w:asciiTheme="majorBidi" w:hAnsiTheme="majorBidi" w:cstheme="majorBidi"/>
          <w:sz w:val="24"/>
          <w:szCs w:val="24"/>
        </w:rPr>
      </w:pPr>
      <w:r>
        <w:rPr>
          <w:rFonts w:asciiTheme="majorBidi" w:hAnsiTheme="majorBidi" w:cstheme="majorBidi"/>
          <w:sz w:val="24"/>
          <w:szCs w:val="24"/>
        </w:rPr>
        <w:t>The HRD</w:t>
      </w:r>
      <w:r w:rsidR="00417A41">
        <w:rPr>
          <w:rStyle w:val="CommentReference"/>
          <w:lang w:val="hy-AM"/>
        </w:rPr>
        <w:t xml:space="preserve"> </w:t>
      </w:r>
      <w:r w:rsidR="00417A41" w:rsidRPr="00417A41">
        <w:rPr>
          <w:rStyle w:val="CommentReference"/>
          <w:sz w:val="24"/>
          <w:szCs w:val="24"/>
        </w:rPr>
        <w:t>h</w:t>
      </w:r>
      <w:r w:rsidRPr="00417A41">
        <w:rPr>
          <w:rFonts w:asciiTheme="majorBidi" w:hAnsiTheme="majorBidi" w:cstheme="majorBidi"/>
          <w:sz w:val="24"/>
          <w:szCs w:val="24"/>
        </w:rPr>
        <w:t>i</w:t>
      </w:r>
      <w:r w:rsidR="00417A41">
        <w:rPr>
          <w:rFonts w:asciiTheme="majorBidi" w:hAnsiTheme="majorBidi" w:cstheme="majorBidi"/>
          <w:sz w:val="24"/>
          <w:szCs w:val="24"/>
        </w:rPr>
        <w:t>ghlights</w:t>
      </w:r>
      <w:r>
        <w:rPr>
          <w:rFonts w:asciiTheme="majorBidi" w:hAnsiTheme="majorBidi" w:cstheme="majorBidi"/>
          <w:sz w:val="24"/>
          <w:szCs w:val="24"/>
        </w:rPr>
        <w:t xml:space="preserve"> that </w:t>
      </w:r>
      <w:r w:rsidRPr="004E39BE">
        <w:rPr>
          <w:rFonts w:asciiTheme="majorBidi" w:hAnsiTheme="majorBidi" w:cstheme="majorBidi"/>
          <w:sz w:val="24"/>
          <w:szCs w:val="24"/>
        </w:rPr>
        <w:t xml:space="preserve">progress has been made on the statements and complaints submitted by 104 citizens regarding mistreatment and violence by law enforcement officers, including violations of the rights of two minors and cases of </w:t>
      </w:r>
      <w:r>
        <w:rPr>
          <w:rFonts w:asciiTheme="majorBidi" w:hAnsiTheme="majorBidi" w:cstheme="majorBidi"/>
          <w:sz w:val="24"/>
          <w:szCs w:val="24"/>
        </w:rPr>
        <w:t xml:space="preserve">damages caused to vehicles. Furthermore, </w:t>
      </w:r>
      <w:r w:rsidRPr="004E39BE">
        <w:rPr>
          <w:rFonts w:asciiTheme="majorBidi" w:hAnsiTheme="majorBidi" w:cstheme="majorBidi"/>
          <w:sz w:val="24"/>
          <w:szCs w:val="24"/>
        </w:rPr>
        <w:t>12 internal investigations and 10 reviews were conducted by the Internal Security Department</w:t>
      </w:r>
      <w:r>
        <w:rPr>
          <w:rFonts w:asciiTheme="majorBidi" w:hAnsiTheme="majorBidi" w:cstheme="majorBidi"/>
          <w:sz w:val="24"/>
          <w:szCs w:val="24"/>
        </w:rPr>
        <w:t xml:space="preserve"> of the Police</w:t>
      </w:r>
      <w:r w:rsidRPr="004E39BE">
        <w:rPr>
          <w:rFonts w:asciiTheme="majorBidi" w:hAnsiTheme="majorBidi" w:cstheme="majorBidi"/>
          <w:sz w:val="24"/>
          <w:szCs w:val="24"/>
        </w:rPr>
        <w:t xml:space="preserve">. Based on the results of two internal investigations, two police officers were issued a 'warning'. The results of one internal investigation were left without action. The materials of another </w:t>
      </w:r>
      <w:r w:rsidRPr="005B0BE8">
        <w:rPr>
          <w:rFonts w:asciiTheme="majorBidi" w:hAnsiTheme="majorBidi" w:cstheme="majorBidi"/>
          <w:sz w:val="24"/>
          <w:szCs w:val="24"/>
        </w:rPr>
        <w:t>internal investigation were sent to the Yerevan Police Department. All of the investigations concluded with no further action.</w:t>
      </w:r>
    </w:p>
    <w:p w14:paraId="61CE8CA7" w14:textId="77777777" w:rsidR="00263B65" w:rsidRPr="005B0BE8" w:rsidRDefault="00263B65" w:rsidP="00263B65">
      <w:pPr>
        <w:pStyle w:val="ListParagraph"/>
        <w:rPr>
          <w:rFonts w:asciiTheme="majorBidi" w:hAnsiTheme="majorBidi" w:cstheme="majorBidi"/>
          <w:sz w:val="24"/>
          <w:szCs w:val="24"/>
        </w:rPr>
      </w:pPr>
    </w:p>
    <w:p w14:paraId="20E7C0AD" w14:textId="471CBC90" w:rsidR="00FE4197" w:rsidRPr="005B0BE8" w:rsidRDefault="00FE4197" w:rsidP="00263B65">
      <w:pPr>
        <w:pStyle w:val="ListParagraph"/>
        <w:numPr>
          <w:ilvl w:val="0"/>
          <w:numId w:val="1"/>
        </w:numPr>
        <w:ind w:left="0" w:firstLine="0"/>
        <w:jc w:val="both"/>
        <w:rPr>
          <w:rFonts w:asciiTheme="majorBidi" w:hAnsiTheme="majorBidi" w:cstheme="majorBidi"/>
          <w:sz w:val="24"/>
          <w:szCs w:val="24"/>
        </w:rPr>
      </w:pPr>
      <w:r w:rsidRPr="005B0BE8">
        <w:rPr>
          <w:rFonts w:asciiTheme="majorBidi" w:hAnsiTheme="majorBidi" w:cstheme="majorBidi"/>
          <w:sz w:val="24"/>
          <w:szCs w:val="24"/>
        </w:rPr>
        <w:t>In this regard, inquiries were addressed to the competent state authorities; it was registered that on April 22, 2018, a criminal case (No. 62212818) was initiated by the Special Investigative Service of Armenia under Articles 164, Part 3, 308, Part 1, and 309, Part 2 of the Criminal Code of Armenia. This case was joined with seven other criminal cases concerning the abuse of official powers by officers of the Armenian Police, the use of violence in the exercise of those powers, and the obstruction of a journalist’s lawful professional activities.</w:t>
      </w:r>
    </w:p>
    <w:p w14:paraId="4B3C6566" w14:textId="77777777" w:rsidR="004E39BE" w:rsidRPr="004E39BE" w:rsidRDefault="004E39BE" w:rsidP="00263B65">
      <w:pPr>
        <w:pStyle w:val="ListParagraph"/>
        <w:ind w:left="0"/>
        <w:jc w:val="both"/>
        <w:rPr>
          <w:rFonts w:asciiTheme="majorBidi" w:hAnsiTheme="majorBidi" w:cstheme="majorBidi"/>
          <w:sz w:val="24"/>
          <w:szCs w:val="24"/>
        </w:rPr>
      </w:pPr>
    </w:p>
    <w:p w14:paraId="685620FC" w14:textId="71D8B861" w:rsidR="004E39BE" w:rsidRDefault="004E39BE" w:rsidP="00263B65">
      <w:pPr>
        <w:pStyle w:val="ListParagraph"/>
        <w:numPr>
          <w:ilvl w:val="0"/>
          <w:numId w:val="1"/>
        </w:numPr>
        <w:ind w:left="0" w:firstLine="0"/>
        <w:jc w:val="both"/>
        <w:rPr>
          <w:rFonts w:asciiTheme="majorBidi" w:hAnsiTheme="majorBidi" w:cstheme="majorBidi"/>
          <w:sz w:val="24"/>
          <w:szCs w:val="24"/>
        </w:rPr>
      </w:pPr>
      <w:r>
        <w:rPr>
          <w:rFonts w:asciiTheme="majorBidi" w:hAnsiTheme="majorBidi" w:cstheme="majorBidi"/>
          <w:sz w:val="24"/>
          <w:szCs w:val="24"/>
        </w:rPr>
        <w:t xml:space="preserve">During the events, a total of </w:t>
      </w:r>
      <w:r w:rsidRPr="004E39BE">
        <w:rPr>
          <w:rFonts w:asciiTheme="majorBidi" w:hAnsiTheme="majorBidi" w:cstheme="majorBidi"/>
          <w:sz w:val="24"/>
          <w:szCs w:val="24"/>
        </w:rPr>
        <w:t>1,283</w:t>
      </w:r>
      <w:r>
        <w:rPr>
          <w:rFonts w:asciiTheme="majorBidi" w:hAnsiTheme="majorBidi" w:cstheme="majorBidi"/>
          <w:sz w:val="24"/>
          <w:szCs w:val="24"/>
        </w:rPr>
        <w:t xml:space="preserve"> persons were taken to Police divisions</w:t>
      </w:r>
      <w:r w:rsidR="00DF796E">
        <w:rPr>
          <w:rFonts w:asciiTheme="majorBidi" w:hAnsiTheme="majorBidi" w:cstheme="majorBidi"/>
          <w:sz w:val="24"/>
          <w:szCs w:val="24"/>
        </w:rPr>
        <w:t xml:space="preserve">; administrative proceedings were initiated against 918 individuals. </w:t>
      </w:r>
      <w:r w:rsidR="00DF796E" w:rsidRPr="00DF796E">
        <w:rPr>
          <w:rFonts w:asciiTheme="majorBidi" w:hAnsiTheme="majorBidi" w:cstheme="majorBidi"/>
          <w:sz w:val="24"/>
          <w:szCs w:val="24"/>
        </w:rPr>
        <w:t>The majority of these cases were initiated under Articles 182 and 180</w:t>
      </w:r>
      <w:r w:rsidR="00DF796E">
        <w:rPr>
          <w:rFonts w:asciiTheme="majorBidi" w:hAnsiTheme="majorBidi" w:cstheme="majorBidi"/>
          <w:sz w:val="24"/>
          <w:szCs w:val="24"/>
        </w:rPr>
        <w:t>(</w:t>
      </w:r>
      <w:r w:rsidR="00DF796E" w:rsidRPr="00DF796E">
        <w:rPr>
          <w:rFonts w:asciiTheme="majorBidi" w:hAnsiTheme="majorBidi" w:cstheme="majorBidi"/>
          <w:sz w:val="24"/>
          <w:szCs w:val="24"/>
        </w:rPr>
        <w:t>1</w:t>
      </w:r>
      <w:r w:rsidR="00DF796E">
        <w:rPr>
          <w:rFonts w:asciiTheme="majorBidi" w:hAnsiTheme="majorBidi" w:cstheme="majorBidi"/>
          <w:sz w:val="24"/>
          <w:szCs w:val="24"/>
        </w:rPr>
        <w:t xml:space="preserve">) </w:t>
      </w:r>
      <w:r w:rsidR="00DF796E" w:rsidRPr="00DF796E">
        <w:rPr>
          <w:rFonts w:asciiTheme="majorBidi" w:hAnsiTheme="majorBidi" w:cstheme="majorBidi"/>
          <w:sz w:val="24"/>
          <w:szCs w:val="24"/>
        </w:rPr>
        <w:t>of the Administrative Offenses Code of Armenia, and in 365 cases, the involvement of the latter in mass disorders was checked in accordance with the procedure established by the Criminal Procedure Code of the Republic of Armenia. 123 of those detained were minors.</w:t>
      </w:r>
    </w:p>
    <w:p w14:paraId="35BFBA70" w14:textId="77777777" w:rsidR="00DF796E" w:rsidRPr="00DF796E" w:rsidRDefault="00DF796E" w:rsidP="00263B65">
      <w:pPr>
        <w:pStyle w:val="ListParagraph"/>
        <w:ind w:left="0"/>
        <w:jc w:val="both"/>
        <w:rPr>
          <w:rFonts w:asciiTheme="majorBidi" w:hAnsiTheme="majorBidi" w:cstheme="majorBidi"/>
          <w:sz w:val="24"/>
          <w:szCs w:val="24"/>
        </w:rPr>
      </w:pPr>
    </w:p>
    <w:p w14:paraId="73C7EA6B" w14:textId="3A1DED16" w:rsidR="00A969B9" w:rsidRDefault="00DF796E" w:rsidP="00263B65">
      <w:pPr>
        <w:pStyle w:val="ListParagraph"/>
        <w:numPr>
          <w:ilvl w:val="0"/>
          <w:numId w:val="1"/>
        </w:numPr>
        <w:ind w:left="0" w:firstLine="0"/>
        <w:jc w:val="both"/>
        <w:rPr>
          <w:rFonts w:asciiTheme="majorBidi" w:hAnsiTheme="majorBidi" w:cstheme="majorBidi"/>
          <w:sz w:val="24"/>
          <w:szCs w:val="24"/>
        </w:rPr>
      </w:pPr>
      <w:r w:rsidRPr="001007CA">
        <w:rPr>
          <w:rFonts w:asciiTheme="majorBidi" w:hAnsiTheme="majorBidi" w:cstheme="majorBidi"/>
          <w:sz w:val="24"/>
          <w:szCs w:val="24"/>
        </w:rPr>
        <w:t xml:space="preserve">The monitoring </w:t>
      </w:r>
      <w:r w:rsidR="00101FB3" w:rsidRPr="001007CA">
        <w:rPr>
          <w:rFonts w:asciiTheme="majorBidi" w:hAnsiTheme="majorBidi" w:cstheme="majorBidi"/>
          <w:sz w:val="24"/>
          <w:szCs w:val="24"/>
        </w:rPr>
        <w:t xml:space="preserve">and fact-finding activities </w:t>
      </w:r>
      <w:r w:rsidRPr="001007CA">
        <w:rPr>
          <w:rFonts w:asciiTheme="majorBidi" w:hAnsiTheme="majorBidi" w:cstheme="majorBidi"/>
          <w:sz w:val="24"/>
          <w:szCs w:val="24"/>
        </w:rPr>
        <w:t xml:space="preserve">conducted by </w:t>
      </w:r>
      <w:r w:rsidR="00101FB3" w:rsidRPr="001007CA">
        <w:rPr>
          <w:rFonts w:asciiTheme="majorBidi" w:hAnsiTheme="majorBidi" w:cstheme="majorBidi"/>
          <w:sz w:val="24"/>
          <w:szCs w:val="24"/>
        </w:rPr>
        <w:t>the HRD has registered cases of undue interference</w:t>
      </w:r>
      <w:r w:rsidR="00866985" w:rsidRPr="001007CA">
        <w:rPr>
          <w:rFonts w:asciiTheme="majorBidi" w:hAnsiTheme="majorBidi" w:cstheme="majorBidi"/>
          <w:sz w:val="24"/>
          <w:szCs w:val="24"/>
        </w:rPr>
        <w:t xml:space="preserve"> with participants of assemblies, and in certain cases violations of the right to peaceful assembly. For example, in 2023, the HRD received complaints regarding the activities implemented by the Police, aimed at preventing the installation of a tent in a meeting place by the </w:t>
      </w:r>
      <w:r w:rsidR="001007CA" w:rsidRPr="001007CA">
        <w:rPr>
          <w:rFonts w:asciiTheme="majorBidi" w:hAnsiTheme="majorBidi" w:cstheme="majorBidi"/>
          <w:sz w:val="24"/>
          <w:szCs w:val="24"/>
        </w:rPr>
        <w:t>participants</w:t>
      </w:r>
      <w:r w:rsidR="00866985" w:rsidRPr="001007CA">
        <w:rPr>
          <w:rFonts w:asciiTheme="majorBidi" w:hAnsiTheme="majorBidi" w:cstheme="majorBidi"/>
          <w:sz w:val="24"/>
          <w:szCs w:val="24"/>
        </w:rPr>
        <w:t xml:space="preserve"> of a protest. </w:t>
      </w:r>
      <w:r w:rsidR="001007CA">
        <w:rPr>
          <w:rFonts w:asciiTheme="majorBidi" w:hAnsiTheme="majorBidi" w:cstheme="majorBidi"/>
          <w:sz w:val="24"/>
          <w:szCs w:val="24"/>
        </w:rPr>
        <w:t>Police officers did not allow the protesters to install a tent, and administrative proceedings were initiated against them in this regard</w:t>
      </w:r>
      <w:r w:rsidR="00362262">
        <w:rPr>
          <w:rFonts w:asciiTheme="majorBidi" w:hAnsiTheme="majorBidi" w:cstheme="majorBidi"/>
          <w:sz w:val="24"/>
          <w:szCs w:val="24"/>
        </w:rPr>
        <w:t>; the protesters were subjected to</w:t>
      </w:r>
      <w:r w:rsidR="001007CA">
        <w:rPr>
          <w:rFonts w:asciiTheme="majorBidi" w:hAnsiTheme="majorBidi" w:cstheme="majorBidi"/>
          <w:sz w:val="24"/>
          <w:szCs w:val="24"/>
        </w:rPr>
        <w:t xml:space="preserve"> </w:t>
      </w:r>
      <w:r w:rsidR="00362262">
        <w:rPr>
          <w:rFonts w:asciiTheme="majorBidi" w:hAnsiTheme="majorBidi" w:cstheme="majorBidi"/>
          <w:sz w:val="24"/>
          <w:szCs w:val="24"/>
        </w:rPr>
        <w:t xml:space="preserve">administrative arrest and the tents were confiscated. </w:t>
      </w:r>
    </w:p>
    <w:p w14:paraId="448871CF" w14:textId="77777777" w:rsidR="00362262" w:rsidRPr="00362262" w:rsidRDefault="00362262" w:rsidP="00263B65">
      <w:pPr>
        <w:pStyle w:val="ListParagraph"/>
        <w:ind w:left="0"/>
        <w:jc w:val="both"/>
        <w:rPr>
          <w:rFonts w:asciiTheme="majorBidi" w:hAnsiTheme="majorBidi" w:cstheme="majorBidi"/>
          <w:sz w:val="24"/>
          <w:szCs w:val="24"/>
        </w:rPr>
      </w:pPr>
    </w:p>
    <w:p w14:paraId="28D6690A" w14:textId="0C64F7E2" w:rsidR="00362262" w:rsidRDefault="00362262" w:rsidP="00263B65">
      <w:pPr>
        <w:pStyle w:val="ListParagraph"/>
        <w:numPr>
          <w:ilvl w:val="0"/>
          <w:numId w:val="1"/>
        </w:numPr>
        <w:ind w:left="0" w:firstLine="0"/>
        <w:jc w:val="both"/>
        <w:rPr>
          <w:rFonts w:asciiTheme="majorBidi" w:hAnsiTheme="majorBidi" w:cstheme="majorBidi"/>
          <w:sz w:val="24"/>
          <w:szCs w:val="24"/>
        </w:rPr>
      </w:pPr>
      <w:r>
        <w:rPr>
          <w:rFonts w:asciiTheme="majorBidi" w:hAnsiTheme="majorBidi" w:cstheme="majorBidi"/>
          <w:sz w:val="24"/>
          <w:szCs w:val="24"/>
        </w:rPr>
        <w:t xml:space="preserve">Taking into consideration the national legislation of Armenia and </w:t>
      </w:r>
      <w:r w:rsidRPr="00362262">
        <w:rPr>
          <w:rFonts w:asciiTheme="majorBidi" w:hAnsiTheme="majorBidi" w:cstheme="majorBidi"/>
          <w:sz w:val="24"/>
          <w:szCs w:val="24"/>
        </w:rPr>
        <w:t>international legal documents and practice, domestic and the European Court</w:t>
      </w:r>
      <w:r>
        <w:rPr>
          <w:rFonts w:asciiTheme="majorBidi" w:hAnsiTheme="majorBidi" w:cstheme="majorBidi"/>
          <w:sz w:val="24"/>
          <w:szCs w:val="24"/>
        </w:rPr>
        <w:t xml:space="preserve"> </w:t>
      </w:r>
      <w:r w:rsidRPr="00362262">
        <w:rPr>
          <w:rFonts w:asciiTheme="majorBidi" w:hAnsiTheme="majorBidi" w:cstheme="majorBidi"/>
          <w:sz w:val="24"/>
          <w:szCs w:val="24"/>
        </w:rPr>
        <w:t>of Human Rights’ (ECtHR) jurisprudence,</w:t>
      </w:r>
      <w:r w:rsidR="00213DDC">
        <w:rPr>
          <w:rFonts w:asciiTheme="majorBidi" w:hAnsiTheme="majorBidi" w:cstheme="majorBidi"/>
          <w:sz w:val="24"/>
          <w:szCs w:val="24"/>
        </w:rPr>
        <w:t xml:space="preserve"> the HRD published a decision, underlying that the right of freedom of assembly of the protesters were violated as a result of the measures undertaken by the Police which prevented the installation of the tent by the participants of the assembly in this specific situation which was considered by the HRD and the clarifications which were provided by the law enforcement bodies in this regard. </w:t>
      </w:r>
    </w:p>
    <w:p w14:paraId="72E41F0E" w14:textId="77777777" w:rsidR="00213DDC" w:rsidRPr="00213DDC" w:rsidRDefault="00213DDC" w:rsidP="00263B65">
      <w:pPr>
        <w:pStyle w:val="ListParagraph"/>
        <w:ind w:left="0"/>
        <w:jc w:val="both"/>
        <w:rPr>
          <w:rFonts w:asciiTheme="majorBidi" w:hAnsiTheme="majorBidi" w:cstheme="majorBidi"/>
          <w:sz w:val="24"/>
          <w:szCs w:val="24"/>
        </w:rPr>
      </w:pPr>
    </w:p>
    <w:p w14:paraId="18864A7B" w14:textId="2CCB1B40" w:rsidR="00213DDC" w:rsidRDefault="00202CF0" w:rsidP="00263B65">
      <w:pPr>
        <w:pStyle w:val="ListParagraph"/>
        <w:numPr>
          <w:ilvl w:val="0"/>
          <w:numId w:val="1"/>
        </w:numPr>
        <w:ind w:left="0" w:firstLine="0"/>
        <w:jc w:val="both"/>
        <w:rPr>
          <w:rFonts w:asciiTheme="majorBidi" w:hAnsiTheme="majorBidi" w:cstheme="majorBidi"/>
          <w:sz w:val="24"/>
          <w:szCs w:val="24"/>
        </w:rPr>
      </w:pPr>
      <w:r>
        <w:rPr>
          <w:rFonts w:asciiTheme="majorBidi" w:hAnsiTheme="majorBidi" w:cstheme="majorBidi"/>
          <w:sz w:val="24"/>
          <w:szCs w:val="24"/>
        </w:rPr>
        <w:t xml:space="preserve">During 2024, </w:t>
      </w:r>
      <w:r w:rsidR="00604DF1">
        <w:rPr>
          <w:rFonts w:asciiTheme="majorBidi" w:hAnsiTheme="majorBidi" w:cstheme="majorBidi"/>
          <w:sz w:val="24"/>
          <w:szCs w:val="24"/>
        </w:rPr>
        <w:t xml:space="preserve">the monitoring and fact-finding activities </w:t>
      </w:r>
      <w:r w:rsidR="008F2A61">
        <w:rPr>
          <w:rFonts w:asciiTheme="majorBidi" w:hAnsiTheme="majorBidi" w:cstheme="majorBidi"/>
          <w:sz w:val="24"/>
          <w:szCs w:val="24"/>
        </w:rPr>
        <w:t>implemented</w:t>
      </w:r>
      <w:r w:rsidR="00604DF1">
        <w:rPr>
          <w:rFonts w:asciiTheme="majorBidi" w:hAnsiTheme="majorBidi" w:cstheme="majorBidi"/>
          <w:sz w:val="24"/>
          <w:szCs w:val="24"/>
        </w:rPr>
        <w:t xml:space="preserve"> by the HRD</w:t>
      </w:r>
      <w:r w:rsidR="008F2A61">
        <w:rPr>
          <w:rFonts w:asciiTheme="majorBidi" w:hAnsiTheme="majorBidi" w:cstheme="majorBidi"/>
          <w:sz w:val="24"/>
          <w:szCs w:val="24"/>
        </w:rPr>
        <w:t xml:space="preserve">, and the visits conducted by the rapid response groups to Police stations, cases of disproportionate use of force by law enforcement bodies were registered. </w:t>
      </w:r>
      <w:r w:rsidR="00CE3B36">
        <w:rPr>
          <w:rFonts w:asciiTheme="majorBidi" w:hAnsiTheme="majorBidi" w:cstheme="majorBidi"/>
          <w:sz w:val="24"/>
          <w:szCs w:val="24"/>
        </w:rPr>
        <w:t xml:space="preserve">The private conversations conducted with persons deprived of their liberty stated that Police officers had used disproportionate force; in certain </w:t>
      </w:r>
      <w:r w:rsidR="003D40F7">
        <w:rPr>
          <w:rFonts w:asciiTheme="majorBidi" w:hAnsiTheme="majorBidi" w:cstheme="majorBidi"/>
          <w:sz w:val="24"/>
          <w:szCs w:val="24"/>
        </w:rPr>
        <w:t>cases,</w:t>
      </w:r>
      <w:r w:rsidR="00CE3B36">
        <w:rPr>
          <w:rFonts w:asciiTheme="majorBidi" w:hAnsiTheme="majorBidi" w:cstheme="majorBidi"/>
          <w:sz w:val="24"/>
          <w:szCs w:val="24"/>
        </w:rPr>
        <w:t xml:space="preserve"> Police officers did not present any legal demands to the protesters, but stated that the reason for their arrest was mentioned </w:t>
      </w:r>
      <w:r w:rsidR="003D40F7" w:rsidRPr="008F2A61">
        <w:rPr>
          <w:rFonts w:asciiTheme="majorBidi" w:hAnsiTheme="majorBidi" w:cstheme="majorBidi"/>
          <w:sz w:val="24"/>
          <w:szCs w:val="24"/>
        </w:rPr>
        <w:t>their non-fulfilment of the demands of the Police officers</w:t>
      </w:r>
      <w:r w:rsidR="003D40F7">
        <w:rPr>
          <w:rFonts w:asciiTheme="majorBidi" w:hAnsiTheme="majorBidi" w:cstheme="majorBidi"/>
          <w:sz w:val="24"/>
          <w:szCs w:val="24"/>
        </w:rPr>
        <w:t xml:space="preserve">. Furthermore, information has been registered by the HRD </w:t>
      </w:r>
      <w:r w:rsidR="00D47A2B">
        <w:rPr>
          <w:rFonts w:asciiTheme="majorBidi" w:hAnsiTheme="majorBidi" w:cstheme="majorBidi"/>
          <w:sz w:val="24"/>
          <w:szCs w:val="24"/>
        </w:rPr>
        <w:t>about the use of disproportionate force by Police officers on persons who were already arrested, when they were already under their custody.</w:t>
      </w:r>
    </w:p>
    <w:p w14:paraId="16EC92E1" w14:textId="77777777" w:rsidR="003D40F7" w:rsidRPr="003D40F7" w:rsidRDefault="003D40F7" w:rsidP="00263B65">
      <w:pPr>
        <w:pStyle w:val="ListParagraph"/>
        <w:ind w:left="0"/>
        <w:jc w:val="both"/>
        <w:rPr>
          <w:rFonts w:asciiTheme="majorBidi" w:hAnsiTheme="majorBidi" w:cstheme="majorBidi"/>
          <w:sz w:val="24"/>
          <w:szCs w:val="24"/>
        </w:rPr>
      </w:pPr>
    </w:p>
    <w:p w14:paraId="32D28A3D" w14:textId="104E7EA6" w:rsidR="005A629E" w:rsidRDefault="00B22873" w:rsidP="00263B65">
      <w:pPr>
        <w:pStyle w:val="ListParagraph"/>
        <w:numPr>
          <w:ilvl w:val="0"/>
          <w:numId w:val="1"/>
        </w:numPr>
        <w:ind w:left="0" w:firstLine="0"/>
        <w:jc w:val="both"/>
        <w:rPr>
          <w:rFonts w:asciiTheme="majorBidi" w:hAnsiTheme="majorBidi" w:cstheme="majorBidi"/>
          <w:sz w:val="24"/>
          <w:szCs w:val="24"/>
        </w:rPr>
      </w:pPr>
      <w:r>
        <w:rPr>
          <w:rFonts w:asciiTheme="majorBidi" w:hAnsiTheme="majorBidi" w:cstheme="majorBidi"/>
          <w:sz w:val="24"/>
          <w:szCs w:val="24"/>
        </w:rPr>
        <w:t>Cases of the use of special measures by the Police was also registered by the HRD in 2024. In particular, sound grandees were used by the Police during protests and assemblies</w:t>
      </w:r>
      <w:r w:rsidR="00D25BD6">
        <w:rPr>
          <w:rFonts w:asciiTheme="majorBidi" w:hAnsiTheme="majorBidi" w:cstheme="majorBidi"/>
          <w:sz w:val="24"/>
          <w:szCs w:val="24"/>
        </w:rPr>
        <w:t>,</w:t>
      </w:r>
      <w:r w:rsidR="00D25BD6" w:rsidRPr="00D25BD6">
        <w:t xml:space="preserve"> </w:t>
      </w:r>
      <w:r w:rsidR="00D25BD6">
        <w:rPr>
          <w:rFonts w:asciiTheme="majorBidi" w:hAnsiTheme="majorBidi" w:cstheme="majorBidi"/>
          <w:sz w:val="24"/>
          <w:szCs w:val="24"/>
        </w:rPr>
        <w:t>a</w:t>
      </w:r>
      <w:r w:rsidR="00D25BD6" w:rsidRPr="00D25BD6">
        <w:rPr>
          <w:rFonts w:asciiTheme="majorBidi" w:hAnsiTheme="majorBidi" w:cstheme="majorBidi"/>
          <w:sz w:val="24"/>
          <w:szCs w:val="24"/>
        </w:rPr>
        <w:t xml:space="preserve">s a result, a group of citizens received </w:t>
      </w:r>
      <w:r w:rsidR="00D25BD6">
        <w:rPr>
          <w:rFonts w:asciiTheme="majorBidi" w:hAnsiTheme="majorBidi" w:cstheme="majorBidi"/>
          <w:sz w:val="24"/>
          <w:szCs w:val="24"/>
        </w:rPr>
        <w:t>physical</w:t>
      </w:r>
      <w:r w:rsidR="00D25BD6" w:rsidRPr="00D25BD6">
        <w:rPr>
          <w:rFonts w:asciiTheme="majorBidi" w:hAnsiTheme="majorBidi" w:cstheme="majorBidi"/>
          <w:sz w:val="24"/>
          <w:szCs w:val="24"/>
        </w:rPr>
        <w:t xml:space="preserve"> injuries and were </w:t>
      </w:r>
      <w:r w:rsidR="00D25BD6">
        <w:rPr>
          <w:rFonts w:asciiTheme="majorBidi" w:hAnsiTheme="majorBidi" w:cstheme="majorBidi"/>
          <w:sz w:val="24"/>
          <w:szCs w:val="24"/>
        </w:rPr>
        <w:t>transported to medical institutions</w:t>
      </w:r>
      <w:r w:rsidR="00D25BD6" w:rsidRPr="00D25BD6">
        <w:rPr>
          <w:rFonts w:asciiTheme="majorBidi" w:hAnsiTheme="majorBidi" w:cstheme="majorBidi"/>
          <w:sz w:val="24"/>
          <w:szCs w:val="24"/>
        </w:rPr>
        <w:t>.</w:t>
      </w:r>
      <w:r>
        <w:rPr>
          <w:rFonts w:asciiTheme="majorBidi" w:hAnsiTheme="majorBidi" w:cstheme="majorBidi"/>
          <w:sz w:val="24"/>
          <w:szCs w:val="24"/>
        </w:rPr>
        <w:t xml:space="preserve"> </w:t>
      </w:r>
      <w:r w:rsidR="009A0B41">
        <w:rPr>
          <w:rFonts w:asciiTheme="majorBidi" w:hAnsiTheme="majorBidi" w:cstheme="majorBidi"/>
          <w:sz w:val="24"/>
          <w:szCs w:val="24"/>
        </w:rPr>
        <w:t xml:space="preserve">In this regard, the HRD requested the proper examination of the legality of the use of the special measures by the competent state bodies. Furthermore, it should be highlighted that criminal proceedings have been initiated in this regard, although </w:t>
      </w:r>
      <w:r w:rsidR="009A0B41" w:rsidRPr="009A0B41">
        <w:rPr>
          <w:rFonts w:asciiTheme="majorBidi" w:hAnsiTheme="majorBidi" w:cstheme="majorBidi"/>
          <w:sz w:val="24"/>
          <w:szCs w:val="24"/>
        </w:rPr>
        <w:t>no public criminal prosecution was initiated</w:t>
      </w:r>
      <w:r w:rsidR="009A0B41">
        <w:rPr>
          <w:rFonts w:asciiTheme="majorBidi" w:hAnsiTheme="majorBidi" w:cstheme="majorBidi"/>
          <w:sz w:val="24"/>
          <w:szCs w:val="24"/>
        </w:rPr>
        <w:t xml:space="preserve"> against Police </w:t>
      </w:r>
      <w:r w:rsidR="00952F63">
        <w:rPr>
          <w:rFonts w:asciiTheme="majorBidi" w:hAnsiTheme="majorBidi" w:cstheme="majorBidi"/>
          <w:sz w:val="24"/>
          <w:szCs w:val="24"/>
        </w:rPr>
        <w:t>officers;</w:t>
      </w:r>
      <w:r w:rsidR="009A0B41">
        <w:rPr>
          <w:rFonts w:asciiTheme="majorBidi" w:hAnsiTheme="majorBidi" w:cstheme="majorBidi"/>
          <w:sz w:val="24"/>
          <w:szCs w:val="24"/>
        </w:rPr>
        <w:t xml:space="preserve"> The HRD has recommended that the examination should be conducted in a rapid manner, and in case of violation, those responsible should be held accountable.</w:t>
      </w:r>
    </w:p>
    <w:p w14:paraId="520E0E17" w14:textId="77777777" w:rsidR="005A629E" w:rsidRPr="005A629E" w:rsidRDefault="005A629E" w:rsidP="005A629E">
      <w:pPr>
        <w:pStyle w:val="ListParagraph"/>
        <w:rPr>
          <w:rFonts w:asciiTheme="majorBidi" w:hAnsiTheme="majorBidi" w:cstheme="majorBidi"/>
          <w:sz w:val="24"/>
          <w:szCs w:val="24"/>
        </w:rPr>
      </w:pPr>
    </w:p>
    <w:p w14:paraId="078C6ADB" w14:textId="29D38643" w:rsidR="00D25BD6" w:rsidRPr="005A629E" w:rsidRDefault="00486436" w:rsidP="00263B65">
      <w:pPr>
        <w:pStyle w:val="ListParagraph"/>
        <w:numPr>
          <w:ilvl w:val="0"/>
          <w:numId w:val="1"/>
        </w:numPr>
        <w:ind w:left="0" w:firstLine="0"/>
        <w:jc w:val="both"/>
        <w:rPr>
          <w:rFonts w:asciiTheme="majorBidi" w:hAnsiTheme="majorBidi" w:cstheme="majorBidi"/>
          <w:sz w:val="24"/>
          <w:szCs w:val="24"/>
        </w:rPr>
      </w:pPr>
      <w:r w:rsidRPr="005A629E">
        <w:rPr>
          <w:rFonts w:asciiTheme="majorBidi" w:hAnsiTheme="majorBidi" w:cstheme="majorBidi"/>
          <w:sz w:val="24"/>
          <w:szCs w:val="24"/>
        </w:rPr>
        <w:t>To clarify the illegality of the actions of Police officers during the rallies held in 2024, including the circumstances of the use of disproportionate physical force, 33 disciplinary proceedings were conducted at the Internal Security and Anti-Corruption Department of the Ministry of Internal Affairs; 18 of which were suspended until the final procedural acts in criminal proceedings initiated regarding the same incidents enter into legal force, while 15 remain pending.</w:t>
      </w:r>
    </w:p>
    <w:p w14:paraId="1C0A7060" w14:textId="77777777" w:rsidR="00F415FF" w:rsidRPr="00F415FF" w:rsidRDefault="00F415FF" w:rsidP="00263B65">
      <w:pPr>
        <w:pStyle w:val="ListParagraph"/>
        <w:ind w:left="0"/>
        <w:jc w:val="both"/>
        <w:rPr>
          <w:rFonts w:asciiTheme="majorBidi" w:hAnsiTheme="majorBidi" w:cstheme="majorBidi"/>
          <w:sz w:val="24"/>
          <w:szCs w:val="24"/>
        </w:rPr>
      </w:pPr>
    </w:p>
    <w:p w14:paraId="256E85A9" w14:textId="313FBDF3" w:rsidR="00F415FF" w:rsidRDefault="00146946" w:rsidP="00263B65">
      <w:pPr>
        <w:pStyle w:val="ListParagraph"/>
        <w:numPr>
          <w:ilvl w:val="0"/>
          <w:numId w:val="1"/>
        </w:numPr>
        <w:ind w:left="0" w:firstLine="0"/>
        <w:jc w:val="both"/>
        <w:rPr>
          <w:rFonts w:asciiTheme="majorBidi" w:hAnsiTheme="majorBidi" w:cstheme="majorBidi"/>
          <w:sz w:val="24"/>
          <w:szCs w:val="24"/>
        </w:rPr>
      </w:pPr>
      <w:r>
        <w:rPr>
          <w:rFonts w:asciiTheme="majorBidi" w:hAnsiTheme="majorBidi" w:cstheme="majorBidi"/>
          <w:sz w:val="24"/>
          <w:szCs w:val="24"/>
        </w:rPr>
        <w:t xml:space="preserve">The HRD also notes that cases of obstruction of the professional activities of journalists and mass media representatives, their targeting and violence against them were also registered during protests and assemblies. These acts are inadmissible and the HRD has urged the competent authorities to properly investigate the cases that might indicate the obstruction of the professional activities. </w:t>
      </w:r>
    </w:p>
    <w:p w14:paraId="06112731" w14:textId="77777777" w:rsidR="0019464C" w:rsidRPr="0019464C" w:rsidRDefault="0019464C" w:rsidP="00263B65">
      <w:pPr>
        <w:pStyle w:val="ListParagraph"/>
        <w:ind w:left="0"/>
        <w:jc w:val="both"/>
        <w:rPr>
          <w:rFonts w:asciiTheme="majorBidi" w:hAnsiTheme="majorBidi" w:cstheme="majorBidi"/>
          <w:sz w:val="24"/>
          <w:szCs w:val="24"/>
        </w:rPr>
      </w:pPr>
    </w:p>
    <w:p w14:paraId="7566DBF4" w14:textId="73E3E6E9" w:rsidR="0019464C" w:rsidRDefault="007D7C94" w:rsidP="00263B65">
      <w:pPr>
        <w:pStyle w:val="ListParagraph"/>
        <w:numPr>
          <w:ilvl w:val="0"/>
          <w:numId w:val="1"/>
        </w:numPr>
        <w:ind w:left="0" w:firstLine="0"/>
        <w:jc w:val="both"/>
        <w:rPr>
          <w:rFonts w:asciiTheme="majorBidi" w:hAnsiTheme="majorBidi" w:cstheme="majorBidi"/>
          <w:sz w:val="24"/>
          <w:szCs w:val="24"/>
        </w:rPr>
      </w:pPr>
      <w:r>
        <w:rPr>
          <w:rFonts w:asciiTheme="majorBidi" w:hAnsiTheme="majorBidi" w:cstheme="majorBidi"/>
          <w:sz w:val="24"/>
          <w:szCs w:val="24"/>
        </w:rPr>
        <w:t xml:space="preserve">The HRD has also registered cases where lawyers were not allowed to enter Police departments and administrative buildings of the investigative bodies for the provision of legal; assistance for persons who were deprived of their liberty during protests and assemblies. Additionally, access to lawyers to provide legal assistance to minors who had been deprived of their liberty during protests were also registered. The HRD highlights that the </w:t>
      </w:r>
      <w:r w:rsidRPr="007D7C94">
        <w:rPr>
          <w:rFonts w:asciiTheme="majorBidi" w:hAnsiTheme="majorBidi" w:cstheme="majorBidi"/>
          <w:sz w:val="24"/>
          <w:szCs w:val="24"/>
        </w:rPr>
        <w:t xml:space="preserve">Criminal Code of Armenia </w:t>
      </w:r>
      <w:r>
        <w:rPr>
          <w:rFonts w:asciiTheme="majorBidi" w:hAnsiTheme="majorBidi" w:cstheme="majorBidi"/>
          <w:sz w:val="24"/>
          <w:szCs w:val="24"/>
        </w:rPr>
        <w:t xml:space="preserve">provides for criminal </w:t>
      </w:r>
      <w:r w:rsidRPr="007D7C94">
        <w:rPr>
          <w:rFonts w:asciiTheme="majorBidi" w:hAnsiTheme="majorBidi" w:cstheme="majorBidi"/>
          <w:sz w:val="24"/>
          <w:szCs w:val="24"/>
        </w:rPr>
        <w:t xml:space="preserve">responsibility for obstructing the exercise of the attorney's powers. In particular, Article 491 of the Criminal Code </w:t>
      </w:r>
      <w:r>
        <w:rPr>
          <w:rFonts w:asciiTheme="majorBidi" w:hAnsiTheme="majorBidi" w:cstheme="majorBidi"/>
          <w:sz w:val="24"/>
          <w:szCs w:val="24"/>
        </w:rPr>
        <w:t>provides</w:t>
      </w:r>
      <w:r w:rsidRPr="007D7C94">
        <w:rPr>
          <w:rFonts w:asciiTheme="majorBidi" w:hAnsiTheme="majorBidi" w:cstheme="majorBidi"/>
          <w:sz w:val="24"/>
          <w:szCs w:val="24"/>
        </w:rPr>
        <w:t>: "Obstructing the exercise of a lawyer's powers, if this is manifested by illegally not allowing the lawyer to enter any place of deprivation of liberty in order to see his client...".</w:t>
      </w:r>
    </w:p>
    <w:p w14:paraId="31EBA035" w14:textId="77777777" w:rsidR="007D7C94" w:rsidRPr="007D7C94" w:rsidRDefault="007D7C94" w:rsidP="00263B65">
      <w:pPr>
        <w:pStyle w:val="ListParagraph"/>
        <w:ind w:left="0"/>
        <w:jc w:val="both"/>
        <w:rPr>
          <w:rFonts w:asciiTheme="majorBidi" w:hAnsiTheme="majorBidi" w:cstheme="majorBidi"/>
          <w:sz w:val="24"/>
          <w:szCs w:val="24"/>
        </w:rPr>
      </w:pPr>
    </w:p>
    <w:p w14:paraId="5895C822" w14:textId="77777777" w:rsidR="004B75C9" w:rsidRPr="004B75C9" w:rsidRDefault="004B75C9" w:rsidP="00263B65">
      <w:pPr>
        <w:pStyle w:val="ListParagraph"/>
        <w:ind w:left="0"/>
        <w:jc w:val="both"/>
        <w:rPr>
          <w:rFonts w:asciiTheme="majorBidi" w:hAnsiTheme="majorBidi" w:cstheme="majorBidi"/>
          <w:sz w:val="24"/>
          <w:szCs w:val="24"/>
        </w:rPr>
      </w:pPr>
    </w:p>
    <w:p w14:paraId="373DCAB1" w14:textId="0514A0D6" w:rsidR="004B75C9" w:rsidRDefault="00F325B8" w:rsidP="00263B65">
      <w:pPr>
        <w:jc w:val="both"/>
        <w:rPr>
          <w:rFonts w:asciiTheme="majorBidi" w:hAnsiTheme="majorBidi" w:cstheme="majorBidi"/>
          <w:b/>
          <w:bCs/>
          <w:sz w:val="24"/>
          <w:szCs w:val="24"/>
          <w:u w:val="single"/>
        </w:rPr>
      </w:pPr>
      <w:r>
        <w:rPr>
          <w:rFonts w:asciiTheme="majorBidi" w:hAnsiTheme="majorBidi" w:cstheme="majorBidi"/>
          <w:b/>
          <w:bCs/>
          <w:sz w:val="24"/>
          <w:szCs w:val="24"/>
          <w:u w:val="single"/>
        </w:rPr>
        <w:t>Participation in Public Affairs</w:t>
      </w:r>
    </w:p>
    <w:p w14:paraId="6A67808F" w14:textId="3FB430FE" w:rsidR="00F325B8" w:rsidRDefault="00F325B8" w:rsidP="00263B65">
      <w:pPr>
        <w:jc w:val="both"/>
        <w:rPr>
          <w:rFonts w:asciiTheme="majorBidi" w:hAnsiTheme="majorBidi" w:cstheme="majorBidi"/>
          <w:i/>
          <w:iCs/>
          <w:sz w:val="24"/>
          <w:szCs w:val="24"/>
        </w:rPr>
      </w:pPr>
      <w:r w:rsidRPr="00F325B8">
        <w:rPr>
          <w:rFonts w:asciiTheme="majorBidi" w:hAnsiTheme="majorBidi" w:cstheme="majorBidi"/>
          <w:i/>
          <w:iCs/>
          <w:sz w:val="24"/>
          <w:szCs w:val="24"/>
        </w:rPr>
        <w:t>Follow-up information related to paragraph 4</w:t>
      </w:r>
      <w:r>
        <w:rPr>
          <w:rFonts w:asciiTheme="majorBidi" w:hAnsiTheme="majorBidi" w:cstheme="majorBidi"/>
          <w:i/>
          <w:iCs/>
          <w:sz w:val="24"/>
          <w:szCs w:val="24"/>
        </w:rPr>
        <w:t>2</w:t>
      </w:r>
    </w:p>
    <w:p w14:paraId="16ECA3D5" w14:textId="52EBA5BF" w:rsidR="00F325B8" w:rsidRDefault="00F325B8" w:rsidP="00263B65">
      <w:pPr>
        <w:pStyle w:val="ListParagraph"/>
        <w:numPr>
          <w:ilvl w:val="0"/>
          <w:numId w:val="1"/>
        </w:numPr>
        <w:spacing w:after="0" w:line="240" w:lineRule="auto"/>
        <w:ind w:left="0" w:firstLine="0"/>
        <w:jc w:val="both"/>
        <w:rPr>
          <w:rFonts w:asciiTheme="majorBidi" w:hAnsiTheme="majorBidi" w:cstheme="majorBidi"/>
          <w:sz w:val="24"/>
          <w:szCs w:val="24"/>
        </w:rPr>
      </w:pPr>
      <w:r w:rsidRPr="00F325B8">
        <w:rPr>
          <w:rFonts w:asciiTheme="majorBidi" w:hAnsiTheme="majorBidi" w:cstheme="majorBidi"/>
          <w:sz w:val="24"/>
          <w:szCs w:val="24"/>
        </w:rPr>
        <w:t xml:space="preserve">The results of the </w:t>
      </w:r>
      <w:r w:rsidR="0072618D">
        <w:rPr>
          <w:rFonts w:asciiTheme="majorBidi" w:hAnsiTheme="majorBidi" w:cstheme="majorBidi"/>
          <w:sz w:val="24"/>
          <w:szCs w:val="24"/>
        </w:rPr>
        <w:t>HRD’s</w:t>
      </w:r>
      <w:r w:rsidRPr="00F325B8">
        <w:rPr>
          <w:rFonts w:asciiTheme="majorBidi" w:hAnsiTheme="majorBidi" w:cstheme="majorBidi"/>
          <w:sz w:val="24"/>
          <w:szCs w:val="24"/>
        </w:rPr>
        <w:t xml:space="preserve"> monitoring indicate that there are a number of </w:t>
      </w:r>
      <w:r w:rsidRPr="00EA3893">
        <w:rPr>
          <w:rFonts w:asciiTheme="majorBidi" w:hAnsiTheme="majorBidi" w:cstheme="majorBidi"/>
          <w:sz w:val="24"/>
          <w:szCs w:val="24"/>
        </w:rPr>
        <w:t>systemic issues regarding the provision of the right of persons with disabilities to participate in political and public life. These issues primarily concern the accessibility of election precincts, the accessibility of information and communication related to elections, conducting public discussions of draft legal acts in formats accessible to persons with disabilities,</w:t>
      </w:r>
      <w:r w:rsidR="00EA3893">
        <w:rPr>
          <w:rFonts w:asciiTheme="majorBidi" w:hAnsiTheme="majorBidi" w:cstheme="majorBidi"/>
          <w:sz w:val="24"/>
          <w:szCs w:val="24"/>
        </w:rPr>
        <w:t xml:space="preserve"> etc.</w:t>
      </w:r>
    </w:p>
    <w:p w14:paraId="5B02EC30" w14:textId="77777777" w:rsidR="00EA3893" w:rsidRDefault="00EA3893" w:rsidP="00263B65">
      <w:pPr>
        <w:pStyle w:val="ListParagraph"/>
        <w:spacing w:after="0" w:line="240" w:lineRule="auto"/>
        <w:ind w:left="0"/>
        <w:jc w:val="both"/>
        <w:rPr>
          <w:rFonts w:asciiTheme="majorBidi" w:hAnsiTheme="majorBidi" w:cstheme="majorBidi"/>
          <w:sz w:val="24"/>
          <w:szCs w:val="24"/>
        </w:rPr>
      </w:pPr>
    </w:p>
    <w:p w14:paraId="64756810" w14:textId="59D7CC14" w:rsidR="00EA3893" w:rsidRDefault="00EA3893" w:rsidP="00263B65">
      <w:pPr>
        <w:pStyle w:val="ListParagraph"/>
        <w:numPr>
          <w:ilvl w:val="0"/>
          <w:numId w:val="1"/>
        </w:numPr>
        <w:spacing w:after="0" w:line="240" w:lineRule="auto"/>
        <w:ind w:left="0" w:firstLine="0"/>
        <w:jc w:val="both"/>
        <w:rPr>
          <w:rFonts w:asciiTheme="majorBidi" w:hAnsiTheme="majorBidi" w:cstheme="majorBidi"/>
          <w:sz w:val="24"/>
          <w:szCs w:val="24"/>
        </w:rPr>
      </w:pPr>
      <w:r w:rsidRPr="00EA3893">
        <w:rPr>
          <w:rFonts w:asciiTheme="majorBidi" w:hAnsiTheme="majorBidi" w:cstheme="majorBidi"/>
          <w:sz w:val="24"/>
          <w:szCs w:val="24"/>
        </w:rPr>
        <w:t>For example, public discussions of draft legal acts are, as a rule,</w:t>
      </w:r>
      <w:r>
        <w:rPr>
          <w:rFonts w:asciiTheme="majorBidi" w:hAnsiTheme="majorBidi" w:cstheme="majorBidi"/>
          <w:sz w:val="24"/>
          <w:szCs w:val="24"/>
        </w:rPr>
        <w:t xml:space="preserve"> </w:t>
      </w:r>
      <w:r w:rsidRPr="00EA3893">
        <w:rPr>
          <w:rFonts w:asciiTheme="majorBidi" w:hAnsiTheme="majorBidi" w:cstheme="majorBidi"/>
          <w:sz w:val="24"/>
          <w:szCs w:val="24"/>
        </w:rPr>
        <w:t>implemented by publishing them on the unified website for publishing draft legal acts, which is</w:t>
      </w:r>
      <w:r>
        <w:rPr>
          <w:rFonts w:asciiTheme="majorBidi" w:hAnsiTheme="majorBidi" w:cstheme="majorBidi"/>
          <w:sz w:val="24"/>
          <w:szCs w:val="24"/>
        </w:rPr>
        <w:t xml:space="preserve"> </w:t>
      </w:r>
      <w:r w:rsidRPr="00EA3893">
        <w:rPr>
          <w:rFonts w:asciiTheme="majorBidi" w:hAnsiTheme="majorBidi" w:cstheme="majorBidi"/>
          <w:sz w:val="24"/>
          <w:szCs w:val="24"/>
        </w:rPr>
        <w:t xml:space="preserve">managed by the Ministry of Justice. However, within the framework of monitoring the </w:t>
      </w:r>
      <w:r w:rsidR="0072618D">
        <w:rPr>
          <w:rFonts w:asciiTheme="majorBidi" w:hAnsiTheme="majorBidi" w:cstheme="majorBidi"/>
          <w:sz w:val="24"/>
          <w:szCs w:val="24"/>
        </w:rPr>
        <w:t>HRD</w:t>
      </w:r>
      <w:r w:rsidRPr="00EA3893">
        <w:rPr>
          <w:rFonts w:asciiTheme="majorBidi" w:hAnsiTheme="majorBidi" w:cstheme="majorBidi"/>
          <w:sz w:val="24"/>
          <w:szCs w:val="24"/>
        </w:rPr>
        <w:t>, it has been registered that the unified website for publishing draft legal acts,</w:t>
      </w:r>
      <w:r>
        <w:rPr>
          <w:rFonts w:asciiTheme="majorBidi" w:hAnsiTheme="majorBidi" w:cstheme="majorBidi"/>
          <w:sz w:val="24"/>
          <w:szCs w:val="24"/>
        </w:rPr>
        <w:t xml:space="preserve"> </w:t>
      </w:r>
      <w:r w:rsidRPr="00EA3893">
        <w:rPr>
          <w:rFonts w:asciiTheme="majorBidi" w:hAnsiTheme="majorBidi" w:cstheme="majorBidi"/>
          <w:sz w:val="24"/>
          <w:szCs w:val="24"/>
        </w:rPr>
        <w:t>the e-draft.am, is not accessible to persons with disabilities. Thus, it is problematic to conduct</w:t>
      </w:r>
      <w:r>
        <w:rPr>
          <w:rFonts w:asciiTheme="majorBidi" w:hAnsiTheme="majorBidi" w:cstheme="majorBidi"/>
          <w:sz w:val="24"/>
          <w:szCs w:val="24"/>
        </w:rPr>
        <w:t xml:space="preserve"> </w:t>
      </w:r>
      <w:r w:rsidRPr="00EA3893">
        <w:rPr>
          <w:rFonts w:asciiTheme="majorBidi" w:hAnsiTheme="majorBidi" w:cstheme="majorBidi"/>
          <w:sz w:val="24"/>
          <w:szCs w:val="24"/>
        </w:rPr>
        <w:t>public discussion of draft legal acts only through which are not accessible to persons with</w:t>
      </w:r>
      <w:r>
        <w:rPr>
          <w:rFonts w:asciiTheme="majorBidi" w:hAnsiTheme="majorBidi" w:cstheme="majorBidi"/>
          <w:sz w:val="24"/>
          <w:szCs w:val="24"/>
        </w:rPr>
        <w:t xml:space="preserve"> </w:t>
      </w:r>
      <w:r w:rsidRPr="00EA3893">
        <w:rPr>
          <w:rFonts w:asciiTheme="majorBidi" w:hAnsiTheme="majorBidi" w:cstheme="majorBidi"/>
          <w:sz w:val="24"/>
          <w:szCs w:val="24"/>
        </w:rPr>
        <w:t>Disabilities.</w:t>
      </w:r>
    </w:p>
    <w:p w14:paraId="00280339" w14:textId="77777777" w:rsidR="00EA3893" w:rsidRPr="00EA3893" w:rsidRDefault="00EA3893" w:rsidP="00263B65">
      <w:pPr>
        <w:pStyle w:val="ListParagraph"/>
        <w:ind w:left="0"/>
        <w:jc w:val="both"/>
        <w:rPr>
          <w:rFonts w:asciiTheme="majorBidi" w:hAnsiTheme="majorBidi" w:cstheme="majorBidi"/>
          <w:sz w:val="24"/>
          <w:szCs w:val="24"/>
        </w:rPr>
      </w:pPr>
    </w:p>
    <w:p w14:paraId="793C1992" w14:textId="5E3B1872" w:rsidR="00EA3893" w:rsidRPr="00EA3893" w:rsidRDefault="00EA3893" w:rsidP="00263B65">
      <w:pPr>
        <w:pStyle w:val="ListParagraph"/>
        <w:numPr>
          <w:ilvl w:val="0"/>
          <w:numId w:val="1"/>
        </w:numPr>
        <w:spacing w:after="0" w:line="240" w:lineRule="auto"/>
        <w:ind w:left="0" w:firstLine="0"/>
        <w:jc w:val="both"/>
        <w:rPr>
          <w:rFonts w:asciiTheme="majorBidi" w:hAnsiTheme="majorBidi" w:cstheme="majorBidi"/>
          <w:sz w:val="24"/>
          <w:szCs w:val="24"/>
        </w:rPr>
      </w:pPr>
      <w:r w:rsidRPr="00EA3893">
        <w:rPr>
          <w:rFonts w:asciiTheme="majorBidi" w:hAnsiTheme="majorBidi" w:cstheme="majorBidi"/>
          <w:sz w:val="24"/>
          <w:szCs w:val="24"/>
        </w:rPr>
        <w:t>A problematic issue is that, according to the Part 4 of the Article 48 of the Constitution, a</w:t>
      </w:r>
    </w:p>
    <w:p w14:paraId="11ADF20C" w14:textId="77777777" w:rsidR="00EA3893" w:rsidRPr="00EA3893" w:rsidRDefault="00EA3893" w:rsidP="00263B65">
      <w:pPr>
        <w:pStyle w:val="ListParagraph"/>
        <w:spacing w:after="0" w:line="240" w:lineRule="auto"/>
        <w:ind w:left="0"/>
        <w:jc w:val="both"/>
        <w:rPr>
          <w:rFonts w:asciiTheme="majorBidi" w:hAnsiTheme="majorBidi" w:cstheme="majorBidi"/>
          <w:sz w:val="24"/>
          <w:szCs w:val="24"/>
        </w:rPr>
      </w:pPr>
      <w:r w:rsidRPr="00EA3893">
        <w:rPr>
          <w:rFonts w:asciiTheme="majorBidi" w:hAnsiTheme="majorBidi" w:cstheme="majorBidi"/>
          <w:sz w:val="24"/>
          <w:szCs w:val="24"/>
        </w:rPr>
        <w:t>person who has been recognized as incapacitated by the decision of the court which has entered</w:t>
      </w:r>
    </w:p>
    <w:p w14:paraId="61010BA1" w14:textId="140F36EE" w:rsidR="00EA3893" w:rsidRDefault="00EA3893" w:rsidP="00263B65">
      <w:pPr>
        <w:pStyle w:val="ListParagraph"/>
        <w:spacing w:after="0" w:line="240" w:lineRule="auto"/>
        <w:ind w:left="0"/>
        <w:jc w:val="both"/>
        <w:rPr>
          <w:rFonts w:asciiTheme="majorBidi" w:hAnsiTheme="majorBidi" w:cstheme="majorBidi"/>
          <w:sz w:val="24"/>
          <w:szCs w:val="24"/>
        </w:rPr>
      </w:pPr>
      <w:r w:rsidRPr="00EA3893">
        <w:rPr>
          <w:rFonts w:asciiTheme="majorBidi" w:hAnsiTheme="majorBidi" w:cstheme="majorBidi"/>
          <w:sz w:val="24"/>
          <w:szCs w:val="24"/>
        </w:rPr>
        <w:t>into legal force, do not have the right to elect or be elected or participate in a referendum.</w:t>
      </w:r>
    </w:p>
    <w:p w14:paraId="26BB11E4" w14:textId="71AA31F7" w:rsidR="00EA3893" w:rsidRDefault="00EA3893" w:rsidP="00263B65">
      <w:pPr>
        <w:pStyle w:val="ListParagraph"/>
        <w:spacing w:after="0" w:line="240" w:lineRule="auto"/>
        <w:ind w:left="0"/>
        <w:jc w:val="both"/>
        <w:rPr>
          <w:rFonts w:asciiTheme="majorBidi" w:hAnsiTheme="majorBidi" w:cstheme="majorBidi"/>
          <w:sz w:val="24"/>
          <w:szCs w:val="24"/>
        </w:rPr>
      </w:pPr>
    </w:p>
    <w:p w14:paraId="55F52CE8" w14:textId="2494668F" w:rsidR="00EA3893" w:rsidRPr="00EA3893" w:rsidRDefault="00EA3893" w:rsidP="00263B65">
      <w:pPr>
        <w:pStyle w:val="NormalWeb"/>
        <w:numPr>
          <w:ilvl w:val="0"/>
          <w:numId w:val="1"/>
        </w:numPr>
        <w:spacing w:before="0" w:beforeAutospacing="0" w:after="0" w:afterAutospacing="0"/>
        <w:ind w:left="0" w:firstLine="0"/>
        <w:jc w:val="both"/>
      </w:pPr>
      <w:r>
        <w:rPr>
          <w:color w:val="000000"/>
          <w:shd w:val="clear" w:color="auto" w:fill="FFFFFF"/>
        </w:rPr>
        <w:t>Problems with the accessibility of polling stations were also recorded. For instance, during the regular elections for the Yerevan Council of Elders on September 17, 2023, a list of accessible polling stations, along with an interactive map, was published on the website of the Central Election Commission. However, as a result of monitoring visits conducted by the Defender’s representatives, it became clear that the overwhelming majority of polling stations listed were not accessible for persons with mobility difficulties. </w:t>
      </w:r>
    </w:p>
    <w:p w14:paraId="6C2F478D" w14:textId="6CD8D0A0" w:rsidR="00EA3893" w:rsidRDefault="00EA3893" w:rsidP="00263B65">
      <w:pPr>
        <w:pStyle w:val="NormalWeb"/>
        <w:spacing w:before="0" w:beforeAutospacing="0" w:after="0" w:afterAutospacing="0"/>
        <w:jc w:val="both"/>
        <w:rPr>
          <w:color w:val="000000"/>
          <w:shd w:val="clear" w:color="auto" w:fill="FFFFFF"/>
        </w:rPr>
      </w:pPr>
    </w:p>
    <w:p w14:paraId="335FD672" w14:textId="014D4E50" w:rsidR="00EA3893" w:rsidRPr="00EA3893" w:rsidRDefault="00EA3893" w:rsidP="00263B65">
      <w:pPr>
        <w:pStyle w:val="ListParagraph"/>
        <w:numPr>
          <w:ilvl w:val="0"/>
          <w:numId w:val="1"/>
        </w:numPr>
        <w:spacing w:after="0" w:line="240" w:lineRule="auto"/>
        <w:ind w:left="0" w:firstLine="0"/>
        <w:jc w:val="both"/>
        <w:rPr>
          <w:rFonts w:ascii="Times New Roman" w:eastAsia="Times New Roman" w:hAnsi="Times New Roman" w:cs="Times New Roman"/>
          <w:sz w:val="24"/>
          <w:szCs w:val="24"/>
        </w:rPr>
      </w:pPr>
      <w:r w:rsidRPr="00EA3893">
        <w:rPr>
          <w:rFonts w:ascii="Times New Roman" w:eastAsia="Times New Roman" w:hAnsi="Times New Roman" w:cs="Times New Roman"/>
          <w:color w:val="000000"/>
          <w:sz w:val="24"/>
          <w:szCs w:val="24"/>
          <w:shd w:val="clear" w:color="auto" w:fill="FFFFFF"/>
        </w:rPr>
        <w:t>The monitoring also recorded several environmental obstacles (for example, the absence of nearby bus stops, the lack of ramps on the road leading to the polling stations, and the absence of proper road crossings), which made it impossible for persons with disabilities to independently reach and enter the polling stations without additional assistance, as well as to move around inside.</w:t>
      </w:r>
    </w:p>
    <w:p w14:paraId="7EB2A30F" w14:textId="77777777" w:rsidR="00EA3893" w:rsidRPr="00EA3893" w:rsidRDefault="00EA3893" w:rsidP="00263B65">
      <w:pPr>
        <w:spacing w:after="0" w:line="240" w:lineRule="auto"/>
        <w:jc w:val="both"/>
        <w:rPr>
          <w:rFonts w:ascii="Times New Roman" w:eastAsia="Times New Roman" w:hAnsi="Times New Roman" w:cs="Times New Roman"/>
          <w:sz w:val="24"/>
          <w:szCs w:val="24"/>
        </w:rPr>
      </w:pPr>
    </w:p>
    <w:p w14:paraId="6F4F3ECF" w14:textId="77777777" w:rsidR="005A629E" w:rsidRPr="005A629E" w:rsidRDefault="00EA3893" w:rsidP="00263B65">
      <w:pPr>
        <w:pStyle w:val="ListParagraph"/>
        <w:numPr>
          <w:ilvl w:val="0"/>
          <w:numId w:val="1"/>
        </w:numPr>
        <w:spacing w:after="0" w:line="240" w:lineRule="auto"/>
        <w:ind w:left="0" w:firstLine="0"/>
        <w:jc w:val="both"/>
        <w:rPr>
          <w:rFonts w:ascii="Times New Roman" w:eastAsia="Times New Roman" w:hAnsi="Times New Roman" w:cs="Times New Roman"/>
          <w:sz w:val="24"/>
          <w:szCs w:val="24"/>
        </w:rPr>
      </w:pPr>
      <w:r w:rsidRPr="00EA3893">
        <w:rPr>
          <w:rFonts w:ascii="Times New Roman" w:eastAsia="Times New Roman" w:hAnsi="Times New Roman" w:cs="Times New Roman"/>
          <w:color w:val="000000"/>
          <w:sz w:val="24"/>
          <w:szCs w:val="24"/>
          <w:shd w:val="clear" w:color="auto" w:fill="FFFFFF"/>
        </w:rPr>
        <w:t xml:space="preserve">The Defender has raised concerns regarding these issues in her 2023 annual report, </w:t>
      </w:r>
      <w:r w:rsidRPr="005A629E">
        <w:rPr>
          <w:rFonts w:ascii="Times New Roman" w:eastAsia="Times New Roman" w:hAnsi="Times New Roman" w:cs="Times New Roman"/>
          <w:color w:val="000000"/>
          <w:sz w:val="24"/>
          <w:szCs w:val="24"/>
          <w:shd w:val="clear" w:color="auto" w:fill="FFFFFF"/>
        </w:rPr>
        <w:t>providing recommendations to ensure the accessibility of all elections and public discussions for persons with disabilities. The report also highlights the need for reforms in the institution of incapacity to guarantee the realization of the right to vote on an equal basis for all.</w:t>
      </w:r>
      <w:r w:rsidR="009C320C" w:rsidRPr="005A629E">
        <w:rPr>
          <w:rFonts w:ascii="Times New Roman" w:eastAsia="Times New Roman" w:hAnsi="Times New Roman" w:cs="Times New Roman"/>
          <w:color w:val="000000"/>
          <w:sz w:val="24"/>
          <w:szCs w:val="24"/>
          <w:shd w:val="clear" w:color="auto" w:fill="FFFFFF"/>
          <w:lang w:val="hy-AM"/>
        </w:rPr>
        <w:t xml:space="preserve"> </w:t>
      </w:r>
    </w:p>
    <w:p w14:paraId="4E297EF7" w14:textId="77777777" w:rsidR="005A629E" w:rsidRPr="005A629E" w:rsidRDefault="005A629E" w:rsidP="005A629E">
      <w:pPr>
        <w:pStyle w:val="ListParagraph"/>
        <w:rPr>
          <w:rFonts w:ascii="Times New Roman" w:eastAsia="Times New Roman" w:hAnsi="Times New Roman" w:cs="Times New Roman"/>
          <w:color w:val="0D0D0D" w:themeColor="text1" w:themeTint="F2"/>
          <w:sz w:val="24"/>
          <w:szCs w:val="24"/>
        </w:rPr>
      </w:pPr>
    </w:p>
    <w:p w14:paraId="6318B4C9" w14:textId="77777777" w:rsidR="005A629E" w:rsidRPr="005A629E" w:rsidRDefault="002F06BC" w:rsidP="00263B65">
      <w:pPr>
        <w:pStyle w:val="ListParagraph"/>
        <w:numPr>
          <w:ilvl w:val="0"/>
          <w:numId w:val="1"/>
        </w:numPr>
        <w:spacing w:after="0" w:line="240" w:lineRule="auto"/>
        <w:ind w:left="0" w:firstLine="0"/>
        <w:jc w:val="both"/>
        <w:rPr>
          <w:rFonts w:ascii="Times New Roman" w:eastAsia="Times New Roman" w:hAnsi="Times New Roman" w:cs="Times New Roman"/>
          <w:sz w:val="24"/>
          <w:szCs w:val="24"/>
        </w:rPr>
      </w:pPr>
      <w:r w:rsidRPr="005A629E">
        <w:rPr>
          <w:rFonts w:ascii="Times New Roman" w:eastAsia="Times New Roman" w:hAnsi="Times New Roman" w:cs="Times New Roman"/>
          <w:color w:val="0D0D0D" w:themeColor="text1" w:themeTint="F2"/>
          <w:sz w:val="24"/>
          <w:szCs w:val="24"/>
        </w:rPr>
        <w:t>The Defender highlighted in the 2024 report the need to implement effective frameworks to ensure accessibility in the construction and reconstruction of buildings and structures, including monitoring mechanisms to prevent the inaccessibility of newly built and reconstructed facilities. The report emphasized the continuation of developing educational programs and specialist training for accessibility, as well as establishing measures for the reconstruction of public and industrial structures with proper financial planning and monitoring. It also underlined the importance of ensuring physical environment accessibility in Armenia’s regions, introducing legislative changes to guarantee transport accessibility for individuals with disabilities, and promoting equal opportunities for persons with disabilities in employment, healthcare, and education.</w:t>
      </w:r>
    </w:p>
    <w:p w14:paraId="45DC5D02" w14:textId="77777777" w:rsidR="005A629E" w:rsidRPr="005A629E" w:rsidRDefault="005A629E" w:rsidP="005A629E">
      <w:pPr>
        <w:pStyle w:val="ListParagraph"/>
        <w:rPr>
          <w:rFonts w:ascii="Times New Roman" w:eastAsia="Times New Roman" w:hAnsi="Times New Roman" w:cs="Times New Roman"/>
          <w:sz w:val="24"/>
          <w:szCs w:val="24"/>
        </w:rPr>
      </w:pPr>
    </w:p>
    <w:p w14:paraId="54C87340" w14:textId="27D79882" w:rsidR="00EA3893" w:rsidRPr="005A629E" w:rsidRDefault="005A629E" w:rsidP="00263B65">
      <w:pPr>
        <w:pStyle w:val="ListParagraph"/>
        <w:numPr>
          <w:ilvl w:val="0"/>
          <w:numId w:val="1"/>
        </w:numPr>
        <w:spacing w:after="0" w:line="240" w:lineRule="auto"/>
        <w:ind w:left="0" w:firstLine="0"/>
        <w:jc w:val="both"/>
        <w:rPr>
          <w:rFonts w:ascii="Times New Roman" w:eastAsia="Times New Roman" w:hAnsi="Times New Roman" w:cs="Times New Roman"/>
          <w:sz w:val="24"/>
          <w:szCs w:val="24"/>
        </w:rPr>
      </w:pPr>
      <w:r w:rsidRPr="005A629E">
        <w:rPr>
          <w:rFonts w:ascii="Times New Roman" w:eastAsia="Times New Roman" w:hAnsi="Times New Roman" w:cs="Times New Roman"/>
          <w:sz w:val="24"/>
          <w:szCs w:val="24"/>
        </w:rPr>
        <w:t>In this regard, it is worth mentioning that t</w:t>
      </w:r>
      <w:r w:rsidR="00EA3893" w:rsidRPr="005A629E">
        <w:rPr>
          <w:rFonts w:ascii="Times New Roman" w:eastAsia="Times New Roman" w:hAnsi="Times New Roman" w:cs="Times New Roman"/>
          <w:sz w:val="24"/>
          <w:szCs w:val="24"/>
        </w:rPr>
        <w:t xml:space="preserve">he written </w:t>
      </w:r>
      <w:r w:rsidR="00EA3893" w:rsidRPr="00417A41">
        <w:rPr>
          <w:rFonts w:ascii="Times New Roman" w:eastAsia="Times New Roman" w:hAnsi="Times New Roman" w:cs="Times New Roman"/>
          <w:sz w:val="24"/>
          <w:szCs w:val="24"/>
        </w:rPr>
        <w:t>submission</w:t>
      </w:r>
      <w:r w:rsidR="00417A41">
        <w:rPr>
          <w:rStyle w:val="FootnoteReference"/>
          <w:rFonts w:ascii="Times New Roman" w:eastAsia="Times New Roman" w:hAnsi="Times New Roman" w:cs="Times New Roman"/>
          <w:sz w:val="24"/>
          <w:szCs w:val="24"/>
        </w:rPr>
        <w:footnoteReference w:id="5"/>
      </w:r>
      <w:r w:rsidR="00EA3893" w:rsidRPr="005A629E">
        <w:rPr>
          <w:rFonts w:ascii="Times New Roman" w:eastAsia="Times New Roman" w:hAnsi="Times New Roman" w:cs="Times New Roman"/>
          <w:sz w:val="24"/>
          <w:szCs w:val="24"/>
        </w:rPr>
        <w:t xml:space="preserve"> of the HRD to the UN Committee on the Rights of Persons with Disabilities on the implementation of the UN Convention on the Rights of Persons with Disabilities for the years 2017-2025 has been published. In this submission, a range of issues related to the rights of persons with disabilities are raised, including challenges in accessibility, the right to education, employment, healthcare, and the full inclusion of persons with disabilities in society. The submission also highlights gaps in the legal framework and provides recommendations for addressing these challenges to ensure equal rights and opportunities for persons with disabilities in Armenia.</w:t>
      </w:r>
      <w:r w:rsidR="009C320C" w:rsidRPr="005A629E">
        <w:rPr>
          <w:rFonts w:ascii="Times New Roman" w:eastAsia="Times New Roman" w:hAnsi="Times New Roman" w:cs="Times New Roman"/>
          <w:sz w:val="24"/>
          <w:szCs w:val="24"/>
        </w:rPr>
        <w:t xml:space="preserve">  </w:t>
      </w:r>
    </w:p>
    <w:p w14:paraId="15EDE05F" w14:textId="145A0074" w:rsidR="00855954" w:rsidRPr="00855954" w:rsidRDefault="00855954" w:rsidP="00263B65">
      <w:pPr>
        <w:jc w:val="both"/>
        <w:rPr>
          <w:rFonts w:asciiTheme="majorBidi" w:hAnsiTheme="majorBidi" w:cstheme="majorBidi"/>
          <w:b/>
          <w:bCs/>
          <w:sz w:val="24"/>
          <w:szCs w:val="24"/>
          <w:u w:val="single"/>
        </w:rPr>
      </w:pPr>
    </w:p>
    <w:sectPr w:rsidR="00855954" w:rsidRPr="00855954" w:rsidSect="007D1CF3">
      <w:footerReference w:type="default" r:id="rId17"/>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FBFDB" w14:textId="77777777" w:rsidR="009C1EA1" w:rsidRDefault="009C1EA1" w:rsidP="0028733A">
      <w:pPr>
        <w:spacing w:after="0" w:line="240" w:lineRule="auto"/>
      </w:pPr>
      <w:r>
        <w:separator/>
      </w:r>
    </w:p>
  </w:endnote>
  <w:endnote w:type="continuationSeparator" w:id="0">
    <w:p w14:paraId="275CDDBC" w14:textId="77777777" w:rsidR="009C1EA1" w:rsidRDefault="009C1EA1" w:rsidP="00287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633814"/>
      <w:docPartObj>
        <w:docPartGallery w:val="Page Numbers (Bottom of Page)"/>
        <w:docPartUnique/>
      </w:docPartObj>
    </w:sdtPr>
    <w:sdtEndPr>
      <w:rPr>
        <w:noProof/>
      </w:rPr>
    </w:sdtEndPr>
    <w:sdtContent>
      <w:p w14:paraId="021B9888" w14:textId="57DE3B59" w:rsidR="007D1CF3" w:rsidRDefault="007D1CF3">
        <w:pPr>
          <w:pStyle w:val="Footer"/>
          <w:jc w:val="center"/>
        </w:pPr>
        <w:r>
          <w:fldChar w:fldCharType="begin"/>
        </w:r>
        <w:r>
          <w:instrText xml:space="preserve"> PAGE   \* MERGEFORMAT </w:instrText>
        </w:r>
        <w:r>
          <w:fldChar w:fldCharType="separate"/>
        </w:r>
        <w:r w:rsidR="00A87435">
          <w:rPr>
            <w:noProof/>
          </w:rPr>
          <w:t>1</w:t>
        </w:r>
        <w:r>
          <w:rPr>
            <w:noProof/>
          </w:rPr>
          <w:fldChar w:fldCharType="end"/>
        </w:r>
      </w:p>
    </w:sdtContent>
  </w:sdt>
  <w:p w14:paraId="3BBB3D11" w14:textId="77777777" w:rsidR="007D1CF3" w:rsidRDefault="007D1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EC9D7" w14:textId="77777777" w:rsidR="009C1EA1" w:rsidRDefault="009C1EA1" w:rsidP="0028733A">
      <w:pPr>
        <w:spacing w:after="0" w:line="240" w:lineRule="auto"/>
      </w:pPr>
      <w:r>
        <w:separator/>
      </w:r>
    </w:p>
  </w:footnote>
  <w:footnote w:type="continuationSeparator" w:id="0">
    <w:p w14:paraId="333AD67F" w14:textId="77777777" w:rsidR="009C1EA1" w:rsidRDefault="009C1EA1" w:rsidP="0028733A">
      <w:pPr>
        <w:spacing w:after="0" w:line="240" w:lineRule="auto"/>
      </w:pPr>
      <w:r>
        <w:continuationSeparator/>
      </w:r>
    </w:p>
  </w:footnote>
  <w:footnote w:id="1">
    <w:p w14:paraId="61DC7FDB" w14:textId="10408A31" w:rsidR="0028733A" w:rsidRDefault="0028733A">
      <w:pPr>
        <w:pStyle w:val="FootnoteText"/>
      </w:pPr>
      <w:r>
        <w:rPr>
          <w:rStyle w:val="FootnoteReference"/>
        </w:rPr>
        <w:footnoteRef/>
      </w:r>
      <w:r>
        <w:t xml:space="preserve"> </w:t>
      </w:r>
      <w:hyperlink r:id="rId1" w:history="1">
        <w:r w:rsidRPr="008A1DAA">
          <w:rPr>
            <w:rStyle w:val="Hyperlink"/>
          </w:rPr>
          <w:t>https://www.refworld.org/legal/legislation/natlegbod/2017/en/120293</w:t>
        </w:r>
      </w:hyperlink>
      <w:r>
        <w:t xml:space="preserve"> </w:t>
      </w:r>
    </w:p>
  </w:footnote>
  <w:footnote w:id="2">
    <w:p w14:paraId="2CF7A30A" w14:textId="5A6256F2" w:rsidR="0028733A" w:rsidRDefault="0028733A">
      <w:pPr>
        <w:pStyle w:val="FootnoteText"/>
      </w:pPr>
      <w:r>
        <w:rPr>
          <w:rStyle w:val="FootnoteReference"/>
        </w:rPr>
        <w:footnoteRef/>
      </w:r>
      <w:r>
        <w:t xml:space="preserve"> </w:t>
      </w:r>
      <w:hyperlink r:id="rId2" w:history="1">
        <w:r w:rsidRPr="008A1DAA">
          <w:rPr>
            <w:rStyle w:val="Hyperlink"/>
          </w:rPr>
          <w:t>https://www2.ohchr.org/english/bodies/hrcouncil/docs/10session/A.HRC.10.48.pdf</w:t>
        </w:r>
      </w:hyperlink>
      <w:r>
        <w:t xml:space="preserve"> </w:t>
      </w:r>
    </w:p>
  </w:footnote>
  <w:footnote w:id="3">
    <w:p w14:paraId="16BE9A77" w14:textId="29350A1F" w:rsidR="00AC7F08" w:rsidRDefault="00AC7F08">
      <w:pPr>
        <w:pStyle w:val="FootnoteText"/>
      </w:pPr>
      <w:r>
        <w:rPr>
          <w:rStyle w:val="FootnoteReference"/>
        </w:rPr>
        <w:footnoteRef/>
      </w:r>
      <w:r>
        <w:t xml:space="preserve"> </w:t>
      </w:r>
      <w:hyperlink r:id="rId3" w:history="1">
        <w:r w:rsidRPr="008A1DAA">
          <w:rPr>
            <w:rStyle w:val="Hyperlink"/>
          </w:rPr>
          <w:t>https://opcedaw.wordpress.com/wp-content/uploads/2012/01/yildirim-v-austria.pdf</w:t>
        </w:r>
      </w:hyperlink>
      <w:r>
        <w:t xml:space="preserve"> </w:t>
      </w:r>
    </w:p>
  </w:footnote>
  <w:footnote w:id="4">
    <w:p w14:paraId="4A4E8020" w14:textId="1561F125" w:rsidR="00417A41" w:rsidRPr="00417A41" w:rsidRDefault="00417A41">
      <w:pPr>
        <w:pStyle w:val="FootnoteText"/>
        <w:rPr>
          <w:lang w:val="hy-AM"/>
        </w:rPr>
      </w:pPr>
      <w:r>
        <w:rPr>
          <w:rStyle w:val="FootnoteReference"/>
        </w:rPr>
        <w:footnoteRef/>
      </w:r>
      <w:r>
        <w:t xml:space="preserve"> Available at: </w:t>
      </w:r>
      <w:hyperlink r:id="rId4" w:history="1">
        <w:r w:rsidRPr="00417A41">
          <w:rPr>
            <w:rStyle w:val="Hyperlink"/>
          </w:rPr>
          <w:t>https://ombuds.am/en_us/site/ViewNews/2957</w:t>
        </w:r>
      </w:hyperlink>
      <w:r>
        <w:rPr>
          <w:lang w:val="hy-AM"/>
        </w:rPr>
        <w:t xml:space="preserve"> </w:t>
      </w:r>
    </w:p>
  </w:footnote>
  <w:footnote w:id="5">
    <w:p w14:paraId="15026A01" w14:textId="492A3A75" w:rsidR="00417A41" w:rsidRPr="00417A41" w:rsidRDefault="00417A41">
      <w:pPr>
        <w:pStyle w:val="FootnoteText"/>
        <w:rPr>
          <w:lang w:val="hy-AM"/>
        </w:rPr>
      </w:pPr>
      <w:r>
        <w:rPr>
          <w:rStyle w:val="FootnoteReference"/>
        </w:rPr>
        <w:footnoteRef/>
      </w:r>
      <w:r w:rsidRPr="00417A41">
        <w:rPr>
          <w:lang w:val="hy-AM"/>
        </w:rPr>
        <w:t xml:space="preserve"> A</w:t>
      </w:r>
      <w:r>
        <w:t xml:space="preserve">available at: </w:t>
      </w:r>
      <w:hyperlink r:id="rId5" w:history="1">
        <w:r w:rsidRPr="001C1ED5">
          <w:rPr>
            <w:rStyle w:val="Hyperlink"/>
            <w:lang w:val="hy-AM"/>
          </w:rPr>
          <w:t>https://ombuds.am/images/files/613c87eb5f0d49bd9125f10d09556202.pdf</w:t>
        </w:r>
      </w:hyperlink>
      <w:r w:rsidRPr="00417A41">
        <w:rPr>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62031"/>
    <w:multiLevelType w:val="hybridMultilevel"/>
    <w:tmpl w:val="B2341586"/>
    <w:lvl w:ilvl="0" w:tplc="8C74EACA">
      <w:start w:val="1"/>
      <w:numFmt w:val="decimal"/>
      <w:lvlText w:val="%1."/>
      <w:lvlJc w:val="left"/>
      <w:pPr>
        <w:ind w:left="360" w:hanging="360"/>
      </w:pPr>
      <w:rPr>
        <w:rFonts w:asciiTheme="majorBidi" w:eastAsiaTheme="minorHAnsi" w:hAnsiTheme="majorBidi" w:cstheme="majorBidi"/>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AE7A63"/>
    <w:multiLevelType w:val="hybridMultilevel"/>
    <w:tmpl w:val="A448C66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C434307"/>
    <w:multiLevelType w:val="hybridMultilevel"/>
    <w:tmpl w:val="514AF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320963"/>
    <w:multiLevelType w:val="hybridMultilevel"/>
    <w:tmpl w:val="9706438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15:restartNumberingAfterBreak="0">
    <w:nsid w:val="5D8621C7"/>
    <w:multiLevelType w:val="hybridMultilevel"/>
    <w:tmpl w:val="FD24E838"/>
    <w:lvl w:ilvl="0" w:tplc="8C74EACA">
      <w:start w:val="1"/>
      <w:numFmt w:val="decimal"/>
      <w:lvlText w:val="%1."/>
      <w:lvlJc w:val="left"/>
      <w:pPr>
        <w:ind w:left="720" w:hanging="360"/>
      </w:pPr>
      <w:rPr>
        <w:rFonts w:asciiTheme="majorBidi" w:eastAsiaTheme="minorHAnsi" w:hAnsiTheme="majorBidi" w:cstheme="majorBidi"/>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4A0C7E"/>
    <w:multiLevelType w:val="hybridMultilevel"/>
    <w:tmpl w:val="7F902DFA"/>
    <w:lvl w:ilvl="0" w:tplc="EC1C9B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9229952">
    <w:abstractNumId w:val="0"/>
  </w:num>
  <w:num w:numId="2" w16cid:durableId="1484615261">
    <w:abstractNumId w:val="5"/>
  </w:num>
  <w:num w:numId="3" w16cid:durableId="492721271">
    <w:abstractNumId w:val="2"/>
  </w:num>
  <w:num w:numId="4" w16cid:durableId="491532625">
    <w:abstractNumId w:val="4"/>
  </w:num>
  <w:num w:numId="5" w16cid:durableId="896551570">
    <w:abstractNumId w:val="3"/>
  </w:num>
  <w:num w:numId="6" w16cid:durableId="7491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954"/>
    <w:rsid w:val="00022002"/>
    <w:rsid w:val="00084F30"/>
    <w:rsid w:val="000934D5"/>
    <w:rsid w:val="00095053"/>
    <w:rsid w:val="000D297B"/>
    <w:rsid w:val="000F492D"/>
    <w:rsid w:val="001007CA"/>
    <w:rsid w:val="00101FB3"/>
    <w:rsid w:val="0011418E"/>
    <w:rsid w:val="001374BD"/>
    <w:rsid w:val="00146946"/>
    <w:rsid w:val="001657AA"/>
    <w:rsid w:val="0019464C"/>
    <w:rsid w:val="001C00CB"/>
    <w:rsid w:val="00202CF0"/>
    <w:rsid w:val="002045EA"/>
    <w:rsid w:val="00213DDC"/>
    <w:rsid w:val="00223FFE"/>
    <w:rsid w:val="002567C1"/>
    <w:rsid w:val="002568A8"/>
    <w:rsid w:val="00263B65"/>
    <w:rsid w:val="00273CE1"/>
    <w:rsid w:val="0028733A"/>
    <w:rsid w:val="002A5703"/>
    <w:rsid w:val="002C07E6"/>
    <w:rsid w:val="002C60EB"/>
    <w:rsid w:val="002D2191"/>
    <w:rsid w:val="002D6328"/>
    <w:rsid w:val="002D728A"/>
    <w:rsid w:val="002F004F"/>
    <w:rsid w:val="002F06BC"/>
    <w:rsid w:val="002F0CCA"/>
    <w:rsid w:val="002F5F0A"/>
    <w:rsid w:val="00312E54"/>
    <w:rsid w:val="00326901"/>
    <w:rsid w:val="00362262"/>
    <w:rsid w:val="003837E9"/>
    <w:rsid w:val="003A16E1"/>
    <w:rsid w:val="003D40F7"/>
    <w:rsid w:val="003E7B03"/>
    <w:rsid w:val="00402A09"/>
    <w:rsid w:val="00404A9E"/>
    <w:rsid w:val="0040627B"/>
    <w:rsid w:val="00417A41"/>
    <w:rsid w:val="00465F1A"/>
    <w:rsid w:val="00486436"/>
    <w:rsid w:val="004A778A"/>
    <w:rsid w:val="004B75C9"/>
    <w:rsid w:val="004E39BE"/>
    <w:rsid w:val="004F6520"/>
    <w:rsid w:val="00523A11"/>
    <w:rsid w:val="00570424"/>
    <w:rsid w:val="005A629E"/>
    <w:rsid w:val="005B04B5"/>
    <w:rsid w:val="005B0BE8"/>
    <w:rsid w:val="005E6141"/>
    <w:rsid w:val="005F43DC"/>
    <w:rsid w:val="00604DF1"/>
    <w:rsid w:val="00622C3B"/>
    <w:rsid w:val="00623C20"/>
    <w:rsid w:val="006527E0"/>
    <w:rsid w:val="006A6BF7"/>
    <w:rsid w:val="006B373B"/>
    <w:rsid w:val="006B441A"/>
    <w:rsid w:val="006C0B38"/>
    <w:rsid w:val="006D43C5"/>
    <w:rsid w:val="006D594E"/>
    <w:rsid w:val="006D7FB6"/>
    <w:rsid w:val="006F3CDC"/>
    <w:rsid w:val="0072618D"/>
    <w:rsid w:val="00732FE1"/>
    <w:rsid w:val="00746C28"/>
    <w:rsid w:val="00762F40"/>
    <w:rsid w:val="00775F38"/>
    <w:rsid w:val="00795D3D"/>
    <w:rsid w:val="007A243B"/>
    <w:rsid w:val="007A5C48"/>
    <w:rsid w:val="007D1CF3"/>
    <w:rsid w:val="007D7C94"/>
    <w:rsid w:val="007E3DB9"/>
    <w:rsid w:val="007E49AF"/>
    <w:rsid w:val="007E4B94"/>
    <w:rsid w:val="007E576E"/>
    <w:rsid w:val="00823B55"/>
    <w:rsid w:val="0084239C"/>
    <w:rsid w:val="0085313C"/>
    <w:rsid w:val="00855954"/>
    <w:rsid w:val="008619D7"/>
    <w:rsid w:val="00866985"/>
    <w:rsid w:val="00884121"/>
    <w:rsid w:val="00895A26"/>
    <w:rsid w:val="008F2A61"/>
    <w:rsid w:val="00906B4B"/>
    <w:rsid w:val="00916FFC"/>
    <w:rsid w:val="00924128"/>
    <w:rsid w:val="009419BB"/>
    <w:rsid w:val="00952F63"/>
    <w:rsid w:val="0096564D"/>
    <w:rsid w:val="00981D96"/>
    <w:rsid w:val="00992A7B"/>
    <w:rsid w:val="009A0B41"/>
    <w:rsid w:val="009C1EA1"/>
    <w:rsid w:val="009C320C"/>
    <w:rsid w:val="009C3B81"/>
    <w:rsid w:val="009F4B2F"/>
    <w:rsid w:val="00A124AA"/>
    <w:rsid w:val="00A8010A"/>
    <w:rsid w:val="00A827BC"/>
    <w:rsid w:val="00A87435"/>
    <w:rsid w:val="00A969B9"/>
    <w:rsid w:val="00AC7F08"/>
    <w:rsid w:val="00AD695B"/>
    <w:rsid w:val="00B12C9E"/>
    <w:rsid w:val="00B22873"/>
    <w:rsid w:val="00B22AB8"/>
    <w:rsid w:val="00B41C2A"/>
    <w:rsid w:val="00B706AF"/>
    <w:rsid w:val="00BB0FF2"/>
    <w:rsid w:val="00BB6AF0"/>
    <w:rsid w:val="00BF36E0"/>
    <w:rsid w:val="00C111C2"/>
    <w:rsid w:val="00C24BA4"/>
    <w:rsid w:val="00C41626"/>
    <w:rsid w:val="00C4495B"/>
    <w:rsid w:val="00C45A78"/>
    <w:rsid w:val="00C56D96"/>
    <w:rsid w:val="00C91D11"/>
    <w:rsid w:val="00CB1D4D"/>
    <w:rsid w:val="00CB78FD"/>
    <w:rsid w:val="00CC1BF4"/>
    <w:rsid w:val="00CE3B36"/>
    <w:rsid w:val="00CE78E9"/>
    <w:rsid w:val="00D14408"/>
    <w:rsid w:val="00D145FE"/>
    <w:rsid w:val="00D25BD6"/>
    <w:rsid w:val="00D4560D"/>
    <w:rsid w:val="00D47A2B"/>
    <w:rsid w:val="00D60D62"/>
    <w:rsid w:val="00D627F7"/>
    <w:rsid w:val="00D74DA9"/>
    <w:rsid w:val="00DF796E"/>
    <w:rsid w:val="00E04ACE"/>
    <w:rsid w:val="00E27555"/>
    <w:rsid w:val="00E3564F"/>
    <w:rsid w:val="00E86FE9"/>
    <w:rsid w:val="00EA3893"/>
    <w:rsid w:val="00EC070D"/>
    <w:rsid w:val="00ED21E7"/>
    <w:rsid w:val="00ED3952"/>
    <w:rsid w:val="00EE0DDD"/>
    <w:rsid w:val="00F154F8"/>
    <w:rsid w:val="00F325B8"/>
    <w:rsid w:val="00F415FF"/>
    <w:rsid w:val="00F57A1F"/>
    <w:rsid w:val="00F82001"/>
    <w:rsid w:val="00FA222E"/>
    <w:rsid w:val="00FB11D2"/>
    <w:rsid w:val="00FE41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DDC2FE"/>
  <w15:chartTrackingRefBased/>
  <w15:docId w15:val="{FC60A4EA-3F9F-4B5A-ABE2-868E07A76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64F"/>
    <w:pPr>
      <w:ind w:left="720"/>
      <w:contextualSpacing/>
    </w:pPr>
  </w:style>
  <w:style w:type="paragraph" w:styleId="FootnoteText">
    <w:name w:val="footnote text"/>
    <w:basedOn w:val="Normal"/>
    <w:link w:val="FootnoteTextChar"/>
    <w:uiPriority w:val="99"/>
    <w:semiHidden/>
    <w:unhideWhenUsed/>
    <w:rsid w:val="002873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733A"/>
    <w:rPr>
      <w:sz w:val="20"/>
      <w:szCs w:val="20"/>
    </w:rPr>
  </w:style>
  <w:style w:type="character" w:styleId="FootnoteReference">
    <w:name w:val="footnote reference"/>
    <w:basedOn w:val="DefaultParagraphFont"/>
    <w:uiPriority w:val="99"/>
    <w:semiHidden/>
    <w:unhideWhenUsed/>
    <w:rsid w:val="0028733A"/>
    <w:rPr>
      <w:vertAlign w:val="superscript"/>
    </w:rPr>
  </w:style>
  <w:style w:type="character" w:styleId="Hyperlink">
    <w:name w:val="Hyperlink"/>
    <w:basedOn w:val="DefaultParagraphFont"/>
    <w:uiPriority w:val="99"/>
    <w:unhideWhenUsed/>
    <w:rsid w:val="0028733A"/>
    <w:rPr>
      <w:color w:val="0563C1" w:themeColor="hyperlink"/>
      <w:u w:val="single"/>
    </w:rPr>
  </w:style>
  <w:style w:type="character" w:customStyle="1" w:styleId="UnresolvedMention1">
    <w:name w:val="Unresolved Mention1"/>
    <w:basedOn w:val="DefaultParagraphFont"/>
    <w:uiPriority w:val="99"/>
    <w:semiHidden/>
    <w:unhideWhenUsed/>
    <w:rsid w:val="0028733A"/>
    <w:rPr>
      <w:color w:val="605E5C"/>
      <w:shd w:val="clear" w:color="auto" w:fill="E1DFDD"/>
    </w:rPr>
  </w:style>
  <w:style w:type="character" w:styleId="FollowedHyperlink">
    <w:name w:val="FollowedHyperlink"/>
    <w:basedOn w:val="DefaultParagraphFont"/>
    <w:uiPriority w:val="99"/>
    <w:semiHidden/>
    <w:unhideWhenUsed/>
    <w:rsid w:val="0028733A"/>
    <w:rPr>
      <w:color w:val="954F72" w:themeColor="followed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w:basedOn w:val="Normal"/>
    <w:link w:val="NormalWebChar"/>
    <w:uiPriority w:val="99"/>
    <w:unhideWhenUsed/>
    <w:qFormat/>
    <w:rsid w:val="00EA3893"/>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A6BF7"/>
    <w:rPr>
      <w:sz w:val="16"/>
      <w:szCs w:val="16"/>
    </w:rPr>
  </w:style>
  <w:style w:type="paragraph" w:styleId="CommentText">
    <w:name w:val="annotation text"/>
    <w:basedOn w:val="Normal"/>
    <w:link w:val="CommentTextChar"/>
    <w:uiPriority w:val="99"/>
    <w:semiHidden/>
    <w:unhideWhenUsed/>
    <w:rsid w:val="006A6BF7"/>
    <w:pPr>
      <w:spacing w:line="240" w:lineRule="auto"/>
    </w:pPr>
    <w:rPr>
      <w:sz w:val="20"/>
      <w:szCs w:val="20"/>
    </w:rPr>
  </w:style>
  <w:style w:type="character" w:customStyle="1" w:styleId="CommentTextChar">
    <w:name w:val="Comment Text Char"/>
    <w:basedOn w:val="DefaultParagraphFont"/>
    <w:link w:val="CommentText"/>
    <w:uiPriority w:val="99"/>
    <w:semiHidden/>
    <w:rsid w:val="006A6BF7"/>
    <w:rPr>
      <w:sz w:val="20"/>
      <w:szCs w:val="20"/>
    </w:rPr>
  </w:style>
  <w:style w:type="paragraph" w:styleId="CommentSubject">
    <w:name w:val="annotation subject"/>
    <w:basedOn w:val="CommentText"/>
    <w:next w:val="CommentText"/>
    <w:link w:val="CommentSubjectChar"/>
    <w:uiPriority w:val="99"/>
    <w:semiHidden/>
    <w:unhideWhenUsed/>
    <w:rsid w:val="006A6BF7"/>
    <w:rPr>
      <w:b/>
      <w:bCs/>
    </w:rPr>
  </w:style>
  <w:style w:type="character" w:customStyle="1" w:styleId="CommentSubjectChar">
    <w:name w:val="Comment Subject Char"/>
    <w:basedOn w:val="CommentTextChar"/>
    <w:link w:val="CommentSubject"/>
    <w:uiPriority w:val="99"/>
    <w:semiHidden/>
    <w:rsid w:val="006A6BF7"/>
    <w:rPr>
      <w:b/>
      <w:bCs/>
      <w:sz w:val="20"/>
      <w:szCs w:val="20"/>
    </w:rPr>
  </w:style>
  <w:style w:type="paragraph" w:styleId="BalloonText">
    <w:name w:val="Balloon Text"/>
    <w:basedOn w:val="Normal"/>
    <w:link w:val="BalloonTextChar"/>
    <w:uiPriority w:val="99"/>
    <w:semiHidden/>
    <w:unhideWhenUsed/>
    <w:rsid w:val="00F154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4F8"/>
    <w:rPr>
      <w:rFonts w:ascii="Segoe UI" w:hAnsi="Segoe UI" w:cs="Segoe UI"/>
      <w:sz w:val="18"/>
      <w:szCs w:val="18"/>
    </w:rPr>
  </w:style>
  <w:style w:type="paragraph" w:styleId="Revision">
    <w:name w:val="Revision"/>
    <w:hidden/>
    <w:uiPriority w:val="99"/>
    <w:semiHidden/>
    <w:rsid w:val="007D1CF3"/>
    <w:pPr>
      <w:spacing w:after="0" w:line="240" w:lineRule="auto"/>
    </w:pPr>
  </w:style>
  <w:style w:type="paragraph" w:styleId="Header">
    <w:name w:val="header"/>
    <w:basedOn w:val="Normal"/>
    <w:link w:val="HeaderChar"/>
    <w:uiPriority w:val="99"/>
    <w:unhideWhenUsed/>
    <w:rsid w:val="007D1C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CF3"/>
  </w:style>
  <w:style w:type="paragraph" w:styleId="Footer">
    <w:name w:val="footer"/>
    <w:basedOn w:val="Normal"/>
    <w:link w:val="FooterChar"/>
    <w:uiPriority w:val="99"/>
    <w:unhideWhenUsed/>
    <w:rsid w:val="007D1C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CF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1,Char Char"/>
    <w:link w:val="NormalWeb"/>
    <w:uiPriority w:val="99"/>
    <w:locked/>
    <w:rsid w:val="00312E54"/>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14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45598">
      <w:bodyDiv w:val="1"/>
      <w:marLeft w:val="0"/>
      <w:marRight w:val="0"/>
      <w:marTop w:val="0"/>
      <w:marBottom w:val="0"/>
      <w:divBdr>
        <w:top w:val="none" w:sz="0" w:space="0" w:color="auto"/>
        <w:left w:val="none" w:sz="0" w:space="0" w:color="auto"/>
        <w:bottom w:val="none" w:sz="0" w:space="0" w:color="auto"/>
        <w:right w:val="none" w:sz="0" w:space="0" w:color="auto"/>
      </w:divBdr>
    </w:div>
    <w:div w:id="529802261">
      <w:bodyDiv w:val="1"/>
      <w:marLeft w:val="0"/>
      <w:marRight w:val="0"/>
      <w:marTop w:val="0"/>
      <w:marBottom w:val="0"/>
      <w:divBdr>
        <w:top w:val="none" w:sz="0" w:space="0" w:color="auto"/>
        <w:left w:val="none" w:sz="0" w:space="0" w:color="auto"/>
        <w:bottom w:val="none" w:sz="0" w:space="0" w:color="auto"/>
        <w:right w:val="none" w:sz="0" w:space="0" w:color="auto"/>
      </w:divBdr>
    </w:div>
    <w:div w:id="1146358243">
      <w:bodyDiv w:val="1"/>
      <w:marLeft w:val="0"/>
      <w:marRight w:val="0"/>
      <w:marTop w:val="0"/>
      <w:marBottom w:val="0"/>
      <w:divBdr>
        <w:top w:val="none" w:sz="0" w:space="0" w:color="auto"/>
        <w:left w:val="none" w:sz="0" w:space="0" w:color="auto"/>
        <w:bottom w:val="none" w:sz="0" w:space="0" w:color="auto"/>
        <w:right w:val="none" w:sz="0" w:space="0" w:color="auto"/>
      </w:divBdr>
    </w:div>
    <w:div w:id="1349332591">
      <w:bodyDiv w:val="1"/>
      <w:marLeft w:val="0"/>
      <w:marRight w:val="0"/>
      <w:marTop w:val="0"/>
      <w:marBottom w:val="0"/>
      <w:divBdr>
        <w:top w:val="none" w:sz="0" w:space="0" w:color="auto"/>
        <w:left w:val="none" w:sz="0" w:space="0" w:color="auto"/>
        <w:bottom w:val="none" w:sz="0" w:space="0" w:color="auto"/>
        <w:right w:val="none" w:sz="0" w:space="0" w:color="auto"/>
      </w:divBdr>
    </w:div>
    <w:div w:id="145726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ternational@ombuds.a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ombuds.am/images/files/4d1335361f1f7e9fbcc1cfc10679701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ombuds.a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zhelika.movsesova@ombuds.a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opcedaw.wordpress.com/wp-content/uploads/2012/01/yildirim-v-austria.pdf" TargetMode="External"/><Relationship Id="rId2" Type="http://schemas.openxmlformats.org/officeDocument/2006/relationships/hyperlink" Target="https://www2.ohchr.org/english/bodies/hrcouncil/docs/10session/A.HRC.10.48.pdf" TargetMode="External"/><Relationship Id="rId1" Type="http://schemas.openxmlformats.org/officeDocument/2006/relationships/hyperlink" Target="https://www.refworld.org/legal/legislation/natlegbod/2017/en/120293" TargetMode="External"/><Relationship Id="rId5" Type="http://schemas.openxmlformats.org/officeDocument/2006/relationships/hyperlink" Target="https://ombuds.am/images/files/613c87eb5f0d49bd9125f10d09556202.pdf" TargetMode="External"/><Relationship Id="rId4" Type="http://schemas.openxmlformats.org/officeDocument/2006/relationships/hyperlink" Target="https://ombuds.am/en_us/site/ViewNews/29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2025-05-21T16:12:03+00:00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898BC-EDEA-480C-AD29-8D6741B28434}">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2.xml><?xml version="1.0" encoding="utf-8"?>
<ds:datastoreItem xmlns:ds="http://schemas.openxmlformats.org/officeDocument/2006/customXml" ds:itemID="{E42C66FE-8104-4CF1-A758-E3E6EA894ECE}">
  <ds:schemaRefs>
    <ds:schemaRef ds:uri="http://schemas.microsoft.com/sharepoint/v3/contenttype/forms"/>
  </ds:schemaRefs>
</ds:datastoreItem>
</file>

<file path=customXml/itemProps3.xml><?xml version="1.0" encoding="utf-8"?>
<ds:datastoreItem xmlns:ds="http://schemas.openxmlformats.org/officeDocument/2006/customXml" ds:itemID="{851DF7FF-53AE-46D2-BA8A-FCE46A2BA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673DBB-03CE-4D4F-AA21-03A5C7315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4627</Words>
  <Characters>26378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dc:creator>
  <cp:keywords/>
  <dc:description/>
  <cp:lastModifiedBy>Cherry Balmaceda</cp:lastModifiedBy>
  <cp:revision>3</cp:revision>
  <cp:lastPrinted>2025-04-07T12:43:00Z</cp:lastPrinted>
  <dcterms:created xsi:type="dcterms:W3CDTF">2025-04-07T14:23:00Z</dcterms:created>
  <dcterms:modified xsi:type="dcterms:W3CDTF">2025-05-21T16:12:00Z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