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46420" w:rsidRPr="001407FF" w:rsidRDefault="00546420" w:rsidP="001407FF">
      <w:pPr>
        <w:pBdr>
          <w:top w:val="nil"/>
          <w:left w:val="nil"/>
          <w:bottom w:val="nil"/>
          <w:right w:val="nil"/>
          <w:between w:val="nil"/>
        </w:pBdr>
        <w:spacing w:before="240" w:after="240" w:line="276" w:lineRule="auto"/>
        <w:jc w:val="both"/>
        <w:rPr>
          <w:rFonts w:ascii="Cambria" w:eastAsia="Cambria" w:hAnsi="Cambria" w:cs="Cambria"/>
          <w:color w:val="000000" w:themeColor="text1"/>
        </w:rPr>
      </w:pPr>
    </w:p>
    <w:p w14:paraId="00000002" w14:textId="4433CF99" w:rsidR="00546420" w:rsidRPr="001407FF" w:rsidRDefault="00000000" w:rsidP="001407FF">
      <w:pPr>
        <w:pBdr>
          <w:top w:val="nil"/>
          <w:left w:val="nil"/>
          <w:bottom w:val="nil"/>
          <w:right w:val="nil"/>
          <w:between w:val="nil"/>
        </w:pBdr>
        <w:spacing w:before="240" w:after="240" w:line="276" w:lineRule="auto"/>
        <w:jc w:val="right"/>
        <w:rPr>
          <w:rFonts w:ascii="Cambria" w:eastAsia="Cambria" w:hAnsi="Cambria" w:cs="Cambria"/>
          <w:color w:val="000000" w:themeColor="text1"/>
        </w:rPr>
      </w:pPr>
      <w:bookmarkStart w:id="0" w:name="_heading=h.gjdgxs" w:colFirst="0" w:colLast="0"/>
      <w:bookmarkEnd w:id="0"/>
      <w:r w:rsidRPr="001407FF">
        <w:rPr>
          <w:rFonts w:ascii="Cambria" w:eastAsia="Cambria" w:hAnsi="Cambria" w:cs="Cambria"/>
          <w:color w:val="000000" w:themeColor="text1"/>
        </w:rPr>
        <w:t xml:space="preserve">Lima, </w:t>
      </w:r>
      <w:r w:rsidR="005C3323" w:rsidRPr="001407FF">
        <w:rPr>
          <w:rFonts w:ascii="Cambria" w:eastAsia="Cambria" w:hAnsi="Cambria" w:cs="Cambria"/>
          <w:color w:val="000000" w:themeColor="text1"/>
        </w:rPr>
        <w:t>December 1</w:t>
      </w:r>
      <w:r w:rsidR="003501E1">
        <w:rPr>
          <w:rFonts w:ascii="Cambria" w:eastAsia="Cambria" w:hAnsi="Cambria" w:cs="Cambria"/>
          <w:color w:val="000000" w:themeColor="text1"/>
        </w:rPr>
        <w:t>4</w:t>
      </w:r>
      <w:r w:rsidR="005C3323" w:rsidRPr="001407FF">
        <w:rPr>
          <w:rFonts w:ascii="Cambria" w:eastAsia="Cambria" w:hAnsi="Cambria" w:cs="Cambria"/>
          <w:color w:val="000000" w:themeColor="text1"/>
        </w:rPr>
        <w:t>, 2024</w:t>
      </w:r>
      <w:r w:rsidRPr="001407FF">
        <w:rPr>
          <w:rFonts w:ascii="Cambria" w:eastAsia="Cambria" w:hAnsi="Cambria" w:cs="Cambria"/>
          <w:color w:val="000000" w:themeColor="text1"/>
        </w:rPr>
        <w:t xml:space="preserve"> </w:t>
      </w:r>
    </w:p>
    <w:p w14:paraId="00000003" w14:textId="77777777" w:rsidR="00546420" w:rsidRPr="001407FF" w:rsidRDefault="00546420" w:rsidP="001407FF">
      <w:pPr>
        <w:pBdr>
          <w:top w:val="nil"/>
          <w:left w:val="nil"/>
          <w:bottom w:val="nil"/>
          <w:right w:val="nil"/>
          <w:between w:val="nil"/>
        </w:pBdr>
        <w:spacing w:line="276" w:lineRule="auto"/>
        <w:jc w:val="both"/>
        <w:rPr>
          <w:rFonts w:ascii="Cambria" w:eastAsia="Cambria" w:hAnsi="Cambria" w:cs="Cambria"/>
          <w:color w:val="000000" w:themeColor="text1"/>
        </w:rPr>
      </w:pPr>
    </w:p>
    <w:p w14:paraId="00000004" w14:textId="5C763B00" w:rsidR="00546420" w:rsidRPr="001407FF" w:rsidRDefault="00000000" w:rsidP="001407FF">
      <w:pPr>
        <w:pBdr>
          <w:top w:val="nil"/>
          <w:left w:val="nil"/>
          <w:bottom w:val="nil"/>
          <w:right w:val="nil"/>
          <w:between w:val="nil"/>
        </w:pBdr>
        <w:spacing w:line="276" w:lineRule="auto"/>
        <w:jc w:val="both"/>
        <w:rPr>
          <w:rFonts w:ascii="Cambria" w:eastAsia="Cambria" w:hAnsi="Cambria" w:cs="Cambria"/>
          <w:b/>
          <w:color w:val="000000" w:themeColor="text1"/>
        </w:rPr>
      </w:pPr>
      <w:r w:rsidRPr="001407FF">
        <w:rPr>
          <w:rFonts w:ascii="Cambria" w:eastAsia="Cambria" w:hAnsi="Cambria" w:cs="Cambria"/>
          <w:b/>
          <w:color w:val="000000" w:themeColor="text1"/>
        </w:rPr>
        <w:t>Secretar</w:t>
      </w:r>
      <w:r w:rsidR="005C3323" w:rsidRPr="001407FF">
        <w:rPr>
          <w:rFonts w:ascii="Cambria" w:eastAsia="Cambria" w:hAnsi="Cambria" w:cs="Cambria"/>
          <w:b/>
          <w:color w:val="000000" w:themeColor="text1"/>
        </w:rPr>
        <w:t xml:space="preserve">iat of the Committee on the Rights of the Child </w:t>
      </w:r>
      <w:r w:rsidRPr="001407FF">
        <w:rPr>
          <w:rFonts w:ascii="Cambria" w:eastAsia="Cambria" w:hAnsi="Cambria" w:cs="Cambria"/>
          <w:b/>
          <w:color w:val="000000" w:themeColor="text1"/>
        </w:rPr>
        <w:t xml:space="preserve"> </w:t>
      </w:r>
    </w:p>
    <w:p w14:paraId="00000005" w14:textId="36DADE57" w:rsidR="00546420" w:rsidRPr="001407FF" w:rsidRDefault="005C3323" w:rsidP="001407FF">
      <w:pPr>
        <w:pBdr>
          <w:top w:val="nil"/>
          <w:left w:val="nil"/>
          <w:bottom w:val="nil"/>
          <w:right w:val="nil"/>
          <w:between w:val="nil"/>
        </w:pBdr>
        <w:spacing w:after="120"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Office of the United Nations High Commissioner for Human Rights</w:t>
      </w:r>
    </w:p>
    <w:p w14:paraId="00000006" w14:textId="77777777" w:rsidR="00546420" w:rsidRPr="008C46EC" w:rsidRDefault="00000000" w:rsidP="001407FF">
      <w:pPr>
        <w:pBdr>
          <w:top w:val="nil"/>
          <w:left w:val="nil"/>
          <w:bottom w:val="nil"/>
          <w:right w:val="nil"/>
          <w:between w:val="nil"/>
        </w:pBdr>
        <w:spacing w:after="120" w:line="276" w:lineRule="auto"/>
        <w:jc w:val="both"/>
        <w:rPr>
          <w:rFonts w:ascii="Cambria" w:eastAsia="Cambria" w:hAnsi="Cambria" w:cs="Cambria"/>
          <w:color w:val="000000" w:themeColor="text1"/>
          <w:lang w:val="fr-FR"/>
        </w:rPr>
      </w:pPr>
      <w:r w:rsidRPr="008C46EC">
        <w:rPr>
          <w:rFonts w:ascii="Cambria" w:eastAsia="Cambria" w:hAnsi="Cambria" w:cs="Cambria"/>
          <w:color w:val="000000" w:themeColor="text1"/>
          <w:lang w:val="fr-FR"/>
        </w:rPr>
        <w:t>Palais Wilson - 52, rue des Pâquis</w:t>
      </w:r>
    </w:p>
    <w:p w14:paraId="00000007" w14:textId="1A02CD0E" w:rsidR="00546420" w:rsidRPr="008C46EC" w:rsidRDefault="00000000" w:rsidP="001407FF">
      <w:pPr>
        <w:widowControl w:val="0"/>
        <w:pBdr>
          <w:top w:val="nil"/>
          <w:left w:val="nil"/>
          <w:bottom w:val="nil"/>
          <w:right w:val="nil"/>
          <w:between w:val="nil"/>
        </w:pBdr>
        <w:spacing w:line="276" w:lineRule="auto"/>
        <w:jc w:val="both"/>
        <w:rPr>
          <w:rFonts w:ascii="Cambria" w:eastAsia="Cambria" w:hAnsi="Cambria" w:cs="Cambria"/>
          <w:color w:val="000000" w:themeColor="text1"/>
          <w:lang w:val="fr-FR"/>
        </w:rPr>
      </w:pPr>
      <w:r w:rsidRPr="008C46EC">
        <w:rPr>
          <w:rFonts w:ascii="Cambria" w:eastAsia="Cambria" w:hAnsi="Cambria" w:cs="Cambria"/>
          <w:color w:val="000000" w:themeColor="text1"/>
          <w:lang w:val="fr-FR"/>
        </w:rPr>
        <w:t xml:space="preserve">CH-1201 </w:t>
      </w:r>
      <w:r w:rsidR="005C3323" w:rsidRPr="008C46EC">
        <w:rPr>
          <w:rFonts w:ascii="Cambria" w:eastAsia="Cambria" w:hAnsi="Cambria" w:cs="Cambria"/>
          <w:color w:val="000000" w:themeColor="text1"/>
          <w:lang w:val="fr-FR"/>
        </w:rPr>
        <w:t>Geneva</w:t>
      </w:r>
      <w:r w:rsidRPr="008C46EC">
        <w:rPr>
          <w:rFonts w:ascii="Cambria" w:eastAsia="Cambria" w:hAnsi="Cambria" w:cs="Cambria"/>
          <w:color w:val="000000" w:themeColor="text1"/>
          <w:lang w:val="fr-FR"/>
        </w:rPr>
        <w:t xml:space="preserve">, </w:t>
      </w:r>
      <w:r w:rsidR="005C3323" w:rsidRPr="008C46EC">
        <w:rPr>
          <w:rFonts w:ascii="Cambria" w:eastAsia="Cambria" w:hAnsi="Cambria" w:cs="Cambria"/>
          <w:color w:val="000000" w:themeColor="text1"/>
          <w:lang w:val="fr-FR"/>
        </w:rPr>
        <w:t>Switzerland</w:t>
      </w:r>
      <w:r w:rsidRPr="008C46EC">
        <w:rPr>
          <w:rFonts w:ascii="Cambria" w:eastAsia="Cambria" w:hAnsi="Cambria" w:cs="Cambria"/>
          <w:color w:val="000000" w:themeColor="text1"/>
          <w:lang w:val="fr-FR"/>
        </w:rPr>
        <w:t xml:space="preserve"> </w:t>
      </w:r>
    </w:p>
    <w:p w14:paraId="00000008" w14:textId="77777777" w:rsidR="00546420" w:rsidRPr="008C46EC" w:rsidRDefault="00546420" w:rsidP="001407FF">
      <w:pPr>
        <w:widowControl w:val="0"/>
        <w:pBdr>
          <w:top w:val="nil"/>
          <w:left w:val="nil"/>
          <w:bottom w:val="nil"/>
          <w:right w:val="nil"/>
          <w:between w:val="nil"/>
        </w:pBdr>
        <w:spacing w:line="276" w:lineRule="auto"/>
        <w:jc w:val="both"/>
        <w:rPr>
          <w:rFonts w:ascii="Cambria" w:eastAsia="Cambria" w:hAnsi="Cambria" w:cs="Cambria"/>
          <w:color w:val="000000" w:themeColor="text1"/>
          <w:lang w:val="fr-FR"/>
        </w:rPr>
      </w:pPr>
    </w:p>
    <w:p w14:paraId="00000009" w14:textId="181F500C" w:rsidR="00546420" w:rsidRPr="001407FF" w:rsidRDefault="00000000" w:rsidP="001407FF">
      <w:pPr>
        <w:pBdr>
          <w:top w:val="nil"/>
          <w:left w:val="nil"/>
          <w:bottom w:val="nil"/>
          <w:right w:val="nil"/>
          <w:between w:val="nil"/>
        </w:pBdr>
        <w:spacing w:after="240" w:line="276" w:lineRule="auto"/>
        <w:ind w:left="4140" w:hanging="360"/>
        <w:jc w:val="both"/>
        <w:rPr>
          <w:rFonts w:ascii="Cambria" w:eastAsia="Cambria" w:hAnsi="Cambria" w:cs="Cambria"/>
          <w:b/>
          <w:color w:val="000000" w:themeColor="text1"/>
        </w:rPr>
      </w:pPr>
      <w:r w:rsidRPr="001407FF">
        <w:rPr>
          <w:rFonts w:ascii="Cambria" w:eastAsia="Cambria" w:hAnsi="Cambria" w:cs="Cambria"/>
          <w:b/>
          <w:color w:val="000000" w:themeColor="text1"/>
        </w:rPr>
        <w:t xml:space="preserve">Re: </w:t>
      </w:r>
      <w:r w:rsidR="005C3323" w:rsidRPr="001407FF">
        <w:rPr>
          <w:rFonts w:ascii="Cambria" w:eastAsia="Cambria" w:hAnsi="Cambria" w:cs="Cambria"/>
          <w:b/>
          <w:color w:val="000000" w:themeColor="text1"/>
        </w:rPr>
        <w:t xml:space="preserve">Independent information for Peru’s Periodic Review scheduled for the 98th Session of the </w:t>
      </w:r>
      <w:r w:rsidR="005C3323" w:rsidRPr="001407FF">
        <w:rPr>
          <w:rFonts w:ascii="Cambria" w:eastAsia="Cambria" w:hAnsi="Cambria" w:cstheme="minorHAnsi"/>
          <w:b/>
          <w:bCs/>
          <w:color w:val="000000" w:themeColor="text1"/>
        </w:rPr>
        <w:t>Committee on the Rights of the Child</w:t>
      </w:r>
      <w:r w:rsidR="005C3323" w:rsidRPr="001407FF">
        <w:rPr>
          <w:rFonts w:ascii="Cambria" w:eastAsia="Cambria" w:hAnsi="Cambria" w:cstheme="minorHAnsi"/>
          <w:color w:val="000000" w:themeColor="text1"/>
        </w:rPr>
        <w:t>.</w:t>
      </w:r>
    </w:p>
    <w:p w14:paraId="0000000C" w14:textId="11CC399E" w:rsidR="00546420" w:rsidRPr="00EE2CAC" w:rsidRDefault="005C3323" w:rsidP="00EE2CAC">
      <w:pPr>
        <w:pBdr>
          <w:top w:val="nil"/>
          <w:left w:val="nil"/>
          <w:bottom w:val="nil"/>
          <w:right w:val="nil"/>
          <w:between w:val="nil"/>
        </w:pBdr>
        <w:spacing w:after="120" w:line="276" w:lineRule="auto"/>
        <w:jc w:val="both"/>
        <w:rPr>
          <w:rFonts w:ascii="Cambria" w:hAnsi="Cambria"/>
          <w:b/>
          <w:bCs/>
          <w:color w:val="000000" w:themeColor="text1"/>
        </w:rPr>
      </w:pPr>
      <w:r w:rsidRPr="001407FF">
        <w:rPr>
          <w:rFonts w:ascii="Cambria" w:hAnsi="Cambria"/>
          <w:b/>
          <w:bCs/>
          <w:color w:val="000000" w:themeColor="text1"/>
        </w:rPr>
        <w:t xml:space="preserve">Distinguished Members of the Committee on the Rights of the Child, </w:t>
      </w:r>
    </w:p>
    <w:p w14:paraId="607B9965" w14:textId="7EE8335A" w:rsidR="008D44A5" w:rsidRPr="001407FF" w:rsidRDefault="005C3323" w:rsidP="001407FF">
      <w:p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b/>
          <w:bCs/>
          <w:color w:val="000000" w:themeColor="text1"/>
        </w:rPr>
        <w:t xml:space="preserve">The Manuela Ramos Movement </w:t>
      </w:r>
      <w:r w:rsidRPr="001407FF">
        <w:rPr>
          <w:rFonts w:ascii="Cambria" w:eastAsia="Cambria" w:hAnsi="Cambria" w:cs="Cambria"/>
          <w:b/>
          <w:color w:val="000000" w:themeColor="text1"/>
        </w:rPr>
        <w:t xml:space="preserve"> </w:t>
      </w:r>
      <w:r w:rsidRPr="001407FF">
        <w:rPr>
          <w:rFonts w:ascii="Cambria" w:eastAsia="Cambria" w:hAnsi="Cambria" w:cs="Cambria"/>
          <w:color w:val="000000" w:themeColor="text1"/>
        </w:rPr>
        <w:t>(</w:t>
      </w:r>
      <w:r w:rsidRPr="001407FF">
        <w:rPr>
          <w:rFonts w:ascii="Cambria" w:eastAsia="Cambria" w:hAnsi="Cambria" w:cs="Cambria"/>
          <w:i/>
          <w:color w:val="000000" w:themeColor="text1"/>
        </w:rPr>
        <w:t>“Manuela Ramos”</w:t>
      </w:r>
      <w:r w:rsidRPr="001407FF">
        <w:rPr>
          <w:rFonts w:ascii="Cambria" w:eastAsia="Cambria" w:hAnsi="Cambria" w:cs="Cambria"/>
          <w:color w:val="000000" w:themeColor="text1"/>
        </w:rPr>
        <w:t>)</w:t>
      </w:r>
      <w:r w:rsidR="00EE2CAC">
        <w:rPr>
          <w:rStyle w:val="EndnoteReference"/>
          <w:rFonts w:ascii="Cambria" w:eastAsia="Cambria" w:hAnsi="Cambria" w:cs="Cambria"/>
          <w:color w:val="000000" w:themeColor="text1"/>
        </w:rPr>
        <w:endnoteReference w:id="1"/>
      </w:r>
      <w:r w:rsidR="0015217C">
        <w:rPr>
          <w:rFonts w:ascii="Cambria" w:eastAsia="Cambria" w:hAnsi="Cambria" w:cs="Cambria"/>
          <w:color w:val="000000" w:themeColor="text1"/>
        </w:rPr>
        <w:t xml:space="preserve"> and </w:t>
      </w:r>
      <w:r w:rsidR="0015217C" w:rsidRPr="0015217C">
        <w:rPr>
          <w:rFonts w:ascii="Cambria" w:hAnsi="Cambria"/>
          <w:b/>
          <w:bCs/>
        </w:rPr>
        <w:t>Alianza SÍ Podemos</w:t>
      </w:r>
      <w:r w:rsidR="0015217C" w:rsidRPr="0015217C">
        <w:rPr>
          <w:rFonts w:ascii="Cambria" w:hAnsi="Cambria"/>
        </w:rPr>
        <w:t xml:space="preserve"> (</w:t>
      </w:r>
      <w:r w:rsidR="0015217C" w:rsidRPr="0015217C">
        <w:rPr>
          <w:rFonts w:ascii="Cambria" w:hAnsi="Cambria"/>
          <w:i/>
          <w:iCs/>
        </w:rPr>
        <w:t>“ASP”</w:t>
      </w:r>
      <w:r w:rsidR="0015217C" w:rsidRPr="0015217C">
        <w:rPr>
          <w:rFonts w:ascii="Cambria" w:hAnsi="Cambria"/>
        </w:rPr>
        <w:t>)</w:t>
      </w:r>
      <w:r w:rsidR="00EE2CAC">
        <w:rPr>
          <w:rStyle w:val="EndnoteReference"/>
          <w:rFonts w:ascii="Cambria" w:hAnsi="Cambria"/>
        </w:rPr>
        <w:endnoteReference w:id="2"/>
      </w:r>
      <w:r w:rsidR="00EE2CAC" w:rsidRPr="001407FF">
        <w:rPr>
          <w:rFonts w:ascii="Cambria" w:eastAsia="Cambria" w:hAnsi="Cambria" w:cs="Cambria"/>
          <w:color w:val="000000" w:themeColor="text1"/>
        </w:rPr>
        <w:t xml:space="preserve"> </w:t>
      </w:r>
      <w:r w:rsidR="008D44A5" w:rsidRPr="001407FF">
        <w:rPr>
          <w:rFonts w:ascii="Cambria" w:eastAsia="Cambria" w:hAnsi="Cambria" w:cs="Cambria"/>
          <w:color w:val="000000" w:themeColor="text1"/>
        </w:rPr>
        <w:t>in the framework of Peru’s Periodic Review, which will be considered during the 98th session to be held from January 13 to 31, 2025,  present this communication</w:t>
      </w:r>
      <w:r w:rsidR="00EE2CAC">
        <w:rPr>
          <w:rStyle w:val="EndnoteReference"/>
          <w:rFonts w:ascii="Cambria" w:eastAsia="Cambria" w:hAnsi="Cambria" w:cs="Cambria"/>
          <w:color w:val="000000" w:themeColor="text1"/>
        </w:rPr>
        <w:endnoteReference w:id="3"/>
      </w:r>
      <w:r w:rsidR="008D44A5" w:rsidRPr="001407FF">
        <w:rPr>
          <w:rFonts w:ascii="Cambria" w:eastAsia="Cambria" w:hAnsi="Cambria" w:cs="Cambria"/>
          <w:color w:val="000000" w:themeColor="text1"/>
        </w:rPr>
        <w:t xml:space="preserve"> to contribute to the work of the Committee on the Rights of the Child (hereinafter, the “</w:t>
      </w:r>
      <w:r w:rsidR="008D44A5" w:rsidRPr="001407FF">
        <w:rPr>
          <w:rFonts w:ascii="Cambria" w:eastAsia="Cambria" w:hAnsi="Cambria" w:cs="Cambria"/>
          <w:b/>
          <w:bCs/>
          <w:i/>
          <w:iCs/>
          <w:color w:val="000000" w:themeColor="text1"/>
        </w:rPr>
        <w:t>Committtee</w:t>
      </w:r>
      <w:r w:rsidR="008D44A5" w:rsidRPr="001407FF">
        <w:rPr>
          <w:rFonts w:ascii="Cambria" w:eastAsia="Cambria" w:hAnsi="Cambria" w:cs="Cambria"/>
          <w:color w:val="000000" w:themeColor="text1"/>
        </w:rPr>
        <w:t>” or “</w:t>
      </w:r>
      <w:r w:rsidR="008D44A5" w:rsidRPr="001407FF">
        <w:rPr>
          <w:rFonts w:ascii="Cambria" w:eastAsia="Cambria" w:hAnsi="Cambria" w:cs="Cambria"/>
          <w:b/>
          <w:bCs/>
          <w:i/>
          <w:iCs/>
          <w:color w:val="000000" w:themeColor="text1"/>
        </w:rPr>
        <w:t>CRC</w:t>
      </w:r>
      <w:r w:rsidR="008D44A5" w:rsidRPr="001407FF">
        <w:rPr>
          <w:rFonts w:ascii="Cambria" w:eastAsia="Cambria" w:hAnsi="Cambria" w:cs="Cambria"/>
          <w:color w:val="000000" w:themeColor="text1"/>
        </w:rPr>
        <w:t>”) by providing information regarding Peru’s obligations to guarantee the rights of girls and adolescents on their access to sexual and reproductive rights, protected by the Convention on the Rights of the Child (the “</w:t>
      </w:r>
      <w:r w:rsidR="008D44A5" w:rsidRPr="001407FF">
        <w:rPr>
          <w:rFonts w:ascii="Cambria" w:eastAsia="Cambria" w:hAnsi="Cambria" w:cs="Cambria"/>
          <w:b/>
          <w:bCs/>
          <w:i/>
          <w:iCs/>
          <w:color w:val="000000" w:themeColor="text1"/>
        </w:rPr>
        <w:t>Convention</w:t>
      </w:r>
      <w:r w:rsidR="008D44A5" w:rsidRPr="001407FF">
        <w:rPr>
          <w:rFonts w:ascii="Cambria" w:eastAsia="Cambria" w:hAnsi="Cambria" w:cs="Cambria"/>
          <w:color w:val="000000" w:themeColor="text1"/>
        </w:rPr>
        <w:t>”).</w:t>
      </w:r>
    </w:p>
    <w:p w14:paraId="2920A800" w14:textId="77777777" w:rsidR="003E3F7E" w:rsidRPr="001407FF" w:rsidRDefault="003E3F7E" w:rsidP="001407FF">
      <w:pPr>
        <w:pBdr>
          <w:top w:val="nil"/>
          <w:left w:val="nil"/>
          <w:bottom w:val="nil"/>
          <w:right w:val="nil"/>
          <w:between w:val="nil"/>
        </w:pBdr>
        <w:spacing w:line="276" w:lineRule="auto"/>
        <w:jc w:val="both"/>
        <w:rPr>
          <w:rFonts w:ascii="Cambria" w:eastAsia="Cambria" w:hAnsi="Cambria" w:cs="Cambria"/>
          <w:color w:val="000000" w:themeColor="text1"/>
        </w:rPr>
      </w:pPr>
    </w:p>
    <w:p w14:paraId="0000000D" w14:textId="24941409" w:rsidR="00546420" w:rsidRPr="001407FF" w:rsidRDefault="008D44A5" w:rsidP="001407FF">
      <w:p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This report addresses the</w:t>
      </w:r>
      <w:r w:rsidR="000C1886" w:rsidRPr="001407FF">
        <w:rPr>
          <w:rFonts w:ascii="Cambria" w:eastAsia="Cambria" w:hAnsi="Cambria" w:cs="Cambria"/>
          <w:color w:val="000000" w:themeColor="text1"/>
        </w:rPr>
        <w:t xml:space="preserve"> violations of articles 24, 27, and 28 of the Convention, with special emphasis on (i) </w:t>
      </w:r>
      <w:r w:rsidR="003E3F7E" w:rsidRPr="001407FF">
        <w:rPr>
          <w:rFonts w:ascii="Cambria" w:eastAsia="Cambria" w:hAnsi="Cambria" w:cs="Cambria"/>
          <w:color w:val="000000" w:themeColor="text1"/>
        </w:rPr>
        <w:t>B</w:t>
      </w:r>
      <w:r w:rsidR="000C1886" w:rsidRPr="001407FF">
        <w:rPr>
          <w:rFonts w:ascii="Cambria" w:eastAsia="Cambria" w:hAnsi="Cambria" w:cs="Cambria"/>
          <w:color w:val="000000" w:themeColor="text1"/>
        </w:rPr>
        <w:t xml:space="preserve">arriers to access sexual and reproductive health services in Peru, </w:t>
      </w:r>
      <w:r w:rsidR="003E3F7E" w:rsidRPr="001407FF">
        <w:rPr>
          <w:rFonts w:ascii="Cambria" w:eastAsia="Cambria" w:hAnsi="Cambria" w:cs="Cambria"/>
          <w:color w:val="000000" w:themeColor="text1"/>
        </w:rPr>
        <w:t xml:space="preserve">gender violence against girls and adolescents, forced pregnancies in girls and adolescents, maternal mortality and persistent barriers </w:t>
      </w:r>
      <w:r w:rsidR="001407FF">
        <w:rPr>
          <w:rFonts w:ascii="Cambria" w:eastAsia="Cambria" w:hAnsi="Cambria" w:cs="Cambria"/>
          <w:color w:val="000000" w:themeColor="text1"/>
        </w:rPr>
        <w:t>to</w:t>
      </w:r>
      <w:r w:rsidR="003E3F7E" w:rsidRPr="001407FF">
        <w:rPr>
          <w:rFonts w:ascii="Cambria" w:eastAsia="Cambria" w:hAnsi="Cambria" w:cs="Cambria"/>
          <w:color w:val="000000" w:themeColor="text1"/>
        </w:rPr>
        <w:t xml:space="preserve"> access to therapeutic abortion; (ii) Barriers to implementing comprehensive sexual education, lastly, a list of recommendations </w:t>
      </w:r>
      <w:r w:rsidR="001407FF" w:rsidRPr="00EF0967">
        <w:rPr>
          <w:rFonts w:ascii="Cambria" w:eastAsia="Cambria" w:hAnsi="Cambria" w:cs="Cambria"/>
          <w:bCs/>
          <w:color w:val="000000" w:themeColor="text1"/>
        </w:rPr>
        <w:t>will be suggested to the Peruvian State.</w:t>
      </w:r>
    </w:p>
    <w:p w14:paraId="0000000F" w14:textId="77777777" w:rsidR="00546420" w:rsidRPr="001407FF" w:rsidRDefault="00546420" w:rsidP="001407FF">
      <w:pPr>
        <w:spacing w:line="276" w:lineRule="auto"/>
        <w:jc w:val="both"/>
        <w:rPr>
          <w:rFonts w:ascii="Cambria" w:hAnsi="Cambria"/>
          <w:color w:val="000000" w:themeColor="text1"/>
        </w:rPr>
      </w:pPr>
    </w:p>
    <w:p w14:paraId="00000011" w14:textId="1115F106" w:rsidR="00546420" w:rsidRPr="008C46EC" w:rsidRDefault="00000000" w:rsidP="00EE2CAC">
      <w:pPr>
        <w:spacing w:line="276" w:lineRule="auto"/>
        <w:jc w:val="both"/>
        <w:rPr>
          <w:rFonts w:ascii="Cambria" w:eastAsia="Cambria" w:hAnsi="Cambria" w:cs="Cambria"/>
          <w:color w:val="000000" w:themeColor="text1"/>
          <w:lang w:val="es-ES"/>
        </w:rPr>
      </w:pPr>
      <w:r w:rsidRPr="008C46EC">
        <w:rPr>
          <w:rFonts w:ascii="Cambria" w:eastAsia="Cambria" w:hAnsi="Cambria" w:cs="Cambria"/>
          <w:color w:val="000000" w:themeColor="text1"/>
          <w:lang w:val="es-ES"/>
        </w:rPr>
        <w:t>Cordial</w:t>
      </w:r>
      <w:r w:rsidR="00E86CA7" w:rsidRPr="008C46EC">
        <w:rPr>
          <w:rFonts w:ascii="Cambria" w:eastAsia="Cambria" w:hAnsi="Cambria" w:cs="Cambria"/>
          <w:color w:val="000000" w:themeColor="text1"/>
          <w:lang w:val="es-ES"/>
        </w:rPr>
        <w:t>ly</w:t>
      </w:r>
      <w:r w:rsidRPr="008C46EC">
        <w:rPr>
          <w:rFonts w:ascii="Cambria" w:eastAsia="Cambria" w:hAnsi="Cambria" w:cs="Cambria"/>
          <w:color w:val="000000" w:themeColor="text1"/>
          <w:lang w:val="es-ES"/>
        </w:rPr>
        <w:t xml:space="preserve">, </w:t>
      </w:r>
    </w:p>
    <w:p w14:paraId="60F535BA" w14:textId="77777777" w:rsidR="00EE2CAC" w:rsidRDefault="00EE2CAC" w:rsidP="005861DD">
      <w:pPr>
        <w:jc w:val="both"/>
        <w:rPr>
          <w:rFonts w:asciiTheme="minorHAnsi" w:hAnsiTheme="minorHAnsi"/>
          <w:lang w:val="es-ES"/>
        </w:rPr>
      </w:pPr>
    </w:p>
    <w:p w14:paraId="3674251D" w14:textId="3EFF3DDE" w:rsidR="005861DD" w:rsidRDefault="005861DD" w:rsidP="005861DD">
      <w:pPr>
        <w:jc w:val="both"/>
        <w:rPr>
          <w:rFonts w:asciiTheme="minorHAnsi" w:hAnsiTheme="minorHAnsi"/>
          <w:lang w:val="es-ES"/>
        </w:rPr>
      </w:pPr>
      <w:r>
        <w:rPr>
          <w:noProof/>
        </w:rPr>
        <w:drawing>
          <wp:anchor distT="0" distB="0" distL="114300" distR="114300" simplePos="0" relativeHeight="251660288" behindDoc="0" locked="0" layoutInCell="1" allowOverlap="1" wp14:anchorId="10D70EC5" wp14:editId="255E5DCE">
            <wp:simplePos x="0" y="0"/>
            <wp:positionH relativeFrom="column">
              <wp:posOffset>3560445</wp:posOffset>
            </wp:positionH>
            <wp:positionV relativeFrom="paragraph">
              <wp:posOffset>6350</wp:posOffset>
            </wp:positionV>
            <wp:extent cx="887150" cy="423545"/>
            <wp:effectExtent l="0" t="0" r="8255" b="0"/>
            <wp:wrapNone/>
            <wp:docPr id="7" name="Imagen 6" descr="A signature on a white background&#10;&#10;Description automatically generated">
              <a:extLst xmlns:a="http://schemas.openxmlformats.org/drawingml/2006/main">
                <a:ext uri="{FF2B5EF4-FFF2-40B4-BE49-F238E27FC236}">
                  <a16:creationId xmlns:a16="http://schemas.microsoft.com/office/drawing/2014/main" id="{9BF25AF9-EA04-4128-B138-E1272205CD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descr="A signature on a white background&#10;&#10;Description automatically generated">
                      <a:extLst>
                        <a:ext uri="{FF2B5EF4-FFF2-40B4-BE49-F238E27FC236}">
                          <a16:creationId xmlns:a16="http://schemas.microsoft.com/office/drawing/2014/main" id="{9BF25AF9-EA04-4128-B138-E1272205CD49}"/>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887480" cy="423703"/>
                    </a:xfrm>
                    <a:prstGeom prst="rect">
                      <a:avLst/>
                    </a:prstGeom>
                  </pic:spPr>
                </pic:pic>
              </a:graphicData>
            </a:graphic>
            <wp14:sizeRelH relativeFrom="margin">
              <wp14:pctWidth>0</wp14:pctWidth>
            </wp14:sizeRelH>
            <wp14:sizeRelV relativeFrom="margin">
              <wp14:pctHeight>0</wp14:pctHeight>
            </wp14:sizeRelV>
          </wp:anchor>
        </w:drawing>
      </w:r>
      <w:r>
        <w:rPr>
          <w:noProof/>
          <w:lang w:val="es-PE"/>
        </w:rPr>
        <w:drawing>
          <wp:anchor distT="0" distB="0" distL="114300" distR="114300" simplePos="0" relativeHeight="251659264" behindDoc="1" locked="0" layoutInCell="1" allowOverlap="1" wp14:anchorId="30417131" wp14:editId="59A037F8">
            <wp:simplePos x="0" y="0"/>
            <wp:positionH relativeFrom="margin">
              <wp:posOffset>635</wp:posOffset>
            </wp:positionH>
            <wp:positionV relativeFrom="paragraph">
              <wp:posOffset>125095</wp:posOffset>
            </wp:positionV>
            <wp:extent cx="1095375" cy="520065"/>
            <wp:effectExtent l="0" t="0" r="9525" b="0"/>
            <wp:wrapNone/>
            <wp:docPr id="1" name="Imagen 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A close up of a signatur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5375" cy="520065"/>
                    </a:xfrm>
                    <a:prstGeom prst="rect">
                      <a:avLst/>
                    </a:prstGeom>
                    <a:noFill/>
                  </pic:spPr>
                </pic:pic>
              </a:graphicData>
            </a:graphic>
            <wp14:sizeRelH relativeFrom="margin">
              <wp14:pctWidth>0</wp14:pctWidth>
            </wp14:sizeRelH>
            <wp14:sizeRelV relativeFrom="margin">
              <wp14:pctHeight>0</wp14:pctHeight>
            </wp14:sizeRelV>
          </wp:anchor>
        </w:drawing>
      </w:r>
    </w:p>
    <w:p w14:paraId="20C09DD5" w14:textId="77777777" w:rsidR="005861DD" w:rsidRDefault="005861DD" w:rsidP="005861DD">
      <w:pPr>
        <w:jc w:val="both"/>
        <w:rPr>
          <w:rFonts w:asciiTheme="minorHAnsi" w:hAnsiTheme="minorHAnsi"/>
          <w:lang w:val="es-ES"/>
        </w:rPr>
      </w:pPr>
    </w:p>
    <w:p w14:paraId="1873B51F" w14:textId="77777777" w:rsidR="005861DD" w:rsidRDefault="005861DD" w:rsidP="005861DD">
      <w:pPr>
        <w:jc w:val="both"/>
        <w:rPr>
          <w:rFonts w:asciiTheme="minorHAnsi" w:hAnsiTheme="minorHAnsi"/>
          <w:lang w:val="es-ES"/>
        </w:rPr>
      </w:pPr>
    </w:p>
    <w:p w14:paraId="29F81757" w14:textId="77777777" w:rsidR="005861DD" w:rsidRDefault="005861DD" w:rsidP="005861DD">
      <w:pPr>
        <w:rPr>
          <w:rFonts w:asciiTheme="minorHAnsi" w:hAnsiTheme="minorHAnsi"/>
          <w:lang w:val="es-ES"/>
        </w:rPr>
      </w:pPr>
      <w:r>
        <w:rPr>
          <w:rFonts w:asciiTheme="minorHAnsi" w:hAnsiTheme="minorHAnsi"/>
          <w:lang w:val="es-ES"/>
        </w:rPr>
        <w:t>Carmen Espinoza Bernal                                                         Elga Prado Vásquez</w:t>
      </w:r>
    </w:p>
    <w:p w14:paraId="2DA43D79" w14:textId="20DBFB78" w:rsidR="005861DD" w:rsidRDefault="005861DD" w:rsidP="005861DD">
      <w:pPr>
        <w:rPr>
          <w:rFonts w:asciiTheme="minorHAnsi" w:hAnsiTheme="minorHAnsi"/>
          <w:lang w:val="es-ES"/>
        </w:rPr>
      </w:pPr>
      <w:r>
        <w:rPr>
          <w:rFonts w:asciiTheme="minorHAnsi" w:hAnsiTheme="minorHAnsi"/>
          <w:lang w:val="es-ES"/>
        </w:rPr>
        <w:t xml:space="preserve">Director                                                                               Coordinator Alianza SI PODEMOS </w:t>
      </w:r>
    </w:p>
    <w:p w14:paraId="6478F33D" w14:textId="77777777" w:rsidR="005861DD" w:rsidRPr="001407FF" w:rsidRDefault="005861DD" w:rsidP="001407FF">
      <w:pPr>
        <w:tabs>
          <w:tab w:val="left" w:pos="1367"/>
        </w:tabs>
        <w:spacing w:line="276" w:lineRule="auto"/>
        <w:jc w:val="both"/>
        <w:rPr>
          <w:rFonts w:ascii="Cambria" w:eastAsia="Cambria" w:hAnsi="Cambria" w:cs="Cambria"/>
          <w:color w:val="000000" w:themeColor="text1"/>
        </w:rPr>
      </w:pPr>
    </w:p>
    <w:p w14:paraId="00000014" w14:textId="77777777" w:rsidR="00546420" w:rsidRPr="001407FF" w:rsidRDefault="00546420" w:rsidP="001407FF">
      <w:pPr>
        <w:spacing w:line="276" w:lineRule="auto"/>
        <w:jc w:val="both"/>
        <w:rPr>
          <w:rFonts w:ascii="Cambria" w:eastAsia="Cambria" w:hAnsi="Cambria" w:cs="Cambria"/>
          <w:color w:val="000000" w:themeColor="text1"/>
        </w:rPr>
      </w:pPr>
    </w:p>
    <w:p w14:paraId="00000015" w14:textId="792CA7B6" w:rsidR="00546420" w:rsidRPr="001407FF" w:rsidRDefault="00000000" w:rsidP="001407FF">
      <w:pPr>
        <w:pStyle w:val="Heading1"/>
        <w:numPr>
          <w:ilvl w:val="0"/>
          <w:numId w:val="1"/>
        </w:numPr>
        <w:spacing w:before="0" w:line="276" w:lineRule="auto"/>
        <w:ind w:left="284" w:hanging="284"/>
        <w:jc w:val="both"/>
        <w:rPr>
          <w:rFonts w:ascii="Cambria" w:eastAsia="Cambria" w:hAnsi="Cambria" w:cs="Cambria"/>
          <w:b/>
          <w:color w:val="000000" w:themeColor="text1"/>
          <w:sz w:val="24"/>
          <w:szCs w:val="24"/>
        </w:rPr>
      </w:pPr>
      <w:r w:rsidRPr="001407FF">
        <w:rPr>
          <w:rFonts w:ascii="Cambria" w:eastAsia="Cambria" w:hAnsi="Cambria" w:cs="Cambria"/>
          <w:b/>
          <w:color w:val="000000" w:themeColor="text1"/>
          <w:sz w:val="24"/>
          <w:szCs w:val="24"/>
        </w:rPr>
        <w:t>INTRODUC</w:t>
      </w:r>
      <w:r w:rsidR="00E86CA7" w:rsidRPr="001407FF">
        <w:rPr>
          <w:rFonts w:ascii="Cambria" w:eastAsia="Cambria" w:hAnsi="Cambria" w:cs="Cambria"/>
          <w:b/>
          <w:color w:val="000000" w:themeColor="text1"/>
          <w:sz w:val="24"/>
          <w:szCs w:val="24"/>
        </w:rPr>
        <w:t>TION</w:t>
      </w:r>
    </w:p>
    <w:p w14:paraId="3DDD3B6E" w14:textId="77777777" w:rsidR="00E86CA7" w:rsidRPr="001407FF" w:rsidRDefault="00E86CA7" w:rsidP="001407FF">
      <w:pPr>
        <w:pStyle w:val="Heading1"/>
        <w:spacing w:before="120" w:after="120" w:line="276" w:lineRule="auto"/>
        <w:ind w:left="720"/>
        <w:jc w:val="both"/>
        <w:rPr>
          <w:rFonts w:ascii="Cambria" w:eastAsia="Cambria" w:hAnsi="Cambria" w:cstheme="minorHAnsi"/>
          <w:i/>
          <w:iCs/>
          <w:color w:val="000000" w:themeColor="text1"/>
          <w:sz w:val="24"/>
          <w:szCs w:val="24"/>
        </w:rPr>
      </w:pPr>
      <w:r w:rsidRPr="001407FF">
        <w:rPr>
          <w:rFonts w:ascii="Cambria" w:eastAsia="Cambria" w:hAnsi="Cambria" w:cstheme="minorHAnsi"/>
          <w:i/>
          <w:iCs/>
          <w:color w:val="000000" w:themeColor="text1"/>
          <w:sz w:val="24"/>
          <w:szCs w:val="24"/>
        </w:rPr>
        <w:t>The Peruvian State's follow-up to the CRC's Concluding Observation</w:t>
      </w:r>
    </w:p>
    <w:p w14:paraId="00000017" w14:textId="77777777" w:rsidR="00546420" w:rsidRPr="001407FF" w:rsidRDefault="00546420" w:rsidP="001407FF">
      <w:pPr>
        <w:spacing w:line="276" w:lineRule="auto"/>
        <w:jc w:val="both"/>
        <w:rPr>
          <w:rFonts w:ascii="Cambria" w:eastAsia="Cambria" w:hAnsi="Cambria" w:cs="Cambria"/>
          <w:color w:val="000000" w:themeColor="text1"/>
        </w:rPr>
      </w:pPr>
    </w:p>
    <w:p w14:paraId="00000018" w14:textId="12E6315D" w:rsidR="00546420" w:rsidRPr="001407FF" w:rsidRDefault="000129E6"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 xml:space="preserve">The Committee repeatedly urged the Peruvian State to comply with the provisions of the Convention. </w:t>
      </w:r>
      <w:r w:rsidRPr="001407FF">
        <w:rPr>
          <w:rFonts w:ascii="Cambria" w:eastAsia="Cambria" w:hAnsi="Cambria" w:cstheme="minorHAnsi"/>
          <w:color w:val="000000" w:themeColor="text1"/>
        </w:rPr>
        <w:t xml:space="preserve">The Committee’s prior Concluding Observations of the combined fourth and fifth periodic report (hereinafter, </w:t>
      </w:r>
      <w:r w:rsidRPr="007F3B43">
        <w:rPr>
          <w:rFonts w:ascii="Cambria" w:eastAsia="Cambria" w:hAnsi="Cambria" w:cstheme="minorHAnsi"/>
          <w:b/>
          <w:bCs/>
          <w:i/>
          <w:iCs/>
          <w:color w:val="000000" w:themeColor="text1"/>
        </w:rPr>
        <w:t>“Concluding Observations”</w:t>
      </w:r>
      <w:r w:rsidRPr="001407FF">
        <w:rPr>
          <w:rFonts w:ascii="Cambria" w:eastAsia="Cambria" w:hAnsi="Cambria" w:cstheme="minorHAnsi"/>
          <w:color w:val="000000" w:themeColor="text1"/>
        </w:rPr>
        <w:t>)</w:t>
      </w:r>
      <w:r w:rsidR="00EE2CAC">
        <w:rPr>
          <w:rStyle w:val="EndnoteReference"/>
          <w:rFonts w:ascii="Cambria" w:eastAsia="Cambria" w:hAnsi="Cambria" w:cstheme="minorHAnsi"/>
          <w:color w:val="000000" w:themeColor="text1"/>
        </w:rPr>
        <w:endnoteReference w:id="4"/>
      </w:r>
      <w:r w:rsidRPr="001407FF">
        <w:rPr>
          <w:rFonts w:ascii="Cambria" w:eastAsia="Cambria" w:hAnsi="Cambria" w:cs="Cambria"/>
          <w:color w:val="000000" w:themeColor="text1"/>
        </w:rPr>
        <w:t xml:space="preserve"> </w:t>
      </w:r>
      <w:r w:rsidRPr="001407FF">
        <w:rPr>
          <w:rFonts w:ascii="Cambria" w:eastAsia="Cambria" w:hAnsi="Cambria" w:cstheme="minorHAnsi"/>
          <w:color w:val="000000" w:themeColor="text1"/>
        </w:rPr>
        <w:t xml:space="preserve">and list of issues of the combined sixth and seventh periodic report (hereinafter, </w:t>
      </w:r>
      <w:r w:rsidRPr="007F3B43">
        <w:rPr>
          <w:rFonts w:ascii="Cambria" w:eastAsia="Cambria" w:hAnsi="Cambria" w:cstheme="minorHAnsi"/>
          <w:b/>
          <w:bCs/>
          <w:i/>
          <w:iCs/>
          <w:color w:val="000000" w:themeColor="text1"/>
        </w:rPr>
        <w:t>“List of issues”</w:t>
      </w:r>
      <w:r w:rsidRPr="001407FF">
        <w:rPr>
          <w:rFonts w:ascii="Cambria" w:eastAsia="Cambria" w:hAnsi="Cambria" w:cstheme="minorHAnsi"/>
          <w:color w:val="000000" w:themeColor="text1"/>
        </w:rPr>
        <w:t>)</w:t>
      </w:r>
      <w:r w:rsidR="00EE2CAC">
        <w:rPr>
          <w:rStyle w:val="EndnoteReference"/>
          <w:rFonts w:ascii="Cambria" w:eastAsia="Cambria" w:hAnsi="Cambria" w:cstheme="minorHAnsi"/>
          <w:color w:val="000000" w:themeColor="text1"/>
        </w:rPr>
        <w:endnoteReference w:id="5"/>
      </w:r>
      <w:r w:rsidRPr="001407FF">
        <w:rPr>
          <w:rFonts w:ascii="Cambria" w:eastAsia="Cambria" w:hAnsi="Cambria" w:cs="Cambria"/>
          <w:color w:val="000000" w:themeColor="text1"/>
        </w:rPr>
        <w:t xml:space="preserve"> </w:t>
      </w:r>
      <w:r w:rsidRPr="001407FF">
        <w:rPr>
          <w:rFonts w:ascii="Cambria" w:eastAsia="Cambria" w:hAnsi="Cambria" w:cstheme="minorHAnsi"/>
          <w:color w:val="000000" w:themeColor="text1"/>
        </w:rPr>
        <w:t xml:space="preserve">has expressed concern about the high incidence of forced pregnancies, particularly among girls and adolescents in vulnerable situations, </w:t>
      </w:r>
      <w:r w:rsidR="008C762C" w:rsidRPr="001407FF">
        <w:rPr>
          <w:rFonts w:ascii="Cambria" w:eastAsia="Cambria" w:hAnsi="Cambria" w:cstheme="minorHAnsi"/>
          <w:color w:val="000000" w:themeColor="text1"/>
        </w:rPr>
        <w:t>the lack of access  to sexual and reproductive healthcare and access to modern contraceptive methods, including the emergency contraceptive pill. Furthermore, the Committee has called the Peruvian State for the decriminalization of abortion in Peru in all circumstances,</w:t>
      </w:r>
      <w:r w:rsidR="007F3B43">
        <w:rPr>
          <w:rFonts w:ascii="Cambria" w:eastAsia="Cambria" w:hAnsi="Cambria" w:cstheme="minorHAnsi"/>
          <w:color w:val="000000" w:themeColor="text1"/>
        </w:rPr>
        <w:t xml:space="preserve"> </w:t>
      </w:r>
      <w:r w:rsidR="008C762C" w:rsidRPr="001407FF">
        <w:rPr>
          <w:rFonts w:ascii="Cambria" w:eastAsia="Cambria" w:hAnsi="Cambria" w:cstheme="minorHAnsi"/>
          <w:color w:val="000000" w:themeColor="text1"/>
        </w:rPr>
        <w:t>guaranteeing girls and adolescents’ access to safe abortion services and post-abortion care, at least in the case of rape or incest, in the case of fetal abnormalities and the case of a risk to the pregnant person’s life or health</w:t>
      </w:r>
      <w:r w:rsidR="007F3B43">
        <w:rPr>
          <w:rFonts w:ascii="Cambria" w:eastAsia="Cambria" w:hAnsi="Cambria" w:cstheme="minorHAnsi"/>
          <w:color w:val="000000" w:themeColor="text1"/>
        </w:rPr>
        <w:t>.</w:t>
      </w:r>
      <w:r w:rsidR="00EE2CAC">
        <w:rPr>
          <w:rStyle w:val="EndnoteReference"/>
          <w:rFonts w:ascii="Cambria" w:eastAsia="Cambria" w:hAnsi="Cambria" w:cstheme="minorHAnsi"/>
          <w:color w:val="000000" w:themeColor="text1"/>
        </w:rPr>
        <w:endnoteReference w:id="6"/>
      </w:r>
      <w:r w:rsidRPr="001407FF">
        <w:rPr>
          <w:rFonts w:ascii="Cambria" w:eastAsia="Cambria" w:hAnsi="Cambria" w:cs="Cambria"/>
          <w:color w:val="000000" w:themeColor="text1"/>
        </w:rPr>
        <w:t xml:space="preserve"> </w:t>
      </w:r>
    </w:p>
    <w:p w14:paraId="00000019" w14:textId="77777777" w:rsidR="00546420" w:rsidRPr="001407FF" w:rsidRDefault="00546420" w:rsidP="001407FF">
      <w:pPr>
        <w:pBdr>
          <w:top w:val="nil"/>
          <w:left w:val="nil"/>
          <w:bottom w:val="nil"/>
          <w:right w:val="nil"/>
          <w:between w:val="nil"/>
        </w:pBdr>
        <w:spacing w:line="276" w:lineRule="auto"/>
        <w:ind w:left="720"/>
        <w:jc w:val="both"/>
        <w:rPr>
          <w:rFonts w:ascii="Cambria" w:eastAsia="Cambria" w:hAnsi="Cambria" w:cs="Cambria"/>
          <w:color w:val="000000" w:themeColor="text1"/>
        </w:rPr>
      </w:pPr>
    </w:p>
    <w:p w14:paraId="6D6B9CAC" w14:textId="04FC9F31" w:rsidR="00F607D8" w:rsidRPr="001407FF" w:rsidRDefault="00E019B3"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In addition to the list of issues, the Committee recommended that Peruvian State provide disaggregated data for each section and the provision of tables presenting trends over the reporting period.</w:t>
      </w:r>
      <w:r w:rsidR="00EE2CAC">
        <w:rPr>
          <w:rStyle w:val="EndnoteReference"/>
          <w:rFonts w:ascii="Cambria" w:eastAsia="Cambria" w:hAnsi="Cambria" w:cs="Cambria"/>
          <w:color w:val="000000" w:themeColor="text1"/>
        </w:rPr>
        <w:endnoteReference w:id="7"/>
      </w:r>
      <w:r w:rsidRPr="001407FF">
        <w:rPr>
          <w:rFonts w:ascii="Cambria" w:eastAsia="Cambria" w:hAnsi="Cambria" w:cs="Cambria"/>
          <w:color w:val="000000" w:themeColor="text1"/>
        </w:rPr>
        <w:t xml:space="preserve"> However, there is a lack of information available; for example, the reported cases of sexual violence do not necessarily represent the issue since there is an underreporting; it also happens in the case of teenage pregnancy,</w:t>
      </w:r>
      <w:r w:rsidR="00EE2CAC">
        <w:rPr>
          <w:rStyle w:val="EndnoteReference"/>
          <w:rFonts w:ascii="Cambria" w:eastAsia="Cambria" w:hAnsi="Cambria" w:cs="Cambria"/>
          <w:color w:val="000000" w:themeColor="text1"/>
        </w:rPr>
        <w:endnoteReference w:id="8"/>
      </w:r>
      <w:r w:rsidRPr="001407FF">
        <w:rPr>
          <w:rFonts w:ascii="Cambria" w:eastAsia="Cambria" w:hAnsi="Cambria" w:cs="Cambria"/>
          <w:color w:val="000000" w:themeColor="text1"/>
        </w:rPr>
        <w:t xml:space="preserve">and the data disaggregated by condition is unknown.  </w:t>
      </w:r>
    </w:p>
    <w:p w14:paraId="3D713B00" w14:textId="77777777" w:rsidR="000E37E8" w:rsidRPr="001407FF" w:rsidRDefault="000E37E8" w:rsidP="007F3B43">
      <w:pPr>
        <w:pBdr>
          <w:top w:val="nil"/>
          <w:left w:val="nil"/>
          <w:bottom w:val="nil"/>
          <w:right w:val="nil"/>
          <w:between w:val="nil"/>
        </w:pBdr>
        <w:spacing w:line="276" w:lineRule="auto"/>
        <w:jc w:val="both"/>
        <w:rPr>
          <w:rFonts w:ascii="Cambria" w:eastAsia="Cambria" w:hAnsi="Cambria" w:cs="Cambria"/>
          <w:color w:val="000000" w:themeColor="text1"/>
        </w:rPr>
      </w:pPr>
    </w:p>
    <w:p w14:paraId="2A041739" w14:textId="55A89BDF" w:rsidR="00E019B3" w:rsidRPr="001407FF" w:rsidRDefault="000E37E8"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 xml:space="preserve">Despite the Committe's recommendations, the Peruvian State's sixth and seventh reports have not satisfactorily addressed them and also have not provided information on the measures aimed at guaranteeing the rights of girls and adolescents. Therefore, the Peruvian State must comply with the provisions contained in the Convention; the refusal to comply contravenes its international commitments.  </w:t>
      </w:r>
    </w:p>
    <w:p w14:paraId="0000001D" w14:textId="77777777" w:rsidR="00546420" w:rsidRPr="001407FF" w:rsidRDefault="00546420" w:rsidP="001407FF">
      <w:pPr>
        <w:spacing w:line="276" w:lineRule="auto"/>
        <w:jc w:val="both"/>
        <w:rPr>
          <w:rFonts w:ascii="Cambria" w:eastAsia="Cambria" w:hAnsi="Cambria" w:cs="Cambria"/>
          <w:b/>
          <w:color w:val="000000" w:themeColor="text1"/>
        </w:rPr>
      </w:pPr>
    </w:p>
    <w:p w14:paraId="0000001E" w14:textId="723CE537" w:rsidR="00546420" w:rsidRPr="001407FF" w:rsidRDefault="006B1DE2" w:rsidP="001407FF">
      <w:pPr>
        <w:pStyle w:val="Heading1"/>
        <w:numPr>
          <w:ilvl w:val="0"/>
          <w:numId w:val="1"/>
        </w:numPr>
        <w:spacing w:before="0" w:line="276" w:lineRule="auto"/>
        <w:ind w:left="284" w:hanging="284"/>
        <w:jc w:val="both"/>
        <w:rPr>
          <w:rFonts w:ascii="Cambria" w:eastAsia="Cambria" w:hAnsi="Cambria" w:cs="Cambria"/>
          <w:b/>
          <w:color w:val="000000" w:themeColor="text1"/>
          <w:sz w:val="24"/>
          <w:szCs w:val="24"/>
        </w:rPr>
      </w:pPr>
      <w:r w:rsidRPr="001407FF">
        <w:rPr>
          <w:rFonts w:ascii="Cambria" w:eastAsia="Cambria" w:hAnsi="Cambria" w:cs="Cambria"/>
          <w:b/>
          <w:color w:val="000000" w:themeColor="text1"/>
          <w:sz w:val="24"/>
          <w:szCs w:val="24"/>
        </w:rPr>
        <w:t>BARRIERS TO ACCESS SEXUAL AND REPRODUCTIVE HEALTH SERVICES FOR GIRLS AND ADOLESCENTS</w:t>
      </w:r>
    </w:p>
    <w:p w14:paraId="0000001F" w14:textId="77777777" w:rsidR="00546420" w:rsidRPr="001407FF" w:rsidRDefault="00546420" w:rsidP="001407FF">
      <w:pPr>
        <w:spacing w:line="276" w:lineRule="auto"/>
        <w:jc w:val="both"/>
        <w:rPr>
          <w:rFonts w:ascii="Cambria" w:eastAsia="Cambria" w:hAnsi="Cambria" w:cs="Cambria"/>
          <w:color w:val="000000" w:themeColor="text1"/>
        </w:rPr>
      </w:pPr>
    </w:p>
    <w:p w14:paraId="4B0E6120" w14:textId="245EFC9E" w:rsidR="00505E5A" w:rsidRPr="001407FF" w:rsidRDefault="00505E5A"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 xml:space="preserve"> </w:t>
      </w:r>
      <w:r w:rsidR="005506C9" w:rsidRPr="001407FF">
        <w:rPr>
          <w:rFonts w:ascii="Cambria" w:eastAsia="Cambria" w:hAnsi="Cambria" w:cs="Cambria"/>
          <w:color w:val="000000" w:themeColor="text1"/>
        </w:rPr>
        <w:t xml:space="preserve"> The Committee’s prior list of issues recommended that the Peruvian State provide </w:t>
      </w:r>
      <w:r w:rsidR="005506C9" w:rsidRPr="001407FF">
        <w:rPr>
          <w:rFonts w:ascii="Cambria" w:eastAsia="Cambria" w:hAnsi="Cambria" w:cs="Cambria"/>
          <w:i/>
          <w:iCs/>
          <w:color w:val="000000" w:themeColor="text1"/>
        </w:rPr>
        <w:t xml:space="preserve">“data disaggregated on the sexual and reproductive health services available to </w:t>
      </w:r>
      <w:r w:rsidR="005506C9" w:rsidRPr="001407FF">
        <w:rPr>
          <w:rFonts w:ascii="Cambria" w:eastAsia="Cambria" w:hAnsi="Cambria" w:cs="Cambria"/>
          <w:i/>
          <w:iCs/>
          <w:color w:val="000000" w:themeColor="text1"/>
        </w:rPr>
        <w:lastRenderedPageBreak/>
        <w:t>adolescents”</w:t>
      </w:r>
      <w:r w:rsidR="005506C9" w:rsidRPr="001407FF">
        <w:rPr>
          <w:rFonts w:ascii="Cambria" w:eastAsia="Cambria" w:hAnsi="Cambria" w:cs="Cambria"/>
          <w:color w:val="000000" w:themeColor="text1"/>
        </w:rPr>
        <w:t>.</w:t>
      </w:r>
      <w:r w:rsidR="00EE2CAC">
        <w:rPr>
          <w:rStyle w:val="EndnoteReference"/>
          <w:rFonts w:ascii="Cambria" w:eastAsia="Cambria" w:hAnsi="Cambria" w:cs="Cambria"/>
          <w:color w:val="000000" w:themeColor="text1"/>
        </w:rPr>
        <w:endnoteReference w:id="9"/>
      </w:r>
      <w:r w:rsidR="005506C9" w:rsidRPr="001407FF">
        <w:rPr>
          <w:rFonts w:ascii="Cambria" w:eastAsia="Cambria" w:hAnsi="Cambria" w:cs="Cambria"/>
          <w:color w:val="000000" w:themeColor="text1"/>
        </w:rPr>
        <w:t xml:space="preserve"> In the Concluding Observations, the Committee is concerned about </w:t>
      </w:r>
      <w:r w:rsidR="005506C9" w:rsidRPr="001407FF">
        <w:rPr>
          <w:rFonts w:ascii="Cambria" w:eastAsia="Cambria" w:hAnsi="Cambria" w:cs="Cambria"/>
          <w:i/>
          <w:iCs/>
          <w:color w:val="000000" w:themeColor="text1"/>
        </w:rPr>
        <w:t xml:space="preserve">“the lack of access by adolescents to sexual and reproductive health services, </w:t>
      </w:r>
      <w:r w:rsidR="00DC15EC">
        <w:rPr>
          <w:rFonts w:ascii="Cambria" w:eastAsia="Cambria" w:hAnsi="Cambria" w:cs="Cambria"/>
          <w:i/>
          <w:iCs/>
          <w:color w:val="000000" w:themeColor="text1"/>
        </w:rPr>
        <w:t>[…]</w:t>
      </w:r>
      <w:r w:rsidR="005506C9" w:rsidRPr="001407FF">
        <w:rPr>
          <w:rFonts w:ascii="Cambria" w:eastAsia="Cambria" w:hAnsi="Cambria" w:cs="Cambria"/>
          <w:i/>
          <w:iCs/>
          <w:color w:val="000000" w:themeColor="text1"/>
        </w:rPr>
        <w:t>and to modern contraception methods, including emergency contraception,”</w:t>
      </w:r>
      <w:r w:rsidR="005506C9" w:rsidRPr="001407FF">
        <w:rPr>
          <w:rFonts w:ascii="Cambria" w:eastAsia="Cambria" w:hAnsi="Cambria" w:cs="Cambria"/>
          <w:color w:val="000000" w:themeColor="text1"/>
        </w:rPr>
        <w:t xml:space="preserve"> therefore, the Committee recommended the Peruvian State that </w:t>
      </w:r>
      <w:r w:rsidR="005506C9" w:rsidRPr="001407FF">
        <w:rPr>
          <w:rFonts w:ascii="Cambria" w:eastAsia="Cambria" w:hAnsi="Cambria" w:cs="Cambria"/>
          <w:i/>
          <w:iCs/>
          <w:color w:val="000000" w:themeColor="text1"/>
        </w:rPr>
        <w:t>“ensure the availability of, and effective access by all adolescents to, confidential reproductive health and counseling services and information, as well as to modern forms of contraception, including free emergency contraception.”</w:t>
      </w:r>
      <w:r w:rsidR="00EE2CAC">
        <w:rPr>
          <w:rStyle w:val="EndnoteReference"/>
          <w:rFonts w:ascii="Cambria" w:eastAsia="Cambria" w:hAnsi="Cambria" w:cs="Cambria"/>
          <w:i/>
          <w:iCs/>
          <w:color w:val="000000" w:themeColor="text1"/>
        </w:rPr>
        <w:endnoteReference w:id="10"/>
      </w:r>
    </w:p>
    <w:p w14:paraId="629D083D" w14:textId="77777777" w:rsidR="005506C9" w:rsidRPr="001407FF" w:rsidRDefault="005506C9" w:rsidP="001407FF">
      <w:pPr>
        <w:pBdr>
          <w:top w:val="nil"/>
          <w:left w:val="nil"/>
          <w:bottom w:val="nil"/>
          <w:right w:val="nil"/>
          <w:between w:val="nil"/>
        </w:pBdr>
        <w:spacing w:line="276" w:lineRule="auto"/>
        <w:jc w:val="both"/>
        <w:rPr>
          <w:rFonts w:ascii="Cambria" w:eastAsia="Cambria" w:hAnsi="Cambria" w:cs="Cambria"/>
          <w:color w:val="000000" w:themeColor="text1"/>
        </w:rPr>
      </w:pPr>
    </w:p>
    <w:p w14:paraId="06F20F4E" w14:textId="4FBF6B29" w:rsidR="000534B5" w:rsidRPr="001407FF" w:rsidRDefault="005506C9" w:rsidP="001407FF">
      <w:pPr>
        <w:pStyle w:val="ListParagraph"/>
        <w:numPr>
          <w:ilvl w:val="0"/>
          <w:numId w:val="2"/>
        </w:numPr>
        <w:pBdr>
          <w:top w:val="nil"/>
          <w:left w:val="nil"/>
          <w:bottom w:val="nil"/>
          <w:right w:val="nil"/>
          <w:between w:val="nil"/>
        </w:pBdr>
        <w:spacing w:line="276" w:lineRule="auto"/>
        <w:jc w:val="both"/>
        <w:rPr>
          <w:rFonts w:ascii="Cambria" w:eastAsia="Cambria" w:hAnsi="Cambria" w:cstheme="minorHAnsi"/>
          <w:color w:val="000000" w:themeColor="text1"/>
        </w:rPr>
      </w:pPr>
      <w:r w:rsidRPr="001407FF">
        <w:rPr>
          <w:rFonts w:ascii="Cambria" w:eastAsia="Cambria" w:hAnsi="Cambria" w:cstheme="minorHAnsi"/>
          <w:color w:val="000000" w:themeColor="text1"/>
        </w:rPr>
        <w:t>The UN treaty bodies,</w:t>
      </w:r>
      <w:r w:rsidR="00954DDC" w:rsidRPr="001407FF">
        <w:rPr>
          <w:rFonts w:ascii="Cambria" w:eastAsia="Cambria" w:hAnsi="Cambria" w:cstheme="minorHAnsi"/>
          <w:color w:val="000000" w:themeColor="text1"/>
        </w:rPr>
        <w:t xml:space="preserve"> </w:t>
      </w:r>
      <w:r w:rsidRPr="001407FF">
        <w:rPr>
          <w:rFonts w:ascii="Cambria" w:eastAsia="Cambria" w:hAnsi="Cambria" w:cstheme="minorHAnsi"/>
          <w:color w:val="000000" w:themeColor="text1"/>
        </w:rPr>
        <w:t>including the CRC, urged the Peruvian State to guarantee the availability of all girls and adolescents to access confidential services and reproductive health information and the corresponding psychological assistance</w:t>
      </w:r>
      <w:r w:rsidR="00954DDC">
        <w:rPr>
          <w:rFonts w:ascii="Cambria" w:eastAsia="Cambria" w:hAnsi="Cambria" w:cstheme="minorHAnsi"/>
          <w:color w:val="000000" w:themeColor="text1"/>
        </w:rPr>
        <w:t>;</w:t>
      </w:r>
      <w:r w:rsidR="00EE2CAC">
        <w:rPr>
          <w:rStyle w:val="EndnoteReference"/>
          <w:rFonts w:ascii="Cambria" w:eastAsia="Cambria" w:hAnsi="Cambria" w:cstheme="minorHAnsi"/>
          <w:color w:val="000000" w:themeColor="text1"/>
        </w:rPr>
        <w:endnoteReference w:id="11"/>
      </w:r>
      <w:r w:rsidR="00EE2CAC" w:rsidRPr="001407FF">
        <w:rPr>
          <w:rFonts w:ascii="Cambria" w:eastAsia="Cambria" w:hAnsi="Cambria" w:cstheme="minorHAnsi"/>
          <w:color w:val="000000" w:themeColor="text1"/>
        </w:rPr>
        <w:t xml:space="preserve"> </w:t>
      </w:r>
      <w:r w:rsidRPr="001407FF">
        <w:rPr>
          <w:rFonts w:ascii="Cambria" w:eastAsia="Cambria" w:hAnsi="Cambria" w:cstheme="minorHAnsi"/>
          <w:color w:val="000000" w:themeColor="text1"/>
        </w:rPr>
        <w:t>however, girls and adolescents still face discrimination and disparities in access to sexual and reproductive health services. </w:t>
      </w:r>
    </w:p>
    <w:p w14:paraId="6C873379" w14:textId="77777777" w:rsidR="000534B5" w:rsidRPr="001407FF" w:rsidRDefault="000534B5" w:rsidP="001407FF">
      <w:pPr>
        <w:pStyle w:val="ListParagraph"/>
        <w:pBdr>
          <w:top w:val="nil"/>
          <w:left w:val="nil"/>
          <w:bottom w:val="nil"/>
          <w:right w:val="nil"/>
          <w:between w:val="nil"/>
        </w:pBdr>
        <w:spacing w:line="276" w:lineRule="auto"/>
        <w:jc w:val="both"/>
        <w:rPr>
          <w:rFonts w:ascii="Cambria" w:eastAsia="Cambria" w:hAnsi="Cambria" w:cstheme="minorHAnsi"/>
          <w:color w:val="000000" w:themeColor="text1"/>
        </w:rPr>
      </w:pPr>
    </w:p>
    <w:p w14:paraId="2450996A" w14:textId="2CEB250C" w:rsidR="005506C9" w:rsidRPr="001407FF" w:rsidRDefault="000534B5" w:rsidP="001407FF">
      <w:pPr>
        <w:pStyle w:val="ListParagraph"/>
        <w:numPr>
          <w:ilvl w:val="0"/>
          <w:numId w:val="2"/>
        </w:numPr>
        <w:pBdr>
          <w:top w:val="nil"/>
          <w:left w:val="nil"/>
          <w:bottom w:val="nil"/>
          <w:right w:val="nil"/>
          <w:between w:val="nil"/>
        </w:pBdr>
        <w:spacing w:line="276" w:lineRule="auto"/>
        <w:jc w:val="both"/>
        <w:rPr>
          <w:rFonts w:ascii="Cambria" w:eastAsia="Cambria" w:hAnsi="Cambria" w:cstheme="minorHAnsi"/>
          <w:color w:val="000000" w:themeColor="text1"/>
        </w:rPr>
      </w:pPr>
      <w:r w:rsidRPr="001407FF">
        <w:rPr>
          <w:rFonts w:ascii="Cambria" w:eastAsia="Cambria" w:hAnsi="Cambria" w:cstheme="minorHAnsi"/>
          <w:color w:val="000000" w:themeColor="text1"/>
        </w:rPr>
        <w:t>Despite being a reiterative recommendation by UN treaty bodies, including the Committee on the Rights of the Child,</w:t>
      </w:r>
      <w:r w:rsidR="00673DC5">
        <w:rPr>
          <w:rStyle w:val="EndnoteReference"/>
          <w:rFonts w:ascii="Cambria" w:eastAsia="Cambria" w:hAnsi="Cambria" w:cstheme="minorHAnsi"/>
          <w:color w:val="000000" w:themeColor="text1"/>
        </w:rPr>
        <w:endnoteReference w:id="12"/>
      </w:r>
      <w:r w:rsidRPr="001407FF">
        <w:rPr>
          <w:rFonts w:ascii="Cambria" w:eastAsia="Cambria" w:hAnsi="Cambria" w:cstheme="minorHAnsi"/>
          <w:color w:val="000000" w:themeColor="text1"/>
        </w:rPr>
        <w:t xml:space="preserve"> the </w:t>
      </w:r>
      <w:r w:rsidR="00AE2B76" w:rsidRPr="001407FF">
        <w:rPr>
          <w:rFonts w:ascii="Cambria" w:eastAsia="Cambria" w:hAnsi="Cambria" w:cstheme="minorHAnsi"/>
          <w:color w:val="000000" w:themeColor="text1"/>
        </w:rPr>
        <w:t xml:space="preserve">Peruvian </w:t>
      </w:r>
      <w:r w:rsidRPr="001407FF">
        <w:rPr>
          <w:rFonts w:ascii="Cambria" w:eastAsia="Cambria" w:hAnsi="Cambria" w:cstheme="minorHAnsi"/>
          <w:color w:val="000000" w:themeColor="text1"/>
        </w:rPr>
        <w:t>State failed to comply with its obligation to ensure access to confidential and friendly sexual and reproductive health services (SRH) with a gender, intersectional, intergenerational and intercultural approach to girls and adolescents (in their diversity). Also, the State did not develop a comprehensive approach because it does not consider this type of service as essential. In addition, there are access barriers for groups in vulnerable situations due to their geographic condition, ethnicity, native language, nationality, sexual orientation, gender identity, and gender expression, among others.</w:t>
      </w:r>
    </w:p>
    <w:p w14:paraId="00000023" w14:textId="77777777" w:rsidR="00546420" w:rsidRPr="001407FF" w:rsidRDefault="00546420" w:rsidP="001407FF">
      <w:pPr>
        <w:pBdr>
          <w:top w:val="nil"/>
          <w:left w:val="nil"/>
          <w:bottom w:val="nil"/>
          <w:right w:val="nil"/>
          <w:between w:val="nil"/>
        </w:pBdr>
        <w:spacing w:line="276" w:lineRule="auto"/>
        <w:jc w:val="both"/>
        <w:rPr>
          <w:rFonts w:ascii="Cambria" w:eastAsia="Cambria" w:hAnsi="Cambria" w:cs="Cambria"/>
          <w:color w:val="000000" w:themeColor="text1"/>
        </w:rPr>
      </w:pPr>
    </w:p>
    <w:p w14:paraId="00000026" w14:textId="506F77BB" w:rsidR="00546420" w:rsidRPr="001407FF" w:rsidRDefault="00791D2F"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 xml:space="preserve">In addition, adequate health services were lacking during the pandemic. In this regard, the Ombudsman's Office (hereinafter, </w:t>
      </w:r>
      <w:r w:rsidRPr="00954DDC">
        <w:rPr>
          <w:rFonts w:ascii="Cambria" w:eastAsia="Cambria" w:hAnsi="Cambria" w:cs="Cambria"/>
          <w:b/>
          <w:bCs/>
          <w:i/>
          <w:iCs/>
          <w:color w:val="000000" w:themeColor="text1"/>
        </w:rPr>
        <w:t>"The Ombudsman's Office"</w:t>
      </w:r>
      <w:r w:rsidRPr="001407FF">
        <w:rPr>
          <w:rFonts w:ascii="Cambria" w:eastAsia="Cambria" w:hAnsi="Cambria" w:cs="Cambria"/>
          <w:color w:val="000000" w:themeColor="text1"/>
        </w:rPr>
        <w:t>) has monitored health facilities during the Covid-19 pandemic and highlighted: i) limited sexual and reproductive health services; ii) lack of adequate training and specialized medical personnel on the importance of ensuring sexual and reproductive health;</w:t>
      </w:r>
      <w:r w:rsidR="00673DC5">
        <w:rPr>
          <w:rStyle w:val="EndnoteReference"/>
          <w:rFonts w:ascii="Cambria" w:eastAsia="Cambria" w:hAnsi="Cambria" w:cs="Cambria"/>
          <w:color w:val="000000" w:themeColor="text1"/>
        </w:rPr>
        <w:endnoteReference w:id="13"/>
      </w:r>
      <w:r w:rsidRPr="001407FF">
        <w:rPr>
          <w:rFonts w:ascii="Cambria" w:eastAsia="Cambria" w:hAnsi="Cambria" w:cs="Cambria"/>
          <w:color w:val="000000" w:themeColor="text1"/>
        </w:rPr>
        <w:t xml:space="preserve"> iii) the challenges of access to comprehensive sexual education </w:t>
      </w:r>
      <w:r w:rsidR="00954DDC" w:rsidRPr="001407FF">
        <w:rPr>
          <w:rFonts w:ascii="Cambria" w:eastAsia="Cambria" w:hAnsi="Cambria" w:cs="Cambria"/>
          <w:color w:val="000000" w:themeColor="text1"/>
        </w:rPr>
        <w:t>and</w:t>
      </w:r>
      <w:r w:rsidRPr="001407FF">
        <w:rPr>
          <w:rFonts w:ascii="Cambria" w:eastAsia="Cambria" w:hAnsi="Cambria" w:cs="Cambria"/>
          <w:color w:val="000000" w:themeColor="text1"/>
        </w:rPr>
        <w:t xml:space="preserve"> iv) the increase in the rate of teenage pregnancy.</w:t>
      </w:r>
    </w:p>
    <w:p w14:paraId="217B4B43" w14:textId="77777777" w:rsidR="00791D2F" w:rsidRPr="001407FF" w:rsidRDefault="00791D2F" w:rsidP="001407FF">
      <w:pPr>
        <w:pBdr>
          <w:top w:val="nil"/>
          <w:left w:val="nil"/>
          <w:bottom w:val="nil"/>
          <w:right w:val="nil"/>
          <w:between w:val="nil"/>
        </w:pBdr>
        <w:spacing w:line="276" w:lineRule="auto"/>
        <w:jc w:val="both"/>
        <w:rPr>
          <w:rFonts w:ascii="Cambria" w:eastAsia="Cambria" w:hAnsi="Cambria" w:cs="Cambria"/>
          <w:color w:val="000000" w:themeColor="text1"/>
        </w:rPr>
      </w:pPr>
    </w:p>
    <w:p w14:paraId="00000028" w14:textId="0286C2A3" w:rsidR="00546420" w:rsidRPr="00954DDC" w:rsidRDefault="00954DDC" w:rsidP="00954DDC">
      <w:pPr>
        <w:numPr>
          <w:ilvl w:val="0"/>
          <w:numId w:val="9"/>
        </w:numPr>
        <w:pBdr>
          <w:top w:val="nil"/>
          <w:left w:val="nil"/>
          <w:bottom w:val="nil"/>
          <w:right w:val="nil"/>
          <w:between w:val="nil"/>
        </w:pBdr>
        <w:spacing w:line="276" w:lineRule="auto"/>
        <w:jc w:val="both"/>
        <w:rPr>
          <w:rFonts w:ascii="Cambria" w:eastAsia="Cambria" w:hAnsi="Cambria" w:cs="Cambria"/>
          <w:color w:val="000000" w:themeColor="text1"/>
        </w:rPr>
      </w:pPr>
      <w:r>
        <w:rPr>
          <w:rFonts w:ascii="Cambria" w:eastAsia="Cambria" w:hAnsi="Cambria" w:cs="Cambria"/>
          <w:b/>
          <w:color w:val="000000" w:themeColor="text1"/>
        </w:rPr>
        <w:t>PERU: SETBACKS IN HUMAN RIGHTS</w:t>
      </w:r>
    </w:p>
    <w:p w14:paraId="60E2F152" w14:textId="77777777" w:rsidR="00954DDC" w:rsidRPr="001407FF" w:rsidRDefault="00954DDC" w:rsidP="00954DDC">
      <w:pPr>
        <w:pBdr>
          <w:top w:val="nil"/>
          <w:left w:val="nil"/>
          <w:bottom w:val="nil"/>
          <w:right w:val="nil"/>
          <w:between w:val="nil"/>
        </w:pBdr>
        <w:spacing w:line="276" w:lineRule="auto"/>
        <w:ind w:left="720"/>
        <w:jc w:val="both"/>
        <w:rPr>
          <w:rFonts w:ascii="Cambria" w:eastAsia="Cambria" w:hAnsi="Cambria" w:cs="Cambria"/>
          <w:color w:val="000000" w:themeColor="text1"/>
        </w:rPr>
      </w:pPr>
    </w:p>
    <w:p w14:paraId="42BA051F" w14:textId="2F9A3695" w:rsidR="001843B6" w:rsidRPr="001407FF" w:rsidRDefault="001843B6"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 xml:space="preserve">It is essential to highlight the institutional crisis and the setback </w:t>
      </w:r>
      <w:r w:rsidR="00954DDC">
        <w:rPr>
          <w:rFonts w:ascii="Cambria" w:eastAsia="Cambria" w:hAnsi="Cambria" w:cs="Cambria"/>
          <w:color w:val="000000" w:themeColor="text1"/>
        </w:rPr>
        <w:t xml:space="preserve">in </w:t>
      </w:r>
      <w:r w:rsidRPr="001407FF">
        <w:rPr>
          <w:rFonts w:ascii="Cambria" w:eastAsia="Cambria" w:hAnsi="Cambria" w:cs="Cambria"/>
          <w:color w:val="000000" w:themeColor="text1"/>
        </w:rPr>
        <w:t>human rights in Peru, which have been exacerbated in recent years. The legislative branch (Congress of the Republic) promoted and approved several harmful legislative initiatives, such as bills against access to sexual and reproductive rights,</w:t>
      </w:r>
      <w:r w:rsidR="00673DC5">
        <w:rPr>
          <w:rStyle w:val="EndnoteReference"/>
          <w:rFonts w:ascii="Cambria" w:eastAsia="Cambria" w:hAnsi="Cambria" w:cs="Cambria"/>
          <w:color w:val="000000" w:themeColor="text1"/>
        </w:rPr>
        <w:endnoteReference w:id="14"/>
      </w:r>
      <w:r w:rsidRPr="001407FF">
        <w:rPr>
          <w:rFonts w:ascii="Cambria" w:eastAsia="Cambria" w:hAnsi="Cambria" w:cs="Cambria"/>
          <w:color w:val="000000" w:themeColor="text1"/>
        </w:rPr>
        <w:t xml:space="preserve"> obstructing the work of </w:t>
      </w:r>
      <w:r w:rsidRPr="001407FF">
        <w:rPr>
          <w:rFonts w:ascii="Cambria" w:eastAsia="Cambria" w:hAnsi="Cambria" w:cs="Cambria"/>
          <w:color w:val="000000" w:themeColor="text1"/>
        </w:rPr>
        <w:lastRenderedPageBreak/>
        <w:t>civil society organizations</w:t>
      </w:r>
      <w:r w:rsidR="00FA6E10" w:rsidRPr="001407FF">
        <w:rPr>
          <w:rFonts w:ascii="Cambria" w:eastAsia="Cambria" w:hAnsi="Cambria" w:cs="Cambria"/>
          <w:color w:val="000000" w:themeColor="text1"/>
        </w:rPr>
        <w:t xml:space="preserve"> (CSO)</w:t>
      </w:r>
      <w:r w:rsidRPr="001407FF">
        <w:rPr>
          <w:rFonts w:ascii="Cambria" w:eastAsia="Cambria" w:hAnsi="Cambria" w:cs="Cambria"/>
          <w:color w:val="000000" w:themeColor="text1"/>
        </w:rPr>
        <w:t>,</w:t>
      </w:r>
      <w:r w:rsidR="00673DC5">
        <w:rPr>
          <w:rStyle w:val="EndnoteReference"/>
          <w:rFonts w:ascii="Cambria" w:eastAsia="Cambria" w:hAnsi="Cambria" w:cs="Cambria"/>
          <w:color w:val="000000" w:themeColor="text1"/>
        </w:rPr>
        <w:endnoteReference w:id="15"/>
      </w:r>
      <w:r w:rsidRPr="001407FF">
        <w:rPr>
          <w:rFonts w:ascii="Cambria" w:eastAsia="Cambria" w:hAnsi="Cambria" w:cs="Cambria"/>
          <w:color w:val="000000" w:themeColor="text1"/>
        </w:rPr>
        <w:t xml:space="preserve"> and opposing the recognition of the Inter-American Human Rights System.</w:t>
      </w:r>
      <w:r w:rsidR="00673DC5">
        <w:rPr>
          <w:rStyle w:val="EndnoteReference"/>
          <w:rFonts w:ascii="Cambria" w:eastAsia="Cambria" w:hAnsi="Cambria" w:cs="Cambria"/>
          <w:color w:val="000000" w:themeColor="text1"/>
        </w:rPr>
        <w:endnoteReference w:id="16"/>
      </w:r>
    </w:p>
    <w:p w14:paraId="7A0D394C" w14:textId="71852DAD" w:rsidR="00347790" w:rsidRPr="001407FF" w:rsidRDefault="00347790" w:rsidP="001407FF">
      <w:p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ab/>
      </w:r>
    </w:p>
    <w:p w14:paraId="507EA41A" w14:textId="62C1A7CE" w:rsidR="00687206" w:rsidRPr="001407FF" w:rsidRDefault="00347790"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The Congress of the Republic promotes bills that seek to hinder the work of CSOs and restrict their work in the framework of respect for human rights through the hypervigilance of CSOs. As an example, on December 5, 2024, the Congress of the Republic grouped six legislative initiatives to modify Law No. 27692, Law for the creation of the Peruvian Agency for International Cooperation-APCI,</w:t>
      </w:r>
      <w:r w:rsidR="00673DC5">
        <w:rPr>
          <w:rStyle w:val="EndnoteReference"/>
          <w:rFonts w:ascii="Cambria" w:eastAsia="Cambria" w:hAnsi="Cambria" w:cs="Cambria"/>
          <w:color w:val="000000" w:themeColor="text1"/>
        </w:rPr>
        <w:endnoteReference w:id="17"/>
      </w:r>
      <w:r w:rsidRPr="001407FF">
        <w:rPr>
          <w:rFonts w:ascii="Cambria" w:eastAsia="Cambria" w:hAnsi="Cambria" w:cs="Cambria"/>
          <w:color w:val="000000" w:themeColor="text1"/>
        </w:rPr>
        <w:t xml:space="preserve"> on June 5, 2024, the Foreign Relations Commission approved the opinion by the majority, and the bill is ready to be approved in Congress. This type of action violates the right of association and citizen participation. Also, it impedes the full exercise of human rights organizations that have been working on issues related to the defense of the rights to health and comprehensive sexual education, as we have been working in Manuela Ramos. In this regard, the international community has expressed concern for this bill,</w:t>
      </w:r>
      <w:r w:rsidR="00673DC5">
        <w:rPr>
          <w:rStyle w:val="EndnoteReference"/>
          <w:rFonts w:ascii="Cambria" w:eastAsia="Cambria" w:hAnsi="Cambria" w:cs="Cambria"/>
          <w:color w:val="000000" w:themeColor="text1"/>
        </w:rPr>
        <w:endnoteReference w:id="18"/>
      </w:r>
      <w:r w:rsidR="00687206" w:rsidRPr="001407FF">
        <w:rPr>
          <w:rFonts w:ascii="Cambria" w:eastAsia="Cambria" w:hAnsi="Cambria" w:cs="Cambria"/>
          <w:color w:val="000000" w:themeColor="text1"/>
          <w:vertAlign w:val="superscript"/>
        </w:rPr>
        <w:t xml:space="preserve"> </w:t>
      </w:r>
      <w:r w:rsidRPr="001407FF">
        <w:rPr>
          <w:rFonts w:ascii="Cambria" w:eastAsia="Cambria" w:hAnsi="Cambria" w:cs="Cambria"/>
          <w:color w:val="000000" w:themeColor="text1"/>
        </w:rPr>
        <w:t>and recently, several Special Rapporteurs of the United Nations also expressed deep concern for hindering NGOs' work.</w:t>
      </w:r>
      <w:r w:rsidR="00673DC5">
        <w:rPr>
          <w:rStyle w:val="EndnoteReference"/>
          <w:rFonts w:ascii="Cambria" w:eastAsia="Cambria" w:hAnsi="Cambria" w:cs="Cambria"/>
          <w:color w:val="000000" w:themeColor="text1"/>
        </w:rPr>
        <w:endnoteReference w:id="19"/>
      </w:r>
      <w:r w:rsidRPr="001407FF">
        <w:rPr>
          <w:rFonts w:ascii="Cambria" w:eastAsia="Cambria" w:hAnsi="Cambria" w:cs="Cambria"/>
          <w:color w:val="000000" w:themeColor="text1"/>
        </w:rPr>
        <w:t xml:space="preserve"> However, Congress is more likely to approve this bill.</w:t>
      </w:r>
    </w:p>
    <w:p w14:paraId="12567DED" w14:textId="77777777" w:rsidR="00EC70ED" w:rsidRPr="001407FF" w:rsidRDefault="00EC70ED" w:rsidP="001407FF">
      <w:pPr>
        <w:pBdr>
          <w:top w:val="nil"/>
          <w:left w:val="nil"/>
          <w:bottom w:val="nil"/>
          <w:right w:val="nil"/>
          <w:between w:val="nil"/>
        </w:pBdr>
        <w:spacing w:line="276" w:lineRule="auto"/>
        <w:jc w:val="both"/>
        <w:rPr>
          <w:rFonts w:ascii="Cambria" w:eastAsia="Cambria" w:hAnsi="Cambria" w:cs="Cambria"/>
          <w:color w:val="000000" w:themeColor="text1"/>
        </w:rPr>
      </w:pPr>
    </w:p>
    <w:p w14:paraId="0000002D" w14:textId="6CAEC28C" w:rsidR="00546420" w:rsidRPr="00F50617" w:rsidRDefault="003739BF" w:rsidP="001407FF">
      <w:pPr>
        <w:pStyle w:val="ListParagraph"/>
        <w:numPr>
          <w:ilvl w:val="0"/>
          <w:numId w:val="2"/>
        </w:numPr>
        <w:pBdr>
          <w:top w:val="nil"/>
          <w:left w:val="nil"/>
          <w:bottom w:val="nil"/>
          <w:right w:val="nil"/>
          <w:between w:val="nil"/>
        </w:pBdr>
        <w:spacing w:line="276" w:lineRule="auto"/>
        <w:jc w:val="both"/>
        <w:rPr>
          <w:rFonts w:ascii="Cambria" w:eastAsia="Cambria" w:hAnsi="Cambria" w:cstheme="minorHAnsi"/>
          <w:color w:val="000000" w:themeColor="text1"/>
        </w:rPr>
      </w:pPr>
      <w:r w:rsidRPr="001407FF">
        <w:rPr>
          <w:rFonts w:ascii="Cambria" w:eastAsia="Cambria" w:hAnsi="Cambria" w:cstheme="minorHAnsi"/>
          <w:color w:val="000000" w:themeColor="text1"/>
        </w:rPr>
        <w:t>Oppose the right to sexual and reproductive health. In this regard, on November 9th, 2023,</w:t>
      </w:r>
      <w:r w:rsidR="00673DC5">
        <w:rPr>
          <w:rStyle w:val="EndnoteReference"/>
          <w:rFonts w:ascii="Cambria" w:eastAsia="Cambria" w:hAnsi="Cambria" w:cstheme="minorHAnsi"/>
          <w:color w:val="000000" w:themeColor="text1"/>
        </w:rPr>
        <w:endnoteReference w:id="20"/>
      </w:r>
      <w:r w:rsidRPr="001407FF">
        <w:rPr>
          <w:rFonts w:ascii="Cambria" w:eastAsia="Cambria" w:hAnsi="Cambria" w:cstheme="minorHAnsi"/>
          <w:color w:val="000000" w:themeColor="text1"/>
        </w:rPr>
        <w:t xml:space="preserve"> the Congress of the Republic, with a majority of 72 votes, passed bill No</w:t>
      </w:r>
      <w:r w:rsidR="007768A9">
        <w:rPr>
          <w:rFonts w:ascii="Cambria" w:eastAsia="Cambria" w:hAnsi="Cambria" w:cstheme="minorHAnsi"/>
          <w:color w:val="000000" w:themeColor="text1"/>
        </w:rPr>
        <w:t>.</w:t>
      </w:r>
      <w:r w:rsidRPr="001407FF">
        <w:rPr>
          <w:rFonts w:ascii="Cambria" w:eastAsia="Cambria" w:hAnsi="Cambria" w:cstheme="minorHAnsi"/>
          <w:color w:val="000000" w:themeColor="text1"/>
        </w:rPr>
        <w:t xml:space="preserve"> 785/2021-CR entitled "Law Recognizing the Rights of the Conceived Child"</w:t>
      </w:r>
      <w:r w:rsidR="00673DC5">
        <w:rPr>
          <w:rStyle w:val="EndnoteReference"/>
          <w:rFonts w:ascii="Cambria" w:eastAsia="Cambria" w:hAnsi="Cambria" w:cstheme="minorHAnsi"/>
          <w:color w:val="000000" w:themeColor="text1"/>
        </w:rPr>
        <w:endnoteReference w:id="21"/>
      </w:r>
      <w:r w:rsidR="000C0984" w:rsidRPr="001407FF">
        <w:rPr>
          <w:rFonts w:ascii="Cambria" w:eastAsia="Cambria" w:hAnsi="Cambria" w:cstheme="minorHAnsi"/>
          <w:color w:val="000000" w:themeColor="text1"/>
        </w:rPr>
        <w:t xml:space="preserve"> </w:t>
      </w:r>
      <w:r w:rsidRPr="001407FF">
        <w:rPr>
          <w:rFonts w:ascii="Cambria" w:eastAsia="Cambria" w:hAnsi="Cambria" w:cstheme="minorHAnsi"/>
          <w:color w:val="000000" w:themeColor="text1"/>
        </w:rPr>
        <w:t xml:space="preserve"> </w:t>
      </w:r>
      <w:r w:rsidR="000C0984" w:rsidRPr="001407FF">
        <w:rPr>
          <w:rFonts w:ascii="Cambria" w:eastAsia="Cambria" w:hAnsi="Cambria" w:cstheme="minorHAnsi"/>
          <w:color w:val="000000" w:themeColor="text1"/>
        </w:rPr>
        <w:t>,</w:t>
      </w:r>
      <w:r w:rsidRPr="001407FF">
        <w:rPr>
          <w:rFonts w:ascii="Cambria" w:eastAsia="Cambria" w:hAnsi="Cambria" w:cstheme="minorHAnsi"/>
          <w:color w:val="000000" w:themeColor="text1"/>
        </w:rPr>
        <w:t>which was observed by the Executive in May 2023.</w:t>
      </w:r>
      <w:r w:rsidR="00673DC5">
        <w:rPr>
          <w:rStyle w:val="EndnoteReference"/>
          <w:rFonts w:ascii="Cambria" w:eastAsia="Cambria" w:hAnsi="Cambria" w:cstheme="minorHAnsi"/>
          <w:color w:val="000000" w:themeColor="text1"/>
        </w:rPr>
        <w:endnoteReference w:id="22"/>
      </w:r>
      <w:r w:rsidR="000C0984" w:rsidRPr="001407FF">
        <w:rPr>
          <w:rFonts w:ascii="Cambria" w:eastAsia="Cambria" w:hAnsi="Cambria" w:cs="Cambria"/>
          <w:color w:val="000000" w:themeColor="text1"/>
        </w:rPr>
        <w:t xml:space="preserve"> </w:t>
      </w:r>
      <w:r w:rsidRPr="001407FF">
        <w:rPr>
          <w:rFonts w:ascii="Cambria" w:eastAsia="Cambria" w:hAnsi="Cambria" w:cstheme="minorHAnsi"/>
          <w:color w:val="000000" w:themeColor="text1"/>
        </w:rPr>
        <w:t>Law No. 31935,</w:t>
      </w:r>
      <w:r w:rsidR="00673DC5">
        <w:rPr>
          <w:rStyle w:val="EndnoteReference"/>
          <w:rFonts w:ascii="Cambria" w:eastAsia="Cambria" w:hAnsi="Cambria" w:cstheme="minorHAnsi"/>
          <w:color w:val="000000" w:themeColor="text1"/>
        </w:rPr>
        <w:endnoteReference w:id="23"/>
      </w:r>
      <w:r w:rsidR="00673DC5">
        <w:rPr>
          <w:rFonts w:ascii="Cambria" w:eastAsia="Cambria" w:hAnsi="Cambria" w:cstheme="minorHAnsi"/>
          <w:color w:val="000000" w:themeColor="text1"/>
        </w:rPr>
        <w:t xml:space="preserve"> </w:t>
      </w:r>
      <w:r w:rsidRPr="001407FF">
        <w:rPr>
          <w:rFonts w:ascii="Cambria" w:eastAsia="Cambria" w:hAnsi="Cambria" w:cstheme="minorHAnsi"/>
          <w:color w:val="000000" w:themeColor="text1"/>
        </w:rPr>
        <w:t>which modifies Article 1 of the Civil Code, expressly protects the right to life from conception and, therefore, the conceived child is the bearer of rights in everything that benefits him; many civil organizations have expressed concern because this bill violates the right to sexual and reproductive rights.</w:t>
      </w:r>
      <w:r w:rsidR="00673DC5">
        <w:rPr>
          <w:rStyle w:val="EndnoteReference"/>
          <w:rFonts w:ascii="Cambria" w:eastAsia="Cambria" w:hAnsi="Cambria" w:cstheme="minorHAnsi"/>
          <w:color w:val="000000" w:themeColor="text1"/>
        </w:rPr>
        <w:endnoteReference w:id="24"/>
      </w:r>
      <w:r w:rsidRPr="001407FF">
        <w:rPr>
          <w:rFonts w:ascii="Cambria" w:eastAsia="Cambria" w:hAnsi="Cambria" w:cstheme="minorHAnsi"/>
          <w:color w:val="000000" w:themeColor="text1"/>
        </w:rPr>
        <w:t xml:space="preserve">  Furthermore, in April 2024, Law No. 32000 was published, recognizing the conceived as an 'unborn child'</w:t>
      </w:r>
      <w:r w:rsidR="000C0984" w:rsidRPr="001407FF">
        <w:rPr>
          <w:rFonts w:ascii="Cambria" w:eastAsia="Cambria" w:hAnsi="Cambria" w:cstheme="minorHAnsi"/>
          <w:color w:val="000000" w:themeColor="text1"/>
        </w:rPr>
        <w:t>.</w:t>
      </w:r>
      <w:r w:rsidR="00673DC5">
        <w:rPr>
          <w:rStyle w:val="EndnoteReference"/>
          <w:rFonts w:ascii="Cambria" w:eastAsia="Cambria" w:hAnsi="Cambria" w:cstheme="minorHAnsi"/>
          <w:color w:val="000000" w:themeColor="text1"/>
        </w:rPr>
        <w:endnoteReference w:id="25"/>
      </w:r>
      <w:r w:rsidR="00673DC5" w:rsidRPr="001407FF">
        <w:rPr>
          <w:rFonts w:ascii="Cambria" w:eastAsia="Cambria" w:hAnsi="Cambria" w:cstheme="minorHAnsi"/>
          <w:color w:val="000000" w:themeColor="text1"/>
        </w:rPr>
        <w:t xml:space="preserve"> </w:t>
      </w:r>
      <w:r w:rsidRPr="001407FF">
        <w:rPr>
          <w:rFonts w:ascii="Cambria" w:eastAsia="Cambria" w:hAnsi="Cambria" w:cstheme="minorHAnsi"/>
          <w:color w:val="000000" w:themeColor="text1"/>
        </w:rPr>
        <w:t xml:space="preserve">The priority of a majority of Congress is to limit the rights of adolescents and women and protect the rights of the unborn child, such as the right to dignity, the right to life, and the bodily integrity of the pregnant mother, among others. However, the CEDAW Committee established in </w:t>
      </w:r>
      <w:r w:rsidRPr="00F50617">
        <w:rPr>
          <w:rFonts w:ascii="Cambria" w:eastAsia="Cambria" w:hAnsi="Cambria" w:cstheme="minorHAnsi"/>
          <w:color w:val="000000" w:themeColor="text1"/>
        </w:rPr>
        <w:t>the case of L.C v. Peru that such actions are discriminatory.</w:t>
      </w:r>
      <w:r w:rsidR="000C0984" w:rsidRPr="00F50617">
        <w:rPr>
          <w:rFonts w:ascii="Cambria" w:hAnsi="Cambria"/>
          <w:color w:val="000000" w:themeColor="text1"/>
          <w:vertAlign w:val="superscript"/>
        </w:rPr>
        <w:t xml:space="preserve"> </w:t>
      </w:r>
      <w:r w:rsidR="00673DC5">
        <w:rPr>
          <w:rStyle w:val="EndnoteReference"/>
          <w:rFonts w:ascii="Cambria" w:hAnsi="Cambria"/>
          <w:color w:val="000000" w:themeColor="text1"/>
        </w:rPr>
        <w:endnoteReference w:id="26"/>
      </w:r>
    </w:p>
    <w:p w14:paraId="0000002E" w14:textId="77777777" w:rsidR="00546420" w:rsidRPr="00F50617" w:rsidRDefault="00546420" w:rsidP="001407FF">
      <w:pPr>
        <w:spacing w:line="276" w:lineRule="auto"/>
        <w:jc w:val="both"/>
        <w:rPr>
          <w:rFonts w:ascii="Cambria" w:eastAsia="Cambria" w:hAnsi="Cambria" w:cs="Cambria"/>
          <w:color w:val="000000" w:themeColor="text1"/>
        </w:rPr>
      </w:pPr>
    </w:p>
    <w:p w14:paraId="0000002F" w14:textId="1E738D35" w:rsidR="00546420" w:rsidRPr="00F50617" w:rsidRDefault="00F50617" w:rsidP="00954DDC">
      <w:pPr>
        <w:numPr>
          <w:ilvl w:val="0"/>
          <w:numId w:val="30"/>
        </w:numPr>
        <w:pBdr>
          <w:top w:val="nil"/>
          <w:left w:val="nil"/>
          <w:bottom w:val="nil"/>
          <w:right w:val="nil"/>
          <w:between w:val="nil"/>
        </w:pBdr>
        <w:spacing w:line="276" w:lineRule="auto"/>
        <w:jc w:val="both"/>
        <w:rPr>
          <w:rFonts w:ascii="Cambria" w:eastAsia="Cambria" w:hAnsi="Cambria" w:cs="Cambria"/>
          <w:b/>
          <w:color w:val="000000" w:themeColor="text1"/>
        </w:rPr>
      </w:pPr>
      <w:r w:rsidRPr="00F50617">
        <w:rPr>
          <w:rFonts w:ascii="Cambria" w:eastAsia="Cambria" w:hAnsi="Cambria" w:cs="Cambria"/>
          <w:b/>
          <w:color w:val="000000" w:themeColor="text1"/>
        </w:rPr>
        <w:t>Violation of Article 24 of the Convention on the Rights of the Child Rights. Basic health and welfare</w:t>
      </w:r>
    </w:p>
    <w:p w14:paraId="00000030" w14:textId="77777777" w:rsidR="00546420" w:rsidRPr="00F50617" w:rsidRDefault="00546420" w:rsidP="001407FF">
      <w:pPr>
        <w:pBdr>
          <w:top w:val="nil"/>
          <w:left w:val="nil"/>
          <w:bottom w:val="nil"/>
          <w:right w:val="nil"/>
          <w:between w:val="nil"/>
        </w:pBdr>
        <w:spacing w:line="276" w:lineRule="auto"/>
        <w:ind w:left="720"/>
        <w:jc w:val="both"/>
        <w:rPr>
          <w:rFonts w:ascii="Cambria" w:eastAsia="Cambria" w:hAnsi="Cambria" w:cs="Cambria"/>
          <w:color w:val="000000" w:themeColor="text1"/>
        </w:rPr>
      </w:pPr>
    </w:p>
    <w:p w14:paraId="33FF853E" w14:textId="0EA56A08" w:rsidR="00F50617" w:rsidRPr="00F50617" w:rsidRDefault="00F50617" w:rsidP="001407FF">
      <w:pPr>
        <w:numPr>
          <w:ilvl w:val="0"/>
          <w:numId w:val="6"/>
        </w:numPr>
        <w:pBdr>
          <w:top w:val="nil"/>
          <w:left w:val="nil"/>
          <w:bottom w:val="nil"/>
          <w:right w:val="nil"/>
          <w:between w:val="nil"/>
        </w:pBdr>
        <w:spacing w:line="276" w:lineRule="auto"/>
        <w:jc w:val="both"/>
        <w:rPr>
          <w:rFonts w:ascii="Cambria" w:eastAsia="Cambria" w:hAnsi="Cambria" w:cs="Cambria"/>
          <w:b/>
          <w:color w:val="000000" w:themeColor="text1"/>
        </w:rPr>
      </w:pPr>
      <w:r w:rsidRPr="00F50617">
        <w:rPr>
          <w:rFonts w:ascii="Cambria" w:eastAsia="Cambria" w:hAnsi="Cambria" w:cs="Cambria"/>
          <w:b/>
          <w:color w:val="000000" w:themeColor="text1"/>
        </w:rPr>
        <w:t>Gender-based violence against children and adolescents</w:t>
      </w:r>
    </w:p>
    <w:p w14:paraId="2F81294A" w14:textId="77777777" w:rsidR="001E5320" w:rsidRPr="00F50617" w:rsidRDefault="001E5320" w:rsidP="00F50617">
      <w:pPr>
        <w:pBdr>
          <w:top w:val="nil"/>
          <w:left w:val="nil"/>
          <w:bottom w:val="nil"/>
          <w:right w:val="nil"/>
          <w:between w:val="nil"/>
        </w:pBdr>
        <w:spacing w:line="276" w:lineRule="auto"/>
        <w:jc w:val="both"/>
        <w:rPr>
          <w:rFonts w:ascii="Cambria" w:eastAsia="Cambria" w:hAnsi="Cambria" w:cs="Cambria"/>
          <w:color w:val="000000" w:themeColor="text1"/>
        </w:rPr>
      </w:pPr>
    </w:p>
    <w:p w14:paraId="57B5B6C1" w14:textId="042DCC94" w:rsidR="00F100FD" w:rsidRPr="001407FF" w:rsidRDefault="00F100FD"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F50617">
        <w:rPr>
          <w:rFonts w:ascii="Cambria" w:eastAsia="Cambria" w:hAnsi="Cambria" w:cs="Cambria"/>
          <w:color w:val="000000" w:themeColor="text1"/>
        </w:rPr>
        <w:t>The Committee has reiterated the right of girls and adolescents to be free from any form of violence</w:t>
      </w:r>
      <w:r w:rsidRPr="001407FF">
        <w:rPr>
          <w:rFonts w:ascii="Cambria" w:eastAsia="Cambria" w:hAnsi="Cambria" w:cs="Cambria"/>
          <w:color w:val="000000" w:themeColor="text1"/>
        </w:rPr>
        <w:t xml:space="preserve">. The Committee’s prior list of issues states that the Peruvian State has ensured </w:t>
      </w:r>
      <w:r w:rsidRPr="001407FF">
        <w:rPr>
          <w:rFonts w:ascii="Cambria" w:eastAsia="Cambria" w:hAnsi="Cambria" w:cs="Cambria"/>
          <w:i/>
          <w:iCs/>
          <w:color w:val="000000" w:themeColor="text1"/>
        </w:rPr>
        <w:t>“effective and confidential reporting of violence, including child-friendly avenues for children who are victims of violence”</w:t>
      </w:r>
      <w:r w:rsidR="004F54AA">
        <w:rPr>
          <w:rStyle w:val="EndnoteReference"/>
          <w:rFonts w:ascii="Cambria" w:eastAsia="Cambria" w:hAnsi="Cambria" w:cs="Cambria"/>
          <w:i/>
          <w:iCs/>
          <w:color w:val="000000" w:themeColor="text1"/>
        </w:rPr>
        <w:endnoteReference w:id="27"/>
      </w:r>
      <w:r w:rsidRPr="001407FF">
        <w:rPr>
          <w:rFonts w:ascii="Cambria" w:eastAsia="Cambria" w:hAnsi="Cambria" w:cs="Cambria"/>
          <w:color w:val="000000" w:themeColor="text1"/>
        </w:rPr>
        <w:t xml:space="preserve"> and the urgency to </w:t>
      </w:r>
      <w:r w:rsidRPr="001407FF">
        <w:rPr>
          <w:rFonts w:ascii="Cambria" w:eastAsia="Cambria" w:hAnsi="Cambria" w:cs="Cambria"/>
          <w:i/>
          <w:iCs/>
          <w:color w:val="000000" w:themeColor="text1"/>
        </w:rPr>
        <w:t>“eliminate patriarchal attitudes and gender stereotypes that discriminate against girls in all areas of life, including the facto discrimination against pregnant girls and adolescents mothers in education</w:t>
      </w:r>
      <w:r w:rsidR="00191DE9">
        <w:rPr>
          <w:rFonts w:ascii="Cambria" w:eastAsia="Cambria" w:hAnsi="Cambria" w:cs="Cambria"/>
          <w:i/>
          <w:iCs/>
          <w:color w:val="000000" w:themeColor="text1"/>
        </w:rPr>
        <w:t>.</w:t>
      </w:r>
      <w:r w:rsidRPr="001407FF">
        <w:rPr>
          <w:rFonts w:ascii="Cambria" w:eastAsia="Cambria" w:hAnsi="Cambria" w:cs="Cambria"/>
          <w:i/>
          <w:iCs/>
          <w:color w:val="000000" w:themeColor="text1"/>
        </w:rPr>
        <w:t>”</w:t>
      </w:r>
      <w:r w:rsidR="004F54AA">
        <w:rPr>
          <w:rStyle w:val="EndnoteReference"/>
          <w:rFonts w:ascii="Cambria" w:eastAsia="Cambria" w:hAnsi="Cambria" w:cs="Cambria"/>
          <w:i/>
          <w:iCs/>
          <w:color w:val="000000" w:themeColor="text1"/>
        </w:rPr>
        <w:endnoteReference w:id="28"/>
      </w:r>
    </w:p>
    <w:p w14:paraId="59293DF2" w14:textId="77777777" w:rsidR="00210ADA" w:rsidRPr="001407FF" w:rsidRDefault="00210ADA" w:rsidP="001407FF">
      <w:pPr>
        <w:pBdr>
          <w:top w:val="nil"/>
          <w:left w:val="nil"/>
          <w:bottom w:val="nil"/>
          <w:right w:val="nil"/>
          <w:between w:val="nil"/>
        </w:pBdr>
        <w:spacing w:line="276" w:lineRule="auto"/>
        <w:jc w:val="both"/>
        <w:rPr>
          <w:rFonts w:ascii="Cambria" w:eastAsia="Cambria" w:hAnsi="Cambria" w:cs="Cambria"/>
          <w:color w:val="000000" w:themeColor="text1"/>
        </w:rPr>
      </w:pPr>
    </w:p>
    <w:p w14:paraId="00000037" w14:textId="4B13FEF9" w:rsidR="00546420" w:rsidRPr="00191DE9" w:rsidRDefault="00210ADA"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 xml:space="preserve">In addition, the Committee asked the Peruvian State what measures are being taken to </w:t>
      </w:r>
      <w:r w:rsidRPr="001407FF">
        <w:rPr>
          <w:rFonts w:ascii="Cambria" w:eastAsia="Cambria" w:hAnsi="Cambria" w:cs="Cambria"/>
          <w:i/>
          <w:iCs/>
          <w:color w:val="000000" w:themeColor="text1"/>
        </w:rPr>
        <w:t>"address the high levels of sexual violence and rape perpetrated against children, especially girls, including within the school system, with an emphasis on children in rural or remote areas and Indigenous communities."</w:t>
      </w:r>
      <w:r w:rsidR="004F54AA">
        <w:rPr>
          <w:rStyle w:val="EndnoteReference"/>
          <w:rFonts w:ascii="Cambria" w:eastAsia="Cambria" w:hAnsi="Cambria" w:cs="Cambria"/>
          <w:i/>
          <w:iCs/>
          <w:color w:val="000000" w:themeColor="text1"/>
        </w:rPr>
        <w:endnoteReference w:id="29"/>
      </w:r>
      <w:r w:rsidR="00191DE9">
        <w:rPr>
          <w:rFonts w:ascii="Cambria" w:eastAsia="Cambria" w:hAnsi="Cambria" w:cs="Cambria"/>
          <w:color w:val="000000" w:themeColor="text1"/>
        </w:rPr>
        <w:t xml:space="preserve"> </w:t>
      </w:r>
      <w:r w:rsidRPr="001407FF">
        <w:rPr>
          <w:rFonts w:ascii="Cambria" w:eastAsia="Cambria" w:hAnsi="Cambria" w:cs="Cambria"/>
          <w:color w:val="000000" w:themeColor="text1"/>
        </w:rPr>
        <w:t>According to a survey, 96% of Peruvians recognize that sexual violence against women is a recurrent issue;</w:t>
      </w:r>
      <w:r w:rsidR="004F54AA">
        <w:rPr>
          <w:rStyle w:val="EndnoteReference"/>
          <w:rFonts w:ascii="Cambria" w:eastAsia="Cambria" w:hAnsi="Cambria" w:cs="Cambria"/>
          <w:color w:val="000000" w:themeColor="text1"/>
        </w:rPr>
        <w:endnoteReference w:id="30"/>
      </w:r>
      <w:r w:rsidRPr="001407FF">
        <w:rPr>
          <w:rFonts w:ascii="Cambria" w:eastAsia="Cambria" w:hAnsi="Cambria" w:cs="Cambria"/>
          <w:color w:val="000000" w:themeColor="text1"/>
        </w:rPr>
        <w:t>the United Nations Population Fund (UNFPA) states that between 2017 and 2022, Women's Emergency Centers (CEM) reported tripled numbers of girls and adolescents victims of sexual violence between the ages of 10 to 14 years, with a more significant proportion of increase between 2020 and 2021.</w:t>
      </w:r>
      <w:r w:rsidR="004F54AA">
        <w:rPr>
          <w:rStyle w:val="EndnoteReference"/>
          <w:rFonts w:ascii="Cambria" w:eastAsia="Cambria" w:hAnsi="Cambria" w:cs="Cambria"/>
          <w:color w:val="000000" w:themeColor="text1"/>
        </w:rPr>
        <w:endnoteReference w:id="31"/>
      </w:r>
      <w:r w:rsidRPr="001407FF">
        <w:rPr>
          <w:rFonts w:ascii="Cambria" w:eastAsia="Cambria" w:hAnsi="Cambria" w:cs="Cambria"/>
          <w:color w:val="000000" w:themeColor="text1"/>
        </w:rPr>
        <w:t xml:space="preserve"> In 2021, the CEM registered 7738 cases of sexual violence against girls and adolescents, representing 30% more than 2019.</w:t>
      </w:r>
      <w:r w:rsidR="004F54AA">
        <w:rPr>
          <w:rStyle w:val="EndnoteReference"/>
          <w:rFonts w:ascii="Cambria" w:eastAsia="Cambria" w:hAnsi="Cambria" w:cs="Cambria"/>
          <w:color w:val="000000" w:themeColor="text1"/>
        </w:rPr>
        <w:endnoteReference w:id="32"/>
      </w:r>
      <w:r w:rsidRPr="001407FF">
        <w:rPr>
          <w:rFonts w:ascii="Cambria" w:eastAsia="Cambria" w:hAnsi="Cambria" w:cs="Cambria"/>
          <w:color w:val="000000" w:themeColor="text1"/>
        </w:rPr>
        <w:t>The Ministry of Women and Vulnerable Populations (MIMP) reported that 34% of girls and adolescents between 10 and 19 years of age who were victims of rape became pregnant.</w:t>
      </w:r>
      <w:r w:rsidR="004F54AA">
        <w:rPr>
          <w:rStyle w:val="EndnoteReference"/>
          <w:rFonts w:ascii="Cambria" w:eastAsia="Cambria" w:hAnsi="Cambria" w:cs="Cambria"/>
          <w:color w:val="000000" w:themeColor="text1"/>
        </w:rPr>
        <w:endnoteReference w:id="33"/>
      </w:r>
    </w:p>
    <w:p w14:paraId="7F7B54FE" w14:textId="77777777" w:rsidR="00164D5F" w:rsidRPr="001407FF" w:rsidRDefault="00164D5F" w:rsidP="001407FF">
      <w:pPr>
        <w:pStyle w:val="ListParagraph"/>
        <w:spacing w:line="276" w:lineRule="auto"/>
        <w:jc w:val="both"/>
        <w:rPr>
          <w:rFonts w:ascii="Cambria" w:eastAsia="Cambria" w:hAnsi="Cambria" w:cs="Cambria"/>
          <w:color w:val="000000" w:themeColor="text1"/>
        </w:rPr>
      </w:pPr>
    </w:p>
    <w:p w14:paraId="359064E4" w14:textId="64CED0DE" w:rsidR="00164D5F" w:rsidRPr="001407FF" w:rsidRDefault="00164D5F" w:rsidP="001407FF">
      <w:pPr>
        <w:pStyle w:val="ListParagraph"/>
        <w:numPr>
          <w:ilvl w:val="0"/>
          <w:numId w:val="2"/>
        </w:numPr>
        <w:spacing w:line="276" w:lineRule="auto"/>
        <w:jc w:val="both"/>
        <w:textAlignment w:val="baseline"/>
        <w:rPr>
          <w:rFonts w:ascii="Cambria" w:hAnsi="Cambria" w:cs="Segoe UI"/>
          <w:color w:val="000000" w:themeColor="text1"/>
        </w:rPr>
      </w:pPr>
      <w:r w:rsidRPr="001407FF">
        <w:rPr>
          <w:rFonts w:ascii="Cambria" w:hAnsi="Cambria" w:cs="Segoe UI"/>
          <w:color w:val="000000" w:themeColor="text1"/>
        </w:rPr>
        <w:t xml:space="preserve">On the other hand, although the </w:t>
      </w:r>
      <w:r w:rsidR="00304C9B">
        <w:rPr>
          <w:rFonts w:ascii="Cambria" w:hAnsi="Cambria" w:cs="Segoe UI"/>
          <w:color w:val="000000" w:themeColor="text1"/>
        </w:rPr>
        <w:t>Minister of Health (</w:t>
      </w:r>
      <w:r w:rsidRPr="001407FF">
        <w:rPr>
          <w:rFonts w:ascii="Cambria" w:hAnsi="Cambria" w:cs="Segoe UI"/>
          <w:color w:val="000000" w:themeColor="text1"/>
        </w:rPr>
        <w:t>Minsa</w:t>
      </w:r>
      <w:r w:rsidR="00304C9B">
        <w:rPr>
          <w:rFonts w:ascii="Cambria" w:hAnsi="Cambria" w:cs="Segoe UI"/>
          <w:color w:val="000000" w:themeColor="text1"/>
        </w:rPr>
        <w:t>)</w:t>
      </w:r>
      <w:r w:rsidRPr="001407FF">
        <w:rPr>
          <w:rFonts w:ascii="Cambria" w:hAnsi="Cambria" w:cs="Segoe UI"/>
          <w:color w:val="000000" w:themeColor="text1"/>
        </w:rPr>
        <w:t xml:space="preserve"> has adopted adolescent health policy guidelines</w:t>
      </w:r>
      <w:r w:rsidR="00191DE9">
        <w:rPr>
          <w:rFonts w:ascii="Cambria" w:hAnsi="Cambria" w:cs="Segoe UI"/>
          <w:color w:val="000000" w:themeColor="text1"/>
        </w:rPr>
        <w:t>,</w:t>
      </w:r>
      <w:r w:rsidR="004F54AA">
        <w:rPr>
          <w:rStyle w:val="EndnoteReference"/>
          <w:rFonts w:ascii="Cambria" w:hAnsi="Cambria" w:cs="Segoe UI"/>
          <w:color w:val="000000" w:themeColor="text1"/>
        </w:rPr>
        <w:endnoteReference w:id="34"/>
      </w:r>
      <w:r w:rsidRPr="001407FF">
        <w:rPr>
          <w:rFonts w:ascii="Cambria" w:hAnsi="Cambria" w:cs="Segoe UI"/>
          <w:color w:val="000000" w:themeColor="text1"/>
        </w:rPr>
        <w:t xml:space="preserve"> which state the need to implement and strengthen comprehensive and differentiated care that responds to the needs of girls and adolescents, especially those related to their sexual and reproductive health, there are no specialized protocols for the care of girls, victims of sexual violence</w:t>
      </w:r>
      <w:r w:rsidR="00EC70ED" w:rsidRPr="001407FF">
        <w:rPr>
          <w:rFonts w:ascii="Cambria" w:hAnsi="Cambria" w:cs="Segoe UI"/>
          <w:color w:val="000000" w:themeColor="text1"/>
        </w:rPr>
        <w:t xml:space="preserve">, despite that it was a recommendation to the Peruvian State within the framework of the IV Cycle of the Universal Periodic Review. </w:t>
      </w:r>
    </w:p>
    <w:p w14:paraId="04188EFA" w14:textId="77777777" w:rsidR="000C30D6" w:rsidRPr="001407FF" w:rsidRDefault="000C30D6" w:rsidP="001407FF">
      <w:pPr>
        <w:pStyle w:val="ListParagraph"/>
        <w:spacing w:line="276" w:lineRule="auto"/>
        <w:jc w:val="both"/>
        <w:textAlignment w:val="baseline"/>
        <w:rPr>
          <w:rFonts w:ascii="Cambria" w:hAnsi="Cambria" w:cs="Segoe UI"/>
          <w:color w:val="000000" w:themeColor="text1"/>
        </w:rPr>
      </w:pPr>
    </w:p>
    <w:p w14:paraId="172D2C9B" w14:textId="0932F0A9" w:rsidR="000C30D6" w:rsidRPr="001407FF" w:rsidRDefault="000C30D6" w:rsidP="001407FF">
      <w:pPr>
        <w:pStyle w:val="ListParagraph"/>
        <w:numPr>
          <w:ilvl w:val="0"/>
          <w:numId w:val="2"/>
        </w:numPr>
        <w:spacing w:line="276" w:lineRule="auto"/>
        <w:jc w:val="both"/>
        <w:rPr>
          <w:rFonts w:ascii="Cambria" w:hAnsi="Cambria" w:cs="Segoe UI"/>
          <w:color w:val="000000" w:themeColor="text1"/>
        </w:rPr>
      </w:pPr>
      <w:r w:rsidRPr="001407FF">
        <w:rPr>
          <w:rFonts w:ascii="Cambria" w:hAnsi="Cambria" w:cs="Segoe UI"/>
          <w:color w:val="000000" w:themeColor="text1"/>
        </w:rPr>
        <w:t>In addition, the Peruvian State must guarantee the provision of the 'emergency kit in cases of sexual violence,'</w:t>
      </w:r>
      <w:r w:rsidR="004F54AA">
        <w:rPr>
          <w:rStyle w:val="EndnoteReference"/>
          <w:rFonts w:ascii="Cambria" w:hAnsi="Cambria" w:cs="Segoe UI"/>
          <w:color w:val="000000" w:themeColor="text1"/>
        </w:rPr>
        <w:endnoteReference w:id="35"/>
      </w:r>
      <w:r w:rsidRPr="001407FF">
        <w:rPr>
          <w:rFonts w:ascii="Cambria" w:hAnsi="Cambria" w:cs="Segoe UI"/>
          <w:color w:val="000000" w:themeColor="text1"/>
        </w:rPr>
        <w:t xml:space="preserve"> although, since 2019, the Health directive approved the Kit nationwide; however, its distribution is insufficient, and several health facilities have not provided the Kit to victims of sexual violence.</w:t>
      </w:r>
      <w:r w:rsidR="004F54AA">
        <w:rPr>
          <w:rStyle w:val="EndnoteReference"/>
          <w:rFonts w:ascii="Cambria" w:hAnsi="Cambria" w:cs="Segoe UI"/>
          <w:color w:val="000000" w:themeColor="text1"/>
        </w:rPr>
        <w:endnoteReference w:id="36"/>
      </w:r>
      <w:r w:rsidR="00304C9B">
        <w:rPr>
          <w:rFonts w:ascii="Cambria" w:hAnsi="Cambria" w:cs="Segoe UI"/>
          <w:color w:val="000000" w:themeColor="text1"/>
        </w:rPr>
        <w:t xml:space="preserve"> </w:t>
      </w:r>
      <w:r w:rsidRPr="001407FF">
        <w:rPr>
          <w:rFonts w:ascii="Cambria" w:hAnsi="Cambria" w:cs="Segoe UI"/>
          <w:color w:val="000000" w:themeColor="text1"/>
        </w:rPr>
        <w:t>The denial of the provision of emergency oral contraceptives (EOC) perpetuates discrimination against adolescents with lower economic resources, even though access to EOC is an essential input. According to Minsa, in 2018, 1509 girls and adolescents aged between 12 to 17 years accessed emergency oral contraceptives.</w:t>
      </w:r>
      <w:r w:rsidR="004F54AA">
        <w:rPr>
          <w:rStyle w:val="EndnoteReference"/>
          <w:rFonts w:ascii="Cambria" w:hAnsi="Cambria" w:cs="Segoe UI"/>
          <w:color w:val="000000" w:themeColor="text1"/>
        </w:rPr>
        <w:endnoteReference w:id="37"/>
      </w:r>
      <w:r w:rsidR="004F54AA" w:rsidRPr="001407FF">
        <w:rPr>
          <w:rFonts w:ascii="Cambria" w:hAnsi="Cambria" w:cs="Segoe UI"/>
          <w:color w:val="000000" w:themeColor="text1"/>
        </w:rPr>
        <w:t xml:space="preserve"> </w:t>
      </w:r>
      <w:r w:rsidRPr="001407FF">
        <w:rPr>
          <w:rFonts w:ascii="Cambria" w:hAnsi="Cambria" w:cs="Segoe UI"/>
          <w:color w:val="000000" w:themeColor="text1"/>
        </w:rPr>
        <w:t>The Ombudsman's Office supervised  91 health facilities in 11 regions of the country in 2022</w:t>
      </w:r>
      <w:r w:rsidR="004F54AA">
        <w:rPr>
          <w:rStyle w:val="EndnoteReference"/>
          <w:rFonts w:ascii="Cambria" w:hAnsi="Cambria" w:cs="Segoe UI"/>
          <w:color w:val="000000" w:themeColor="text1"/>
        </w:rPr>
        <w:endnoteReference w:id="38"/>
      </w:r>
      <w:r w:rsidRPr="001407FF">
        <w:rPr>
          <w:rFonts w:ascii="Cambria" w:hAnsi="Cambria" w:cs="Segoe UI"/>
          <w:color w:val="000000" w:themeColor="text1"/>
        </w:rPr>
        <w:t xml:space="preserve"> and identified problems with the availability and accessibility to family planning methods; only 18.7% of the health facilities deliver EOC, 36.3% do not have adequate training and specialized medical personnel on the importance of ensuring sexual and reproductive health, and 25.3% also require a parent accompanies them.</w:t>
      </w:r>
      <w:r w:rsidR="004F54AA">
        <w:rPr>
          <w:rStyle w:val="EndnoteReference"/>
          <w:rFonts w:ascii="Cambria" w:hAnsi="Cambria" w:cs="Segoe UI"/>
          <w:color w:val="000000" w:themeColor="text1"/>
        </w:rPr>
        <w:endnoteReference w:id="39"/>
      </w:r>
      <w:r w:rsidRPr="001407FF">
        <w:rPr>
          <w:rFonts w:ascii="Cambria" w:hAnsi="Cambria" w:cs="Segoe UI"/>
          <w:color w:val="000000" w:themeColor="text1"/>
        </w:rPr>
        <w:t xml:space="preserve"> Therefore, it is a priority for the State to guarantee permanent access to information and distribution of EOC, including victims of sexual violence.</w:t>
      </w:r>
    </w:p>
    <w:p w14:paraId="0000003B" w14:textId="49D9867B" w:rsidR="00546420" w:rsidRPr="001407FF" w:rsidRDefault="00546420" w:rsidP="001407FF">
      <w:pPr>
        <w:pBdr>
          <w:top w:val="nil"/>
          <w:left w:val="nil"/>
          <w:bottom w:val="nil"/>
          <w:right w:val="nil"/>
          <w:between w:val="nil"/>
        </w:pBdr>
        <w:spacing w:line="276" w:lineRule="auto"/>
        <w:jc w:val="both"/>
        <w:rPr>
          <w:rFonts w:ascii="Cambria" w:eastAsia="Cambria" w:hAnsi="Cambria" w:cs="Cambria"/>
          <w:color w:val="000000" w:themeColor="text1"/>
        </w:rPr>
      </w:pPr>
    </w:p>
    <w:p w14:paraId="3BD66AE8" w14:textId="61ED0765" w:rsidR="000C30D6" w:rsidRPr="001407FF" w:rsidRDefault="00263B1A"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 xml:space="preserve">In addition, the Committee recommended that the Peruvian State provide data on </w:t>
      </w:r>
      <w:r w:rsidRPr="001407FF">
        <w:rPr>
          <w:rFonts w:ascii="Cambria" w:eastAsia="Cambria" w:hAnsi="Cambria" w:cs="Cambria"/>
          <w:i/>
          <w:iCs/>
          <w:color w:val="000000" w:themeColor="text1"/>
        </w:rPr>
        <w:t>“children who have been victims of violence and neglect, including corporal punishment, physical abuse, domestic violence, and sexual exploitation and abuse, the cases that have been reported to the authorities, investigated and prosecuted and the sanctions imposed on perpetrators</w:t>
      </w:r>
      <w:r w:rsidR="000C30D6" w:rsidRPr="001407FF">
        <w:rPr>
          <w:rFonts w:ascii="Cambria" w:eastAsia="Cambria" w:hAnsi="Cambria" w:cs="Cambria"/>
          <w:color w:val="000000" w:themeColor="text1"/>
        </w:rPr>
        <w:t>”.</w:t>
      </w:r>
      <w:r w:rsidR="004F54AA">
        <w:rPr>
          <w:rStyle w:val="EndnoteReference"/>
          <w:rFonts w:ascii="Cambria" w:eastAsia="Cambria" w:hAnsi="Cambria" w:cs="Cambria"/>
          <w:color w:val="000000" w:themeColor="text1"/>
        </w:rPr>
        <w:endnoteReference w:id="40"/>
      </w:r>
      <w:r w:rsidR="000C30D6" w:rsidRPr="001407FF">
        <w:rPr>
          <w:rFonts w:ascii="Cambria" w:eastAsia="Cambria" w:hAnsi="Cambria" w:cs="Cambria"/>
          <w:color w:val="000000" w:themeColor="text1"/>
        </w:rPr>
        <w:t xml:space="preserve"> </w:t>
      </w:r>
      <w:r w:rsidRPr="001407FF">
        <w:rPr>
          <w:rFonts w:ascii="Cambria" w:eastAsia="Cambria" w:hAnsi="Cambria" w:cs="Cambria"/>
          <w:color w:val="000000" w:themeColor="text1"/>
        </w:rPr>
        <w:t>In this regard, the Peruvian State has not provided information on the number of girls and adolescents who have beneficiaries from protection measures as victims or witnesses in cases of violence (particularly physical mistreatment, abuse, or sexual exploitation</w:t>
      </w:r>
      <w:r w:rsidR="004F54AA">
        <w:rPr>
          <w:rStyle w:val="EndnoteReference"/>
          <w:rFonts w:ascii="Cambria" w:eastAsia="Cambria" w:hAnsi="Cambria" w:cs="Cambria"/>
          <w:color w:val="000000" w:themeColor="text1"/>
        </w:rPr>
        <w:endnoteReference w:id="41"/>
      </w:r>
      <w:r w:rsidRPr="001407FF">
        <w:rPr>
          <w:rFonts w:ascii="Cambria" w:eastAsia="Cambria" w:hAnsi="Cambria" w:cs="Cambria"/>
          <w:color w:val="000000" w:themeColor="text1"/>
        </w:rPr>
        <w:t xml:space="preserve">) and the </w:t>
      </w:r>
      <w:r w:rsidR="00304C9B" w:rsidRPr="00304C9B">
        <w:rPr>
          <w:rFonts w:ascii="Cambria" w:eastAsia="Cambria" w:hAnsi="Cambria" w:cs="Cambria"/>
          <w:color w:val="000000" w:themeColor="text1"/>
        </w:rPr>
        <w:t>re-victimization and gender stereotypes in investigations and judicial proceedings persist.</w:t>
      </w:r>
    </w:p>
    <w:p w14:paraId="0000003C" w14:textId="77777777" w:rsidR="00546420" w:rsidRPr="001407FF" w:rsidRDefault="00546420" w:rsidP="001407FF">
      <w:pPr>
        <w:spacing w:line="276" w:lineRule="auto"/>
        <w:jc w:val="both"/>
        <w:rPr>
          <w:rFonts w:ascii="Cambria" w:eastAsia="Cambria" w:hAnsi="Cambria" w:cs="Cambria"/>
          <w:color w:val="000000" w:themeColor="text1"/>
        </w:rPr>
      </w:pPr>
    </w:p>
    <w:p w14:paraId="0000003D" w14:textId="367D693E" w:rsidR="00546420" w:rsidRPr="001407FF" w:rsidRDefault="006C0507" w:rsidP="001407FF">
      <w:pPr>
        <w:numPr>
          <w:ilvl w:val="0"/>
          <w:numId w:val="6"/>
        </w:numPr>
        <w:pBdr>
          <w:top w:val="nil"/>
          <w:left w:val="nil"/>
          <w:bottom w:val="nil"/>
          <w:right w:val="nil"/>
          <w:between w:val="nil"/>
        </w:pBdr>
        <w:spacing w:line="276" w:lineRule="auto"/>
        <w:jc w:val="both"/>
        <w:rPr>
          <w:rFonts w:ascii="Cambria" w:eastAsia="Cambria" w:hAnsi="Cambria" w:cs="Cambria"/>
          <w:b/>
          <w:color w:val="000000" w:themeColor="text1"/>
        </w:rPr>
      </w:pPr>
      <w:r w:rsidRPr="001407FF">
        <w:rPr>
          <w:rFonts w:ascii="Cambria" w:eastAsia="Cambria" w:hAnsi="Cambria" w:cs="Cambria"/>
          <w:b/>
          <w:color w:val="000000" w:themeColor="text1"/>
        </w:rPr>
        <w:t>Forced pregnancies in girls and adolescents and maternal mortality</w:t>
      </w:r>
    </w:p>
    <w:p w14:paraId="0000003E" w14:textId="77777777" w:rsidR="00546420" w:rsidRPr="001407FF" w:rsidRDefault="00546420" w:rsidP="001407FF">
      <w:pPr>
        <w:spacing w:line="276" w:lineRule="auto"/>
        <w:jc w:val="both"/>
        <w:rPr>
          <w:rFonts w:ascii="Cambria" w:eastAsia="Cambria" w:hAnsi="Cambria" w:cs="Cambria"/>
          <w:color w:val="000000" w:themeColor="text1"/>
        </w:rPr>
      </w:pPr>
    </w:p>
    <w:p w14:paraId="09EE6401" w14:textId="29CA9830" w:rsidR="0030049D" w:rsidRPr="001407FF" w:rsidRDefault="0030049D"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 xml:space="preserve">The Committee recommended that the Peruvian State </w:t>
      </w:r>
      <w:r w:rsidRPr="001407FF">
        <w:rPr>
          <w:rFonts w:ascii="Cambria" w:eastAsia="Cambria" w:hAnsi="Cambria" w:cs="Cambria"/>
          <w:i/>
          <w:iCs/>
          <w:color w:val="000000" w:themeColor="text1"/>
        </w:rPr>
        <w:t>"Address the high number of adolescent pregnancies by strengthening access to age-appropriate education on sexual and reproductive health and rights for girls and boys[…]".</w:t>
      </w:r>
      <w:r w:rsidR="004F54AA">
        <w:rPr>
          <w:rStyle w:val="EndnoteReference"/>
          <w:rFonts w:ascii="Cambria" w:eastAsia="Cambria" w:hAnsi="Cambria" w:cs="Cambria"/>
          <w:i/>
          <w:iCs/>
          <w:color w:val="000000" w:themeColor="text1"/>
        </w:rPr>
        <w:endnoteReference w:id="42"/>
      </w:r>
      <w:r w:rsidRPr="001407FF">
        <w:rPr>
          <w:rFonts w:ascii="Cambria" w:eastAsia="Cambria" w:hAnsi="Cambria" w:cs="Cambria"/>
          <w:color w:val="000000" w:themeColor="text1"/>
        </w:rPr>
        <w:t>In Peru, forced pregnancies and maternity in girls and adolescents are still a serious public health problem that brings with it economic and social repercussions for girls and adolescents and their environment, perpetuating the cycle of poverty. The Ombudsman's Office warned of the high incidence of forced pregnancies,</w:t>
      </w:r>
      <w:r w:rsidR="00304C9B">
        <w:rPr>
          <w:rFonts w:ascii="Cambria" w:eastAsia="Cambria" w:hAnsi="Cambria" w:cs="Cambria"/>
          <w:color w:val="000000" w:themeColor="text1"/>
        </w:rPr>
        <w:t xml:space="preserve"> </w:t>
      </w:r>
      <w:r w:rsidRPr="00304C9B">
        <w:rPr>
          <w:rFonts w:ascii="Cambria" w:eastAsia="Cambria" w:hAnsi="Cambria" w:cs="Cambria"/>
          <w:i/>
          <w:iCs/>
          <w:color w:val="000000" w:themeColor="text1"/>
        </w:rPr>
        <w:t>"which impacts on the exercise of fundamental rights, comprehensive development, opportunities and the physical and psychological integrity of girls and adolescents under 19 years of age</w:t>
      </w:r>
      <w:r w:rsidR="00304C9B">
        <w:rPr>
          <w:rFonts w:ascii="Cambria" w:eastAsia="Cambria" w:hAnsi="Cambria" w:cs="Cambria"/>
          <w:color w:val="000000" w:themeColor="text1"/>
        </w:rPr>
        <w:t>”.</w:t>
      </w:r>
      <w:r w:rsidR="004F54AA">
        <w:rPr>
          <w:rStyle w:val="EndnoteReference"/>
          <w:rFonts w:ascii="Cambria" w:eastAsia="Cambria" w:hAnsi="Cambria" w:cs="Cambria"/>
          <w:color w:val="000000" w:themeColor="text1"/>
        </w:rPr>
        <w:endnoteReference w:id="43"/>
      </w:r>
    </w:p>
    <w:p w14:paraId="00000040" w14:textId="77777777" w:rsidR="00546420" w:rsidRPr="001407FF" w:rsidRDefault="00546420" w:rsidP="001407FF">
      <w:pPr>
        <w:pBdr>
          <w:top w:val="nil"/>
          <w:left w:val="nil"/>
          <w:bottom w:val="nil"/>
          <w:right w:val="nil"/>
          <w:between w:val="nil"/>
        </w:pBdr>
        <w:spacing w:line="276" w:lineRule="auto"/>
        <w:jc w:val="both"/>
        <w:rPr>
          <w:rFonts w:ascii="Cambria" w:eastAsia="Cambria" w:hAnsi="Cambria" w:cs="Cambria"/>
          <w:color w:val="000000" w:themeColor="text1"/>
        </w:rPr>
      </w:pPr>
    </w:p>
    <w:p w14:paraId="00000041" w14:textId="0E0E78E8" w:rsidR="00546420" w:rsidRPr="003173A5" w:rsidRDefault="004D6A59" w:rsidP="001407FF">
      <w:pPr>
        <w:pStyle w:val="ListParagraph"/>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 xml:space="preserve">In addition, the Committee is concerned with the </w:t>
      </w:r>
      <w:r w:rsidRPr="001407FF">
        <w:rPr>
          <w:rFonts w:ascii="Cambria" w:eastAsia="Cambria" w:hAnsi="Cambria" w:cs="Cambria"/>
          <w:i/>
          <w:iCs/>
          <w:color w:val="000000" w:themeColor="text1"/>
        </w:rPr>
        <w:t>“High rate of teenage pregnancies, in particular among children in vulnerable and marginalized situations, including children living in poverty, children with low levels of education, and [I]ndigenous children.”</w:t>
      </w:r>
      <w:r w:rsidR="004F54AA">
        <w:rPr>
          <w:rStyle w:val="EndnoteReference"/>
          <w:rFonts w:ascii="Cambria" w:eastAsia="Cambria" w:hAnsi="Cambria" w:cs="Cambria"/>
          <w:i/>
          <w:iCs/>
          <w:color w:val="000000" w:themeColor="text1"/>
        </w:rPr>
        <w:endnoteReference w:id="44"/>
      </w:r>
      <w:r w:rsidR="004F54AA" w:rsidRPr="001407FF">
        <w:rPr>
          <w:rFonts w:ascii="Cambria" w:eastAsia="Cambria" w:hAnsi="Cambria" w:cs="Cambria"/>
          <w:color w:val="000000" w:themeColor="text1"/>
        </w:rPr>
        <w:t xml:space="preserve"> </w:t>
      </w:r>
      <w:r w:rsidRPr="001407FF">
        <w:rPr>
          <w:rFonts w:ascii="Cambria" w:eastAsia="Cambria" w:hAnsi="Cambria" w:cs="Cambria"/>
          <w:color w:val="000000" w:themeColor="text1"/>
        </w:rPr>
        <w:t>The Ombudsman’s Office warned that the incidence of adolescent pregnancy is higher in the Amazon regions;</w:t>
      </w:r>
      <w:r w:rsidR="004F54AA">
        <w:rPr>
          <w:rStyle w:val="EndnoteReference"/>
          <w:rFonts w:ascii="Cambria" w:eastAsia="Cambria" w:hAnsi="Cambria" w:cs="Cambria"/>
          <w:color w:val="000000" w:themeColor="text1"/>
        </w:rPr>
        <w:endnoteReference w:id="45"/>
      </w:r>
      <w:r w:rsidR="004F54AA" w:rsidRPr="001407FF">
        <w:rPr>
          <w:rFonts w:ascii="Cambria" w:eastAsia="Cambria" w:hAnsi="Cambria" w:cs="Cambria"/>
          <w:color w:val="000000" w:themeColor="text1"/>
        </w:rPr>
        <w:t xml:space="preserve"> </w:t>
      </w:r>
      <w:r w:rsidRPr="001407FF">
        <w:rPr>
          <w:rFonts w:ascii="Cambria" w:eastAsia="Cambria" w:hAnsi="Cambria" w:cs="Cambria"/>
          <w:color w:val="000000" w:themeColor="text1"/>
        </w:rPr>
        <w:t>in fact,</w:t>
      </w:r>
      <w:r w:rsidR="00875BB3" w:rsidRPr="001407FF">
        <w:rPr>
          <w:rFonts w:ascii="Cambria" w:eastAsia="Cambria" w:hAnsi="Cambria" w:cs="Cambria"/>
          <w:color w:val="000000" w:themeColor="text1"/>
        </w:rPr>
        <w:t xml:space="preserve"> adolescent pregnancy disproportionally impacts the most vulnerable populations</w:t>
      </w:r>
      <w:r w:rsidRPr="001407FF">
        <w:rPr>
          <w:rFonts w:ascii="Cambria" w:eastAsia="Cambria" w:hAnsi="Cambria" w:cs="Cambria"/>
          <w:color w:val="000000" w:themeColor="text1"/>
        </w:rPr>
        <w:t>, such as the Indigenous population. According to a regional survey on the sexual and reproductive health of Indigenous young people carried out by Chirapaq in 2017 showed 5013 cases of adolescent mothers between the ages of 12 to 14, of which 540 were Indigenous;</w:t>
      </w:r>
      <w:r w:rsidR="004F54AA">
        <w:rPr>
          <w:rStyle w:val="EndnoteReference"/>
          <w:rFonts w:ascii="Cambria" w:eastAsia="Cambria" w:hAnsi="Cambria" w:cs="Cambria"/>
          <w:color w:val="000000" w:themeColor="text1"/>
        </w:rPr>
        <w:endnoteReference w:id="46"/>
      </w:r>
      <w:r w:rsidRPr="001407FF">
        <w:rPr>
          <w:rFonts w:ascii="Cambria" w:eastAsia="Cambria" w:hAnsi="Cambria" w:cs="Cambria"/>
          <w:color w:val="000000" w:themeColor="text1"/>
        </w:rPr>
        <w:t>while, in 2019, more than 370 complaints of sexual violence of Indigenous women were reported, with 70% of the cases referring to girls and adolescents.</w:t>
      </w:r>
      <w:r w:rsidR="004F54AA">
        <w:rPr>
          <w:rStyle w:val="EndnoteReference"/>
          <w:rFonts w:ascii="Cambria" w:eastAsia="Cambria" w:hAnsi="Cambria" w:cs="Cambria"/>
          <w:color w:val="000000" w:themeColor="text1"/>
        </w:rPr>
        <w:endnoteReference w:id="47"/>
      </w:r>
    </w:p>
    <w:p w14:paraId="00000042" w14:textId="77777777" w:rsidR="00546420" w:rsidRPr="001407FF" w:rsidRDefault="00546420" w:rsidP="001407FF">
      <w:pPr>
        <w:pBdr>
          <w:top w:val="nil"/>
          <w:left w:val="nil"/>
          <w:bottom w:val="nil"/>
          <w:right w:val="nil"/>
          <w:between w:val="nil"/>
        </w:pBdr>
        <w:spacing w:line="276" w:lineRule="auto"/>
        <w:ind w:left="720"/>
        <w:jc w:val="both"/>
        <w:rPr>
          <w:rFonts w:ascii="Cambria" w:eastAsia="Cambria" w:hAnsi="Cambria" w:cs="Cambria"/>
          <w:color w:val="000000" w:themeColor="text1"/>
        </w:rPr>
      </w:pPr>
    </w:p>
    <w:p w14:paraId="4FEBDB0C" w14:textId="43AB7F06" w:rsidR="002D6FC9" w:rsidRPr="004F54AA" w:rsidRDefault="00875BB3" w:rsidP="00981BA2">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4F54AA">
        <w:rPr>
          <w:rFonts w:ascii="Cambria" w:eastAsia="Cambria" w:hAnsi="Cambria" w:cs="Cambria"/>
          <w:color w:val="000000" w:themeColor="text1"/>
        </w:rPr>
        <w:t>To know the actual dimension of this issue, the Committee asked the Peruvian State to provide data about the number of adolescent mothers;</w:t>
      </w:r>
      <w:r w:rsidR="004F54AA">
        <w:rPr>
          <w:rStyle w:val="EndnoteReference"/>
          <w:rFonts w:ascii="Cambria" w:eastAsia="Cambria" w:hAnsi="Cambria" w:cs="Cambria"/>
          <w:color w:val="000000" w:themeColor="text1"/>
        </w:rPr>
        <w:endnoteReference w:id="48"/>
      </w:r>
      <w:r w:rsidRPr="004F54AA">
        <w:rPr>
          <w:rFonts w:ascii="Cambria" w:eastAsia="Cambria" w:hAnsi="Cambria" w:cs="Cambria"/>
          <w:color w:val="000000" w:themeColor="text1"/>
        </w:rPr>
        <w:t xml:space="preserve"> however, there is no disaggregated data nor updated. As a result, civil society and others get information through requesting public information. According to the Demographic and Family Health Survey (ENDES), 13 out of every 100 adolescents between the ages of 15 and 19 are already mothers or are pregnant for the first time.</w:t>
      </w:r>
      <w:r w:rsidR="004F54AA">
        <w:rPr>
          <w:rStyle w:val="EndnoteReference"/>
          <w:rFonts w:ascii="Cambria" w:eastAsia="Cambria" w:hAnsi="Cambria" w:cs="Cambria"/>
          <w:color w:val="000000" w:themeColor="text1"/>
        </w:rPr>
        <w:endnoteReference w:id="49"/>
      </w:r>
      <w:r w:rsidRPr="004F54AA">
        <w:rPr>
          <w:rFonts w:ascii="Cambria" w:eastAsia="Cambria" w:hAnsi="Cambria" w:cs="Cambria"/>
          <w:color w:val="000000" w:themeColor="text1"/>
        </w:rPr>
        <w:t xml:space="preserve"> In 2022, 9.2% of births were from mothers between 15 and 19 years old. In 2021, 8.9% of girls under 19 were pregnant for the first time; of these, 6.6% became mothers.</w:t>
      </w:r>
      <w:r w:rsidR="002D6FC9" w:rsidRPr="004F54AA">
        <w:rPr>
          <w:rFonts w:ascii="Cambria" w:eastAsia="Aptos" w:hAnsi="Cambria" w:cs="Aptos"/>
          <w:color w:val="000000" w:themeColor="text1"/>
          <w:vertAlign w:val="superscript"/>
        </w:rPr>
        <w:t xml:space="preserve"> </w:t>
      </w:r>
      <w:r w:rsidR="004F54AA">
        <w:rPr>
          <w:rStyle w:val="EndnoteReference"/>
          <w:rFonts w:ascii="Cambria" w:eastAsia="Aptos" w:hAnsi="Cambria" w:cs="Aptos"/>
          <w:color w:val="000000" w:themeColor="text1"/>
        </w:rPr>
        <w:endnoteReference w:id="50"/>
      </w:r>
    </w:p>
    <w:p w14:paraId="4B6B2A6E" w14:textId="77777777" w:rsidR="004F54AA" w:rsidRPr="004F54AA" w:rsidRDefault="004F54AA" w:rsidP="004F54AA">
      <w:pPr>
        <w:pBdr>
          <w:top w:val="nil"/>
          <w:left w:val="nil"/>
          <w:bottom w:val="nil"/>
          <w:right w:val="nil"/>
          <w:between w:val="nil"/>
        </w:pBdr>
        <w:spacing w:line="276" w:lineRule="auto"/>
        <w:jc w:val="both"/>
        <w:rPr>
          <w:rFonts w:ascii="Cambria" w:eastAsia="Cambria" w:hAnsi="Cambria" w:cs="Cambria"/>
          <w:color w:val="000000" w:themeColor="text1"/>
        </w:rPr>
      </w:pPr>
    </w:p>
    <w:p w14:paraId="00000044" w14:textId="13363F1D" w:rsidR="00546420" w:rsidRPr="001407FF" w:rsidRDefault="002D6FC9"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Furthermore, UNFPA,</w:t>
      </w:r>
      <w:r w:rsidR="00B83247">
        <w:rPr>
          <w:rStyle w:val="EndnoteReference"/>
          <w:rFonts w:ascii="Cambria" w:eastAsia="Cambria" w:hAnsi="Cambria" w:cs="Cambria"/>
          <w:color w:val="000000" w:themeColor="text1"/>
        </w:rPr>
        <w:endnoteReference w:id="51"/>
      </w:r>
      <w:r w:rsidRPr="001407FF">
        <w:rPr>
          <w:rFonts w:ascii="Cambria" w:eastAsia="Cambria" w:hAnsi="Cambria" w:cs="Cambria"/>
          <w:color w:val="000000" w:themeColor="text1"/>
        </w:rPr>
        <w:t xml:space="preserve"> has pointed out that </w:t>
      </w:r>
      <w:r w:rsidRPr="001407FF">
        <w:rPr>
          <w:rFonts w:ascii="Cambria" w:eastAsia="Cambria" w:hAnsi="Cambria" w:cs="Cambria"/>
          <w:i/>
          <w:iCs/>
          <w:color w:val="000000" w:themeColor="text1"/>
        </w:rPr>
        <w:t>“the increase in childbearing among girls aged between 10 to 14 years goes at the same time with an increase in reports of sexual violence [...] despite efforts to protect girls from abuse and unwanted pregnancies, it continues to compete with the nefarious figure of child marriage</w:t>
      </w:r>
      <w:r w:rsidRPr="001407FF">
        <w:rPr>
          <w:rFonts w:ascii="Cambria" w:eastAsia="Cambria" w:hAnsi="Cambria" w:cs="Cambria"/>
          <w:color w:val="000000" w:themeColor="text1"/>
        </w:rPr>
        <w:t>”.</w:t>
      </w:r>
      <w:r w:rsidRPr="001407FF">
        <w:rPr>
          <w:rFonts w:ascii="Cambria" w:eastAsia="Cambria" w:hAnsi="Cambria" w:cs="Cambria"/>
          <w:color w:val="000000" w:themeColor="text1"/>
          <w:vertAlign w:val="superscript"/>
        </w:rPr>
        <w:t xml:space="preserve"> </w:t>
      </w:r>
      <w:r w:rsidR="00B83247">
        <w:rPr>
          <w:rStyle w:val="EndnoteReference"/>
          <w:rFonts w:ascii="Cambria" w:eastAsia="Cambria" w:hAnsi="Cambria" w:cs="Cambria"/>
          <w:color w:val="000000" w:themeColor="text1"/>
        </w:rPr>
        <w:endnoteReference w:id="52"/>
      </w:r>
      <w:r w:rsidRPr="001407FF">
        <w:rPr>
          <w:rFonts w:ascii="Cambria" w:eastAsia="Cambria" w:hAnsi="Cambria" w:cs="Cambria"/>
          <w:color w:val="000000" w:themeColor="text1"/>
        </w:rPr>
        <w:t>UNFPA also stated that an average of 1,500 girls and adolescents between 10 and 14 become mothers every year. In 2022, 1611 cases were reported.</w:t>
      </w:r>
      <w:r w:rsidRPr="001407FF">
        <w:rPr>
          <w:rFonts w:ascii="Cambria" w:eastAsia="Cambria" w:hAnsi="Cambria" w:cs="Cambria"/>
          <w:color w:val="000000" w:themeColor="text1"/>
          <w:vertAlign w:val="superscript"/>
        </w:rPr>
        <w:t xml:space="preserve"> </w:t>
      </w:r>
      <w:r w:rsidR="00B83247">
        <w:rPr>
          <w:rStyle w:val="EndnoteReference"/>
          <w:rFonts w:ascii="Cambria" w:eastAsia="Cambria" w:hAnsi="Cambria" w:cs="Cambria"/>
          <w:color w:val="000000" w:themeColor="text1"/>
        </w:rPr>
        <w:endnoteReference w:id="53"/>
      </w:r>
    </w:p>
    <w:p w14:paraId="5FB34ABB" w14:textId="77777777" w:rsidR="00217CC0" w:rsidRPr="001407FF" w:rsidRDefault="00217CC0" w:rsidP="001407FF">
      <w:pPr>
        <w:spacing w:line="276" w:lineRule="auto"/>
        <w:jc w:val="both"/>
        <w:rPr>
          <w:rFonts w:ascii="Cambria" w:eastAsia="Cambria" w:hAnsi="Cambria" w:cs="Cambria"/>
          <w:color w:val="000000" w:themeColor="text1"/>
        </w:rPr>
      </w:pPr>
    </w:p>
    <w:p w14:paraId="743BDA5A" w14:textId="0240C385" w:rsidR="008039D0" w:rsidRPr="001407FF" w:rsidRDefault="00217CC0" w:rsidP="001407FF">
      <w:pPr>
        <w:pStyle w:val="ListParagraph"/>
        <w:numPr>
          <w:ilvl w:val="0"/>
          <w:numId w:val="2"/>
        </w:numPr>
        <w:pBdr>
          <w:top w:val="nil"/>
          <w:left w:val="nil"/>
          <w:bottom w:val="nil"/>
          <w:right w:val="nil"/>
          <w:between w:val="nil"/>
        </w:pBdr>
        <w:spacing w:line="276" w:lineRule="auto"/>
        <w:jc w:val="both"/>
        <w:rPr>
          <w:rFonts w:ascii="Cambria" w:eastAsia="Cambria" w:hAnsi="Cambria" w:cstheme="minorHAnsi"/>
          <w:color w:val="000000" w:themeColor="text1"/>
        </w:rPr>
      </w:pPr>
      <w:r w:rsidRPr="001407FF">
        <w:rPr>
          <w:rFonts w:ascii="Cambria" w:eastAsia="Cambria" w:hAnsi="Cambria" w:cstheme="minorHAnsi"/>
          <w:color w:val="000000" w:themeColor="text1"/>
        </w:rPr>
        <w:t xml:space="preserve">In addition, the Ministry of Health reported that, from 2012 to January 2018, the </w:t>
      </w:r>
      <w:r w:rsidR="00920DFE">
        <w:rPr>
          <w:rFonts w:ascii="Cambria" w:eastAsia="Cambria" w:hAnsi="Cambria" w:cstheme="minorHAnsi"/>
          <w:color w:val="000000" w:themeColor="text1"/>
        </w:rPr>
        <w:t xml:space="preserve"> C</w:t>
      </w:r>
      <w:r w:rsidR="00920DFE" w:rsidRPr="00920DFE">
        <w:rPr>
          <w:rFonts w:ascii="Cambria" w:eastAsia="Cambria" w:hAnsi="Cambria" w:cstheme="minorHAnsi"/>
          <w:color w:val="000000" w:themeColor="text1"/>
        </w:rPr>
        <w:t xml:space="preserve">omprehensive </w:t>
      </w:r>
      <w:r w:rsidR="00920DFE">
        <w:rPr>
          <w:rFonts w:ascii="Cambria" w:eastAsia="Cambria" w:hAnsi="Cambria" w:cstheme="minorHAnsi"/>
          <w:color w:val="000000" w:themeColor="text1"/>
        </w:rPr>
        <w:t>H</w:t>
      </w:r>
      <w:r w:rsidR="00920DFE" w:rsidRPr="00920DFE">
        <w:rPr>
          <w:rFonts w:ascii="Cambria" w:eastAsia="Cambria" w:hAnsi="Cambria" w:cstheme="minorHAnsi"/>
          <w:color w:val="000000" w:themeColor="text1"/>
        </w:rPr>
        <w:t xml:space="preserve">ealth </w:t>
      </w:r>
      <w:r w:rsidR="00920DFE">
        <w:rPr>
          <w:rFonts w:ascii="Cambria" w:eastAsia="Cambria" w:hAnsi="Cambria" w:cstheme="minorHAnsi"/>
          <w:color w:val="000000" w:themeColor="text1"/>
        </w:rPr>
        <w:t>I</w:t>
      </w:r>
      <w:r w:rsidR="00920DFE" w:rsidRPr="00920DFE">
        <w:rPr>
          <w:rFonts w:ascii="Cambria" w:eastAsia="Cambria" w:hAnsi="Cambria" w:cstheme="minorHAnsi"/>
          <w:color w:val="000000" w:themeColor="text1"/>
        </w:rPr>
        <w:t>nsurance</w:t>
      </w:r>
      <w:r w:rsidR="00920DFE">
        <w:rPr>
          <w:rFonts w:ascii="Cambria" w:eastAsia="Cambria" w:hAnsi="Cambria" w:cstheme="minorHAnsi"/>
          <w:color w:val="000000" w:themeColor="text1"/>
        </w:rPr>
        <w:t xml:space="preserve"> </w:t>
      </w:r>
      <w:r w:rsidRPr="001407FF">
        <w:rPr>
          <w:rFonts w:ascii="Cambria" w:eastAsia="Cambria" w:hAnsi="Cambria" w:cstheme="minorHAnsi"/>
          <w:color w:val="000000" w:themeColor="text1"/>
        </w:rPr>
        <w:t>(SIS) financed, on a daily basis, the delivery of 68 to 70 children between the ages of 9 and 17.</w:t>
      </w:r>
      <w:r w:rsidR="00925BE0">
        <w:rPr>
          <w:rStyle w:val="EndnoteReference"/>
          <w:rFonts w:ascii="Cambria" w:eastAsia="Cambria" w:hAnsi="Cambria" w:cstheme="minorHAnsi"/>
          <w:color w:val="000000" w:themeColor="text1"/>
        </w:rPr>
        <w:endnoteReference w:id="54"/>
      </w:r>
      <w:r w:rsidRPr="001407FF">
        <w:rPr>
          <w:rFonts w:ascii="Cambria" w:eastAsia="Cambria" w:hAnsi="Cambria" w:cstheme="minorHAnsi"/>
          <w:color w:val="000000" w:themeColor="text1"/>
        </w:rPr>
        <w:t xml:space="preserve"> </w:t>
      </w:r>
      <w:r w:rsidRPr="001407FF">
        <w:rPr>
          <w:rFonts w:ascii="Cambria" w:eastAsia="Cambria" w:hAnsi="Cambria" w:cs="Cambria"/>
          <w:iCs/>
          <w:color w:val="000000" w:themeColor="text1"/>
        </w:rPr>
        <w:t>According to the Online Registration System of Certified Live Births (CNV), between January and November 2024, CNV registered 955 childbirths by girls under 14.</w:t>
      </w:r>
      <w:r w:rsidR="00925BE0">
        <w:rPr>
          <w:rStyle w:val="EndnoteReference"/>
          <w:rFonts w:ascii="Cambria" w:eastAsia="Cambria" w:hAnsi="Cambria" w:cs="Cambria"/>
          <w:iCs/>
          <w:color w:val="000000" w:themeColor="text1"/>
        </w:rPr>
        <w:endnoteReference w:id="55"/>
      </w:r>
      <w:r w:rsidRPr="001407FF">
        <w:rPr>
          <w:rFonts w:ascii="Cambria" w:eastAsia="Cambria" w:hAnsi="Cambria" w:cs="Cambria"/>
          <w:iCs/>
          <w:color w:val="000000" w:themeColor="text1"/>
        </w:rPr>
        <w:t xml:space="preserve">  Meanwhile, in 2023, CNV registered 1353 cases of newborns with child and adolescent mothers under the age of 14.</w:t>
      </w:r>
      <w:r w:rsidR="00925BE0">
        <w:rPr>
          <w:rStyle w:val="EndnoteReference"/>
          <w:rFonts w:ascii="Cambria" w:eastAsia="Cambria" w:hAnsi="Cambria" w:cs="Cambria"/>
          <w:iCs/>
          <w:color w:val="000000" w:themeColor="text1"/>
        </w:rPr>
        <w:endnoteReference w:id="56"/>
      </w:r>
      <w:r w:rsidRPr="001407FF">
        <w:rPr>
          <w:rFonts w:ascii="Cambria" w:eastAsia="Cambria" w:hAnsi="Cambria" w:cs="Cambria"/>
          <w:iCs/>
          <w:color w:val="000000" w:themeColor="text1"/>
        </w:rPr>
        <w:t xml:space="preserve">  In 2022, the CNV registered 465,421 cases, and in 48</w:t>
      </w:r>
      <w:r w:rsidR="00D838E3">
        <w:rPr>
          <w:rFonts w:ascii="Cambria" w:eastAsia="Cambria" w:hAnsi="Cambria" w:cs="Cambria"/>
          <w:iCs/>
          <w:color w:val="000000" w:themeColor="text1"/>
        </w:rPr>
        <w:t>,</w:t>
      </w:r>
      <w:r w:rsidRPr="001407FF">
        <w:rPr>
          <w:rFonts w:ascii="Cambria" w:eastAsia="Cambria" w:hAnsi="Cambria" w:cs="Cambria"/>
          <w:iCs/>
          <w:color w:val="000000" w:themeColor="text1"/>
        </w:rPr>
        <w:t>498 of those cases, the mothers were between 15 and 19 years old.</w:t>
      </w:r>
      <w:r w:rsidR="00925BE0">
        <w:rPr>
          <w:rStyle w:val="EndnoteReference"/>
          <w:rFonts w:ascii="Cambria" w:eastAsia="Cambria" w:hAnsi="Cambria" w:cs="Cambria"/>
          <w:iCs/>
          <w:color w:val="000000" w:themeColor="text1"/>
        </w:rPr>
        <w:endnoteReference w:id="57"/>
      </w:r>
      <w:r w:rsidRPr="001407FF">
        <w:rPr>
          <w:rFonts w:ascii="Cambria" w:eastAsia="Cambria" w:hAnsi="Cambria" w:cs="Cambria"/>
          <w:iCs/>
          <w:color w:val="000000" w:themeColor="text1"/>
        </w:rPr>
        <w:t xml:space="preserve"> Regarding childbirths by girls aged 11 to 14, CNV reported 1432 births in 2021</w:t>
      </w:r>
      <w:r w:rsidR="00925BE0">
        <w:rPr>
          <w:rStyle w:val="EndnoteReference"/>
          <w:rFonts w:ascii="Cambria" w:eastAsia="Cambria" w:hAnsi="Cambria" w:cs="Cambria"/>
          <w:iCs/>
          <w:color w:val="000000" w:themeColor="text1"/>
        </w:rPr>
        <w:endnoteReference w:id="58"/>
      </w:r>
      <w:r w:rsidR="00925BE0">
        <w:rPr>
          <w:rFonts w:ascii="Cambria" w:eastAsia="Cambria" w:hAnsi="Cambria" w:cs="Cambria"/>
          <w:iCs/>
          <w:color w:val="000000" w:themeColor="text1"/>
        </w:rPr>
        <w:t xml:space="preserve"> </w:t>
      </w:r>
      <w:r w:rsidRPr="001407FF">
        <w:rPr>
          <w:rFonts w:ascii="Cambria" w:eastAsia="Cambria" w:hAnsi="Cambria" w:cs="Cambria"/>
          <w:iCs/>
          <w:color w:val="000000" w:themeColor="text1"/>
        </w:rPr>
        <w:t>and 1614 in 2022.</w:t>
      </w:r>
      <w:r w:rsidR="00925BE0">
        <w:rPr>
          <w:rStyle w:val="EndnoteReference"/>
          <w:rFonts w:ascii="Cambria" w:eastAsia="Cambria" w:hAnsi="Cambria" w:cs="Cambria"/>
          <w:iCs/>
          <w:color w:val="000000" w:themeColor="text1"/>
        </w:rPr>
        <w:endnoteReference w:id="59"/>
      </w:r>
    </w:p>
    <w:p w14:paraId="3734A947" w14:textId="77777777" w:rsidR="008039D0" w:rsidRPr="001407FF" w:rsidRDefault="008039D0" w:rsidP="001407FF">
      <w:pPr>
        <w:pStyle w:val="ListParagraph"/>
        <w:spacing w:line="276" w:lineRule="auto"/>
        <w:jc w:val="both"/>
        <w:rPr>
          <w:rFonts w:ascii="Cambria" w:eastAsia="Cambria" w:hAnsi="Cambria" w:cs="Cambria"/>
          <w:color w:val="000000" w:themeColor="text1"/>
        </w:rPr>
      </w:pPr>
    </w:p>
    <w:p w14:paraId="38D0FD00" w14:textId="09F61D9F" w:rsidR="00090677" w:rsidRPr="001407FF" w:rsidRDefault="008039D0" w:rsidP="001407FF">
      <w:pPr>
        <w:pStyle w:val="ListParagraph"/>
        <w:numPr>
          <w:ilvl w:val="0"/>
          <w:numId w:val="2"/>
        </w:numPr>
        <w:pBdr>
          <w:top w:val="nil"/>
          <w:left w:val="nil"/>
          <w:bottom w:val="nil"/>
          <w:right w:val="nil"/>
          <w:between w:val="nil"/>
        </w:pBdr>
        <w:spacing w:line="276" w:lineRule="auto"/>
        <w:jc w:val="both"/>
        <w:rPr>
          <w:rFonts w:ascii="Cambria" w:eastAsia="Cambria" w:hAnsi="Cambria" w:cstheme="minorHAnsi"/>
          <w:color w:val="000000" w:themeColor="text1"/>
        </w:rPr>
      </w:pPr>
      <w:r w:rsidRPr="001407FF">
        <w:rPr>
          <w:rFonts w:ascii="Cambria" w:eastAsia="Cambria" w:hAnsi="Cambria" w:cs="Cambria"/>
          <w:color w:val="000000" w:themeColor="text1"/>
        </w:rPr>
        <w:t>Also, t</w:t>
      </w:r>
      <w:r w:rsidR="00090677" w:rsidRPr="001407FF">
        <w:rPr>
          <w:rFonts w:ascii="Cambria" w:eastAsia="Cambria" w:hAnsi="Cambria" w:cs="Cambria"/>
          <w:color w:val="000000" w:themeColor="text1"/>
        </w:rPr>
        <w:t>he Committee urged the Peruvian State to allocate a budget to implement its activities.</w:t>
      </w:r>
      <w:r w:rsidR="00925BE0">
        <w:rPr>
          <w:rStyle w:val="EndnoteReference"/>
          <w:rFonts w:ascii="Cambria" w:eastAsia="Cambria" w:hAnsi="Cambria" w:cs="Cambria"/>
          <w:color w:val="000000" w:themeColor="text1"/>
        </w:rPr>
        <w:endnoteReference w:id="60"/>
      </w:r>
      <w:r w:rsidR="00F3785B">
        <w:rPr>
          <w:rFonts w:ascii="Cambria" w:eastAsia="Cambria" w:hAnsi="Cambria" w:cs="Cambria"/>
          <w:color w:val="000000" w:themeColor="text1"/>
          <w:vertAlign w:val="superscript"/>
        </w:rPr>
        <w:t xml:space="preserve"> </w:t>
      </w:r>
      <w:r w:rsidR="00090677" w:rsidRPr="001407FF">
        <w:rPr>
          <w:rFonts w:ascii="Cambria" w:eastAsia="Cambria" w:hAnsi="Cambria" w:cs="Cambria"/>
          <w:color w:val="000000" w:themeColor="text1"/>
        </w:rPr>
        <w:t xml:space="preserve">However, the budget to prevent adolescent pregnancy is meager. According to a study, the regions have a per capita budget of S/9.3 nuevos soles (on average, 3 US dollars) per adolescent. </w:t>
      </w:r>
      <w:r w:rsidRPr="001407FF">
        <w:rPr>
          <w:rFonts w:ascii="Cambria" w:eastAsia="Cambria" w:hAnsi="Cambria" w:cs="Cambria"/>
          <w:color w:val="000000" w:themeColor="text1"/>
        </w:rPr>
        <w:t>Nonetheless</w:t>
      </w:r>
      <w:r w:rsidR="00090677" w:rsidRPr="001407FF">
        <w:rPr>
          <w:rFonts w:ascii="Cambria" w:eastAsia="Cambria" w:hAnsi="Cambria" w:cs="Cambria"/>
          <w:color w:val="000000" w:themeColor="text1"/>
        </w:rPr>
        <w:t>, the ideal minimum should be S/55 nuevos soles (approximately 15 US dollars)</w:t>
      </w:r>
      <w:r w:rsidR="00925BE0">
        <w:rPr>
          <w:rStyle w:val="EndnoteReference"/>
          <w:rFonts w:ascii="Cambria" w:eastAsia="Cambria" w:hAnsi="Cambria" w:cs="Cambria"/>
          <w:color w:val="000000" w:themeColor="text1"/>
        </w:rPr>
        <w:endnoteReference w:id="61"/>
      </w:r>
      <w:r w:rsidR="00090677" w:rsidRPr="001407FF">
        <w:rPr>
          <w:rFonts w:ascii="Cambria" w:eastAsia="Cambria" w:hAnsi="Cambria" w:cs="Cambria"/>
          <w:color w:val="000000" w:themeColor="text1"/>
        </w:rPr>
        <w:t>. Some regions, such as Amazonas, are allocated 0.70 cents of the</w:t>
      </w:r>
      <w:r w:rsidR="00F3785B">
        <w:rPr>
          <w:rFonts w:ascii="Cambria" w:eastAsia="Cambria" w:hAnsi="Cambria" w:cs="Cambria"/>
          <w:color w:val="000000" w:themeColor="text1"/>
        </w:rPr>
        <w:t xml:space="preserve"> PEN</w:t>
      </w:r>
      <w:r w:rsidR="00090677" w:rsidRPr="001407FF">
        <w:rPr>
          <w:rFonts w:ascii="Cambria" w:eastAsia="Cambria" w:hAnsi="Cambria" w:cs="Cambria"/>
          <w:color w:val="000000" w:themeColor="text1"/>
        </w:rPr>
        <w:t xml:space="preserve">, representing less than 20 cents of a dollar. And, precisely in this region, there has been a higher rate of sexual violence, as will be detailed </w:t>
      </w:r>
      <w:r w:rsidR="00090677" w:rsidRPr="00294CCD">
        <w:rPr>
          <w:rFonts w:ascii="Cambria" w:eastAsia="Cambria" w:hAnsi="Cambria" w:cs="Cambria"/>
          <w:color w:val="000000" w:themeColor="text1"/>
        </w:rPr>
        <w:t>in paragraph 3</w:t>
      </w:r>
      <w:r w:rsidR="00294CCD" w:rsidRPr="00294CCD">
        <w:rPr>
          <w:rFonts w:ascii="Cambria" w:eastAsia="Cambria" w:hAnsi="Cambria" w:cs="Cambria"/>
          <w:color w:val="000000" w:themeColor="text1"/>
        </w:rPr>
        <w:t>5</w:t>
      </w:r>
      <w:r w:rsidR="00090677" w:rsidRPr="00294CCD">
        <w:rPr>
          <w:rFonts w:ascii="Cambria" w:eastAsia="Cambria" w:hAnsi="Cambria" w:cs="Cambria"/>
          <w:color w:val="000000" w:themeColor="text1"/>
        </w:rPr>
        <w:t>.</w:t>
      </w:r>
      <w:r w:rsidRPr="001407FF">
        <w:rPr>
          <w:rFonts w:ascii="Cambria" w:eastAsia="Cambria" w:hAnsi="Cambria" w:cs="Cambria"/>
          <w:color w:val="000000" w:themeColor="text1"/>
        </w:rPr>
        <w:t xml:space="preserve"> </w:t>
      </w:r>
      <w:r w:rsidR="00090677" w:rsidRPr="001407FF">
        <w:rPr>
          <w:rFonts w:ascii="Cambria" w:eastAsia="Cambria" w:hAnsi="Cambria" w:cs="Cambria"/>
          <w:color w:val="000000" w:themeColor="text1"/>
        </w:rPr>
        <w:t>Furthermore, UNFPA assessed the economic cost of adolescent motherhood. As this has a financial impact, according to its estimate from 2021 to 2030, the cost of pregnancy and childbearing in girls and adolescents would be no less than US $ 3,135 million.</w:t>
      </w:r>
      <w:r w:rsidR="00925BE0">
        <w:rPr>
          <w:rStyle w:val="EndnoteReference"/>
          <w:rFonts w:ascii="Cambria" w:eastAsia="Cambria" w:hAnsi="Cambria" w:cs="Cambria"/>
          <w:color w:val="000000" w:themeColor="text1"/>
        </w:rPr>
        <w:endnoteReference w:id="62"/>
      </w:r>
      <w:r w:rsidR="00090677" w:rsidRPr="001407FF">
        <w:rPr>
          <w:rFonts w:ascii="Cambria" w:eastAsia="Cambria" w:hAnsi="Cambria" w:cs="Cambria"/>
          <w:color w:val="000000" w:themeColor="text1"/>
        </w:rPr>
        <w:t>Therefore, if the Peruvian State would prevent forced pregnancies in girls and adolescents, it would not only avert life projects stopped by forced maternity but would also reduce the economic cost to society.</w:t>
      </w:r>
    </w:p>
    <w:p w14:paraId="00000048" w14:textId="77777777" w:rsidR="00546420" w:rsidRPr="001407FF" w:rsidRDefault="00546420" w:rsidP="001407FF">
      <w:pPr>
        <w:spacing w:line="276" w:lineRule="auto"/>
        <w:jc w:val="both"/>
        <w:rPr>
          <w:rFonts w:ascii="Cambria" w:eastAsia="Cambria" w:hAnsi="Cambria" w:cs="Cambria"/>
          <w:color w:val="000000" w:themeColor="text1"/>
        </w:rPr>
      </w:pPr>
    </w:p>
    <w:p w14:paraId="0B28C390" w14:textId="22B8FDF0" w:rsidR="008039D0" w:rsidRPr="001407FF" w:rsidRDefault="00393729" w:rsidP="001407FF">
      <w:pPr>
        <w:numPr>
          <w:ilvl w:val="0"/>
          <w:numId w:val="6"/>
        </w:numPr>
        <w:pBdr>
          <w:top w:val="nil"/>
          <w:left w:val="nil"/>
          <w:bottom w:val="nil"/>
          <w:right w:val="nil"/>
          <w:between w:val="nil"/>
        </w:pBdr>
        <w:spacing w:line="276" w:lineRule="auto"/>
        <w:jc w:val="both"/>
        <w:rPr>
          <w:rFonts w:ascii="Cambria" w:eastAsia="Cambria" w:hAnsi="Cambria" w:cs="Cambria"/>
          <w:b/>
          <w:color w:val="000000" w:themeColor="text1"/>
        </w:rPr>
      </w:pPr>
      <w:r w:rsidRPr="001407FF">
        <w:rPr>
          <w:rFonts w:ascii="Cambria" w:eastAsia="Cambria" w:hAnsi="Cambria" w:cs="Cambria"/>
          <w:b/>
          <w:color w:val="000000" w:themeColor="text1"/>
        </w:rPr>
        <w:t>Maternal mortality</w:t>
      </w:r>
    </w:p>
    <w:p w14:paraId="6312F4B8" w14:textId="77777777" w:rsidR="008039D0" w:rsidRPr="001407FF" w:rsidRDefault="008039D0" w:rsidP="001407FF">
      <w:pPr>
        <w:pBdr>
          <w:top w:val="nil"/>
          <w:left w:val="nil"/>
          <w:bottom w:val="nil"/>
          <w:right w:val="nil"/>
          <w:between w:val="nil"/>
        </w:pBdr>
        <w:spacing w:line="276" w:lineRule="auto"/>
        <w:jc w:val="both"/>
        <w:rPr>
          <w:rFonts w:ascii="Cambria" w:eastAsia="Cambria" w:hAnsi="Cambria" w:cs="Cambria"/>
          <w:color w:val="000000" w:themeColor="text1"/>
        </w:rPr>
      </w:pPr>
    </w:p>
    <w:p w14:paraId="6B6F636F" w14:textId="15A2EA24" w:rsidR="00FE4D00" w:rsidRPr="001407FF" w:rsidRDefault="006E4002"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 xml:space="preserve">In its prior Concluding Observations, the Committee recommended that the State party </w:t>
      </w:r>
      <w:r w:rsidRPr="00F3785B">
        <w:rPr>
          <w:rFonts w:ascii="Cambria" w:eastAsia="Cambria" w:hAnsi="Cambria" w:cs="Cambria"/>
          <w:i/>
          <w:iCs/>
          <w:color w:val="000000" w:themeColor="text1"/>
        </w:rPr>
        <w:t>“Effectively implement its strategies aimed. At reducing maternal mortality throughout the country[…]”</w:t>
      </w:r>
      <w:r w:rsidRPr="001407FF">
        <w:rPr>
          <w:rFonts w:ascii="Cambria" w:eastAsia="Cambria" w:hAnsi="Cambria" w:cs="Cambria"/>
          <w:color w:val="000000" w:themeColor="text1"/>
        </w:rPr>
        <w:t>.</w:t>
      </w:r>
      <w:r w:rsidR="00925BE0">
        <w:rPr>
          <w:rStyle w:val="EndnoteReference"/>
          <w:rFonts w:ascii="Cambria" w:eastAsia="Cambria" w:hAnsi="Cambria" w:cs="Cambria"/>
          <w:color w:val="000000" w:themeColor="text1"/>
        </w:rPr>
        <w:endnoteReference w:id="63"/>
      </w:r>
      <w:r w:rsidRPr="001407FF">
        <w:rPr>
          <w:rFonts w:ascii="Cambria" w:eastAsia="Cambria" w:hAnsi="Cambria" w:cs="Cambria"/>
          <w:color w:val="000000" w:themeColor="text1"/>
        </w:rPr>
        <w:t xml:space="preserve">In the country, maternal mortality (MM) has marked geographical differences within the national territory; the maternal mortality rate in Sierra (highlands) and Selva (rainforest) is four times higher than in the coast due to the profound territorial and socioeconomic inequalities and the </w:t>
      </w:r>
      <w:r w:rsidR="00F3785B">
        <w:rPr>
          <w:rFonts w:ascii="Cambria" w:eastAsia="Cambria" w:hAnsi="Cambria" w:cs="Cambria"/>
          <w:color w:val="000000" w:themeColor="text1"/>
        </w:rPr>
        <w:t>absence of State</w:t>
      </w:r>
      <w:r w:rsidRPr="001407FF">
        <w:rPr>
          <w:rFonts w:ascii="Cambria" w:eastAsia="Cambria" w:hAnsi="Cambria" w:cs="Cambria"/>
          <w:color w:val="000000" w:themeColor="text1"/>
        </w:rPr>
        <w:t>. According to Minsa, in rural areas, obstetric hemorrhage causes more than 50% of cases of maternal mortality. In urban areas, it represents less than 20%.</w:t>
      </w:r>
      <w:r w:rsidR="00925BE0">
        <w:rPr>
          <w:rStyle w:val="EndnoteReference"/>
          <w:rFonts w:ascii="Cambria" w:eastAsia="Cambria" w:hAnsi="Cambria" w:cs="Cambria"/>
          <w:color w:val="000000" w:themeColor="text1"/>
        </w:rPr>
        <w:endnoteReference w:id="64"/>
      </w:r>
    </w:p>
    <w:p w14:paraId="4AE7AAF8" w14:textId="77777777" w:rsidR="00FE4D00" w:rsidRPr="001407FF" w:rsidRDefault="00FE4D00" w:rsidP="001407FF">
      <w:pPr>
        <w:pBdr>
          <w:top w:val="nil"/>
          <w:left w:val="nil"/>
          <w:bottom w:val="nil"/>
          <w:right w:val="nil"/>
          <w:between w:val="nil"/>
        </w:pBdr>
        <w:spacing w:line="276" w:lineRule="auto"/>
        <w:ind w:left="720"/>
        <w:jc w:val="both"/>
        <w:rPr>
          <w:rFonts w:ascii="Cambria" w:eastAsia="Cambria" w:hAnsi="Cambria" w:cs="Cambria"/>
          <w:color w:val="000000" w:themeColor="text1"/>
        </w:rPr>
      </w:pPr>
    </w:p>
    <w:p w14:paraId="41CFC555" w14:textId="0DAE475A" w:rsidR="009A59CB" w:rsidRPr="001407FF" w:rsidRDefault="00FE4D00" w:rsidP="001407FF">
      <w:pPr>
        <w:pStyle w:val="ListParagraph"/>
        <w:widowControl w:val="0"/>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According to Minsa, between 2019 and 2022, childbirths with low birth weight increased by 53.6% in mothers between the ages of 10 and 14 years and 4.3% in mothers aged 15 to 19. According to delivery conditions, in the group of newborns, the mothers were between 10 and 14 years old. In addition, cesarean deliveries increased by 19.4% from 2019-2022.</w:t>
      </w:r>
      <w:r w:rsidR="00925BE0">
        <w:rPr>
          <w:rStyle w:val="EndnoteReference"/>
          <w:rFonts w:ascii="Cambria" w:eastAsia="Cambria" w:hAnsi="Cambria" w:cs="Cambria"/>
          <w:color w:val="000000" w:themeColor="text1"/>
        </w:rPr>
        <w:endnoteReference w:id="65"/>
      </w:r>
      <w:r w:rsidRPr="001407FF">
        <w:rPr>
          <w:rFonts w:ascii="Cambria" w:eastAsia="Cambria" w:hAnsi="Cambria" w:cs="Cambria"/>
          <w:color w:val="000000" w:themeColor="text1"/>
        </w:rPr>
        <w:t xml:space="preserve"> The data is more alarming because girls between 10 and 14 years old have four times more risk of dying during childbirth than an adult woman.</w:t>
      </w:r>
      <w:r w:rsidR="00925BE0">
        <w:rPr>
          <w:rStyle w:val="EndnoteReference"/>
          <w:rFonts w:ascii="Cambria" w:eastAsia="Cambria" w:hAnsi="Cambria" w:cs="Cambria"/>
          <w:color w:val="000000" w:themeColor="text1"/>
        </w:rPr>
        <w:endnoteReference w:id="66"/>
      </w:r>
      <w:r w:rsidRPr="001407FF">
        <w:rPr>
          <w:rFonts w:ascii="Cambria" w:eastAsia="Cambria" w:hAnsi="Cambria" w:cs="Cambria"/>
          <w:color w:val="000000" w:themeColor="text1"/>
        </w:rPr>
        <w:t>In this regard, Minsa noted that 14.9% of dead women are adolescents between the age range of 12 and 19 years; only in 2017, 98 cases of maternal death were reported.</w:t>
      </w:r>
      <w:r w:rsidR="00925BE0">
        <w:rPr>
          <w:rStyle w:val="EndnoteReference"/>
          <w:rFonts w:ascii="Cambria" w:eastAsia="Cambria" w:hAnsi="Cambria" w:cs="Cambria"/>
          <w:color w:val="000000" w:themeColor="text1"/>
        </w:rPr>
        <w:endnoteReference w:id="67"/>
      </w:r>
      <w:r w:rsidRPr="001407FF">
        <w:rPr>
          <w:rFonts w:ascii="Cambria" w:eastAsia="Cambria" w:hAnsi="Cambria" w:cs="Cambria"/>
          <w:color w:val="000000" w:themeColor="text1"/>
        </w:rPr>
        <w:t>Between 2014 and 2017, the average number of maternal deaths in children under 19 years constituted 13.8% of all cases.</w:t>
      </w:r>
      <w:r w:rsidRPr="001407FF">
        <w:rPr>
          <w:rFonts w:ascii="Cambria" w:eastAsia="Cambria" w:hAnsi="Cambria" w:cs="Cambria"/>
          <w:color w:val="000000" w:themeColor="text1"/>
          <w:vertAlign w:val="superscript"/>
        </w:rPr>
        <w:t xml:space="preserve"> </w:t>
      </w:r>
      <w:r w:rsidR="00925BE0">
        <w:rPr>
          <w:rStyle w:val="EndnoteReference"/>
          <w:rFonts w:ascii="Cambria" w:eastAsia="Cambria" w:hAnsi="Cambria" w:cs="Cambria"/>
          <w:color w:val="000000" w:themeColor="text1"/>
        </w:rPr>
        <w:endnoteReference w:id="68"/>
      </w:r>
    </w:p>
    <w:p w14:paraId="2D0F45B2" w14:textId="77777777" w:rsidR="00A128B1" w:rsidRPr="001407FF" w:rsidRDefault="00A128B1" w:rsidP="001407FF">
      <w:pPr>
        <w:pBdr>
          <w:top w:val="nil"/>
          <w:left w:val="nil"/>
          <w:bottom w:val="nil"/>
          <w:right w:val="nil"/>
          <w:between w:val="nil"/>
        </w:pBdr>
        <w:spacing w:line="276" w:lineRule="auto"/>
        <w:ind w:left="720"/>
        <w:jc w:val="both"/>
        <w:rPr>
          <w:rFonts w:ascii="Cambria" w:eastAsia="Cambria" w:hAnsi="Cambria" w:cs="Cambria"/>
          <w:color w:val="000000" w:themeColor="text1"/>
        </w:rPr>
      </w:pPr>
    </w:p>
    <w:p w14:paraId="0000004F" w14:textId="6873ACBF" w:rsidR="00546420" w:rsidRPr="001407FF" w:rsidRDefault="00F938E6"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In addition, teenage motherhood has detrimental consequences on the rights of children and adolescents, constituting a higher risk of maternal mortality, being a risk factor for MM is the performance of an unsafe abortion, and represents an increase in teenage suicides.</w:t>
      </w:r>
      <w:r w:rsidR="00925BE0">
        <w:rPr>
          <w:rStyle w:val="EndnoteReference"/>
          <w:rFonts w:ascii="Cambria" w:eastAsia="Cambria" w:hAnsi="Cambria" w:cs="Cambria"/>
          <w:color w:val="000000" w:themeColor="text1"/>
        </w:rPr>
        <w:endnoteReference w:id="69"/>
      </w:r>
      <w:r w:rsidRPr="001407FF">
        <w:rPr>
          <w:rFonts w:ascii="Cambria" w:eastAsia="Cambria" w:hAnsi="Cambria" w:cs="Cambria"/>
          <w:color w:val="000000" w:themeColor="text1"/>
        </w:rPr>
        <w:t xml:space="preserve"> In this regard, in its Concluding Observations (2016), the Committee expressed its concern about </w:t>
      </w:r>
      <w:r w:rsidRPr="001407FF">
        <w:rPr>
          <w:rFonts w:ascii="Cambria" w:eastAsia="Cambria" w:hAnsi="Cambria" w:cs="Cambria"/>
          <w:i/>
          <w:iCs/>
          <w:color w:val="000000" w:themeColor="text1"/>
        </w:rPr>
        <w:t>the "high rate of suicide and depression among adolescents."</w:t>
      </w:r>
      <w:r w:rsidR="00925BE0">
        <w:rPr>
          <w:rStyle w:val="EndnoteReference"/>
          <w:rFonts w:ascii="Cambria" w:eastAsia="Cambria" w:hAnsi="Cambria" w:cs="Cambria"/>
          <w:i/>
          <w:iCs/>
          <w:color w:val="000000" w:themeColor="text1"/>
        </w:rPr>
        <w:endnoteReference w:id="70"/>
      </w:r>
      <w:r w:rsidR="00925BE0" w:rsidRPr="001407FF">
        <w:rPr>
          <w:rFonts w:ascii="Cambria" w:eastAsia="Cambria" w:hAnsi="Cambria" w:cs="Cambria"/>
          <w:color w:val="000000" w:themeColor="text1"/>
        </w:rPr>
        <w:t xml:space="preserve"> </w:t>
      </w:r>
      <w:r w:rsidRPr="001407FF">
        <w:rPr>
          <w:rFonts w:ascii="Cambria" w:eastAsia="Cambria" w:hAnsi="Cambria" w:cs="Cambria"/>
          <w:color w:val="000000" w:themeColor="text1"/>
        </w:rPr>
        <w:t xml:space="preserve">It recommended that the Peruvian State </w:t>
      </w:r>
      <w:r w:rsidRPr="00F3785B">
        <w:rPr>
          <w:rFonts w:ascii="Cambria" w:eastAsia="Cambria" w:hAnsi="Cambria" w:cs="Cambria"/>
          <w:i/>
          <w:iCs/>
          <w:color w:val="000000" w:themeColor="text1"/>
        </w:rPr>
        <w:t>"Ensure quality access to mental health services with a view to eliminating the prevalence of suicide and depression among adolescents."</w:t>
      </w:r>
      <w:r w:rsidRPr="001407FF">
        <w:rPr>
          <w:rFonts w:ascii="Cambria" w:eastAsia="Cambria" w:hAnsi="Cambria" w:cs="Cambria"/>
          <w:color w:val="000000" w:themeColor="text1"/>
          <w:vertAlign w:val="superscript"/>
        </w:rPr>
        <w:t xml:space="preserve"> </w:t>
      </w:r>
      <w:r w:rsidR="00925BE0">
        <w:rPr>
          <w:rStyle w:val="EndnoteReference"/>
          <w:rFonts w:ascii="Cambria" w:eastAsia="Cambria" w:hAnsi="Cambria" w:cs="Cambria"/>
          <w:color w:val="000000" w:themeColor="text1"/>
        </w:rPr>
        <w:endnoteReference w:id="71"/>
      </w:r>
      <w:r w:rsidRPr="001407FF">
        <w:rPr>
          <w:rFonts w:ascii="Cambria" w:eastAsia="Cambria" w:hAnsi="Cambria" w:cs="Cambria"/>
          <w:color w:val="000000" w:themeColor="text1"/>
        </w:rPr>
        <w:t>However, it is still a recurrent issue; according to the study "Impact of pregnancy after rape. Arguments to protect mental health" (2015), at least 33% of people who have suffered rape present a chronic mental condition, a woman who has suffered sexual violence is 2.5 times more likely to develop depression than a woman with no history. It is also important to point out that depression affects 13% to 51% of raped women; 73% to 82% develop abnormal fear and anxiety; 12% to 40% present generalized anxiety disorder, and 23% to 44% of raped women present suicidal ideation.</w:t>
      </w:r>
      <w:r w:rsidR="00925BE0">
        <w:rPr>
          <w:rStyle w:val="EndnoteReference"/>
          <w:rFonts w:ascii="Cambria" w:eastAsia="Cambria" w:hAnsi="Cambria" w:cs="Cambria"/>
          <w:color w:val="000000" w:themeColor="text1"/>
        </w:rPr>
        <w:endnoteReference w:id="72"/>
      </w:r>
      <w:r w:rsidR="00925BE0" w:rsidRPr="001407FF">
        <w:rPr>
          <w:rFonts w:ascii="Cambria" w:eastAsia="Cambria" w:hAnsi="Cambria" w:cs="Cambria"/>
          <w:color w:val="000000" w:themeColor="text1"/>
        </w:rPr>
        <w:t xml:space="preserve"> </w:t>
      </w:r>
      <w:r w:rsidR="00A128B1" w:rsidRPr="001407FF">
        <w:rPr>
          <w:rFonts w:ascii="Cambria" w:eastAsia="Cambria" w:hAnsi="Cambria" w:cs="Cambria"/>
          <w:color w:val="000000" w:themeColor="text1"/>
        </w:rPr>
        <w:t>In this regard, the National Death Information System (SINADEF) reported 686 cases of suicide in 2022, 37% of which involved adolescents.</w:t>
      </w:r>
      <w:r w:rsidR="00A128B1" w:rsidRPr="001407FF">
        <w:rPr>
          <w:rFonts w:ascii="Cambria" w:eastAsia="Cambria" w:hAnsi="Cambria" w:cstheme="minorHAnsi"/>
          <w:color w:val="000000" w:themeColor="text1"/>
          <w:vertAlign w:val="superscript"/>
        </w:rPr>
        <w:t xml:space="preserve"> </w:t>
      </w:r>
      <w:r w:rsidR="00925BE0">
        <w:rPr>
          <w:rStyle w:val="EndnoteReference"/>
          <w:rFonts w:ascii="Cambria" w:eastAsia="Cambria" w:hAnsi="Cambria" w:cstheme="minorHAnsi"/>
          <w:color w:val="000000" w:themeColor="text1"/>
        </w:rPr>
        <w:endnoteReference w:id="73"/>
      </w:r>
    </w:p>
    <w:p w14:paraId="00000050" w14:textId="77777777" w:rsidR="00546420" w:rsidRPr="001407FF" w:rsidRDefault="00546420" w:rsidP="001407FF">
      <w:pPr>
        <w:pBdr>
          <w:top w:val="nil"/>
          <w:left w:val="nil"/>
          <w:bottom w:val="nil"/>
          <w:right w:val="nil"/>
          <w:between w:val="nil"/>
        </w:pBdr>
        <w:spacing w:line="276" w:lineRule="auto"/>
        <w:jc w:val="both"/>
        <w:rPr>
          <w:rFonts w:ascii="Cambria" w:eastAsia="Cambria" w:hAnsi="Cambria" w:cs="Cambria"/>
          <w:color w:val="000000" w:themeColor="text1"/>
        </w:rPr>
      </w:pPr>
    </w:p>
    <w:p w14:paraId="5A8AFA28" w14:textId="50F8B1B9" w:rsidR="00C27BC0" w:rsidRPr="001407FF" w:rsidRDefault="00C27BC0" w:rsidP="001407FF">
      <w:pPr>
        <w:numPr>
          <w:ilvl w:val="0"/>
          <w:numId w:val="6"/>
        </w:numPr>
        <w:pBdr>
          <w:top w:val="nil"/>
          <w:left w:val="nil"/>
          <w:bottom w:val="nil"/>
          <w:right w:val="nil"/>
          <w:between w:val="nil"/>
        </w:pBdr>
        <w:spacing w:line="276" w:lineRule="auto"/>
        <w:jc w:val="both"/>
        <w:rPr>
          <w:rFonts w:ascii="Cambria" w:eastAsia="Cambria" w:hAnsi="Cambria" w:cs="Cambria"/>
          <w:b/>
          <w:color w:val="000000" w:themeColor="text1"/>
        </w:rPr>
      </w:pPr>
      <w:r w:rsidRPr="001407FF">
        <w:rPr>
          <w:rFonts w:ascii="Cambria" w:eastAsia="Cambria" w:hAnsi="Cambria" w:cs="Cambria"/>
          <w:b/>
          <w:color w:val="000000" w:themeColor="text1"/>
        </w:rPr>
        <w:t xml:space="preserve">Persistent barriers to access to therapeutic abortion </w:t>
      </w:r>
    </w:p>
    <w:p w14:paraId="530E558A" w14:textId="77777777" w:rsidR="00C27BC0" w:rsidRPr="001407FF" w:rsidRDefault="00C27BC0" w:rsidP="001407FF">
      <w:pPr>
        <w:pBdr>
          <w:top w:val="nil"/>
          <w:left w:val="nil"/>
          <w:bottom w:val="nil"/>
          <w:right w:val="nil"/>
          <w:between w:val="nil"/>
        </w:pBdr>
        <w:spacing w:line="276" w:lineRule="auto"/>
        <w:jc w:val="both"/>
        <w:rPr>
          <w:rFonts w:ascii="Cambria" w:eastAsia="Cambria" w:hAnsi="Cambria" w:cs="Cambria"/>
          <w:b/>
          <w:color w:val="000000" w:themeColor="text1"/>
        </w:rPr>
      </w:pPr>
    </w:p>
    <w:p w14:paraId="00000052" w14:textId="77777777" w:rsidR="00546420" w:rsidRPr="001407FF" w:rsidRDefault="00546420" w:rsidP="001407FF">
      <w:pPr>
        <w:pBdr>
          <w:top w:val="nil"/>
          <w:left w:val="nil"/>
          <w:bottom w:val="nil"/>
          <w:right w:val="nil"/>
          <w:between w:val="nil"/>
        </w:pBdr>
        <w:spacing w:line="276" w:lineRule="auto"/>
        <w:ind w:left="1080"/>
        <w:jc w:val="both"/>
        <w:rPr>
          <w:rFonts w:ascii="Cambria" w:eastAsia="Cambria" w:hAnsi="Cambria" w:cs="Cambria"/>
          <w:color w:val="000000" w:themeColor="text1"/>
        </w:rPr>
      </w:pPr>
    </w:p>
    <w:p w14:paraId="6E0A2F8A" w14:textId="6E446636" w:rsidR="00393729" w:rsidRPr="001407FF" w:rsidRDefault="00393729" w:rsidP="001407FF">
      <w:pPr>
        <w:pStyle w:val="ListParagraph"/>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 xml:space="preserve">The Committee recommended that the Peruvian State </w:t>
      </w:r>
      <w:r w:rsidRPr="001407FF">
        <w:rPr>
          <w:rFonts w:ascii="Cambria" w:eastAsia="Cambria" w:hAnsi="Cambria" w:cs="Cambria"/>
          <w:i/>
          <w:iCs/>
          <w:color w:val="000000" w:themeColor="text1"/>
        </w:rPr>
        <w:t xml:space="preserve">“decriminalize abortion in all circumstances, ensure children’s access to safe abortion and post-abortion care services, at least in cases of rape, incest and serious impairment of the </w:t>
      </w:r>
      <w:r w:rsidR="004A02EA">
        <w:rPr>
          <w:rFonts w:ascii="Cambria" w:eastAsia="Cambria" w:hAnsi="Cambria" w:cs="Cambria"/>
          <w:i/>
          <w:iCs/>
          <w:color w:val="000000" w:themeColor="text1"/>
        </w:rPr>
        <w:t>‘</w:t>
      </w:r>
      <w:r w:rsidRPr="001407FF">
        <w:rPr>
          <w:rFonts w:ascii="Cambria" w:eastAsia="Cambria" w:hAnsi="Cambria" w:cs="Cambria"/>
          <w:i/>
          <w:iCs/>
          <w:color w:val="000000" w:themeColor="text1"/>
        </w:rPr>
        <w:t>foetus</w:t>
      </w:r>
      <w:r w:rsidR="004A02EA">
        <w:rPr>
          <w:rFonts w:ascii="Cambria" w:eastAsia="Cambria" w:hAnsi="Cambria" w:cs="Cambria"/>
          <w:i/>
          <w:iCs/>
          <w:color w:val="000000" w:themeColor="text1"/>
        </w:rPr>
        <w:t>’</w:t>
      </w:r>
      <w:r w:rsidRPr="001407FF">
        <w:rPr>
          <w:rFonts w:ascii="Cambria" w:eastAsia="Cambria" w:hAnsi="Cambria" w:cs="Cambria"/>
          <w:i/>
          <w:iCs/>
          <w:color w:val="000000" w:themeColor="text1"/>
        </w:rPr>
        <w:t xml:space="preserve"> and in cases of risk to the life and health of mothers, and provide clear guidance to health practitioners and information to adolescents on safe abortion and post-abortion care. The views of pregnant girls should always be heard and respected in abortion decisions”</w:t>
      </w:r>
      <w:r w:rsidRPr="001407FF">
        <w:rPr>
          <w:rFonts w:ascii="Cambria" w:eastAsia="Cambria" w:hAnsi="Cambria" w:cs="Cambria"/>
          <w:color w:val="000000" w:themeColor="text1"/>
        </w:rPr>
        <w:t>.</w:t>
      </w:r>
      <w:r w:rsidR="00925BE0">
        <w:rPr>
          <w:rStyle w:val="EndnoteReference"/>
          <w:rFonts w:ascii="Cambria" w:eastAsia="Cambria" w:hAnsi="Cambria" w:cs="Cambria"/>
          <w:color w:val="000000" w:themeColor="text1"/>
        </w:rPr>
        <w:endnoteReference w:id="74"/>
      </w:r>
    </w:p>
    <w:p w14:paraId="4EE574F9" w14:textId="77777777" w:rsidR="00393729" w:rsidRPr="001407FF" w:rsidRDefault="00393729" w:rsidP="004A02EA">
      <w:pPr>
        <w:pBdr>
          <w:top w:val="nil"/>
          <w:left w:val="nil"/>
          <w:bottom w:val="nil"/>
          <w:right w:val="nil"/>
          <w:between w:val="nil"/>
        </w:pBdr>
        <w:spacing w:line="276" w:lineRule="auto"/>
        <w:jc w:val="both"/>
        <w:rPr>
          <w:rFonts w:ascii="Cambria" w:eastAsia="Cambria" w:hAnsi="Cambria" w:cs="Cambria"/>
          <w:color w:val="000000" w:themeColor="text1"/>
        </w:rPr>
      </w:pPr>
    </w:p>
    <w:p w14:paraId="45C08BBF" w14:textId="1C68B04D" w:rsidR="00FB0761" w:rsidRPr="001407FF" w:rsidRDefault="00FB0761"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In Peru, therapeutic abortion is legal only to save the life of a pregnant person or prevent serious and permanent damage to their health,</w:t>
      </w:r>
      <w:r w:rsidR="00925BE0">
        <w:rPr>
          <w:rStyle w:val="EndnoteReference"/>
          <w:rFonts w:ascii="Cambria" w:eastAsia="Cambria" w:hAnsi="Cambria" w:cs="Cambria"/>
          <w:color w:val="000000" w:themeColor="text1"/>
        </w:rPr>
        <w:endnoteReference w:id="75"/>
      </w:r>
      <w:r w:rsidRPr="001407FF">
        <w:rPr>
          <w:rFonts w:ascii="Cambria" w:eastAsia="Cambria" w:hAnsi="Cambria" w:cs="Cambria"/>
          <w:color w:val="000000" w:themeColor="text1"/>
          <w:vertAlign w:val="superscript"/>
        </w:rPr>
        <w:t xml:space="preserve"> </w:t>
      </w:r>
      <w:r w:rsidRPr="001407FF">
        <w:rPr>
          <w:rFonts w:ascii="Cambria" w:eastAsia="Cambria" w:hAnsi="Cambria" w:cs="Cambria"/>
          <w:color w:val="000000" w:themeColor="text1"/>
        </w:rPr>
        <w:t>criminalizing abortion in all circumstances, including cases of</w:t>
      </w:r>
      <w:r w:rsidR="00253BEA" w:rsidRPr="001407FF">
        <w:rPr>
          <w:rFonts w:ascii="Cambria" w:eastAsia="Cambria" w:hAnsi="Cambria" w:cs="Cambria"/>
          <w:color w:val="000000" w:themeColor="text1"/>
        </w:rPr>
        <w:t xml:space="preserve"> severe fetal impairment</w:t>
      </w:r>
      <w:r w:rsidRPr="001407FF">
        <w:rPr>
          <w:rFonts w:ascii="Cambria" w:eastAsia="Cambria" w:hAnsi="Cambria" w:cs="Cambria"/>
          <w:color w:val="000000" w:themeColor="text1"/>
        </w:rPr>
        <w:t xml:space="preserve">, rape, and incest. The criminalization per se is a mechanism of repression against women and, in particular, against girls and adolescents. The Peruvian State approved on June 27, 2014, the </w:t>
      </w:r>
      <w:r w:rsidRPr="001407FF">
        <w:rPr>
          <w:rFonts w:ascii="Cambria" w:eastAsia="Cambria" w:hAnsi="Cambria" w:cs="Cambria"/>
          <w:i/>
          <w:iCs/>
          <w:color w:val="000000" w:themeColor="text1"/>
        </w:rPr>
        <w:t>“National Technical Guide for the standardization of the procedure of comprehensive care of pregnant women in the Voluntary Termination of pregnancies of less than 22 weeks by Therapeutic Indication with informed consent in the framework of that provided for in Article 119 of the Criminal Code”</w:t>
      </w:r>
      <w:r w:rsidRPr="001407FF">
        <w:rPr>
          <w:rFonts w:ascii="Cambria" w:eastAsia="Aptos" w:hAnsi="Cambria" w:cs="Aptos"/>
          <w:color w:val="000000" w:themeColor="text1"/>
          <w:vertAlign w:val="superscript"/>
        </w:rPr>
        <w:t xml:space="preserve"> </w:t>
      </w:r>
      <w:r w:rsidR="00925BE0">
        <w:rPr>
          <w:rStyle w:val="EndnoteReference"/>
          <w:rFonts w:ascii="Cambria" w:eastAsia="Aptos" w:hAnsi="Cambria" w:cs="Aptos"/>
          <w:color w:val="000000" w:themeColor="text1"/>
        </w:rPr>
        <w:endnoteReference w:id="76"/>
      </w:r>
      <w:r w:rsidRPr="001407FF">
        <w:rPr>
          <w:rFonts w:ascii="Cambria" w:eastAsia="Cambria" w:hAnsi="Cambria" w:cs="Cambria"/>
          <w:color w:val="000000" w:themeColor="text1"/>
        </w:rPr>
        <w:t xml:space="preserve">(hereinafter the </w:t>
      </w:r>
      <w:r w:rsidRPr="004A02EA">
        <w:rPr>
          <w:rFonts w:ascii="Cambria" w:eastAsia="Cambria" w:hAnsi="Cambria" w:cs="Cambria"/>
          <w:b/>
          <w:bCs/>
          <w:i/>
          <w:iCs/>
          <w:color w:val="000000" w:themeColor="text1"/>
        </w:rPr>
        <w:t>“Technical Guide”</w:t>
      </w:r>
      <w:r w:rsidRPr="001407FF">
        <w:rPr>
          <w:rFonts w:ascii="Cambria" w:eastAsia="Cambria" w:hAnsi="Cambria" w:cs="Cambria"/>
          <w:color w:val="000000" w:themeColor="text1"/>
        </w:rPr>
        <w:t xml:space="preserve"> or </w:t>
      </w:r>
      <w:r w:rsidRPr="004A02EA">
        <w:rPr>
          <w:rFonts w:ascii="Cambria" w:eastAsia="Cambria" w:hAnsi="Cambria" w:cs="Cambria"/>
          <w:b/>
          <w:bCs/>
          <w:i/>
          <w:iCs/>
          <w:color w:val="000000" w:themeColor="text1"/>
        </w:rPr>
        <w:t>“Guide”</w:t>
      </w:r>
      <w:r w:rsidRPr="001407FF">
        <w:rPr>
          <w:rFonts w:ascii="Cambria" w:eastAsia="Cambria" w:hAnsi="Cambria" w:cs="Cambria"/>
          <w:color w:val="000000" w:themeColor="text1"/>
        </w:rPr>
        <w:t>).</w:t>
      </w:r>
      <w:r w:rsidR="004A02EA">
        <w:rPr>
          <w:rFonts w:ascii="Cambria" w:eastAsia="Cambria" w:hAnsi="Cambria" w:cs="Cambria"/>
          <w:color w:val="000000" w:themeColor="text1"/>
        </w:rPr>
        <w:t xml:space="preserve"> </w:t>
      </w:r>
      <w:r w:rsidR="004A02EA" w:rsidRPr="00C14D98">
        <w:rPr>
          <w:rFonts w:ascii="Cambria" w:eastAsia="Cambria" w:hAnsi="Cambria" w:cs="Cambria"/>
          <w:color w:val="000000" w:themeColor="text1"/>
        </w:rPr>
        <w:t>Despite 100 years since the adoption of therapeutic abortion, the barriers to access persist</w:t>
      </w:r>
      <w:r w:rsidRPr="00C14D98">
        <w:rPr>
          <w:rFonts w:ascii="Cambria" w:eastAsia="Cambria" w:hAnsi="Cambria" w:cs="Cambria"/>
          <w:color w:val="000000" w:themeColor="text1"/>
        </w:rPr>
        <w:t>.</w:t>
      </w:r>
      <w:r w:rsidRPr="001407FF">
        <w:rPr>
          <w:rFonts w:ascii="Cambria" w:eastAsia="Cambria" w:hAnsi="Cambria" w:cs="Cambria"/>
          <w:color w:val="000000" w:themeColor="text1"/>
          <w:vertAlign w:val="superscript"/>
        </w:rPr>
        <w:t xml:space="preserve"> </w:t>
      </w:r>
      <w:r w:rsidR="00925BE0">
        <w:rPr>
          <w:rStyle w:val="EndnoteReference"/>
          <w:rFonts w:ascii="Cambria" w:eastAsia="Cambria" w:hAnsi="Cambria" w:cs="Cambria"/>
          <w:color w:val="000000" w:themeColor="text1"/>
        </w:rPr>
        <w:endnoteReference w:id="77"/>
      </w:r>
    </w:p>
    <w:p w14:paraId="527C353D" w14:textId="77777777" w:rsidR="00393729" w:rsidRPr="001407FF" w:rsidRDefault="00393729" w:rsidP="001407FF">
      <w:pPr>
        <w:pBdr>
          <w:top w:val="nil"/>
          <w:left w:val="nil"/>
          <w:bottom w:val="nil"/>
          <w:right w:val="nil"/>
          <w:between w:val="nil"/>
        </w:pBdr>
        <w:spacing w:line="276" w:lineRule="auto"/>
        <w:jc w:val="both"/>
        <w:rPr>
          <w:rFonts w:ascii="Cambria" w:eastAsia="Cambria" w:hAnsi="Cambria" w:cs="Cambria"/>
          <w:color w:val="000000" w:themeColor="text1"/>
        </w:rPr>
      </w:pPr>
    </w:p>
    <w:p w14:paraId="5162BCEF" w14:textId="691B27BD" w:rsidR="002A55A8" w:rsidRPr="001407FF" w:rsidRDefault="002A55A8"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In addition, the Committee is deeply concerned about the “</w:t>
      </w:r>
      <w:r w:rsidRPr="001407FF">
        <w:rPr>
          <w:rFonts w:ascii="Cambria" w:eastAsia="Cambria" w:hAnsi="Cambria" w:cs="Cambria"/>
          <w:i/>
          <w:iCs/>
          <w:color w:val="000000" w:themeColor="text1"/>
        </w:rPr>
        <w:t>fact that abortion is illegal in cases of rape or incest, and at the restrictive interpretation of therapeutic abortion, a situation that compels girls to resort to unsafe abortion at risk of their health and life.”</w:t>
      </w:r>
      <w:r w:rsidR="00925BE0">
        <w:rPr>
          <w:rStyle w:val="EndnoteReference"/>
          <w:rFonts w:ascii="Cambria" w:eastAsia="Cambria" w:hAnsi="Cambria" w:cs="Cambria"/>
          <w:i/>
          <w:iCs/>
          <w:color w:val="000000" w:themeColor="text1"/>
        </w:rPr>
        <w:endnoteReference w:id="78"/>
      </w:r>
      <w:r w:rsidR="00925BE0" w:rsidRPr="001407FF">
        <w:rPr>
          <w:rFonts w:ascii="Cambria" w:eastAsia="Cambria" w:hAnsi="Cambria" w:cs="Cambria"/>
          <w:color w:val="000000" w:themeColor="text1"/>
        </w:rPr>
        <w:t xml:space="preserve"> </w:t>
      </w:r>
      <w:r w:rsidRPr="001407FF">
        <w:rPr>
          <w:rFonts w:ascii="Cambria" w:eastAsia="Cambria" w:hAnsi="Cambria" w:cs="Cambria"/>
          <w:color w:val="000000" w:themeColor="text1"/>
        </w:rPr>
        <w:t>On June 2023, the Committee found the Peruvian State responsible for violating Camila’s Rights (</w:t>
      </w:r>
      <w:r w:rsidRPr="00C14D98">
        <w:rPr>
          <w:rFonts w:ascii="Cambria" w:eastAsia="Cambria" w:hAnsi="Cambria" w:cs="Cambria"/>
          <w:i/>
          <w:iCs/>
          <w:color w:val="000000" w:themeColor="text1"/>
        </w:rPr>
        <w:t>Camila v. Peru</w:t>
      </w:r>
      <w:r w:rsidRPr="001407FF">
        <w:rPr>
          <w:rFonts w:ascii="Cambria" w:eastAsia="Cambria" w:hAnsi="Cambria" w:cs="Cambria"/>
          <w:color w:val="000000" w:themeColor="text1"/>
        </w:rPr>
        <w:t>).</w:t>
      </w:r>
      <w:r w:rsidR="00A6787C">
        <w:rPr>
          <w:rStyle w:val="EndnoteReference"/>
          <w:rFonts w:ascii="Cambria" w:eastAsia="Cambria" w:hAnsi="Cambria" w:cs="Cambria"/>
          <w:color w:val="000000" w:themeColor="text1"/>
        </w:rPr>
        <w:endnoteReference w:id="79"/>
      </w:r>
      <w:r w:rsidRPr="001407FF">
        <w:rPr>
          <w:rFonts w:ascii="Cambria" w:eastAsia="Cambria" w:hAnsi="Cambria" w:cs="Cambria"/>
          <w:color w:val="000000" w:themeColor="text1"/>
        </w:rPr>
        <w:t>In this View, the Committee recommended the Peruvian State adopt reparation measures for Camila that include amending the  regulations on access to therapeutic abortion (the Technical Guide); among them, we have:</w:t>
      </w:r>
    </w:p>
    <w:p w14:paraId="5F18B634" w14:textId="4F52ED44" w:rsidR="002A55A8" w:rsidRPr="004A02EA" w:rsidRDefault="002A55A8" w:rsidP="001407FF">
      <w:pPr>
        <w:pBdr>
          <w:top w:val="nil"/>
          <w:left w:val="nil"/>
          <w:bottom w:val="nil"/>
          <w:right w:val="nil"/>
          <w:between w:val="nil"/>
        </w:pBdr>
        <w:spacing w:line="276" w:lineRule="auto"/>
        <w:ind w:left="1260"/>
        <w:jc w:val="both"/>
        <w:rPr>
          <w:rFonts w:ascii="Cambria" w:eastAsia="Cambria" w:hAnsi="Cambria" w:cs="Cambria"/>
          <w:i/>
          <w:color w:val="000000" w:themeColor="text1"/>
        </w:rPr>
      </w:pPr>
      <w:r w:rsidRPr="004A02EA">
        <w:rPr>
          <w:rFonts w:ascii="Cambria" w:eastAsia="Cambria" w:hAnsi="Cambria" w:cs="Cambria"/>
          <w:i/>
          <w:color w:val="000000" w:themeColor="text1"/>
        </w:rPr>
        <w:t xml:space="preserve">“[…] b) Ensure access to safe abortion services and post-abortion care for pregnant girls, particularly in cases where there is a risk to the life or health of the mother and cases involving rape or incest; </w:t>
      </w:r>
    </w:p>
    <w:p w14:paraId="6DD49FD9" w14:textId="77777777" w:rsidR="002A55A8" w:rsidRPr="004A02EA" w:rsidRDefault="002A55A8" w:rsidP="001407FF">
      <w:pPr>
        <w:pBdr>
          <w:top w:val="nil"/>
          <w:left w:val="nil"/>
          <w:bottom w:val="nil"/>
          <w:right w:val="nil"/>
          <w:between w:val="nil"/>
        </w:pBdr>
        <w:spacing w:line="276" w:lineRule="auto"/>
        <w:ind w:left="1260"/>
        <w:jc w:val="both"/>
        <w:rPr>
          <w:rFonts w:ascii="Cambria" w:eastAsia="Cambria" w:hAnsi="Cambria" w:cs="Cambria"/>
          <w:i/>
          <w:color w:val="000000" w:themeColor="text1"/>
        </w:rPr>
      </w:pPr>
      <w:r w:rsidRPr="004A02EA">
        <w:rPr>
          <w:rFonts w:ascii="Cambria" w:eastAsia="Cambria" w:hAnsi="Cambria" w:cs="Cambria"/>
          <w:i/>
          <w:color w:val="000000" w:themeColor="text1"/>
        </w:rPr>
        <w:t xml:space="preserve">c) Amend the regulations on access to therapeutic abortion (the Technical Handbook) to make it specifically applicable to girls and to ensure that due weight is given to the particular risks of mortality and morbidity involved in child pregnancies; </w:t>
      </w:r>
    </w:p>
    <w:p w14:paraId="65661A12" w14:textId="5A70E1B5" w:rsidR="00393729" w:rsidRPr="004A02EA" w:rsidRDefault="002A55A8" w:rsidP="001407FF">
      <w:pPr>
        <w:pBdr>
          <w:top w:val="nil"/>
          <w:left w:val="nil"/>
          <w:bottom w:val="nil"/>
          <w:right w:val="nil"/>
          <w:between w:val="nil"/>
        </w:pBdr>
        <w:spacing w:line="276" w:lineRule="auto"/>
        <w:ind w:left="1260"/>
        <w:jc w:val="both"/>
        <w:rPr>
          <w:rFonts w:ascii="Cambria" w:eastAsia="Cambria" w:hAnsi="Cambria" w:cs="Cambria"/>
          <w:i/>
          <w:color w:val="000000" w:themeColor="text1"/>
        </w:rPr>
      </w:pPr>
      <w:r w:rsidRPr="004A02EA">
        <w:rPr>
          <w:rFonts w:ascii="Cambria" w:eastAsia="Cambria" w:hAnsi="Cambria" w:cs="Cambria"/>
          <w:i/>
          <w:color w:val="000000" w:themeColor="text1"/>
        </w:rPr>
        <w:t>d) Establish a clear and prompt remedy for failures to abide by the procedures set out in the Technical Handbook for access to induced abortion and ensure that those responsible for any such failures are held accountable”.</w:t>
      </w:r>
      <w:r w:rsidR="00A6787C">
        <w:rPr>
          <w:rStyle w:val="EndnoteReference"/>
          <w:rFonts w:ascii="Cambria" w:eastAsia="Cambria" w:hAnsi="Cambria" w:cs="Cambria"/>
          <w:i/>
          <w:color w:val="000000" w:themeColor="text1"/>
        </w:rPr>
        <w:endnoteReference w:id="80"/>
      </w:r>
      <w:r w:rsidR="00393729" w:rsidRPr="004A02EA">
        <w:rPr>
          <w:rFonts w:ascii="Cambria" w:eastAsia="Cambria" w:hAnsi="Cambria" w:cs="Cambria"/>
          <w:i/>
          <w:color w:val="000000" w:themeColor="text1"/>
        </w:rPr>
        <w:t xml:space="preserve"> </w:t>
      </w:r>
    </w:p>
    <w:p w14:paraId="7D92B06C" w14:textId="77777777" w:rsidR="009C1499" w:rsidRPr="001407FF" w:rsidRDefault="009C1499" w:rsidP="001407FF">
      <w:pPr>
        <w:pBdr>
          <w:top w:val="nil"/>
          <w:left w:val="nil"/>
          <w:bottom w:val="nil"/>
          <w:right w:val="nil"/>
          <w:between w:val="nil"/>
        </w:pBdr>
        <w:spacing w:line="276" w:lineRule="auto"/>
        <w:jc w:val="both"/>
        <w:rPr>
          <w:rFonts w:ascii="Cambria" w:eastAsia="Cambria" w:hAnsi="Cambria" w:cs="Cambria"/>
          <w:color w:val="000000" w:themeColor="text1"/>
        </w:rPr>
      </w:pPr>
    </w:p>
    <w:p w14:paraId="2430320A" w14:textId="583663AF" w:rsidR="00393729" w:rsidRDefault="005E5DA5"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It has yet to implement the other reparation measures established by the CRC effectively,</w:t>
      </w:r>
      <w:r w:rsidR="00A6787C">
        <w:rPr>
          <w:rStyle w:val="EndnoteReference"/>
          <w:rFonts w:ascii="Cambria" w:eastAsia="Cambria" w:hAnsi="Cambria" w:cs="Cambria"/>
          <w:color w:val="000000" w:themeColor="text1"/>
        </w:rPr>
        <w:endnoteReference w:id="81"/>
      </w:r>
      <w:r w:rsidRPr="001407FF">
        <w:rPr>
          <w:rFonts w:ascii="Cambria" w:eastAsia="Cambria" w:hAnsi="Cambria" w:cs="Cambria"/>
          <w:color w:val="000000" w:themeColor="text1"/>
        </w:rPr>
        <w:t>and in fact, access to therapeutic abortion is still a challenge, particularly in rural and indigenous areas. In addition, there is a lack of disaggregated data and updated information on how many women access therapeutic abortion;</w:t>
      </w:r>
      <w:r w:rsidR="00A6787C">
        <w:rPr>
          <w:rStyle w:val="EndnoteReference"/>
          <w:rFonts w:ascii="Cambria" w:eastAsia="Cambria" w:hAnsi="Cambria" w:cs="Cambria"/>
          <w:color w:val="000000" w:themeColor="text1"/>
        </w:rPr>
        <w:endnoteReference w:id="82"/>
      </w:r>
      <w:r w:rsidRPr="001407FF">
        <w:rPr>
          <w:rFonts w:ascii="Cambria" w:eastAsia="Cambria" w:hAnsi="Cambria" w:cs="Cambria"/>
          <w:color w:val="000000" w:themeColor="text1"/>
        </w:rPr>
        <w:t xml:space="preserve"> the information gathered is due to the efforts made by civil society, among others. Furthermore, an exploratory study “</w:t>
      </w:r>
      <w:r w:rsidRPr="001407FF">
        <w:rPr>
          <w:rFonts w:ascii="Cambria" w:hAnsi="Cambria"/>
          <w:i/>
          <w:iCs/>
          <w:color w:val="000000" w:themeColor="text1"/>
        </w:rPr>
        <w:t>Therapeutic abortions between 2014 and 2023</w:t>
      </w:r>
      <w:r w:rsidR="004A02EA">
        <w:rPr>
          <w:rFonts w:ascii="Cambria" w:eastAsia="Cambria" w:hAnsi="Cambria" w:cs="Cambria"/>
          <w:color w:val="000000" w:themeColor="text1"/>
        </w:rPr>
        <w:t xml:space="preserve">” </w:t>
      </w:r>
      <w:r w:rsidRPr="001407FF">
        <w:rPr>
          <w:rFonts w:ascii="Cambria" w:eastAsia="Cambria" w:hAnsi="Cambria" w:cs="Cambria"/>
          <w:color w:val="000000" w:themeColor="text1"/>
        </w:rPr>
        <w:t>concluded that of the 3 846 cases of therapeutic abortion in the period 2014-2023,</w:t>
      </w:r>
      <w:r w:rsidRPr="001407FF">
        <w:rPr>
          <w:rFonts w:ascii="Cambria" w:eastAsia="Cambria" w:hAnsi="Cambria" w:cs="Cambria"/>
          <w:color w:val="000000" w:themeColor="text1"/>
          <w:vertAlign w:val="superscript"/>
        </w:rPr>
        <w:t xml:space="preserve"> </w:t>
      </w:r>
      <w:r w:rsidRPr="001407FF">
        <w:rPr>
          <w:rFonts w:ascii="Cambria" w:eastAsia="Cambria" w:hAnsi="Cambria" w:cs="Cambria"/>
          <w:color w:val="000000" w:themeColor="text1"/>
        </w:rPr>
        <w:t>3347 were therapeutic abortions. In addition, it points out that there is no trend in the rate of therapeutic abortion cases in the period of this study. In addition, this study showed an increase in cases from 350 cases in 2014 to 513 in 2023.</w:t>
      </w:r>
      <w:r w:rsidR="00A6787C">
        <w:rPr>
          <w:rStyle w:val="EndnoteReference"/>
          <w:rFonts w:ascii="Cambria" w:eastAsia="Cambria" w:hAnsi="Cambria" w:cs="Cambria"/>
          <w:color w:val="000000" w:themeColor="text1"/>
        </w:rPr>
        <w:endnoteReference w:id="83"/>
      </w:r>
      <w:r w:rsidR="00A6787C" w:rsidRPr="001407FF">
        <w:rPr>
          <w:rFonts w:ascii="Cambria" w:eastAsia="Cambria" w:hAnsi="Cambria" w:cs="Cambria"/>
          <w:color w:val="000000" w:themeColor="text1"/>
        </w:rPr>
        <w:t xml:space="preserve"> </w:t>
      </w:r>
      <w:r w:rsidRPr="001407FF">
        <w:rPr>
          <w:rFonts w:ascii="Cambria" w:eastAsia="Cambria" w:hAnsi="Cambria" w:cs="Cambria"/>
          <w:color w:val="000000" w:themeColor="text1"/>
        </w:rPr>
        <w:t>According to official data from Minsa, between 2018 and 2020, 226 women accessed a therapeutic abortion, of which 17 were practiced on women under the age of 20</w:t>
      </w:r>
      <w:r w:rsidR="00A6787C">
        <w:rPr>
          <w:rStyle w:val="EndnoteReference"/>
          <w:rFonts w:ascii="Cambria" w:eastAsia="Cambria" w:hAnsi="Cambria" w:cs="Cambria"/>
          <w:color w:val="000000" w:themeColor="text1"/>
        </w:rPr>
        <w:endnoteReference w:id="84"/>
      </w:r>
      <w:r w:rsidR="006350EB" w:rsidRPr="001407FF">
        <w:rPr>
          <w:rFonts w:ascii="Cambria" w:eastAsia="Cambria" w:hAnsi="Cambria" w:cs="Cambria"/>
          <w:color w:val="000000" w:themeColor="text1"/>
        </w:rPr>
        <w:t>, and</w:t>
      </w:r>
      <w:r w:rsidRPr="001407FF">
        <w:rPr>
          <w:rFonts w:ascii="Cambria" w:eastAsia="Cambria" w:hAnsi="Cambria" w:cs="Cambria"/>
          <w:color w:val="000000" w:themeColor="text1"/>
        </w:rPr>
        <w:t xml:space="preserve"> between 2014 and 2016, 153 women accessed a therapeutic abortion in 2014, 453 in 2015,</w:t>
      </w:r>
      <w:r w:rsidR="00A6787C">
        <w:rPr>
          <w:rStyle w:val="EndnoteReference"/>
          <w:rFonts w:ascii="Cambria" w:eastAsia="Cambria" w:hAnsi="Cambria" w:cs="Cambria"/>
          <w:color w:val="000000" w:themeColor="text1"/>
        </w:rPr>
        <w:endnoteReference w:id="85"/>
      </w:r>
      <w:r w:rsidRPr="001407FF">
        <w:rPr>
          <w:rFonts w:ascii="Cambria" w:eastAsia="Cambria" w:hAnsi="Cambria" w:cs="Cambria"/>
          <w:color w:val="000000" w:themeColor="text1"/>
        </w:rPr>
        <w:t xml:space="preserve"> and 311 in 2016</w:t>
      </w:r>
      <w:r w:rsidR="006350EB" w:rsidRPr="001407FF">
        <w:rPr>
          <w:rFonts w:ascii="Cambria" w:eastAsia="Cambria" w:hAnsi="Cambria" w:cs="Cambria"/>
          <w:color w:val="000000" w:themeColor="text1"/>
        </w:rPr>
        <w:t>.</w:t>
      </w:r>
      <w:r w:rsidR="00A6787C">
        <w:rPr>
          <w:rStyle w:val="EndnoteReference"/>
          <w:rFonts w:ascii="Cambria" w:eastAsia="Cambria" w:hAnsi="Cambria" w:cs="Cambria"/>
          <w:color w:val="000000" w:themeColor="text1"/>
        </w:rPr>
        <w:endnoteReference w:id="86"/>
      </w:r>
    </w:p>
    <w:p w14:paraId="76621B88" w14:textId="77777777" w:rsidR="00D70615" w:rsidRPr="001407FF" w:rsidRDefault="00D70615" w:rsidP="00D70615">
      <w:pPr>
        <w:pBdr>
          <w:top w:val="nil"/>
          <w:left w:val="nil"/>
          <w:bottom w:val="nil"/>
          <w:right w:val="nil"/>
          <w:between w:val="nil"/>
        </w:pBdr>
        <w:spacing w:line="276" w:lineRule="auto"/>
        <w:ind w:left="720"/>
        <w:jc w:val="both"/>
        <w:rPr>
          <w:rFonts w:ascii="Cambria" w:eastAsia="Cambria" w:hAnsi="Cambria" w:cs="Cambria"/>
          <w:color w:val="000000" w:themeColor="text1"/>
        </w:rPr>
      </w:pPr>
    </w:p>
    <w:p w14:paraId="67FC7575" w14:textId="35E7A56D" w:rsidR="00393729" w:rsidRPr="00D70615" w:rsidRDefault="006350EB" w:rsidP="00D70615">
      <w:pPr>
        <w:pStyle w:val="ListParagraph"/>
        <w:numPr>
          <w:ilvl w:val="0"/>
          <w:numId w:val="2"/>
        </w:numPr>
        <w:spacing w:line="276" w:lineRule="auto"/>
        <w:jc w:val="both"/>
        <w:textAlignment w:val="baseline"/>
        <w:rPr>
          <w:rFonts w:ascii="Cambria" w:hAnsi="Cambria" w:cs="Segoe UI"/>
          <w:color w:val="000000" w:themeColor="text1"/>
        </w:rPr>
      </w:pPr>
      <w:r w:rsidRPr="001407FF">
        <w:rPr>
          <w:rStyle w:val="apple-converted-space"/>
          <w:rFonts w:ascii="Cambria" w:eastAsiaTheme="majorEastAsia" w:hAnsi="Cambria" w:cs="Segoe UI"/>
          <w:color w:val="000000" w:themeColor="text1"/>
        </w:rPr>
        <w:t> </w:t>
      </w:r>
      <w:r w:rsidR="00C27BC0" w:rsidRPr="001407FF">
        <w:rPr>
          <w:rFonts w:ascii="Cambria" w:hAnsi="Cambria" w:cs="Segoe UI"/>
          <w:color w:val="000000" w:themeColor="text1"/>
        </w:rPr>
        <w:t>In addition, access to therapeutic abortion is being threatened by members of Congress who are attempting to limit its use by making undue interventions in the medical centers that use the Technical Guide.</w:t>
      </w:r>
      <w:r w:rsidR="00A6787C">
        <w:rPr>
          <w:rStyle w:val="EndnoteReference"/>
          <w:rFonts w:ascii="Cambria" w:hAnsi="Cambria" w:cs="Segoe UI"/>
          <w:color w:val="000000" w:themeColor="text1"/>
        </w:rPr>
        <w:endnoteReference w:id="87"/>
      </w:r>
      <w:r w:rsidR="00C27BC0" w:rsidRPr="001407FF">
        <w:rPr>
          <w:rFonts w:ascii="Cambria" w:hAnsi="Cambria" w:cs="Segoe UI"/>
          <w:color w:val="000000" w:themeColor="text1"/>
        </w:rPr>
        <w:t xml:space="preserve">However, it impacts the right to health—including physical and mental well-being—and contravenes the provisions of the Political Constitution and international human rights treaties ratified by The Peruvian State. Furthermore, the Constitutional Court's jurisprudence states that the right to health implies </w:t>
      </w:r>
      <w:r w:rsidR="00C27BC0" w:rsidRPr="00D70615">
        <w:rPr>
          <w:rFonts w:ascii="Cambria" w:hAnsi="Cambria" w:cs="Segoe UI"/>
          <w:i/>
          <w:iCs/>
          <w:color w:val="000000" w:themeColor="text1"/>
        </w:rPr>
        <w:t>"maintaining the state of functional organic normality, both physical and mental, and restoring it when there is a disturbance in the organic and functional stability of its being, which therefore implies an action of preservation and another of restoration"</w:t>
      </w:r>
      <w:r w:rsidR="00D70615">
        <w:rPr>
          <w:rFonts w:ascii="Cambria" w:hAnsi="Cambria" w:cs="Segoe UI"/>
          <w:color w:val="000000" w:themeColor="text1"/>
        </w:rPr>
        <w:t xml:space="preserve"> </w:t>
      </w:r>
      <w:r w:rsidR="00C27BC0" w:rsidRPr="001407FF">
        <w:rPr>
          <w:rFonts w:ascii="Cambria" w:hAnsi="Cambria" w:cs="Segoe UI"/>
          <w:color w:val="000000" w:themeColor="text1"/>
        </w:rPr>
        <w:t>(Reason 6, Exp. No. 3208-2004-AA/TC).</w:t>
      </w:r>
      <w:r w:rsidR="00C27BC0" w:rsidRPr="001407FF">
        <w:rPr>
          <w:rStyle w:val="FootnoteReference"/>
          <w:rFonts w:ascii="Cambria" w:hAnsi="Cambria" w:cs="Segoe UI"/>
          <w:color w:val="000000" w:themeColor="text1"/>
        </w:rPr>
        <w:t xml:space="preserve"> </w:t>
      </w:r>
      <w:r w:rsidR="00A6787C">
        <w:rPr>
          <w:rStyle w:val="EndnoteReference"/>
          <w:rFonts w:ascii="Cambria" w:hAnsi="Cambria" w:cs="Segoe UI"/>
          <w:color w:val="000000" w:themeColor="text1"/>
        </w:rPr>
        <w:endnoteReference w:id="88"/>
      </w:r>
    </w:p>
    <w:p w14:paraId="4EFFC253" w14:textId="77777777" w:rsidR="00393729" w:rsidRPr="001407FF" w:rsidRDefault="00393729" w:rsidP="00D70615">
      <w:pPr>
        <w:pBdr>
          <w:top w:val="nil"/>
          <w:left w:val="nil"/>
          <w:bottom w:val="nil"/>
          <w:right w:val="nil"/>
          <w:between w:val="nil"/>
        </w:pBdr>
        <w:spacing w:line="276" w:lineRule="auto"/>
        <w:ind w:left="720"/>
        <w:jc w:val="both"/>
        <w:rPr>
          <w:rFonts w:ascii="Cambria" w:eastAsia="Cambria" w:hAnsi="Cambria" w:cs="Cambria"/>
          <w:color w:val="000000" w:themeColor="text1"/>
        </w:rPr>
      </w:pPr>
    </w:p>
    <w:p w14:paraId="726FB71C" w14:textId="4E049852" w:rsidR="00D55207" w:rsidRPr="00D70615" w:rsidRDefault="00D70615" w:rsidP="00D70615">
      <w:pPr>
        <w:pStyle w:val="ListParagraph"/>
        <w:numPr>
          <w:ilvl w:val="0"/>
          <w:numId w:val="2"/>
        </w:numPr>
        <w:spacing w:after="160" w:line="276" w:lineRule="auto"/>
        <w:jc w:val="both"/>
        <w:rPr>
          <w:rFonts w:ascii="Cambria" w:eastAsia="Cambria" w:hAnsi="Cambria" w:cs="Cambria"/>
          <w:color w:val="000000" w:themeColor="text1"/>
        </w:rPr>
      </w:pPr>
      <w:r w:rsidRPr="2933ED3A">
        <w:t xml:space="preserve">Even </w:t>
      </w:r>
      <w:r>
        <w:t>after</w:t>
      </w:r>
      <w:r w:rsidRPr="2933ED3A">
        <w:t xml:space="preserve"> the </w:t>
      </w:r>
      <w:r>
        <w:t xml:space="preserve">honorable </w:t>
      </w:r>
      <w:r w:rsidRPr="2933ED3A">
        <w:t>Committee specifically</w:t>
      </w:r>
      <w:r>
        <w:t xml:space="preserve"> recommended</w:t>
      </w:r>
      <w:r w:rsidRPr="2933ED3A">
        <w:t xml:space="preserve"> the </w:t>
      </w:r>
      <w:r w:rsidRPr="001407FF">
        <w:rPr>
          <w:rFonts w:ascii="Cambria" w:eastAsia="Cambria" w:hAnsi="Cambria" w:cs="Cambria"/>
          <w:color w:val="000000" w:themeColor="text1"/>
        </w:rPr>
        <w:t>prohibition of criminalization</w:t>
      </w:r>
      <w:r>
        <w:rPr>
          <w:rFonts w:ascii="Cambria" w:eastAsia="Cambria" w:hAnsi="Cambria" w:cs="Cambria"/>
          <w:color w:val="000000" w:themeColor="text1"/>
        </w:rPr>
        <w:t xml:space="preserve"> of abortion,</w:t>
      </w:r>
      <w:r w:rsidR="00A6787C">
        <w:rPr>
          <w:rStyle w:val="EndnoteReference"/>
          <w:rFonts w:ascii="Cambria" w:eastAsia="Cambria" w:hAnsi="Cambria" w:cs="Cambria"/>
          <w:color w:val="000000" w:themeColor="text1"/>
        </w:rPr>
        <w:endnoteReference w:id="89"/>
      </w:r>
      <w:r>
        <w:rPr>
          <w:rFonts w:ascii="Cambria" w:eastAsia="Cambria" w:hAnsi="Cambria" w:cs="Cambria"/>
          <w:color w:val="000000" w:themeColor="text1"/>
        </w:rPr>
        <w:t xml:space="preserve"> </w:t>
      </w:r>
      <w:r w:rsidR="00B1199E" w:rsidRPr="00D70615">
        <w:rPr>
          <w:rFonts w:ascii="Cambria" w:eastAsia="Cambria" w:hAnsi="Cambria" w:cs="Cambria"/>
          <w:color w:val="000000" w:themeColor="text1"/>
        </w:rPr>
        <w:t>there is still a legal framework that is unconstitutional and against international human rights law, such as Article 30 of the General Health Law (LGS)</w:t>
      </w:r>
      <w:r>
        <w:rPr>
          <w:rFonts w:ascii="Cambria" w:eastAsia="Cambria" w:hAnsi="Cambria" w:cs="Cambria"/>
          <w:color w:val="000000" w:themeColor="text1"/>
        </w:rPr>
        <w:t>.</w:t>
      </w:r>
      <w:r w:rsidR="00A6787C">
        <w:rPr>
          <w:rStyle w:val="EndnoteReference"/>
          <w:rFonts w:ascii="Cambria" w:eastAsia="Cambria" w:hAnsi="Cambria" w:cs="Cambria"/>
          <w:color w:val="000000" w:themeColor="text1"/>
        </w:rPr>
        <w:endnoteReference w:id="90"/>
      </w:r>
      <w:r w:rsidR="00B1199E" w:rsidRPr="00D70615">
        <w:rPr>
          <w:rFonts w:ascii="Cambria" w:eastAsia="Cambria" w:hAnsi="Cambria" w:cs="Cambria"/>
          <w:color w:val="000000" w:themeColor="text1"/>
        </w:rPr>
        <w:t xml:space="preserve"> </w:t>
      </w:r>
      <w:r>
        <w:rPr>
          <w:rFonts w:ascii="Cambria" w:eastAsia="Cambria" w:hAnsi="Cambria" w:cs="Cambria"/>
          <w:color w:val="000000" w:themeColor="text1"/>
        </w:rPr>
        <w:t xml:space="preserve">Furthermore, </w:t>
      </w:r>
      <w:r w:rsidR="00B1199E" w:rsidRPr="00D70615">
        <w:rPr>
          <w:rFonts w:ascii="Cambria" w:eastAsia="Cambria" w:hAnsi="Cambria" w:cs="Cambria"/>
          <w:color w:val="000000" w:themeColor="text1"/>
        </w:rPr>
        <w:t>in the country, there is no single disaggregated data about the persons imprisoned and sentenced for performing abortion by age and geographic location. It is also important to remark that the persecution and/or criminalization deter and intimidate women, particularly girls and adolescents, from accessing an abortion.</w:t>
      </w:r>
    </w:p>
    <w:p w14:paraId="5AD74AC6" w14:textId="77777777" w:rsidR="00D55207" w:rsidRPr="001407FF" w:rsidRDefault="00D55207" w:rsidP="001407FF">
      <w:pPr>
        <w:pBdr>
          <w:top w:val="nil"/>
          <w:left w:val="nil"/>
          <w:bottom w:val="nil"/>
          <w:right w:val="nil"/>
          <w:between w:val="nil"/>
        </w:pBdr>
        <w:spacing w:line="276" w:lineRule="auto"/>
        <w:ind w:left="720"/>
        <w:jc w:val="both"/>
        <w:rPr>
          <w:rFonts w:ascii="Cambria" w:eastAsia="Cambria" w:hAnsi="Cambria" w:cs="Cambria"/>
          <w:color w:val="000000" w:themeColor="text1"/>
        </w:rPr>
      </w:pPr>
    </w:p>
    <w:p w14:paraId="4A84017B" w14:textId="2A7B68B1" w:rsidR="00393729" w:rsidRPr="001407FF" w:rsidRDefault="00CE24FA"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The Crime Observatory of the Public Prosecutor's Office reports that between 2016 and 2017, this has led to 1,158 complaints against adolescents for the alleged commission of the crime of abortion.</w:t>
      </w:r>
      <w:r w:rsidR="00A6787C">
        <w:rPr>
          <w:rStyle w:val="EndnoteReference"/>
          <w:rFonts w:ascii="Cambria" w:eastAsia="Cambria" w:hAnsi="Cambria" w:cs="Cambria"/>
          <w:color w:val="000000" w:themeColor="text1"/>
        </w:rPr>
        <w:endnoteReference w:id="91"/>
      </w:r>
      <w:r w:rsidRPr="001407FF">
        <w:rPr>
          <w:rFonts w:ascii="Cambria" w:eastAsia="Cambria" w:hAnsi="Cambria" w:cs="Cambria"/>
          <w:color w:val="000000" w:themeColor="text1"/>
        </w:rPr>
        <w:t>Likewise, the Judiciary informed that during 2017 and 2018, 231 women over 18 years of age were processed for the alleged crime of abortion.</w:t>
      </w:r>
      <w:r w:rsidR="00A6787C">
        <w:rPr>
          <w:rStyle w:val="EndnoteReference"/>
          <w:rFonts w:ascii="Cambria" w:eastAsia="Cambria" w:hAnsi="Cambria" w:cs="Cambria"/>
          <w:color w:val="000000" w:themeColor="text1"/>
        </w:rPr>
        <w:endnoteReference w:id="92"/>
      </w:r>
      <w:r w:rsidRPr="001407FF">
        <w:rPr>
          <w:rFonts w:ascii="Cambria" w:eastAsia="Cambria" w:hAnsi="Cambria" w:cs="Cambria"/>
          <w:color w:val="000000" w:themeColor="text1"/>
        </w:rPr>
        <w:t xml:space="preserve"> According to the media, they reviewed 131 sentences on abortion crimes by 11 courts of the Judicial Branch. They identified that between 2016 and 2021, 908 </w:t>
      </w:r>
      <w:r w:rsidRPr="00C14D98">
        <w:rPr>
          <w:rFonts w:ascii="Cambria" w:eastAsia="Cambria" w:hAnsi="Cambria" w:cs="Cambria"/>
          <w:color w:val="000000" w:themeColor="text1"/>
        </w:rPr>
        <w:t>women were subjected to an investigation for having an abortion, and 77 were condemned.</w:t>
      </w:r>
      <w:r w:rsidRPr="00C14D98">
        <w:rPr>
          <w:rFonts w:ascii="Cambria" w:eastAsia="Cambria" w:hAnsi="Cambria" w:cs="Cambria"/>
          <w:color w:val="000000" w:themeColor="text1"/>
          <w:vertAlign w:val="superscript"/>
        </w:rPr>
        <w:t xml:space="preserve"> </w:t>
      </w:r>
      <w:r w:rsidR="00A6787C" w:rsidRPr="00C14D98">
        <w:rPr>
          <w:rStyle w:val="EndnoteReference"/>
          <w:rFonts w:ascii="Cambria" w:eastAsia="Cambria" w:hAnsi="Cambria" w:cs="Cambria"/>
          <w:color w:val="000000" w:themeColor="text1"/>
        </w:rPr>
        <w:endnoteReference w:id="93"/>
      </w:r>
    </w:p>
    <w:p w14:paraId="5002D22E" w14:textId="77777777" w:rsidR="00393729" w:rsidRPr="001407FF" w:rsidRDefault="00393729" w:rsidP="001407FF">
      <w:pPr>
        <w:spacing w:line="276" w:lineRule="auto"/>
        <w:jc w:val="both"/>
        <w:rPr>
          <w:rFonts w:ascii="Cambria" w:eastAsia="Cambria" w:hAnsi="Cambria" w:cs="Cambria"/>
          <w:color w:val="000000" w:themeColor="text1"/>
        </w:rPr>
      </w:pPr>
    </w:p>
    <w:p w14:paraId="1745FCB7" w14:textId="4C9E9AD1" w:rsidR="00393729" w:rsidRPr="001407FF" w:rsidRDefault="00235B49" w:rsidP="001407FF">
      <w:pPr>
        <w:numPr>
          <w:ilvl w:val="0"/>
          <w:numId w:val="14"/>
        </w:numPr>
        <w:pBdr>
          <w:top w:val="nil"/>
          <w:left w:val="nil"/>
          <w:bottom w:val="nil"/>
          <w:right w:val="nil"/>
          <w:between w:val="nil"/>
        </w:pBdr>
        <w:spacing w:line="276" w:lineRule="auto"/>
        <w:ind w:left="360" w:hanging="360"/>
        <w:jc w:val="both"/>
        <w:rPr>
          <w:rFonts w:ascii="Cambria" w:eastAsia="Cambria" w:hAnsi="Cambria" w:cs="Cambria"/>
          <w:b/>
          <w:bCs/>
          <w:color w:val="000000" w:themeColor="text1"/>
        </w:rPr>
      </w:pPr>
      <w:r w:rsidRPr="001407FF">
        <w:rPr>
          <w:rFonts w:ascii="Cambria" w:eastAsia="Cambria" w:hAnsi="Cambria" w:cs="Cambria"/>
          <w:b/>
          <w:bCs/>
          <w:color w:val="000000" w:themeColor="text1"/>
        </w:rPr>
        <w:t>BARRIERS TO IMPLEMENTING COMPREHENSIVE SEXUAL EDUCATION</w:t>
      </w:r>
    </w:p>
    <w:p w14:paraId="77A4CC9F" w14:textId="77777777" w:rsidR="00920DFE" w:rsidRDefault="00920DFE" w:rsidP="00920DFE">
      <w:pPr>
        <w:pBdr>
          <w:top w:val="nil"/>
          <w:left w:val="nil"/>
          <w:bottom w:val="nil"/>
          <w:right w:val="nil"/>
          <w:between w:val="nil"/>
        </w:pBdr>
        <w:spacing w:line="276" w:lineRule="auto"/>
        <w:ind w:left="720"/>
        <w:jc w:val="both"/>
        <w:rPr>
          <w:rFonts w:ascii="Cambria" w:eastAsia="Cambria" w:hAnsi="Cambria" w:cs="Cambria"/>
          <w:b/>
          <w:color w:val="000000" w:themeColor="text1"/>
        </w:rPr>
      </w:pPr>
    </w:p>
    <w:p w14:paraId="3B8ECFB1" w14:textId="7E4C74BF" w:rsidR="00920DFE" w:rsidRPr="00920DFE" w:rsidRDefault="00920DFE" w:rsidP="00920DFE">
      <w:pPr>
        <w:numPr>
          <w:ilvl w:val="0"/>
          <w:numId w:val="21"/>
        </w:numPr>
        <w:pBdr>
          <w:top w:val="nil"/>
          <w:left w:val="nil"/>
          <w:bottom w:val="nil"/>
          <w:right w:val="nil"/>
          <w:between w:val="nil"/>
        </w:pBdr>
        <w:spacing w:line="276" w:lineRule="auto"/>
        <w:jc w:val="both"/>
        <w:rPr>
          <w:rFonts w:ascii="Cambria" w:eastAsia="Cambria" w:hAnsi="Cambria" w:cs="Cambria"/>
          <w:b/>
          <w:color w:val="000000" w:themeColor="text1"/>
        </w:rPr>
      </w:pPr>
      <w:r w:rsidRPr="00F50617">
        <w:rPr>
          <w:rFonts w:ascii="Cambria" w:eastAsia="Cambria" w:hAnsi="Cambria" w:cs="Cambria"/>
          <w:b/>
          <w:color w:val="000000" w:themeColor="text1"/>
        </w:rPr>
        <w:t>Violation of Article 2</w:t>
      </w:r>
      <w:r>
        <w:rPr>
          <w:rFonts w:ascii="Cambria" w:eastAsia="Cambria" w:hAnsi="Cambria" w:cs="Cambria"/>
          <w:b/>
          <w:color w:val="000000" w:themeColor="text1"/>
        </w:rPr>
        <w:t xml:space="preserve">8 </w:t>
      </w:r>
      <w:r w:rsidRPr="00F50617">
        <w:rPr>
          <w:rFonts w:ascii="Cambria" w:eastAsia="Cambria" w:hAnsi="Cambria" w:cs="Cambria"/>
          <w:b/>
          <w:color w:val="000000" w:themeColor="text1"/>
        </w:rPr>
        <w:t xml:space="preserve">of the Convention on the Rights of the Child Rights. </w:t>
      </w:r>
      <w:r>
        <w:rPr>
          <w:rFonts w:ascii="Cambria" w:eastAsia="Cambria" w:hAnsi="Cambria" w:cs="Cambria"/>
          <w:b/>
          <w:color w:val="000000" w:themeColor="text1"/>
        </w:rPr>
        <w:t>Comprehensive Sexual Education</w:t>
      </w:r>
    </w:p>
    <w:p w14:paraId="20570E65" w14:textId="77777777" w:rsidR="00393729" w:rsidRPr="001407FF" w:rsidRDefault="00393729" w:rsidP="001407FF">
      <w:pPr>
        <w:spacing w:line="276" w:lineRule="auto"/>
        <w:jc w:val="both"/>
        <w:rPr>
          <w:rFonts w:ascii="Cambria" w:eastAsia="Cambria" w:hAnsi="Cambria" w:cs="Cambria"/>
          <w:color w:val="000000" w:themeColor="text1"/>
        </w:rPr>
      </w:pPr>
    </w:p>
    <w:p w14:paraId="427854B1" w14:textId="4661FAE9" w:rsidR="0040202F" w:rsidRPr="001407FF" w:rsidRDefault="0040202F"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 xml:space="preserve">The Committee recommended that the Peruvian State </w:t>
      </w:r>
      <w:r w:rsidRPr="001407FF">
        <w:rPr>
          <w:rFonts w:ascii="Cambria" w:eastAsia="Cambria" w:hAnsi="Cambria" w:cs="Cambria"/>
          <w:i/>
          <w:iCs/>
          <w:color w:val="000000" w:themeColor="text1"/>
        </w:rPr>
        <w:t>"Strengthen measures to address school dropout and increase the completion of secondary education, with a particular focus on children living in rural areas, Indigenous and Afro-Peruvian children, pregnant girls, and teenage mothers."</w:t>
      </w:r>
      <w:r w:rsidR="00A6787C">
        <w:rPr>
          <w:rStyle w:val="EndnoteReference"/>
          <w:rFonts w:ascii="Cambria" w:eastAsia="Cambria" w:hAnsi="Cambria" w:cs="Cambria"/>
          <w:i/>
          <w:iCs/>
          <w:color w:val="000000" w:themeColor="text1"/>
        </w:rPr>
        <w:endnoteReference w:id="94"/>
      </w:r>
      <w:r w:rsidRPr="001407FF">
        <w:rPr>
          <w:rFonts w:ascii="Cambria" w:eastAsia="Cambria" w:hAnsi="Cambria" w:cs="Cambria"/>
          <w:color w:val="000000" w:themeColor="text1"/>
        </w:rPr>
        <w:t xml:space="preserve"> Although, the State approved the Law No 29600 'Law to Promote the Return to School for Pregnancy and its Regulations", figures related to girls and adolescents, in particular, living in rural areas, show the gap between the C</w:t>
      </w:r>
      <w:r w:rsidR="00F5220E">
        <w:rPr>
          <w:rFonts w:ascii="Cambria" w:eastAsia="Cambria" w:hAnsi="Cambria" w:cs="Cambria"/>
          <w:color w:val="000000" w:themeColor="text1"/>
        </w:rPr>
        <w:t xml:space="preserve">omprehensive </w:t>
      </w:r>
      <w:r w:rsidRPr="001407FF">
        <w:rPr>
          <w:rFonts w:ascii="Cambria" w:eastAsia="Cambria" w:hAnsi="Cambria" w:cs="Cambria"/>
          <w:color w:val="000000" w:themeColor="text1"/>
        </w:rPr>
        <w:t>S</w:t>
      </w:r>
      <w:r w:rsidR="00F5220E">
        <w:rPr>
          <w:rFonts w:ascii="Cambria" w:eastAsia="Cambria" w:hAnsi="Cambria" w:cs="Cambria"/>
          <w:color w:val="000000" w:themeColor="text1"/>
        </w:rPr>
        <w:t xml:space="preserve">exual </w:t>
      </w:r>
      <w:r w:rsidRPr="001407FF">
        <w:rPr>
          <w:rFonts w:ascii="Cambria" w:eastAsia="Cambria" w:hAnsi="Cambria" w:cs="Cambria"/>
          <w:color w:val="000000" w:themeColor="text1"/>
        </w:rPr>
        <w:t>E</w:t>
      </w:r>
      <w:r w:rsidR="00F5220E">
        <w:rPr>
          <w:rFonts w:ascii="Cambria" w:eastAsia="Cambria" w:hAnsi="Cambria" w:cs="Cambria"/>
          <w:color w:val="000000" w:themeColor="text1"/>
        </w:rPr>
        <w:t>ducation (CSE)</w:t>
      </w:r>
      <w:r w:rsidRPr="001407FF">
        <w:rPr>
          <w:rFonts w:ascii="Cambria" w:eastAsia="Cambria" w:hAnsi="Cambria" w:cs="Cambria"/>
          <w:color w:val="000000" w:themeColor="text1"/>
        </w:rPr>
        <w:t xml:space="preserve"> guidelines and the reality.</w:t>
      </w:r>
    </w:p>
    <w:p w14:paraId="33788A37" w14:textId="77777777" w:rsidR="00393729" w:rsidRPr="001407FF" w:rsidRDefault="00393729" w:rsidP="001407FF">
      <w:pPr>
        <w:pBdr>
          <w:top w:val="nil"/>
          <w:left w:val="nil"/>
          <w:bottom w:val="nil"/>
          <w:right w:val="nil"/>
          <w:between w:val="nil"/>
        </w:pBdr>
        <w:spacing w:line="276" w:lineRule="auto"/>
        <w:jc w:val="both"/>
        <w:rPr>
          <w:rFonts w:ascii="Cambria" w:eastAsia="Cambria" w:hAnsi="Cambria" w:cs="Cambria"/>
          <w:color w:val="000000" w:themeColor="text1"/>
        </w:rPr>
      </w:pPr>
    </w:p>
    <w:p w14:paraId="73628BF2" w14:textId="5D4B98B6" w:rsidR="00393729" w:rsidRPr="001407FF" w:rsidRDefault="009434AB"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theme="minorHAnsi"/>
          <w:color w:val="000000" w:themeColor="text1"/>
        </w:rPr>
        <w:t>According to the Demographic and Family Survey (ENDES 2022)</w:t>
      </w:r>
      <w:r w:rsidR="00A6787C">
        <w:rPr>
          <w:rStyle w:val="EndnoteReference"/>
          <w:rFonts w:ascii="Cambria" w:eastAsia="Cambria" w:hAnsi="Cambria" w:cstheme="minorHAnsi"/>
          <w:color w:val="000000" w:themeColor="text1"/>
        </w:rPr>
        <w:endnoteReference w:id="95"/>
      </w:r>
      <w:r w:rsidR="00A6787C" w:rsidRPr="001407FF">
        <w:rPr>
          <w:rFonts w:ascii="Cambria" w:eastAsia="Cambria" w:hAnsi="Cambria" w:cstheme="minorHAnsi"/>
          <w:color w:val="000000" w:themeColor="text1"/>
        </w:rPr>
        <w:t xml:space="preserve"> </w:t>
      </w:r>
      <w:r w:rsidRPr="001407FF">
        <w:rPr>
          <w:rFonts w:ascii="Cambria" w:eastAsia="Cambria" w:hAnsi="Cambria" w:cstheme="minorHAnsi"/>
          <w:color w:val="000000" w:themeColor="text1"/>
        </w:rPr>
        <w:t>9,2% of adolescents between 15 and 19 are pregnant. According to the area of residence, the percentage of adolescents who have ever been pregnant in rural areas was 18.4%, while in urban areas, it was 6.8%.</w:t>
      </w:r>
      <w:r w:rsidR="00A6787C">
        <w:rPr>
          <w:rStyle w:val="EndnoteReference"/>
          <w:rFonts w:ascii="Cambria" w:eastAsia="Cambria" w:hAnsi="Cambria" w:cstheme="minorHAnsi"/>
          <w:color w:val="000000" w:themeColor="text1"/>
        </w:rPr>
        <w:endnoteReference w:id="96"/>
      </w:r>
      <w:r w:rsidRPr="001407FF">
        <w:rPr>
          <w:rFonts w:ascii="Cambria" w:hAnsi="Cambria"/>
          <w:color w:val="000000" w:themeColor="text1"/>
        </w:rPr>
        <w:t xml:space="preserve"> </w:t>
      </w:r>
      <w:r w:rsidRPr="001407FF">
        <w:rPr>
          <w:rFonts w:ascii="Cambria" w:eastAsia="Cambria" w:hAnsi="Cambria" w:cstheme="minorHAnsi"/>
          <w:color w:val="000000" w:themeColor="text1"/>
        </w:rPr>
        <w:t>The ENDES (2023) indicated that 8.2% of adolescents between 15 and 19 have already been pregnant (i.e., they are already mothers or are pregnant for the first time). According to the area of residence, the percentage of adolescents who have ever been pregnant in rural areas (17.1%) was higher than in urban areas (6.1%).</w:t>
      </w:r>
      <w:r w:rsidR="00A6787C">
        <w:rPr>
          <w:rStyle w:val="EndnoteReference"/>
          <w:rFonts w:ascii="Cambria" w:eastAsia="Cambria" w:hAnsi="Cambria" w:cstheme="minorHAnsi"/>
          <w:color w:val="000000" w:themeColor="text1"/>
        </w:rPr>
        <w:endnoteReference w:id="97"/>
      </w:r>
      <w:r w:rsidR="00732EE4" w:rsidRPr="00920DFE">
        <w:rPr>
          <w:rFonts w:ascii="Cambria" w:eastAsia="Cambria" w:hAnsi="Cambria" w:cstheme="minorHAnsi"/>
          <w:color w:val="000000" w:themeColor="text1"/>
        </w:rPr>
        <w:t>It’s important to remark that these guidelines have not been implemented nationwide, disproportionately affecting rural and indigenous schools, but further compounded by the meager budget and primarily because the Peruvian State still does not offer a comprehensive response against the opposition from religious and conservative sectors</w:t>
      </w:r>
      <w:r w:rsidR="00732EE4" w:rsidRPr="00920DFE">
        <w:rPr>
          <w:rFonts w:ascii="Cambria" w:eastAsia="Cambria" w:hAnsi="Cambria" w:cs="Cambria"/>
          <w:color w:val="000000" w:themeColor="text1"/>
        </w:rPr>
        <w:t>.</w:t>
      </w:r>
      <w:r w:rsidR="00A6787C">
        <w:rPr>
          <w:rStyle w:val="EndnoteReference"/>
          <w:rFonts w:ascii="Cambria" w:eastAsia="Cambria" w:hAnsi="Cambria" w:cs="Cambria"/>
          <w:color w:val="000000" w:themeColor="text1"/>
        </w:rPr>
        <w:endnoteReference w:id="98"/>
      </w:r>
    </w:p>
    <w:p w14:paraId="269FC6B7" w14:textId="77777777" w:rsidR="00393729" w:rsidRPr="001407FF" w:rsidRDefault="00393729" w:rsidP="001407FF">
      <w:pPr>
        <w:pBdr>
          <w:top w:val="nil"/>
          <w:left w:val="nil"/>
          <w:bottom w:val="nil"/>
          <w:right w:val="nil"/>
          <w:between w:val="nil"/>
        </w:pBdr>
        <w:spacing w:line="276" w:lineRule="auto"/>
        <w:ind w:left="720"/>
        <w:jc w:val="both"/>
        <w:rPr>
          <w:rFonts w:ascii="Cambria" w:eastAsia="Cambria" w:hAnsi="Cambria" w:cs="Cambria"/>
          <w:color w:val="000000" w:themeColor="text1"/>
        </w:rPr>
      </w:pPr>
    </w:p>
    <w:p w14:paraId="729F69C2" w14:textId="1C1DC74C" w:rsidR="003B3AC1" w:rsidRPr="001407FF" w:rsidRDefault="0076577F"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The Ombudsman's Office has called on the Peruvian State to guarantee an adequate implementation of CSE in schools.</w:t>
      </w:r>
      <w:r w:rsidR="00A6787C">
        <w:rPr>
          <w:rStyle w:val="EndnoteReference"/>
          <w:rFonts w:ascii="Cambria" w:eastAsia="Cambria" w:hAnsi="Cambria" w:cs="Cambria"/>
          <w:color w:val="000000" w:themeColor="text1"/>
        </w:rPr>
        <w:endnoteReference w:id="99"/>
      </w:r>
      <w:r w:rsidRPr="001407FF">
        <w:rPr>
          <w:rFonts w:ascii="Cambria" w:eastAsia="Cambria" w:hAnsi="Cambria" w:cs="Cambria"/>
          <w:color w:val="000000" w:themeColor="text1"/>
        </w:rPr>
        <w:t>However, its implementation still remains a challenge despite its benefits in reducing teenage pregnancy. From practical experience in Manuela Ramos, the San Fernando de Ucayali School implemented comprehensive sexual education, and the number of teenage pregnancy cases dropped by 80%. In 2014, 25 pregnant teenagers were reported, and only 3 cases were reported in 2019.</w:t>
      </w:r>
      <w:r w:rsidR="00A6787C">
        <w:rPr>
          <w:rStyle w:val="EndnoteReference"/>
          <w:rFonts w:ascii="Cambria" w:eastAsia="Cambria" w:hAnsi="Cambria" w:cs="Cambria"/>
          <w:color w:val="000000" w:themeColor="text1"/>
        </w:rPr>
        <w:endnoteReference w:id="100"/>
      </w:r>
    </w:p>
    <w:p w14:paraId="68A93BCC" w14:textId="77777777" w:rsidR="003B3AC1" w:rsidRPr="001407FF" w:rsidRDefault="003B3AC1" w:rsidP="001407FF">
      <w:pPr>
        <w:pStyle w:val="ListParagraph"/>
        <w:spacing w:line="276" w:lineRule="auto"/>
        <w:jc w:val="both"/>
        <w:rPr>
          <w:rFonts w:ascii="Cambria" w:eastAsia="Cambria" w:hAnsi="Cambria" w:cs="Cambria"/>
          <w:color w:val="000000" w:themeColor="text1"/>
        </w:rPr>
      </w:pPr>
    </w:p>
    <w:p w14:paraId="19E315E4" w14:textId="726EAA2D" w:rsidR="00BA6CC8" w:rsidRPr="001407FF" w:rsidRDefault="003B3AC1"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 xml:space="preserve">In addition, the Committee urged the Peruvian State to provide information about </w:t>
      </w:r>
      <w:r w:rsidRPr="00F5220E">
        <w:rPr>
          <w:rFonts w:ascii="Cambria" w:eastAsia="Cambria" w:hAnsi="Cambria" w:cs="Cambria"/>
          <w:i/>
          <w:iCs/>
          <w:color w:val="000000" w:themeColor="text1"/>
        </w:rPr>
        <w:t>“cases of bullying, violence, suicide, sexual abuse and harassment in schools</w:t>
      </w:r>
      <w:r w:rsidR="00393729" w:rsidRPr="00F5220E">
        <w:rPr>
          <w:rFonts w:ascii="Cambria" w:eastAsia="Cambria" w:hAnsi="Cambria" w:cs="Cambria"/>
          <w:i/>
          <w:iCs/>
          <w:color w:val="000000" w:themeColor="text1"/>
        </w:rPr>
        <w:t>”</w:t>
      </w:r>
      <w:r w:rsidR="00A6787C">
        <w:rPr>
          <w:rStyle w:val="EndnoteReference"/>
          <w:rFonts w:ascii="Cambria" w:eastAsia="Cambria" w:hAnsi="Cambria" w:cs="Cambria"/>
          <w:i/>
          <w:iCs/>
          <w:color w:val="000000" w:themeColor="text1"/>
        </w:rPr>
        <w:endnoteReference w:id="101"/>
      </w:r>
      <w:r w:rsidR="00393729" w:rsidRPr="001407FF">
        <w:rPr>
          <w:rFonts w:ascii="Cambria" w:eastAsia="Cambria" w:hAnsi="Cambria" w:cs="Cambria"/>
          <w:i/>
          <w:color w:val="000000" w:themeColor="text1"/>
        </w:rPr>
        <w:t>.</w:t>
      </w:r>
      <w:r w:rsidR="00393729" w:rsidRPr="001407FF">
        <w:rPr>
          <w:rFonts w:ascii="Cambria" w:eastAsia="Cambria" w:hAnsi="Cambria" w:cs="Cambria"/>
          <w:color w:val="000000" w:themeColor="text1"/>
        </w:rPr>
        <w:t xml:space="preserve"> </w:t>
      </w:r>
      <w:r w:rsidRPr="001407FF">
        <w:rPr>
          <w:rFonts w:ascii="Cambria" w:eastAsia="Cambria" w:hAnsi="Cambria" w:cs="Cambria"/>
          <w:color w:val="000000" w:themeColor="text1"/>
        </w:rPr>
        <w:t>However, the Peruvian State has not provided information; on the contrary, sexual violence against children and adolescents in educational institutions has become normalized in Peru. An example is the case of Condorcanqui</w:t>
      </w:r>
      <w:r w:rsidR="00F5220E">
        <w:rPr>
          <w:rFonts w:ascii="Cambria" w:eastAsia="Cambria" w:hAnsi="Cambria" w:cs="Cambria"/>
          <w:color w:val="000000" w:themeColor="text1"/>
        </w:rPr>
        <w:t>,</w:t>
      </w:r>
      <w:r w:rsidR="00A6787C">
        <w:rPr>
          <w:rStyle w:val="EndnoteReference"/>
          <w:rFonts w:ascii="Cambria" w:eastAsia="Cambria" w:hAnsi="Cambria" w:cs="Cambria"/>
          <w:color w:val="000000" w:themeColor="text1"/>
        </w:rPr>
        <w:endnoteReference w:id="102"/>
      </w:r>
      <w:r w:rsidR="00393729" w:rsidRPr="001407FF">
        <w:rPr>
          <w:rFonts w:ascii="Cambria" w:eastAsia="Cambria" w:hAnsi="Cambria" w:cs="Cambria"/>
          <w:color w:val="000000" w:themeColor="text1"/>
        </w:rPr>
        <w:t xml:space="preserve"> </w:t>
      </w:r>
      <w:r w:rsidR="00BA6CC8" w:rsidRPr="001407FF">
        <w:rPr>
          <w:rFonts w:ascii="Cambria" w:eastAsia="Cambria" w:hAnsi="Cambria" w:cs="Cambria"/>
          <w:color w:val="000000" w:themeColor="text1"/>
        </w:rPr>
        <w:t>a province of Amazonas located in the Peruvian jungle, where between 2010 and November 2024, 564 cases were reported of sexual abuse against students by teachers.</w:t>
      </w:r>
      <w:r w:rsidR="00A6787C">
        <w:rPr>
          <w:rStyle w:val="EndnoteReference"/>
          <w:rFonts w:ascii="Cambria" w:eastAsia="Cambria" w:hAnsi="Cambria" w:cs="Cambria"/>
          <w:color w:val="000000" w:themeColor="text1"/>
        </w:rPr>
        <w:endnoteReference w:id="103"/>
      </w:r>
      <w:r w:rsidR="00BA6CC8" w:rsidRPr="001407FF">
        <w:rPr>
          <w:rFonts w:ascii="Cambria" w:eastAsia="Cambria" w:hAnsi="Cambria" w:cs="Cambria"/>
          <w:color w:val="000000" w:themeColor="text1"/>
        </w:rPr>
        <w:t xml:space="preserve"> The exact number of complaints is unknown because, in 2022, a fire occurred in the Local Educational Management Unit (UGEL),</w:t>
      </w:r>
      <w:r w:rsidR="00A6787C">
        <w:rPr>
          <w:rStyle w:val="EndnoteReference"/>
          <w:rFonts w:ascii="Cambria" w:eastAsia="Cambria" w:hAnsi="Cambria" w:cs="Cambria"/>
          <w:color w:val="000000" w:themeColor="text1"/>
        </w:rPr>
        <w:endnoteReference w:id="104"/>
      </w:r>
      <w:r w:rsidR="00BA6CC8" w:rsidRPr="001407FF">
        <w:rPr>
          <w:rFonts w:ascii="Cambria" w:eastAsia="Cambria" w:hAnsi="Cambria" w:cs="Cambria"/>
          <w:color w:val="000000" w:themeColor="text1"/>
        </w:rPr>
        <w:t>which burned about 600 files of complaints of sexual assault.</w:t>
      </w:r>
      <w:r w:rsidR="00A6787C">
        <w:rPr>
          <w:rStyle w:val="EndnoteReference"/>
          <w:rFonts w:ascii="Cambria" w:eastAsia="Cambria" w:hAnsi="Cambria" w:cs="Cambria"/>
          <w:color w:val="000000" w:themeColor="text1"/>
        </w:rPr>
        <w:endnoteReference w:id="105"/>
      </w:r>
      <w:r w:rsidR="00A6787C" w:rsidRPr="001407FF">
        <w:rPr>
          <w:rFonts w:ascii="Cambria" w:eastAsia="Cambria" w:hAnsi="Cambria" w:cs="Cambria"/>
          <w:color w:val="000000" w:themeColor="text1"/>
        </w:rPr>
        <w:t xml:space="preserve"> </w:t>
      </w:r>
      <w:r w:rsidR="00BA6CC8" w:rsidRPr="001407FF">
        <w:rPr>
          <w:rFonts w:ascii="Cambria" w:eastAsia="Cambria" w:hAnsi="Cambria" w:cs="Cambria"/>
          <w:color w:val="000000" w:themeColor="text1"/>
        </w:rPr>
        <w:t xml:space="preserve">In this regard, the Minister of Education, Morgan Quero, stated: “that the sexual aggressions denounced against </w:t>
      </w:r>
      <w:r w:rsidR="00BA6CC8" w:rsidRPr="00F5220E">
        <w:rPr>
          <w:rFonts w:ascii="Cambria" w:eastAsia="Cambria" w:hAnsi="Cambria" w:cs="Cambria"/>
          <w:i/>
          <w:iCs/>
          <w:color w:val="000000" w:themeColor="text1"/>
        </w:rPr>
        <w:t>Awajún</w:t>
      </w:r>
      <w:r w:rsidR="00BA6CC8" w:rsidRPr="001407FF">
        <w:rPr>
          <w:rFonts w:ascii="Cambria" w:eastAsia="Cambria" w:hAnsi="Cambria" w:cs="Cambria"/>
          <w:color w:val="000000" w:themeColor="text1"/>
        </w:rPr>
        <w:t xml:space="preserve"> girls may be a cultural practice that occurs in the Amazonian peoples.”</w:t>
      </w:r>
      <w:r w:rsidR="00A6787C">
        <w:rPr>
          <w:rStyle w:val="EndnoteReference"/>
          <w:rFonts w:ascii="Cambria" w:eastAsia="Cambria" w:hAnsi="Cambria" w:cs="Cambria"/>
          <w:color w:val="000000" w:themeColor="text1"/>
        </w:rPr>
        <w:endnoteReference w:id="106"/>
      </w:r>
    </w:p>
    <w:p w14:paraId="72EAA00C" w14:textId="77777777" w:rsidR="00393729" w:rsidRPr="001407FF" w:rsidRDefault="00393729" w:rsidP="001407FF">
      <w:pPr>
        <w:pBdr>
          <w:top w:val="nil"/>
          <w:left w:val="nil"/>
          <w:bottom w:val="nil"/>
          <w:right w:val="nil"/>
          <w:between w:val="nil"/>
        </w:pBdr>
        <w:spacing w:line="276" w:lineRule="auto"/>
        <w:ind w:left="720"/>
        <w:jc w:val="both"/>
        <w:rPr>
          <w:rFonts w:ascii="Cambria" w:eastAsia="Cambria" w:hAnsi="Cambria" w:cs="Cambria"/>
          <w:color w:val="000000" w:themeColor="text1"/>
        </w:rPr>
      </w:pPr>
    </w:p>
    <w:p w14:paraId="74785E2D" w14:textId="45B11BAC" w:rsidR="00393729" w:rsidRPr="001407FF" w:rsidRDefault="00F5220E" w:rsidP="001407FF">
      <w:pPr>
        <w:numPr>
          <w:ilvl w:val="0"/>
          <w:numId w:val="2"/>
        </w:numPr>
        <w:spacing w:line="276" w:lineRule="auto"/>
        <w:jc w:val="both"/>
        <w:rPr>
          <w:rFonts w:ascii="Cambria" w:eastAsia="Cambria" w:hAnsi="Cambria" w:cs="Cambria"/>
          <w:color w:val="000000" w:themeColor="text1"/>
        </w:rPr>
      </w:pPr>
      <w:r>
        <w:rPr>
          <w:rFonts w:ascii="Cambria" w:eastAsia="Cambria" w:hAnsi="Cambria" w:cs="Cambria"/>
          <w:color w:val="000000" w:themeColor="text1"/>
        </w:rPr>
        <w:t>T</w:t>
      </w:r>
      <w:r w:rsidR="00BA6CC8" w:rsidRPr="001407FF">
        <w:rPr>
          <w:rFonts w:ascii="Cambria" w:eastAsia="Cambria" w:hAnsi="Cambria" w:cs="Cambria"/>
          <w:color w:val="000000" w:themeColor="text1"/>
        </w:rPr>
        <w:t xml:space="preserve">he president of the </w:t>
      </w:r>
      <w:r w:rsidR="00BA6CC8" w:rsidRPr="00F5220E">
        <w:rPr>
          <w:rFonts w:ascii="Cambria" w:eastAsia="Cambria" w:hAnsi="Cambria" w:cs="Cambria"/>
          <w:i/>
          <w:iCs/>
          <w:color w:val="000000" w:themeColor="text1"/>
        </w:rPr>
        <w:t>Awaj</w:t>
      </w:r>
      <w:r w:rsidRPr="00F5220E">
        <w:rPr>
          <w:rFonts w:ascii="Cambria" w:eastAsia="Cambria" w:hAnsi="Cambria" w:cs="Cambria"/>
          <w:i/>
          <w:iCs/>
          <w:color w:val="000000" w:themeColor="text1"/>
        </w:rPr>
        <w:t>ú</w:t>
      </w:r>
      <w:r w:rsidR="00BA6CC8" w:rsidRPr="00F5220E">
        <w:rPr>
          <w:rFonts w:ascii="Cambria" w:eastAsia="Cambria" w:hAnsi="Cambria" w:cs="Cambria"/>
          <w:i/>
          <w:iCs/>
          <w:color w:val="000000" w:themeColor="text1"/>
        </w:rPr>
        <w:t xml:space="preserve">n </w:t>
      </w:r>
      <w:r w:rsidR="00BA6CC8" w:rsidRPr="001407FF">
        <w:rPr>
          <w:rFonts w:ascii="Cambria" w:eastAsia="Cambria" w:hAnsi="Cambria" w:cs="Cambria"/>
          <w:color w:val="000000" w:themeColor="text1"/>
        </w:rPr>
        <w:t xml:space="preserve">Women's Council has reported that teachers with HIV contagious students, and, states </w:t>
      </w:r>
      <w:r w:rsidR="00BA6CC8" w:rsidRPr="001407FF">
        <w:rPr>
          <w:rFonts w:ascii="Cambria" w:eastAsia="Cambria" w:hAnsi="Cambria" w:cs="Cambria"/>
          <w:i/>
          <w:iCs/>
          <w:color w:val="000000" w:themeColor="text1"/>
        </w:rPr>
        <w:t>"there are about 60 underage girls who are pregnant and have been diagnosed with HIV".</w:t>
      </w:r>
      <w:r w:rsidR="00BA6CC8" w:rsidRPr="001407FF">
        <w:rPr>
          <w:rFonts w:ascii="Cambria" w:eastAsia="Cambria" w:hAnsi="Cambria" w:cs="Cambria"/>
          <w:color w:val="000000" w:themeColor="text1"/>
        </w:rPr>
        <w:t xml:space="preserve"> According</w:t>
      </w:r>
      <w:r>
        <w:rPr>
          <w:rFonts w:ascii="Cambria" w:eastAsia="Cambria" w:hAnsi="Cambria" w:cs="Cambria"/>
          <w:color w:val="000000" w:themeColor="text1"/>
        </w:rPr>
        <w:t xml:space="preserve"> to </w:t>
      </w:r>
      <w:r w:rsidR="00BA6CC8" w:rsidRPr="001407FF">
        <w:rPr>
          <w:rFonts w:ascii="Cambria" w:eastAsia="Cambria" w:hAnsi="Cambria" w:cs="Cambria"/>
          <w:color w:val="000000" w:themeColor="text1"/>
        </w:rPr>
        <w:t xml:space="preserve">the local Health Network in Condorcanqui, 222 were reported deaths due to complications derived from AIDS, and the </w:t>
      </w:r>
      <w:r w:rsidR="00BA6CC8" w:rsidRPr="00F5220E">
        <w:rPr>
          <w:rFonts w:ascii="Cambria" w:eastAsia="Cambria" w:hAnsi="Cambria" w:cs="Cambria"/>
          <w:i/>
          <w:iCs/>
          <w:color w:val="000000" w:themeColor="text1"/>
        </w:rPr>
        <w:t>Awaj</w:t>
      </w:r>
      <w:r w:rsidRPr="00F5220E">
        <w:rPr>
          <w:rFonts w:ascii="Cambria" w:eastAsia="Cambria" w:hAnsi="Cambria" w:cs="Cambria"/>
          <w:i/>
          <w:iCs/>
          <w:color w:val="000000" w:themeColor="text1"/>
        </w:rPr>
        <w:t>ú</w:t>
      </w:r>
      <w:r w:rsidR="00BA6CC8" w:rsidRPr="00F5220E">
        <w:rPr>
          <w:rFonts w:ascii="Cambria" w:eastAsia="Cambria" w:hAnsi="Cambria" w:cs="Cambria"/>
          <w:i/>
          <w:iCs/>
          <w:color w:val="000000" w:themeColor="text1"/>
        </w:rPr>
        <w:t xml:space="preserve">n </w:t>
      </w:r>
      <w:r w:rsidR="00BA6CC8" w:rsidRPr="001407FF">
        <w:rPr>
          <w:rFonts w:ascii="Cambria" w:eastAsia="Cambria" w:hAnsi="Cambria" w:cs="Cambria"/>
          <w:color w:val="000000" w:themeColor="text1"/>
        </w:rPr>
        <w:t>community is the most affected, especially children and adolescents.</w:t>
      </w:r>
      <w:r w:rsidR="00A6787C">
        <w:rPr>
          <w:rStyle w:val="EndnoteReference"/>
          <w:rFonts w:ascii="Cambria" w:eastAsia="Cambria" w:hAnsi="Cambria" w:cs="Cambria"/>
          <w:color w:val="000000" w:themeColor="text1"/>
        </w:rPr>
        <w:endnoteReference w:id="107"/>
      </w:r>
    </w:p>
    <w:p w14:paraId="3EB6AB30" w14:textId="77777777" w:rsidR="00777A35" w:rsidRPr="001407FF" w:rsidRDefault="00777A35" w:rsidP="001407FF">
      <w:pPr>
        <w:pStyle w:val="ListParagraph"/>
        <w:spacing w:line="276" w:lineRule="auto"/>
        <w:jc w:val="both"/>
        <w:rPr>
          <w:rFonts w:ascii="Cambria" w:eastAsia="Cambria" w:hAnsi="Cambria" w:cs="Cambria"/>
          <w:color w:val="000000" w:themeColor="text1"/>
        </w:rPr>
      </w:pPr>
    </w:p>
    <w:p w14:paraId="39C643D9" w14:textId="09996B15" w:rsidR="00941014" w:rsidRPr="001407FF" w:rsidRDefault="00777A35"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The Local Educational Management Unit (UGEL) registered 80 cases of sexual violence in 2024 and 22 cases in November.</w:t>
      </w:r>
      <w:r w:rsidRPr="001407FF">
        <w:rPr>
          <w:rFonts w:ascii="Cambria" w:eastAsia="Cambria" w:hAnsi="Cambria" w:cs="Cambria"/>
          <w:color w:val="000000" w:themeColor="text1"/>
          <w:vertAlign w:val="superscript"/>
        </w:rPr>
        <w:t xml:space="preserve"> </w:t>
      </w:r>
      <w:r w:rsidR="00AB238F">
        <w:rPr>
          <w:rStyle w:val="EndnoteReference"/>
          <w:rFonts w:ascii="Cambria" w:eastAsia="Cambria" w:hAnsi="Cambria" w:cs="Cambria"/>
          <w:color w:val="000000" w:themeColor="text1"/>
        </w:rPr>
        <w:endnoteReference w:id="108"/>
      </w:r>
      <w:r w:rsidRPr="001407FF">
        <w:rPr>
          <w:rFonts w:ascii="Cambria" w:eastAsia="Cambria" w:hAnsi="Cambria" w:cs="Cambria"/>
          <w:color w:val="000000" w:themeColor="text1"/>
        </w:rPr>
        <w:t>Likewise, between 2013 and 2014, at least six girls, students of an educational institution of Huancasancos, province of Huancasancos, department of Ayacucho, were victims of rape by a teacher over the period of 11 years. Despite the victims's testimonies, the Public Prosecutor's Office classified this crime as inappropriate touching and no sexual violence.</w:t>
      </w:r>
      <w:r w:rsidR="00AB238F">
        <w:rPr>
          <w:rStyle w:val="EndnoteReference"/>
          <w:rFonts w:ascii="Cambria" w:eastAsia="Cambria" w:hAnsi="Cambria" w:cs="Cambria"/>
          <w:color w:val="000000" w:themeColor="text1"/>
        </w:rPr>
        <w:endnoteReference w:id="109"/>
      </w:r>
      <w:r w:rsidRPr="001407FF">
        <w:rPr>
          <w:rFonts w:ascii="Cambria" w:eastAsia="Cambria" w:hAnsi="Cambria" w:cs="Cambria"/>
          <w:color w:val="000000" w:themeColor="text1"/>
        </w:rPr>
        <w:t xml:space="preserve"> Manuela Ramos, on their representation, identified due process irregularities.</w:t>
      </w:r>
    </w:p>
    <w:p w14:paraId="58F3EEC4" w14:textId="77777777" w:rsidR="00941014" w:rsidRPr="001407FF" w:rsidRDefault="00941014" w:rsidP="001407FF">
      <w:pPr>
        <w:pBdr>
          <w:top w:val="nil"/>
          <w:left w:val="nil"/>
          <w:bottom w:val="nil"/>
          <w:right w:val="nil"/>
          <w:between w:val="nil"/>
        </w:pBdr>
        <w:spacing w:line="276" w:lineRule="auto"/>
        <w:ind w:left="720"/>
        <w:jc w:val="both"/>
        <w:rPr>
          <w:rFonts w:ascii="Cambria" w:eastAsia="Cambria" w:hAnsi="Cambria" w:cs="Cambria"/>
          <w:color w:val="000000" w:themeColor="text1"/>
        </w:rPr>
      </w:pPr>
    </w:p>
    <w:p w14:paraId="6D7A951A" w14:textId="553175BA" w:rsidR="00941014" w:rsidRPr="001407FF" w:rsidRDefault="00941014"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 xml:space="preserve">Nevertheless, the Committee made a call to the State to </w:t>
      </w:r>
      <w:r w:rsidRPr="00F5220E">
        <w:rPr>
          <w:rFonts w:ascii="Cambria" w:eastAsia="Cambria" w:hAnsi="Cambria" w:cs="Cambria"/>
          <w:i/>
          <w:iCs/>
          <w:color w:val="000000" w:themeColor="text1"/>
        </w:rPr>
        <w:t>"effectively integrate comprehensive sexual</w:t>
      </w:r>
      <w:r w:rsidR="00390B06" w:rsidRPr="00F5220E">
        <w:rPr>
          <w:rFonts w:ascii="Cambria" w:eastAsia="Cambria" w:hAnsi="Cambria" w:cs="Cambria"/>
          <w:i/>
          <w:iCs/>
          <w:color w:val="000000" w:themeColor="text1"/>
        </w:rPr>
        <w:t>[ity]</w:t>
      </w:r>
      <w:r w:rsidRPr="00F5220E">
        <w:rPr>
          <w:rFonts w:ascii="Cambria" w:eastAsia="Cambria" w:hAnsi="Cambria" w:cs="Cambria"/>
          <w:i/>
          <w:iCs/>
          <w:color w:val="000000" w:themeColor="text1"/>
        </w:rPr>
        <w:t xml:space="preserve"> education into the national curriculum in both public and private </w:t>
      </w:r>
      <w:r w:rsidR="00390B06" w:rsidRPr="00F5220E">
        <w:rPr>
          <w:rFonts w:ascii="Cambria" w:eastAsia="Cambria" w:hAnsi="Cambria" w:cs="Cambria"/>
          <w:i/>
          <w:iCs/>
          <w:color w:val="000000" w:themeColor="text1"/>
        </w:rPr>
        <w:t>schools</w:t>
      </w:r>
      <w:r w:rsidRPr="00F5220E">
        <w:rPr>
          <w:rFonts w:ascii="Cambria" w:eastAsia="Cambria" w:hAnsi="Cambria" w:cs="Cambria"/>
          <w:i/>
          <w:iCs/>
          <w:color w:val="000000" w:themeColor="text1"/>
        </w:rPr>
        <w:t>"</w:t>
      </w:r>
      <w:r w:rsidR="00AB238F">
        <w:rPr>
          <w:rStyle w:val="EndnoteReference"/>
          <w:rFonts w:ascii="Cambria" w:eastAsia="Cambria" w:hAnsi="Cambria" w:cs="Cambria"/>
          <w:i/>
          <w:iCs/>
          <w:color w:val="000000" w:themeColor="text1"/>
        </w:rPr>
        <w:endnoteReference w:id="110"/>
      </w:r>
      <w:r w:rsidR="00390B06" w:rsidRPr="001407FF">
        <w:rPr>
          <w:rFonts w:ascii="Cambria" w:eastAsia="Cambria" w:hAnsi="Cambria" w:cs="Cambria"/>
          <w:color w:val="000000" w:themeColor="text1"/>
        </w:rPr>
        <w:t>, i</w:t>
      </w:r>
      <w:r w:rsidRPr="001407FF">
        <w:rPr>
          <w:rFonts w:ascii="Cambria" w:eastAsia="Cambria" w:hAnsi="Cambria" w:cs="Cambria"/>
          <w:color w:val="000000" w:themeColor="text1"/>
        </w:rPr>
        <w:t>ts implementation (CSE) has been mainly normative at the curricular and plan levels.</w:t>
      </w:r>
      <w:r w:rsidR="00AB238F">
        <w:rPr>
          <w:rStyle w:val="EndnoteReference"/>
          <w:rFonts w:ascii="Cambria" w:eastAsia="Cambria" w:hAnsi="Cambria" w:cs="Cambria"/>
          <w:color w:val="000000" w:themeColor="text1"/>
        </w:rPr>
        <w:endnoteReference w:id="111"/>
      </w:r>
      <w:r w:rsidRPr="001407FF">
        <w:rPr>
          <w:rFonts w:ascii="Cambria" w:eastAsia="Cambria" w:hAnsi="Cambria" w:cs="Cambria"/>
          <w:color w:val="000000" w:themeColor="text1"/>
        </w:rPr>
        <w:t>Therefore, the State doesn't guarantee adequate access to CSE in the Regular Basic education. In this regard, the Ombudsman's Office, on a sample of 70 educational centers, provides information on the level of progress, and of the total number of educational institutions supervised, only 21 (35%) indicated that they had received training on CSE, and 39 (65%) did not receive any training in CSE.</w:t>
      </w:r>
      <w:r w:rsidR="00AB238F">
        <w:rPr>
          <w:rStyle w:val="EndnoteReference"/>
          <w:rFonts w:ascii="Cambria" w:eastAsia="Cambria" w:hAnsi="Cambria" w:cs="Cambria"/>
          <w:color w:val="000000" w:themeColor="text1"/>
        </w:rPr>
        <w:endnoteReference w:id="112"/>
      </w:r>
    </w:p>
    <w:p w14:paraId="66BDE9D9" w14:textId="77777777" w:rsidR="00393729" w:rsidRPr="001407FF" w:rsidRDefault="00393729" w:rsidP="001407FF">
      <w:pPr>
        <w:pBdr>
          <w:top w:val="nil"/>
          <w:left w:val="nil"/>
          <w:bottom w:val="nil"/>
          <w:right w:val="nil"/>
          <w:between w:val="nil"/>
        </w:pBdr>
        <w:spacing w:line="276" w:lineRule="auto"/>
        <w:jc w:val="both"/>
        <w:rPr>
          <w:rFonts w:ascii="Cambria" w:eastAsia="Cambria" w:hAnsi="Cambria" w:cs="Cambria"/>
          <w:color w:val="000000" w:themeColor="text1"/>
        </w:rPr>
      </w:pPr>
    </w:p>
    <w:p w14:paraId="40EE73B2" w14:textId="30E158AE" w:rsidR="00E34588" w:rsidRPr="00E34588" w:rsidRDefault="00B83E9C" w:rsidP="00E34588">
      <w:pPr>
        <w:widowControl w:val="0"/>
        <w:numPr>
          <w:ilvl w:val="0"/>
          <w:numId w:val="2"/>
        </w:numPr>
        <w:pBdr>
          <w:top w:val="nil"/>
          <w:left w:val="nil"/>
          <w:bottom w:val="nil"/>
          <w:right w:val="nil"/>
          <w:between w:val="nil"/>
        </w:pBdr>
        <w:spacing w:line="276" w:lineRule="auto"/>
        <w:jc w:val="both"/>
        <w:rPr>
          <w:rFonts w:ascii="Cambria" w:eastAsia="Cambria" w:hAnsi="Cambria" w:cs="Cambria"/>
          <w:bCs/>
          <w:color w:val="000000" w:themeColor="text1"/>
        </w:rPr>
      </w:pPr>
      <w:r w:rsidRPr="001407FF">
        <w:rPr>
          <w:rFonts w:ascii="Cambria" w:eastAsia="Cambria" w:hAnsi="Cambria" w:cs="Cambria"/>
          <w:bCs/>
          <w:color w:val="000000" w:themeColor="text1"/>
        </w:rPr>
        <w:t xml:space="preserve">In addition, the legislative branch (Congress of the Republic) seeks to go backward the </w:t>
      </w:r>
      <w:r w:rsidRPr="00EE2CAC">
        <w:rPr>
          <w:rFonts w:ascii="Cambria" w:eastAsia="Cambria" w:hAnsi="Cambria" w:cs="Cambria"/>
          <w:bCs/>
          <w:color w:val="000000" w:themeColor="text1"/>
        </w:rPr>
        <w:t>CSE</w:t>
      </w:r>
      <w:r w:rsidR="00B02378" w:rsidRPr="00EE2CAC">
        <w:rPr>
          <w:rFonts w:ascii="Cambria" w:eastAsia="Cambria" w:hAnsi="Cambria" w:cs="Cambria"/>
          <w:bCs/>
          <w:color w:val="000000" w:themeColor="text1"/>
        </w:rPr>
        <w:t>.</w:t>
      </w:r>
      <w:r w:rsidR="00AB238F">
        <w:rPr>
          <w:rStyle w:val="EndnoteReference"/>
          <w:rFonts w:ascii="Cambria" w:eastAsia="Cambria" w:hAnsi="Cambria" w:cs="Cambria"/>
          <w:bCs/>
          <w:color w:val="000000" w:themeColor="text1"/>
        </w:rPr>
        <w:endnoteReference w:id="113"/>
      </w:r>
      <w:r w:rsidR="00AB238F" w:rsidRPr="00EE2CAC">
        <w:rPr>
          <w:rFonts w:ascii="Cambria" w:eastAsia="Cambria" w:hAnsi="Cambria" w:cs="Cambria"/>
          <w:bCs/>
          <w:color w:val="000000" w:themeColor="text1"/>
        </w:rPr>
        <w:t xml:space="preserve"> </w:t>
      </w:r>
      <w:r w:rsidRPr="00EE2CAC">
        <w:rPr>
          <w:rFonts w:ascii="Cambria" w:eastAsia="Cambria" w:hAnsi="Cambria" w:cs="Cambria"/>
          <w:bCs/>
          <w:color w:val="000000" w:themeColor="text1"/>
        </w:rPr>
        <w:t>Thus</w:t>
      </w:r>
      <w:r w:rsidRPr="001407FF">
        <w:rPr>
          <w:rFonts w:ascii="Cambria" w:eastAsia="Cambria" w:hAnsi="Cambria" w:cs="Cambria"/>
          <w:bCs/>
          <w:color w:val="000000" w:themeColor="text1"/>
        </w:rPr>
        <w:t>, on June 23, 2022, Law No. 31498, "Law that promotes the quality of educational materials and resources in Peru"</w:t>
      </w:r>
      <w:r w:rsidR="00AB238F">
        <w:rPr>
          <w:rStyle w:val="EndnoteReference"/>
          <w:rFonts w:ascii="Cambria" w:eastAsia="Cambria" w:hAnsi="Cambria" w:cs="Cambria"/>
          <w:bCs/>
          <w:color w:val="000000" w:themeColor="text1"/>
        </w:rPr>
        <w:endnoteReference w:id="114"/>
      </w:r>
      <w:r w:rsidR="00B61D4B" w:rsidRPr="001407FF">
        <w:rPr>
          <w:rFonts w:ascii="Cambria" w:eastAsia="Cambria" w:hAnsi="Cambria" w:cs="Cambria"/>
          <w:color w:val="000000" w:themeColor="text1"/>
        </w:rPr>
        <w:t xml:space="preserve"> </w:t>
      </w:r>
      <w:r w:rsidRPr="001407FF">
        <w:rPr>
          <w:rFonts w:ascii="Cambria" w:eastAsia="Cambria" w:hAnsi="Cambria" w:cs="Cambria"/>
          <w:bCs/>
          <w:color w:val="000000" w:themeColor="text1"/>
        </w:rPr>
        <w:t xml:space="preserve">was published. </w:t>
      </w:r>
      <w:r w:rsidR="00B02378" w:rsidRPr="001407FF">
        <w:rPr>
          <w:rFonts w:ascii="Cambria" w:eastAsia="Cambria" w:hAnsi="Cambria" w:cs="Cambria"/>
          <w:bCs/>
          <w:color w:val="000000" w:themeColor="text1"/>
        </w:rPr>
        <w:t>And o</w:t>
      </w:r>
      <w:r w:rsidRPr="001407FF">
        <w:rPr>
          <w:rFonts w:ascii="Cambria" w:eastAsia="Cambria" w:hAnsi="Cambria" w:cs="Cambria"/>
          <w:bCs/>
          <w:color w:val="000000" w:themeColor="text1"/>
        </w:rPr>
        <w:t xml:space="preserve">n September 30, 2023, its regulations were approved, a rule widely questioned not only by </w:t>
      </w:r>
      <w:r w:rsidR="00B02378" w:rsidRPr="001407FF">
        <w:rPr>
          <w:rFonts w:ascii="Cambria" w:eastAsia="Cambria" w:hAnsi="Cambria" w:cs="Cambria"/>
          <w:bCs/>
          <w:color w:val="000000" w:themeColor="text1"/>
        </w:rPr>
        <w:t>international organizations of human rights,</w:t>
      </w:r>
      <w:r w:rsidRPr="001407FF">
        <w:rPr>
          <w:rFonts w:ascii="Cambria" w:eastAsia="Cambria" w:hAnsi="Cambria" w:cs="Cambria"/>
          <w:bCs/>
          <w:color w:val="000000" w:themeColor="text1"/>
        </w:rPr>
        <w:t xml:space="preserve"> but also by the Ombudsman's Office and the Ministry of Education</w:t>
      </w:r>
      <w:r w:rsidR="00B02378" w:rsidRPr="001407FF">
        <w:rPr>
          <w:rFonts w:ascii="Cambria" w:eastAsia="Cambria" w:hAnsi="Cambria" w:cs="Cambria"/>
          <w:bCs/>
          <w:color w:val="000000" w:themeColor="text1"/>
        </w:rPr>
        <w:t xml:space="preserve"> (Minedu</w:t>
      </w:r>
      <w:r w:rsidR="00F5220E">
        <w:rPr>
          <w:rFonts w:ascii="Cambria" w:eastAsia="Cambria" w:hAnsi="Cambria" w:cs="Cambria"/>
          <w:bCs/>
          <w:color w:val="000000" w:themeColor="text1"/>
        </w:rPr>
        <w:t>).</w:t>
      </w:r>
      <w:r w:rsidR="00AB238F">
        <w:rPr>
          <w:rStyle w:val="EndnoteReference"/>
          <w:rFonts w:ascii="Cambria" w:eastAsia="Cambria" w:hAnsi="Cambria" w:cs="Cambria"/>
          <w:bCs/>
          <w:color w:val="000000" w:themeColor="text1"/>
        </w:rPr>
        <w:endnoteReference w:id="115"/>
      </w:r>
      <w:r w:rsidR="00B61D4B" w:rsidRPr="001407FF">
        <w:rPr>
          <w:rFonts w:ascii="Cambria" w:eastAsia="Cambria" w:hAnsi="Cambria" w:cs="Cambria"/>
          <w:color w:val="000000" w:themeColor="text1"/>
        </w:rPr>
        <w:t xml:space="preserve"> </w:t>
      </w:r>
      <w:r w:rsidR="00B61D4B" w:rsidRPr="001407FF">
        <w:rPr>
          <w:rFonts w:ascii="Cambria" w:eastAsia="Cambria" w:hAnsi="Cambria" w:cs="Cambria"/>
          <w:bCs/>
          <w:color w:val="000000" w:themeColor="text1"/>
        </w:rPr>
        <w:t>This law seeks more significant intervention of parents' associations to supervise, rework and veto the National Curriculum of Basic Education (CNEB) and educational documents</w:t>
      </w:r>
      <w:r w:rsidR="00E34588">
        <w:rPr>
          <w:rFonts w:ascii="Cambria" w:eastAsia="Cambria" w:hAnsi="Cambria" w:cs="Cambria"/>
          <w:bCs/>
          <w:color w:val="000000" w:themeColor="text1"/>
        </w:rPr>
        <w:t xml:space="preserve">. </w:t>
      </w:r>
      <w:r w:rsidR="00E34588" w:rsidRPr="00E34588">
        <w:rPr>
          <w:rFonts w:ascii="Cambria" w:eastAsia="Cambria" w:hAnsi="Cambria" w:cs="Cambria"/>
          <w:bCs/>
          <w:color w:val="000000" w:themeColor="text1"/>
        </w:rPr>
        <w:t>It also questions the programs' approach to gender equality and comprehensive sexual education.</w:t>
      </w:r>
    </w:p>
    <w:p w14:paraId="48DF34B4" w14:textId="77777777" w:rsidR="00B83E9C" w:rsidRPr="001407FF" w:rsidRDefault="00B83E9C" w:rsidP="001407FF">
      <w:pPr>
        <w:pBdr>
          <w:top w:val="nil"/>
          <w:left w:val="nil"/>
          <w:bottom w:val="nil"/>
          <w:right w:val="nil"/>
          <w:between w:val="nil"/>
        </w:pBdr>
        <w:spacing w:line="276" w:lineRule="auto"/>
        <w:ind w:left="720"/>
        <w:jc w:val="both"/>
        <w:rPr>
          <w:rFonts w:ascii="Cambria" w:eastAsia="Cambria" w:hAnsi="Cambria" w:cs="Cambria"/>
          <w:color w:val="000000" w:themeColor="text1"/>
        </w:rPr>
      </w:pPr>
    </w:p>
    <w:p w14:paraId="4794F2D1" w14:textId="77CF4D85" w:rsidR="006B53DA" w:rsidRPr="001407FF" w:rsidRDefault="00E34588"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Pr>
          <w:rFonts w:ascii="Cambria" w:eastAsia="Cambria" w:hAnsi="Cambria" w:cs="Cambria"/>
          <w:color w:val="000000" w:themeColor="text1"/>
        </w:rPr>
        <w:t>T</w:t>
      </w:r>
      <w:r w:rsidR="006B53DA" w:rsidRPr="001407FF">
        <w:rPr>
          <w:rFonts w:ascii="Cambria" w:eastAsia="Cambria" w:hAnsi="Cambria" w:cs="Cambria"/>
          <w:color w:val="000000" w:themeColor="text1"/>
        </w:rPr>
        <w:t>here are several bills currently in parliamentary committees that seek to undermine and eliminate the right to comprehensive sexual education, including:</w:t>
      </w:r>
    </w:p>
    <w:p w14:paraId="5F6D20CE" w14:textId="77777777" w:rsidR="005B6AAE" w:rsidRPr="001407FF" w:rsidRDefault="005B6AAE" w:rsidP="001407FF">
      <w:pPr>
        <w:pBdr>
          <w:top w:val="nil"/>
          <w:left w:val="nil"/>
          <w:bottom w:val="nil"/>
          <w:right w:val="nil"/>
          <w:between w:val="nil"/>
        </w:pBdr>
        <w:spacing w:line="276" w:lineRule="auto"/>
        <w:jc w:val="both"/>
        <w:rPr>
          <w:rFonts w:ascii="Cambria" w:eastAsia="Cambria" w:hAnsi="Cambria" w:cs="Cambria"/>
          <w:color w:val="000000" w:themeColor="text1"/>
        </w:rPr>
      </w:pPr>
    </w:p>
    <w:p w14:paraId="2D21F48F" w14:textId="67A37A5D" w:rsidR="00393729" w:rsidRPr="001407FF" w:rsidRDefault="00393729" w:rsidP="001407FF">
      <w:pPr>
        <w:pBdr>
          <w:top w:val="nil"/>
          <w:left w:val="nil"/>
          <w:bottom w:val="nil"/>
          <w:right w:val="nil"/>
          <w:between w:val="nil"/>
        </w:pBdr>
        <w:spacing w:line="276" w:lineRule="auto"/>
        <w:ind w:left="720"/>
        <w:jc w:val="both"/>
        <w:rPr>
          <w:rFonts w:ascii="Cambria" w:eastAsia="Cambria" w:hAnsi="Cambria" w:cs="Cambria"/>
          <w:color w:val="000000" w:themeColor="text1"/>
        </w:rPr>
      </w:pPr>
      <w:r w:rsidRPr="001407FF">
        <w:rPr>
          <w:rFonts w:ascii="Cambria" w:eastAsia="Cambria" w:hAnsi="Cambria" w:cs="Cambria"/>
          <w:color w:val="000000" w:themeColor="text1"/>
        </w:rPr>
        <w:t>1) Ap</w:t>
      </w:r>
      <w:r w:rsidR="005B6AAE" w:rsidRPr="001407FF">
        <w:rPr>
          <w:rFonts w:ascii="Cambria" w:eastAsia="Cambria" w:hAnsi="Cambria" w:cs="Cambria"/>
          <w:color w:val="000000" w:themeColor="text1"/>
        </w:rPr>
        <w:t>proved in commissions:</w:t>
      </w:r>
    </w:p>
    <w:p w14:paraId="1ACCED2B" w14:textId="0700C1CD" w:rsidR="005B6AAE" w:rsidRPr="001407FF" w:rsidRDefault="005B6AAE" w:rsidP="001407FF">
      <w:pPr>
        <w:numPr>
          <w:ilvl w:val="0"/>
          <w:numId w:val="19"/>
        </w:numPr>
        <w:pBdr>
          <w:top w:val="nil"/>
          <w:left w:val="nil"/>
          <w:bottom w:val="nil"/>
          <w:right w:val="nil"/>
          <w:between w:val="nil"/>
        </w:pBdr>
        <w:spacing w:line="276" w:lineRule="auto"/>
        <w:jc w:val="both"/>
        <w:rPr>
          <w:rFonts w:ascii="Cambria" w:eastAsia="Cambria" w:hAnsi="Cambria" w:cs="Cambria"/>
          <w:strike/>
          <w:color w:val="000000" w:themeColor="text1"/>
        </w:rPr>
      </w:pPr>
      <w:r w:rsidRPr="00813732">
        <w:rPr>
          <w:rFonts w:ascii="Cambria" w:eastAsia="Cambria" w:hAnsi="Cambria" w:cs="Cambria"/>
          <w:b/>
          <w:bCs/>
          <w:color w:val="000000" w:themeColor="text1"/>
        </w:rPr>
        <w:t>Bill No. 7579</w:t>
      </w:r>
      <w:r w:rsidRPr="00920DFE">
        <w:rPr>
          <w:rFonts w:ascii="Cambria" w:eastAsia="Cambria" w:hAnsi="Cambria" w:cs="Cambria"/>
          <w:b/>
          <w:bCs/>
          <w:color w:val="000000" w:themeColor="text1"/>
        </w:rPr>
        <w:t>,</w:t>
      </w:r>
      <w:r w:rsidRPr="00920DFE">
        <w:rPr>
          <w:rFonts w:ascii="Cambria" w:eastAsia="Cambria" w:hAnsi="Cambria" w:cs="Cambria"/>
          <w:color w:val="000000" w:themeColor="text1"/>
        </w:rPr>
        <w:t xml:space="preserve"> "Law Recognizing the Right of Parents to choose Sexual Education for their Children," would allow fathers, mothers, and legal guardians to opt their sons and</w:t>
      </w:r>
      <w:r w:rsidRPr="001407FF">
        <w:rPr>
          <w:rFonts w:ascii="Cambria" w:eastAsia="Cambria" w:hAnsi="Cambria" w:cs="Cambria"/>
          <w:color w:val="000000" w:themeColor="text1"/>
        </w:rPr>
        <w:t xml:space="preserve"> daughters out of comprehensive sexual education, jeopardizing girls and adolescents' access to quality, equitable, secular, and science-based education. </w:t>
      </w:r>
    </w:p>
    <w:p w14:paraId="433A909E" w14:textId="2E3D76A0" w:rsidR="005138DF" w:rsidRDefault="005138DF" w:rsidP="001407FF">
      <w:pPr>
        <w:numPr>
          <w:ilvl w:val="0"/>
          <w:numId w:val="19"/>
        </w:numPr>
        <w:pBdr>
          <w:top w:val="nil"/>
          <w:left w:val="nil"/>
          <w:bottom w:val="nil"/>
          <w:right w:val="nil"/>
          <w:between w:val="nil"/>
        </w:pBdr>
        <w:spacing w:line="276" w:lineRule="auto"/>
        <w:jc w:val="both"/>
        <w:rPr>
          <w:rFonts w:ascii="Cambria" w:eastAsia="Cambria" w:hAnsi="Cambria" w:cs="Cambria"/>
          <w:color w:val="000000" w:themeColor="text1"/>
        </w:rPr>
      </w:pPr>
      <w:r w:rsidRPr="00EE2CAC">
        <w:rPr>
          <w:rFonts w:ascii="Cambria" w:eastAsia="Cambria" w:hAnsi="Cambria" w:cs="Cambria"/>
          <w:b/>
          <w:bCs/>
          <w:color w:val="000000" w:themeColor="text1"/>
        </w:rPr>
        <w:t>Bill No. 7146</w:t>
      </w:r>
      <w:r w:rsidRPr="00EE2CAC">
        <w:rPr>
          <w:rFonts w:ascii="Cambria" w:eastAsia="Cambria" w:hAnsi="Cambria" w:cs="Cambria"/>
          <w:color w:val="000000" w:themeColor="text1"/>
        </w:rPr>
        <w:t xml:space="preserve">, </w:t>
      </w:r>
      <w:r w:rsidR="00EE2CAC" w:rsidRPr="00EE2CAC">
        <w:rPr>
          <w:rFonts w:ascii="Cambria" w:eastAsia="Cambria" w:hAnsi="Cambria"/>
          <w:color w:val="000000" w:themeColor="text1"/>
        </w:rPr>
        <w:t>‘The Law that Promotes Parenting Schools in Public and Private Basic Education Institutions (EBR) and Special Basic Education (EBE)’</w:t>
      </w:r>
      <w:r w:rsidR="00EE2CAC">
        <w:rPr>
          <w:rFonts w:ascii="Cambria" w:eastAsia="Cambria" w:hAnsi="Cambria"/>
          <w:color w:val="000000" w:themeColor="text1"/>
        </w:rPr>
        <w:t xml:space="preserve"> </w:t>
      </w:r>
      <w:r w:rsidRPr="001407FF">
        <w:rPr>
          <w:rFonts w:ascii="Cambria" w:eastAsia="Cambria" w:hAnsi="Cambria" w:cs="Cambria"/>
          <w:color w:val="000000" w:themeColor="text1"/>
        </w:rPr>
        <w:t xml:space="preserve">seeks to prohibit in educational institutions receiving training from organizations specialized in rights if they receive </w:t>
      </w:r>
      <w:r w:rsidR="00813732">
        <w:rPr>
          <w:rFonts w:ascii="Cambria" w:eastAsia="Cambria" w:hAnsi="Cambria" w:cs="Cambria"/>
          <w:color w:val="000000" w:themeColor="text1"/>
        </w:rPr>
        <w:t>grants</w:t>
      </w:r>
      <w:r w:rsidRPr="001407FF">
        <w:rPr>
          <w:rFonts w:ascii="Cambria" w:eastAsia="Cambria" w:hAnsi="Cambria" w:cs="Cambria"/>
          <w:color w:val="000000" w:themeColor="text1"/>
        </w:rPr>
        <w:t xml:space="preserve"> from cooperating sources</w:t>
      </w:r>
      <w:r w:rsidR="00EE2CAC">
        <w:rPr>
          <w:rFonts w:ascii="Cambria" w:eastAsia="Cambria" w:hAnsi="Cambria" w:cs="Cambria"/>
          <w:color w:val="000000" w:themeColor="text1"/>
        </w:rPr>
        <w:t>.</w:t>
      </w:r>
    </w:p>
    <w:p w14:paraId="42F7F881" w14:textId="77777777" w:rsidR="00813732" w:rsidRDefault="00813732" w:rsidP="00813732">
      <w:pPr>
        <w:pBdr>
          <w:top w:val="nil"/>
          <w:left w:val="nil"/>
          <w:bottom w:val="nil"/>
          <w:right w:val="nil"/>
          <w:between w:val="nil"/>
        </w:pBdr>
        <w:spacing w:line="276" w:lineRule="auto"/>
        <w:ind w:left="1440"/>
        <w:jc w:val="both"/>
        <w:rPr>
          <w:rFonts w:ascii="Cambria" w:eastAsia="Cambria" w:hAnsi="Cambria" w:cs="Cambria"/>
          <w:color w:val="000000" w:themeColor="text1"/>
        </w:rPr>
      </w:pPr>
    </w:p>
    <w:p w14:paraId="74F10858" w14:textId="0BC181B6" w:rsidR="00393729" w:rsidRPr="001407FF" w:rsidRDefault="00393729" w:rsidP="001407FF">
      <w:pPr>
        <w:pBdr>
          <w:top w:val="nil"/>
          <w:left w:val="nil"/>
          <w:bottom w:val="nil"/>
          <w:right w:val="nil"/>
          <w:between w:val="nil"/>
        </w:pBdr>
        <w:spacing w:line="276" w:lineRule="auto"/>
        <w:ind w:left="720"/>
        <w:jc w:val="both"/>
        <w:rPr>
          <w:rFonts w:ascii="Cambria" w:eastAsia="Cambria" w:hAnsi="Cambria" w:cs="Cambria"/>
          <w:color w:val="000000" w:themeColor="text1"/>
        </w:rPr>
      </w:pPr>
      <w:r w:rsidRPr="001407FF">
        <w:rPr>
          <w:rFonts w:ascii="Cambria" w:eastAsia="Cambria" w:hAnsi="Cambria" w:cs="Cambria"/>
          <w:color w:val="000000" w:themeColor="text1"/>
        </w:rPr>
        <w:t xml:space="preserve">2) </w:t>
      </w:r>
      <w:r w:rsidR="005138DF" w:rsidRPr="001407FF">
        <w:rPr>
          <w:rFonts w:ascii="Cambria" w:eastAsia="Cambria" w:hAnsi="Cambria" w:cs="Cambria"/>
          <w:color w:val="000000" w:themeColor="text1"/>
        </w:rPr>
        <w:t>Still under discussion in the commissions:</w:t>
      </w:r>
    </w:p>
    <w:p w14:paraId="002901B8" w14:textId="77777777" w:rsidR="005138DF" w:rsidRPr="001407FF" w:rsidRDefault="005138DF" w:rsidP="001407FF">
      <w:pPr>
        <w:pBdr>
          <w:top w:val="nil"/>
          <w:left w:val="nil"/>
          <w:bottom w:val="nil"/>
          <w:right w:val="nil"/>
          <w:between w:val="nil"/>
        </w:pBdr>
        <w:spacing w:line="276" w:lineRule="auto"/>
        <w:jc w:val="both"/>
        <w:rPr>
          <w:rFonts w:ascii="Cambria" w:eastAsia="Cambria" w:hAnsi="Cambria" w:cs="Cambria"/>
          <w:strike/>
          <w:color w:val="000000" w:themeColor="text1"/>
        </w:rPr>
      </w:pPr>
    </w:p>
    <w:p w14:paraId="1977822C" w14:textId="0902877D" w:rsidR="005138DF" w:rsidRPr="001407FF" w:rsidRDefault="005138DF" w:rsidP="001407FF">
      <w:pPr>
        <w:numPr>
          <w:ilvl w:val="0"/>
          <w:numId w:val="20"/>
        </w:numPr>
        <w:pBdr>
          <w:top w:val="nil"/>
          <w:left w:val="nil"/>
          <w:bottom w:val="nil"/>
          <w:right w:val="nil"/>
          <w:between w:val="nil"/>
        </w:pBdr>
        <w:spacing w:line="276" w:lineRule="auto"/>
        <w:jc w:val="both"/>
        <w:rPr>
          <w:rFonts w:ascii="Cambria" w:eastAsia="Cambria" w:hAnsi="Cambria" w:cs="Cambria"/>
          <w:color w:val="000000" w:themeColor="text1"/>
        </w:rPr>
      </w:pPr>
      <w:r w:rsidRPr="00813732">
        <w:rPr>
          <w:rFonts w:ascii="Cambria" w:eastAsia="Cambria" w:hAnsi="Cambria" w:cs="Cambria"/>
          <w:b/>
          <w:bCs/>
          <w:color w:val="000000" w:themeColor="text1"/>
        </w:rPr>
        <w:t>Bill No. 9174</w:t>
      </w:r>
      <w:r w:rsidRPr="001407FF">
        <w:rPr>
          <w:rFonts w:ascii="Cambria" w:eastAsia="Cambria" w:hAnsi="Cambria" w:cs="Cambria"/>
          <w:color w:val="000000" w:themeColor="text1"/>
        </w:rPr>
        <w:t xml:space="preserve"> proposes to eliminate Comprehensive Sexual Education (ESI) from the Peruvian school curriculum and replace it with "Biological and Ethical Scientific Sexuality Education." The initiative seeks to eliminate the gender focus, arguing that providing information on the diversity of sexual orientations and gender identities at such an early age could "confuse students." It also argues that parents should play a central role in their children's sexual education.</w:t>
      </w:r>
    </w:p>
    <w:p w14:paraId="44AF8E91" w14:textId="2DA79C82" w:rsidR="008711C1" w:rsidRPr="001407FF" w:rsidRDefault="008711C1" w:rsidP="001407FF">
      <w:pPr>
        <w:numPr>
          <w:ilvl w:val="0"/>
          <w:numId w:val="20"/>
        </w:numPr>
        <w:pBdr>
          <w:top w:val="nil"/>
          <w:left w:val="nil"/>
          <w:bottom w:val="nil"/>
          <w:right w:val="nil"/>
          <w:between w:val="nil"/>
        </w:pBdr>
        <w:spacing w:line="276" w:lineRule="auto"/>
        <w:jc w:val="both"/>
        <w:rPr>
          <w:rFonts w:ascii="Cambria" w:eastAsia="Cambria" w:hAnsi="Cambria" w:cs="Cambria"/>
          <w:color w:val="000000" w:themeColor="text1"/>
        </w:rPr>
      </w:pPr>
      <w:r w:rsidRPr="00813732">
        <w:rPr>
          <w:rFonts w:ascii="Cambria" w:eastAsia="Cambria" w:hAnsi="Cambria" w:cs="Cambria"/>
          <w:b/>
          <w:bCs/>
          <w:color w:val="000000" w:themeColor="text1"/>
        </w:rPr>
        <w:t>Bill No. 8731</w:t>
      </w:r>
      <w:r w:rsidRPr="001407FF">
        <w:rPr>
          <w:rFonts w:ascii="Cambria" w:eastAsia="Cambria" w:hAnsi="Cambria" w:cs="Cambria"/>
          <w:color w:val="000000" w:themeColor="text1"/>
        </w:rPr>
        <w:t>, "New Law for Equal Opportunities between Women and Men"</w:t>
      </w:r>
      <w:r w:rsidR="00813732">
        <w:rPr>
          <w:rFonts w:ascii="Cambria" w:eastAsia="Cambria" w:hAnsi="Cambria" w:cs="Cambria"/>
          <w:color w:val="000000" w:themeColor="text1"/>
        </w:rPr>
        <w:t>,</w:t>
      </w:r>
      <w:r w:rsidRPr="001407FF">
        <w:rPr>
          <w:rFonts w:ascii="Cambria" w:eastAsia="Cambria" w:hAnsi="Cambria" w:cs="Cambria"/>
          <w:color w:val="000000" w:themeColor="text1"/>
        </w:rPr>
        <w:t xml:space="preserve"> eliminates the word </w:t>
      </w:r>
      <w:r w:rsidR="00813732">
        <w:rPr>
          <w:rFonts w:ascii="Cambria" w:eastAsia="Cambria" w:hAnsi="Cambria" w:cs="Cambria"/>
          <w:color w:val="000000" w:themeColor="text1"/>
        </w:rPr>
        <w:t>‘</w:t>
      </w:r>
      <w:r w:rsidRPr="001407FF">
        <w:rPr>
          <w:rFonts w:ascii="Cambria" w:eastAsia="Cambria" w:hAnsi="Cambria" w:cs="Cambria"/>
          <w:color w:val="000000" w:themeColor="text1"/>
        </w:rPr>
        <w:t>gender</w:t>
      </w:r>
      <w:r w:rsidR="00813732">
        <w:rPr>
          <w:rFonts w:ascii="Cambria" w:eastAsia="Cambria" w:hAnsi="Cambria" w:cs="Cambria"/>
          <w:color w:val="000000" w:themeColor="text1"/>
        </w:rPr>
        <w:t>’</w:t>
      </w:r>
      <w:r w:rsidRPr="001407FF">
        <w:rPr>
          <w:rFonts w:ascii="Cambria" w:eastAsia="Cambria" w:hAnsi="Cambria" w:cs="Cambria"/>
          <w:color w:val="000000" w:themeColor="text1"/>
        </w:rPr>
        <w:t xml:space="preserve"> from all public policies. It also changes the denomination of Comprehensive Sexual Education to "Sexual Education," arguing that integrality promotes an infinity of genders. Finally, it prohibited Non-governmental organizations (NGOs) from training rights activists for upcoming advantage legal proceedings.</w:t>
      </w:r>
    </w:p>
    <w:p w14:paraId="5E3FEF57" w14:textId="630236E0" w:rsidR="0087148F" w:rsidRPr="00813732" w:rsidRDefault="008711C1" w:rsidP="001407FF">
      <w:pPr>
        <w:numPr>
          <w:ilvl w:val="0"/>
          <w:numId w:val="20"/>
        </w:numPr>
        <w:pBdr>
          <w:top w:val="nil"/>
          <w:left w:val="nil"/>
          <w:bottom w:val="nil"/>
          <w:right w:val="nil"/>
          <w:between w:val="nil"/>
        </w:pBdr>
        <w:spacing w:line="276" w:lineRule="auto"/>
        <w:jc w:val="both"/>
        <w:rPr>
          <w:rFonts w:ascii="Cambria" w:eastAsia="Cambria" w:hAnsi="Cambria" w:cs="Cambria"/>
          <w:color w:val="000000" w:themeColor="text1"/>
        </w:rPr>
      </w:pPr>
      <w:r w:rsidRPr="00813732">
        <w:rPr>
          <w:rFonts w:ascii="Cambria" w:eastAsia="Cambria" w:hAnsi="Cambria" w:cs="Cambria"/>
          <w:b/>
          <w:bCs/>
          <w:color w:val="000000" w:themeColor="text1"/>
        </w:rPr>
        <w:t>Bill No. 8334</w:t>
      </w:r>
      <w:r w:rsidRPr="001407FF">
        <w:rPr>
          <w:rFonts w:ascii="Cambria" w:eastAsia="Cambria" w:hAnsi="Cambria" w:cs="Cambria"/>
          <w:color w:val="000000" w:themeColor="text1"/>
        </w:rPr>
        <w:t>, "Law Amending Article 71 of the General Education Law", authorizing agreements between the Ministry of Education or the regional government with Evangelical Christian Churches to manage public educational institutions of basic education. This bill seeks agreements with Evangelical Christian Churches to manage public educational institutions. It prioritizes their interests over the rights of education of children and adolescents.</w:t>
      </w:r>
    </w:p>
    <w:p w14:paraId="546650D6" w14:textId="77777777" w:rsidR="0087148F" w:rsidRPr="001407FF" w:rsidRDefault="0087148F" w:rsidP="001407FF">
      <w:pPr>
        <w:pBdr>
          <w:top w:val="nil"/>
          <w:left w:val="nil"/>
          <w:bottom w:val="nil"/>
          <w:right w:val="nil"/>
          <w:between w:val="nil"/>
        </w:pBdr>
        <w:spacing w:line="276" w:lineRule="auto"/>
        <w:ind w:left="720"/>
        <w:jc w:val="both"/>
        <w:rPr>
          <w:rFonts w:ascii="Cambria" w:eastAsia="Cambria" w:hAnsi="Cambria" w:cs="Cambria"/>
          <w:color w:val="000000" w:themeColor="text1"/>
        </w:rPr>
      </w:pPr>
    </w:p>
    <w:p w14:paraId="055FF590" w14:textId="1F75980A" w:rsidR="008711C1" w:rsidRPr="001407FF" w:rsidRDefault="0087148F"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theme="minorHAnsi"/>
          <w:color w:val="000000" w:themeColor="text1"/>
        </w:rPr>
        <w:t>Although civil society is promoting actions to curb its effects, there is a real risk that it will affect the adequate implementation of CSE in the CNEB.</w:t>
      </w:r>
      <w:r w:rsidR="005928E0">
        <w:rPr>
          <w:rStyle w:val="EndnoteReference"/>
          <w:rFonts w:ascii="Cambria" w:eastAsia="Cambria" w:hAnsi="Cambria" w:cstheme="minorHAnsi"/>
          <w:color w:val="000000" w:themeColor="text1"/>
        </w:rPr>
        <w:endnoteReference w:id="116"/>
      </w:r>
      <w:r w:rsidRPr="001407FF">
        <w:rPr>
          <w:rFonts w:ascii="Cambria" w:eastAsia="Cambria" w:hAnsi="Cambria" w:cstheme="minorHAnsi"/>
          <w:color w:val="000000" w:themeColor="text1"/>
        </w:rPr>
        <w:t xml:space="preserve">In addition, the Executive Branch has not promoted actions to guarantee CSE in the CNEB. </w:t>
      </w:r>
      <w:r w:rsidR="008711C1" w:rsidRPr="001407FF">
        <w:rPr>
          <w:rFonts w:ascii="Cambria" w:eastAsia="Cambria" w:hAnsi="Cambria" w:cstheme="minorHAnsi"/>
          <w:color w:val="000000" w:themeColor="text1"/>
        </w:rPr>
        <w:t>On the</w:t>
      </w:r>
      <w:r w:rsidRPr="001407FF">
        <w:rPr>
          <w:rFonts w:ascii="Cambria" w:eastAsia="Cambria" w:hAnsi="Cambria" w:cstheme="minorHAnsi"/>
          <w:color w:val="000000" w:themeColor="text1"/>
        </w:rPr>
        <w:t xml:space="preserve"> contrary</w:t>
      </w:r>
      <w:r w:rsidR="008711C1" w:rsidRPr="001407FF">
        <w:rPr>
          <w:rFonts w:ascii="Cambria" w:eastAsia="Cambria" w:hAnsi="Cambria" w:cstheme="minorHAnsi"/>
          <w:color w:val="000000" w:themeColor="text1"/>
        </w:rPr>
        <w:t>, implementing comprehensive sexual education faced challenges. We highlight the following</w:t>
      </w:r>
      <w:r w:rsidRPr="001407FF">
        <w:rPr>
          <w:rFonts w:ascii="Cambria" w:eastAsia="Cambria" w:hAnsi="Cambria" w:cstheme="minorHAnsi"/>
          <w:color w:val="000000" w:themeColor="text1"/>
        </w:rPr>
        <w:t>:</w:t>
      </w:r>
      <w:r w:rsidRPr="001407FF">
        <w:rPr>
          <w:rFonts w:ascii="Cambria" w:eastAsia="Aptos" w:hAnsi="Cambria" w:cs="Aptos"/>
          <w:color w:val="000000" w:themeColor="text1"/>
          <w:vertAlign w:val="superscript"/>
        </w:rPr>
        <w:t xml:space="preserve"> </w:t>
      </w:r>
      <w:r w:rsidR="005928E0">
        <w:rPr>
          <w:rStyle w:val="EndnoteReference"/>
          <w:rFonts w:ascii="Cambria" w:eastAsia="Aptos" w:hAnsi="Cambria" w:cs="Aptos"/>
          <w:color w:val="000000" w:themeColor="text1"/>
        </w:rPr>
        <w:endnoteReference w:id="117"/>
      </w:r>
    </w:p>
    <w:p w14:paraId="2AB9DD06" w14:textId="77777777" w:rsidR="00393729" w:rsidRPr="001407FF" w:rsidRDefault="00393729" w:rsidP="001407FF">
      <w:pPr>
        <w:pBdr>
          <w:top w:val="nil"/>
          <w:left w:val="nil"/>
          <w:bottom w:val="nil"/>
          <w:right w:val="nil"/>
          <w:between w:val="nil"/>
        </w:pBdr>
        <w:spacing w:line="276" w:lineRule="auto"/>
        <w:jc w:val="both"/>
        <w:rPr>
          <w:rFonts w:ascii="Cambria" w:eastAsia="Cambria" w:hAnsi="Cambria" w:cs="Cambria"/>
          <w:color w:val="000000" w:themeColor="text1"/>
        </w:rPr>
      </w:pPr>
    </w:p>
    <w:p w14:paraId="091D7DAD" w14:textId="67002982" w:rsidR="0087148F" w:rsidRPr="00813732" w:rsidRDefault="00393729" w:rsidP="001407FF">
      <w:pPr>
        <w:numPr>
          <w:ilvl w:val="0"/>
          <w:numId w:val="22"/>
        </w:numPr>
        <w:pBdr>
          <w:top w:val="nil"/>
          <w:left w:val="nil"/>
          <w:bottom w:val="nil"/>
          <w:right w:val="nil"/>
          <w:between w:val="nil"/>
        </w:pBdr>
        <w:spacing w:line="276" w:lineRule="auto"/>
        <w:ind w:left="1980" w:hanging="450"/>
        <w:jc w:val="both"/>
        <w:rPr>
          <w:rFonts w:ascii="Cambria" w:eastAsia="Cambria" w:hAnsi="Cambria" w:cs="Cambria"/>
          <w:i/>
          <w:iCs/>
          <w:color w:val="000000" w:themeColor="text1"/>
        </w:rPr>
      </w:pPr>
      <w:r w:rsidRPr="00813732">
        <w:rPr>
          <w:rFonts w:ascii="Cambria" w:eastAsia="Cambria" w:hAnsi="Cambria" w:cs="Cambria"/>
          <w:i/>
          <w:iCs/>
          <w:color w:val="000000" w:themeColor="text1"/>
        </w:rPr>
        <w:t>“</w:t>
      </w:r>
      <w:r w:rsidR="0087148F" w:rsidRPr="00813732">
        <w:rPr>
          <w:rFonts w:ascii="Cambria" w:eastAsia="Cambria" w:hAnsi="Cambria" w:cstheme="minorHAnsi"/>
          <w:i/>
          <w:iCs/>
          <w:color w:val="000000" w:themeColor="text1"/>
        </w:rPr>
        <w:t>CSE provides a dualistic (biological male-female) perspective on sexuality, emphasizing the dangers faced by indigenous/Afro-Peruvian adolescents in exercising their sexuality [and emphasizing abstinence and delaying sexual activity as a prevention mechanism];</w:t>
      </w:r>
    </w:p>
    <w:p w14:paraId="32F0E882" w14:textId="77777777" w:rsidR="0087148F" w:rsidRPr="00813732" w:rsidRDefault="0087148F" w:rsidP="001407FF">
      <w:pPr>
        <w:numPr>
          <w:ilvl w:val="0"/>
          <w:numId w:val="22"/>
        </w:numPr>
        <w:pBdr>
          <w:top w:val="nil"/>
          <w:left w:val="nil"/>
          <w:bottom w:val="nil"/>
          <w:right w:val="nil"/>
          <w:between w:val="nil"/>
        </w:pBdr>
        <w:spacing w:line="276" w:lineRule="auto"/>
        <w:ind w:left="1980" w:hanging="450"/>
        <w:jc w:val="both"/>
        <w:rPr>
          <w:rFonts w:ascii="Cambria" w:eastAsia="Cambria" w:hAnsi="Cambria" w:cs="Cambria"/>
          <w:i/>
          <w:iCs/>
          <w:color w:val="000000" w:themeColor="text1"/>
        </w:rPr>
      </w:pPr>
      <w:r w:rsidRPr="00813732">
        <w:rPr>
          <w:rFonts w:ascii="Cambria" w:eastAsia="Cambria" w:hAnsi="Cambria" w:cstheme="minorHAnsi"/>
          <w:i/>
          <w:iCs/>
          <w:color w:val="000000" w:themeColor="text1"/>
        </w:rPr>
        <w:t xml:space="preserve">this approach doesn't take into account the sexual violence faced by many girls and adolescents, indigenous, Afro-descendant, LGBTIQ+ people, [migrants], and adolescents with disabilities; </w:t>
      </w:r>
    </w:p>
    <w:p w14:paraId="759B206F" w14:textId="44635CEE" w:rsidR="0087148F" w:rsidRPr="00813732" w:rsidRDefault="0087148F" w:rsidP="001407FF">
      <w:pPr>
        <w:numPr>
          <w:ilvl w:val="0"/>
          <w:numId w:val="22"/>
        </w:numPr>
        <w:pBdr>
          <w:top w:val="nil"/>
          <w:left w:val="nil"/>
          <w:bottom w:val="nil"/>
          <w:right w:val="nil"/>
          <w:between w:val="nil"/>
        </w:pBdr>
        <w:spacing w:line="276" w:lineRule="auto"/>
        <w:ind w:left="1980" w:hanging="450"/>
        <w:jc w:val="both"/>
        <w:rPr>
          <w:rFonts w:ascii="Cambria" w:eastAsia="Cambria" w:hAnsi="Cambria" w:cs="Cambria"/>
          <w:i/>
          <w:iCs/>
          <w:color w:val="000000" w:themeColor="text1"/>
        </w:rPr>
      </w:pPr>
      <w:r w:rsidRPr="00813732">
        <w:rPr>
          <w:rFonts w:ascii="Cambria" w:eastAsia="Cambria" w:hAnsi="Cambria" w:cstheme="minorHAnsi"/>
          <w:i/>
          <w:iCs/>
          <w:color w:val="000000" w:themeColor="text1"/>
        </w:rPr>
        <w:t xml:space="preserve">this approach focuses on information and prevention, limiting learning about consent, building empathetic and respectful relationships, and sexuality, as well as autonomy, self-care, and responsible decision-making related to sexuality; </w:t>
      </w:r>
    </w:p>
    <w:p w14:paraId="09CD525E" w14:textId="77777777" w:rsidR="0087148F" w:rsidRPr="00813732" w:rsidRDefault="0087148F" w:rsidP="001407FF">
      <w:pPr>
        <w:numPr>
          <w:ilvl w:val="0"/>
          <w:numId w:val="22"/>
        </w:numPr>
        <w:pBdr>
          <w:top w:val="nil"/>
          <w:left w:val="nil"/>
          <w:bottom w:val="nil"/>
          <w:right w:val="nil"/>
          <w:between w:val="nil"/>
        </w:pBdr>
        <w:spacing w:line="276" w:lineRule="auto"/>
        <w:ind w:left="1980" w:hanging="450"/>
        <w:jc w:val="both"/>
        <w:rPr>
          <w:rFonts w:ascii="Cambria" w:eastAsia="Cambria" w:hAnsi="Cambria" w:cs="Cambria"/>
          <w:i/>
          <w:iCs/>
          <w:color w:val="000000" w:themeColor="text1"/>
        </w:rPr>
      </w:pPr>
      <w:r w:rsidRPr="00813732">
        <w:rPr>
          <w:rFonts w:ascii="Cambria" w:eastAsia="Cambria" w:hAnsi="Cambria" w:cstheme="minorHAnsi"/>
          <w:i/>
          <w:iCs/>
          <w:color w:val="000000" w:themeColor="text1"/>
        </w:rPr>
        <w:t>teachers and tutors approach the subject sporadically and superficially.</w:t>
      </w:r>
    </w:p>
    <w:p w14:paraId="0A06E4F6" w14:textId="0C07BCFF" w:rsidR="00393729" w:rsidRPr="00813732" w:rsidRDefault="0087148F" w:rsidP="001407FF">
      <w:pPr>
        <w:pBdr>
          <w:top w:val="nil"/>
          <w:left w:val="nil"/>
          <w:bottom w:val="nil"/>
          <w:right w:val="nil"/>
          <w:between w:val="nil"/>
        </w:pBdr>
        <w:spacing w:line="276" w:lineRule="auto"/>
        <w:ind w:left="1980"/>
        <w:jc w:val="both"/>
        <w:rPr>
          <w:rFonts w:ascii="Cambria" w:eastAsia="Cambria" w:hAnsi="Cambria" w:cs="Cambria"/>
          <w:i/>
          <w:iCs/>
          <w:color w:val="000000" w:themeColor="text1"/>
        </w:rPr>
      </w:pPr>
      <w:r w:rsidRPr="00813732">
        <w:rPr>
          <w:rFonts w:ascii="Cambria" w:eastAsia="Cambria" w:hAnsi="Cambria" w:cstheme="minorHAnsi"/>
          <w:i/>
          <w:iCs/>
          <w:color w:val="000000" w:themeColor="text1"/>
        </w:rPr>
        <w:t>[It sometimes reproduces cultural beliefs, stereotypes, and personal beliefs]. They lack the methodologies to teach comprehensive sexual education with a culturally relevant and responsive approach</w:t>
      </w:r>
      <w:r w:rsidR="005928E0">
        <w:rPr>
          <w:rStyle w:val="EndnoteReference"/>
          <w:rFonts w:ascii="Cambria" w:eastAsia="Cambria" w:hAnsi="Cambria" w:cstheme="minorHAnsi"/>
          <w:i/>
          <w:iCs/>
          <w:color w:val="000000" w:themeColor="text1"/>
        </w:rPr>
        <w:endnoteReference w:id="118"/>
      </w:r>
      <w:r w:rsidRPr="00813732">
        <w:rPr>
          <w:rFonts w:ascii="Cambria" w:eastAsia="Cambria" w:hAnsi="Cambria" w:cs="Cambria"/>
          <w:i/>
          <w:iCs/>
          <w:color w:val="000000" w:themeColor="text1"/>
        </w:rPr>
        <w:t xml:space="preserve"> </w:t>
      </w:r>
      <w:r w:rsidRPr="00813732">
        <w:rPr>
          <w:rFonts w:ascii="Cambria" w:eastAsia="Cambria" w:hAnsi="Cambria" w:cstheme="minorHAnsi"/>
          <w:i/>
          <w:iCs/>
          <w:color w:val="000000" w:themeColor="text1"/>
        </w:rPr>
        <w:t xml:space="preserve"> and;</w:t>
      </w:r>
    </w:p>
    <w:p w14:paraId="59415307" w14:textId="474C4892" w:rsidR="0087148F" w:rsidRPr="00813732" w:rsidRDefault="0087148F" w:rsidP="001407FF">
      <w:pPr>
        <w:numPr>
          <w:ilvl w:val="0"/>
          <w:numId w:val="22"/>
        </w:numPr>
        <w:pBdr>
          <w:top w:val="nil"/>
          <w:left w:val="nil"/>
          <w:bottom w:val="nil"/>
          <w:right w:val="nil"/>
          <w:between w:val="nil"/>
        </w:pBdr>
        <w:spacing w:line="276" w:lineRule="auto"/>
        <w:ind w:left="1980" w:hanging="450"/>
        <w:jc w:val="both"/>
        <w:rPr>
          <w:rFonts w:ascii="Cambria" w:eastAsia="Cambria" w:hAnsi="Cambria" w:cs="Cambria"/>
          <w:i/>
          <w:iCs/>
          <w:color w:val="000000" w:themeColor="text1"/>
        </w:rPr>
      </w:pPr>
      <w:r w:rsidRPr="00813732">
        <w:rPr>
          <w:rFonts w:ascii="Cambria" w:eastAsia="Cambria" w:hAnsi="Cambria" w:cstheme="minorHAnsi"/>
          <w:i/>
          <w:iCs/>
          <w:color w:val="000000" w:themeColor="text1"/>
        </w:rPr>
        <w:t>some teaching practices reproduce gender stereotypes in the classroom</w:t>
      </w:r>
      <w:r w:rsidR="00E21A0C" w:rsidRPr="00813732">
        <w:rPr>
          <w:rFonts w:ascii="Cambria" w:eastAsia="Cambria" w:hAnsi="Cambria" w:cstheme="minorHAnsi"/>
          <w:i/>
          <w:iCs/>
          <w:color w:val="000000" w:themeColor="text1"/>
        </w:rPr>
        <w:t>.</w:t>
      </w:r>
      <w:r w:rsidR="005928E0">
        <w:rPr>
          <w:rStyle w:val="EndnoteReference"/>
          <w:rFonts w:ascii="Cambria" w:eastAsia="Cambria" w:hAnsi="Cambria" w:cstheme="minorHAnsi"/>
          <w:i/>
          <w:iCs/>
          <w:color w:val="000000" w:themeColor="text1"/>
        </w:rPr>
        <w:endnoteReference w:id="119"/>
      </w:r>
      <w:r w:rsidR="005928E0" w:rsidRPr="00813732">
        <w:rPr>
          <w:rFonts w:ascii="Cambria" w:eastAsia="Cambria" w:hAnsi="Cambria" w:cstheme="minorHAnsi"/>
          <w:i/>
          <w:iCs/>
          <w:color w:val="000000" w:themeColor="text1"/>
        </w:rPr>
        <w:t xml:space="preserve"> </w:t>
      </w:r>
      <w:r w:rsidRPr="00813732">
        <w:rPr>
          <w:rFonts w:ascii="Cambria" w:eastAsia="Cambria" w:hAnsi="Cambria" w:cstheme="minorHAnsi"/>
          <w:i/>
          <w:iCs/>
          <w:color w:val="000000" w:themeColor="text1"/>
        </w:rPr>
        <w:t>This practice is not only inconsistent with CSE's goals but also contrary to the premises from which it was promoted</w:t>
      </w:r>
      <w:r w:rsidR="00E21A0C" w:rsidRPr="00813732">
        <w:rPr>
          <w:rFonts w:ascii="Cambria" w:eastAsia="Cambria" w:hAnsi="Cambria" w:cstheme="minorHAnsi"/>
          <w:i/>
          <w:iCs/>
          <w:color w:val="000000" w:themeColor="text1"/>
        </w:rPr>
        <w:t>”.</w:t>
      </w:r>
    </w:p>
    <w:p w14:paraId="093F6801" w14:textId="77777777" w:rsidR="00393729" w:rsidRPr="001407FF" w:rsidRDefault="00393729" w:rsidP="001407FF">
      <w:pPr>
        <w:spacing w:line="276" w:lineRule="auto"/>
        <w:jc w:val="both"/>
        <w:rPr>
          <w:rFonts w:ascii="Cambria" w:eastAsia="Cambria" w:hAnsi="Cambria" w:cs="Cambria"/>
          <w:color w:val="000000" w:themeColor="text1"/>
        </w:rPr>
      </w:pPr>
    </w:p>
    <w:p w14:paraId="0C95F5FA" w14:textId="635124FB" w:rsidR="00E21A0C" w:rsidRPr="001407FF" w:rsidRDefault="00D77B19"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In addition, the Ministry of Education also needs to allocate a budget to implement its activities. There is no specific budget or detailed information on how much Minedu spent on educational materials for comprehensive sexual education, nor is there a directorate or sub-directorate in charge of developing and monitoring it.</w:t>
      </w:r>
      <w:r w:rsidR="008E0A70" w:rsidRPr="001407FF">
        <w:rPr>
          <w:rFonts w:ascii="Cambria" w:eastAsia="Cambria" w:hAnsi="Cambria" w:cs="Cambria"/>
          <w:color w:val="000000" w:themeColor="text1"/>
        </w:rPr>
        <w:t xml:space="preserve"> The budget comes from the General Directorate of Regular Basic Education through some human resources and covers planning, elaboration, and distribution of materials.</w:t>
      </w:r>
      <w:r w:rsidR="008E0A70" w:rsidRPr="001407FF">
        <w:rPr>
          <w:rFonts w:ascii="Cambria" w:eastAsia="Cambria" w:hAnsi="Cambria" w:cs="Cambria"/>
          <w:color w:val="000000" w:themeColor="text1"/>
          <w:vertAlign w:val="superscript"/>
        </w:rPr>
        <w:t xml:space="preserve"> </w:t>
      </w:r>
      <w:r w:rsidR="005928E0">
        <w:rPr>
          <w:rStyle w:val="EndnoteReference"/>
          <w:rFonts w:ascii="Cambria" w:eastAsia="Cambria" w:hAnsi="Cambria" w:cs="Cambria"/>
          <w:color w:val="000000" w:themeColor="text1"/>
        </w:rPr>
        <w:endnoteReference w:id="120"/>
      </w:r>
      <w:r w:rsidR="008E0A70" w:rsidRPr="001407FF">
        <w:rPr>
          <w:rFonts w:ascii="Cambria" w:eastAsia="Cambria" w:hAnsi="Cambria" w:cs="Cambria"/>
          <w:color w:val="000000" w:themeColor="text1"/>
        </w:rPr>
        <w:t>In 2023, the allocated budget was S/41,966 million, representing 19.5% of the total budget.</w:t>
      </w:r>
      <w:r w:rsidR="005928E0">
        <w:rPr>
          <w:rStyle w:val="EndnoteReference"/>
          <w:rFonts w:ascii="Cambria" w:eastAsia="Cambria" w:hAnsi="Cambria" w:cs="Cambria"/>
          <w:color w:val="000000" w:themeColor="text1"/>
        </w:rPr>
        <w:endnoteReference w:id="121"/>
      </w:r>
      <w:r w:rsidR="008E0A70" w:rsidRPr="001407FF">
        <w:rPr>
          <w:rFonts w:ascii="Cambria" w:eastAsia="Cambria" w:hAnsi="Cambria" w:cs="Cambria"/>
          <w:color w:val="000000" w:themeColor="text1"/>
        </w:rPr>
        <w:t xml:space="preserve"> According to Minedu, S/. 132,000 from 2019 to 2023 was allocated to cover human resources,</w:t>
      </w:r>
      <w:r w:rsidR="005928E0">
        <w:rPr>
          <w:rStyle w:val="EndnoteReference"/>
          <w:rFonts w:ascii="Cambria" w:eastAsia="Cambria" w:hAnsi="Cambria" w:cs="Cambria"/>
          <w:color w:val="000000" w:themeColor="text1"/>
        </w:rPr>
        <w:endnoteReference w:id="122"/>
      </w:r>
      <w:r w:rsidR="008E0A70" w:rsidRPr="001407FF">
        <w:rPr>
          <w:rFonts w:ascii="Cambria" w:eastAsia="Cambria" w:hAnsi="Cambria" w:cs="Cambria"/>
          <w:color w:val="000000" w:themeColor="text1"/>
        </w:rPr>
        <w:t xml:space="preserve">  and it has not been executed 100%.</w:t>
      </w:r>
      <w:r w:rsidRPr="001407FF">
        <w:rPr>
          <w:rFonts w:ascii="Cambria" w:eastAsia="Cambria" w:hAnsi="Cambria" w:cs="Cambria"/>
          <w:strike/>
          <w:color w:val="000000" w:themeColor="text1"/>
        </w:rPr>
        <w:t xml:space="preserve"> </w:t>
      </w:r>
    </w:p>
    <w:p w14:paraId="42E3E56C" w14:textId="77777777" w:rsidR="008E0A70" w:rsidRPr="001407FF" w:rsidRDefault="008E0A70" w:rsidP="001407FF">
      <w:pPr>
        <w:pBdr>
          <w:top w:val="nil"/>
          <w:left w:val="nil"/>
          <w:bottom w:val="nil"/>
          <w:right w:val="nil"/>
          <w:between w:val="nil"/>
        </w:pBdr>
        <w:spacing w:line="276" w:lineRule="auto"/>
        <w:jc w:val="both"/>
        <w:rPr>
          <w:rFonts w:ascii="Cambria" w:eastAsia="Cambria" w:hAnsi="Cambria" w:cs="Cambria"/>
          <w:color w:val="000000" w:themeColor="text1"/>
        </w:rPr>
      </w:pPr>
    </w:p>
    <w:p w14:paraId="19B9EBC0" w14:textId="7A4AD5F9" w:rsidR="00E21A0C" w:rsidRPr="001407FF" w:rsidRDefault="00E21A0C"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Therefore, the continued neglect by the Peruvian State shows indifference and incompetence in addressing situations of violence against children and adolescents, particularly sexual violence. It has, as a result, the normalization of violence by not prosecuting and punishing those responsible. In order to prevent violence in its different modalities in educational institutions, it is essential to teach CSE, maybe through a toolbox</w:t>
      </w:r>
      <w:r w:rsidR="005928E0">
        <w:rPr>
          <w:rStyle w:val="EndnoteReference"/>
          <w:rFonts w:ascii="Cambria" w:eastAsia="Cambria" w:hAnsi="Cambria" w:cs="Cambria"/>
          <w:color w:val="000000" w:themeColor="text1"/>
        </w:rPr>
        <w:endnoteReference w:id="123"/>
      </w:r>
      <w:r w:rsidRPr="001407FF">
        <w:rPr>
          <w:rFonts w:ascii="Cambria" w:eastAsia="Cambria" w:hAnsi="Cambria" w:cs="Cambria"/>
          <w:color w:val="000000" w:themeColor="text1"/>
        </w:rPr>
        <w:t>, since it provides personal tools for critical thinking, reproductive autonomy, self-care, and respectful and non-violent relationships to guarantee the protection of their rights.</w:t>
      </w:r>
      <w:r w:rsidR="005928E0">
        <w:rPr>
          <w:rStyle w:val="EndnoteReference"/>
          <w:rFonts w:ascii="Cambria" w:eastAsia="Cambria" w:hAnsi="Cambria" w:cs="Cambria"/>
          <w:color w:val="000000" w:themeColor="text1"/>
        </w:rPr>
        <w:endnoteReference w:id="124"/>
      </w:r>
    </w:p>
    <w:p w14:paraId="06C040C3" w14:textId="77777777" w:rsidR="00D42D33" w:rsidRPr="001407FF" w:rsidRDefault="00D42D33" w:rsidP="001407FF">
      <w:pPr>
        <w:pStyle w:val="ListParagraph"/>
        <w:spacing w:line="276" w:lineRule="auto"/>
        <w:jc w:val="both"/>
        <w:rPr>
          <w:rFonts w:ascii="Cambria" w:eastAsia="Cambria" w:hAnsi="Cambria" w:cs="Cambria"/>
          <w:color w:val="000000" w:themeColor="text1"/>
        </w:rPr>
      </w:pPr>
    </w:p>
    <w:p w14:paraId="2C8DA634" w14:textId="730DFAFB" w:rsidR="00393729" w:rsidRPr="001407FF" w:rsidRDefault="00D42D33" w:rsidP="001407FF">
      <w:pPr>
        <w:numPr>
          <w:ilvl w:val="0"/>
          <w:numId w:val="2"/>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 xml:space="preserve">Finally, the actions taken against CSE not only violate Article 28 of the Convention on the Rights of the Child but also imply non-compliance with Views issued by treaty bodies (TBs), which have established the international responsibility of the Peruvian State and called on it to guarantee access to comprehensive sexual education as a shown is the Views of the case of </w:t>
      </w:r>
      <w:r w:rsidRPr="00C57EBC">
        <w:rPr>
          <w:rFonts w:ascii="Cambria" w:eastAsia="Cambria" w:hAnsi="Cambria" w:cs="Cambria"/>
          <w:i/>
          <w:iCs/>
          <w:color w:val="000000" w:themeColor="text1"/>
        </w:rPr>
        <w:t>L.C. v. Peru</w:t>
      </w:r>
      <w:r w:rsidRPr="001407FF">
        <w:rPr>
          <w:rFonts w:ascii="Cambria" w:eastAsia="Cambria" w:hAnsi="Cambria" w:cs="Cambria"/>
          <w:color w:val="000000" w:themeColor="text1"/>
        </w:rPr>
        <w:t>,</w:t>
      </w:r>
      <w:r w:rsidRPr="001407FF">
        <w:rPr>
          <w:rFonts w:ascii="Cambria" w:eastAsia="Cambria" w:hAnsi="Cambria" w:cs="Cambria"/>
          <w:color w:val="000000" w:themeColor="text1"/>
          <w:vertAlign w:val="superscript"/>
        </w:rPr>
        <w:t xml:space="preserve"> </w:t>
      </w:r>
      <w:r w:rsidR="00C14D98">
        <w:rPr>
          <w:rStyle w:val="EndnoteReference"/>
          <w:rFonts w:ascii="Cambria" w:eastAsia="Cambria" w:hAnsi="Cambria" w:cs="Cambria"/>
          <w:color w:val="000000" w:themeColor="text1"/>
        </w:rPr>
        <w:endnoteReference w:id="125"/>
      </w:r>
      <w:r w:rsidRPr="00C57EBC">
        <w:rPr>
          <w:rFonts w:ascii="Cambria" w:eastAsia="Cambria" w:hAnsi="Cambria" w:cs="Cambria"/>
          <w:i/>
          <w:iCs/>
          <w:color w:val="000000" w:themeColor="text1"/>
        </w:rPr>
        <w:t>K.L. v. Peru</w:t>
      </w:r>
      <w:r w:rsidR="00C14D98">
        <w:rPr>
          <w:rStyle w:val="EndnoteReference"/>
          <w:rFonts w:ascii="Cambria" w:eastAsia="Cambria" w:hAnsi="Cambria" w:cs="Cambria"/>
          <w:i/>
          <w:iCs/>
          <w:color w:val="000000" w:themeColor="text1"/>
        </w:rPr>
        <w:endnoteReference w:id="126"/>
      </w:r>
      <w:r w:rsidRPr="001407FF">
        <w:rPr>
          <w:rFonts w:ascii="Cambria" w:eastAsia="Cambria" w:hAnsi="Cambria" w:cs="Cambria"/>
          <w:color w:val="000000" w:themeColor="text1"/>
        </w:rPr>
        <w:t xml:space="preserve"> and, recently, in the case of </w:t>
      </w:r>
      <w:r w:rsidRPr="00C57EBC">
        <w:rPr>
          <w:rFonts w:ascii="Cambria" w:eastAsia="Cambria" w:hAnsi="Cambria" w:cs="Cambria"/>
          <w:i/>
          <w:iCs/>
          <w:color w:val="000000" w:themeColor="text1"/>
        </w:rPr>
        <w:t>Camila v. Peru</w:t>
      </w:r>
      <w:r w:rsidRPr="001407FF">
        <w:rPr>
          <w:rFonts w:ascii="Cambria" w:eastAsia="Cambria" w:hAnsi="Cambria" w:cs="Cambria"/>
          <w:color w:val="000000" w:themeColor="text1"/>
        </w:rPr>
        <w:t>.</w:t>
      </w:r>
      <w:r w:rsidR="00C14D98">
        <w:rPr>
          <w:rStyle w:val="EndnoteReference"/>
          <w:rFonts w:ascii="Cambria" w:eastAsia="Cambria" w:hAnsi="Cambria" w:cs="Cambria"/>
          <w:color w:val="000000" w:themeColor="text1"/>
        </w:rPr>
        <w:endnoteReference w:id="127"/>
      </w:r>
      <w:r w:rsidRPr="001407FF">
        <w:rPr>
          <w:rFonts w:ascii="Cambria" w:eastAsia="Cambria" w:hAnsi="Cambria" w:cs="Cambria"/>
          <w:color w:val="000000" w:themeColor="text1"/>
        </w:rPr>
        <w:t xml:space="preserve"> Therefore, the State has not only failed to guarantee the implementation of the  CSE, but it has also adopted setback measures, in violation of its international commitments.</w:t>
      </w:r>
      <w:r w:rsidR="00393729" w:rsidRPr="001407FF">
        <w:rPr>
          <w:rFonts w:ascii="Cambria" w:eastAsia="Cambria" w:hAnsi="Cambria" w:cs="Cambria"/>
          <w:color w:val="000000" w:themeColor="text1"/>
        </w:rPr>
        <w:t xml:space="preserve"> </w:t>
      </w:r>
    </w:p>
    <w:p w14:paraId="512DDF19" w14:textId="77777777" w:rsidR="00393729" w:rsidRPr="001407FF" w:rsidRDefault="00393729" w:rsidP="001407FF">
      <w:pPr>
        <w:spacing w:line="276" w:lineRule="auto"/>
        <w:jc w:val="both"/>
        <w:rPr>
          <w:rFonts w:ascii="Cambria" w:eastAsia="Cambria" w:hAnsi="Cambria" w:cs="Cambria"/>
          <w:color w:val="000000" w:themeColor="text1"/>
        </w:rPr>
      </w:pPr>
    </w:p>
    <w:p w14:paraId="67D4A37D" w14:textId="0AFF40AF" w:rsidR="00393729" w:rsidRPr="001407FF" w:rsidRDefault="00201B71" w:rsidP="001407FF">
      <w:pPr>
        <w:pStyle w:val="Heading1"/>
        <w:numPr>
          <w:ilvl w:val="0"/>
          <w:numId w:val="14"/>
        </w:numPr>
        <w:spacing w:before="0" w:line="276" w:lineRule="auto"/>
        <w:ind w:left="426" w:hanging="426"/>
        <w:jc w:val="both"/>
        <w:rPr>
          <w:rFonts w:ascii="Cambria" w:eastAsia="Cambria" w:hAnsi="Cambria" w:cs="Cambria"/>
          <w:b/>
          <w:color w:val="000000" w:themeColor="text1"/>
          <w:sz w:val="24"/>
          <w:szCs w:val="24"/>
        </w:rPr>
      </w:pPr>
      <w:r w:rsidRPr="001407FF">
        <w:rPr>
          <w:rFonts w:ascii="Cambria" w:eastAsia="Cambria" w:hAnsi="Cambria" w:cs="Cambria"/>
          <w:b/>
          <w:color w:val="000000" w:themeColor="text1"/>
          <w:sz w:val="24"/>
          <w:szCs w:val="24"/>
        </w:rPr>
        <w:t>RECOMMENDATIONS SUGGESTED TO THE PERUVIAN STATE</w:t>
      </w:r>
    </w:p>
    <w:p w14:paraId="6390D158" w14:textId="77777777" w:rsidR="00393729" w:rsidRPr="001407FF" w:rsidRDefault="00393729" w:rsidP="001407FF">
      <w:pPr>
        <w:spacing w:line="276" w:lineRule="auto"/>
        <w:jc w:val="both"/>
        <w:rPr>
          <w:rFonts w:ascii="Cambria" w:eastAsia="Cambria" w:hAnsi="Cambria" w:cs="Cambria"/>
          <w:color w:val="000000" w:themeColor="text1"/>
        </w:rPr>
      </w:pPr>
    </w:p>
    <w:p w14:paraId="45BBFC21" w14:textId="51F5C3BC" w:rsidR="00393729" w:rsidRPr="001407FF" w:rsidRDefault="00201B71" w:rsidP="001407FF">
      <w:pPr>
        <w:numPr>
          <w:ilvl w:val="0"/>
          <w:numId w:val="2"/>
        </w:numPr>
        <w:pBdr>
          <w:top w:val="nil"/>
          <w:left w:val="nil"/>
          <w:bottom w:val="nil"/>
          <w:right w:val="nil"/>
          <w:between w:val="nil"/>
        </w:pBdr>
        <w:tabs>
          <w:tab w:val="left" w:pos="2127"/>
        </w:tabs>
        <w:spacing w:line="276" w:lineRule="auto"/>
        <w:jc w:val="both"/>
        <w:rPr>
          <w:rFonts w:ascii="Cambria" w:eastAsia="Cambria" w:hAnsi="Cambria" w:cs="Cambria"/>
          <w:b/>
          <w:color w:val="000000" w:themeColor="text1"/>
        </w:rPr>
      </w:pPr>
      <w:r w:rsidRPr="001407FF">
        <w:rPr>
          <w:rFonts w:ascii="Cambria" w:eastAsia="Cambria" w:hAnsi="Cambria" w:cs="Cambria"/>
          <w:color w:val="000000" w:themeColor="text1"/>
        </w:rPr>
        <w:t>We respectfully suggest the honorable Committee to make the following recommendations to the Peruvian State.</w:t>
      </w:r>
    </w:p>
    <w:p w14:paraId="57C44BB0" w14:textId="77777777" w:rsidR="00393729" w:rsidRPr="001407FF" w:rsidRDefault="00393729" w:rsidP="001407FF">
      <w:pPr>
        <w:spacing w:line="276" w:lineRule="auto"/>
        <w:jc w:val="both"/>
        <w:rPr>
          <w:rFonts w:ascii="Cambria" w:eastAsia="Cambria" w:hAnsi="Cambria" w:cs="Cambria"/>
          <w:color w:val="000000" w:themeColor="text1"/>
        </w:rPr>
      </w:pPr>
    </w:p>
    <w:p w14:paraId="0F123025" w14:textId="2495EAC2" w:rsidR="006430C7" w:rsidRPr="001407FF" w:rsidRDefault="006430C7" w:rsidP="001407FF">
      <w:pPr>
        <w:numPr>
          <w:ilvl w:val="0"/>
          <w:numId w:val="17"/>
        </w:numPr>
        <w:pBdr>
          <w:top w:val="nil"/>
          <w:left w:val="nil"/>
          <w:bottom w:val="nil"/>
          <w:right w:val="nil"/>
          <w:between w:val="nil"/>
        </w:pBdr>
        <w:spacing w:line="276" w:lineRule="auto"/>
        <w:jc w:val="both"/>
        <w:rPr>
          <w:rFonts w:ascii="Cambria" w:eastAsia="Cambria" w:hAnsi="Cambria" w:cs="Cambria"/>
          <w:b/>
          <w:color w:val="000000" w:themeColor="text1"/>
        </w:rPr>
      </w:pPr>
      <w:r w:rsidRPr="001407FF">
        <w:rPr>
          <w:rFonts w:ascii="Cambria" w:eastAsia="Calibri" w:hAnsi="Cambria"/>
          <w:b/>
          <w:color w:val="000000" w:themeColor="text1"/>
        </w:rPr>
        <w:t>Access to sexual and reproductive health services</w:t>
      </w:r>
    </w:p>
    <w:p w14:paraId="1672040B" w14:textId="77777777" w:rsidR="00393729" w:rsidRPr="001407FF" w:rsidRDefault="00393729" w:rsidP="001407FF">
      <w:pPr>
        <w:spacing w:line="276" w:lineRule="auto"/>
        <w:jc w:val="both"/>
        <w:rPr>
          <w:rFonts w:ascii="Cambria" w:eastAsia="Cambria" w:hAnsi="Cambria" w:cs="Cambria"/>
          <w:color w:val="000000" w:themeColor="text1"/>
        </w:rPr>
      </w:pPr>
    </w:p>
    <w:p w14:paraId="2F11D1E5" w14:textId="0ED43C5E" w:rsidR="00393729" w:rsidRPr="001407FF" w:rsidRDefault="00DC15EC" w:rsidP="001407FF">
      <w:pPr>
        <w:numPr>
          <w:ilvl w:val="0"/>
          <w:numId w:val="18"/>
        </w:numPr>
        <w:pBdr>
          <w:top w:val="nil"/>
          <w:left w:val="nil"/>
          <w:bottom w:val="nil"/>
          <w:right w:val="nil"/>
          <w:between w:val="nil"/>
        </w:pBdr>
        <w:spacing w:line="276" w:lineRule="auto"/>
        <w:jc w:val="both"/>
        <w:rPr>
          <w:rFonts w:ascii="Cambria" w:eastAsia="Cambria" w:hAnsi="Cambria" w:cs="Cambria"/>
          <w:color w:val="000000" w:themeColor="text1"/>
        </w:rPr>
      </w:pPr>
      <w:r w:rsidRPr="00DC15EC">
        <w:rPr>
          <w:rFonts w:ascii="Cambria" w:eastAsia="Cambria" w:hAnsi="Cambria" w:cs="Cambria"/>
          <w:bCs/>
          <w:i/>
          <w:color w:val="000000" w:themeColor="text1"/>
        </w:rPr>
        <w:t>Ensure</w:t>
      </w:r>
      <w:r w:rsidRPr="00DC15EC">
        <w:rPr>
          <w:rFonts w:ascii="Cambria" w:eastAsia="Cambria" w:hAnsi="Cambria" w:cs="Cambria"/>
          <w:bCs/>
          <w:iCs/>
          <w:color w:val="000000" w:themeColor="text1"/>
        </w:rPr>
        <w:t xml:space="preserve"> access to sexual and reproductive health services to all children and adolescents without distinction and do not condition the provision of services to be accompanied by a parent or legal guardian.</w:t>
      </w:r>
    </w:p>
    <w:p w14:paraId="59AE04FF" w14:textId="245279AF" w:rsidR="00393729" w:rsidRPr="001407FF" w:rsidRDefault="00201B71" w:rsidP="001407FF">
      <w:pPr>
        <w:pStyle w:val="ListParagraph"/>
        <w:numPr>
          <w:ilvl w:val="0"/>
          <w:numId w:val="26"/>
        </w:numPr>
        <w:pBdr>
          <w:top w:val="nil"/>
          <w:left w:val="nil"/>
          <w:bottom w:val="nil"/>
          <w:right w:val="nil"/>
          <w:between w:val="nil"/>
        </w:pBdr>
        <w:spacing w:line="276" w:lineRule="auto"/>
        <w:jc w:val="both"/>
        <w:rPr>
          <w:rFonts w:ascii="Cambria" w:eastAsia="Cambria" w:hAnsi="Cambria" w:cs="Cambria"/>
          <w:iCs/>
          <w:color w:val="000000" w:themeColor="text1"/>
        </w:rPr>
      </w:pPr>
      <w:r w:rsidRPr="007771A1">
        <w:rPr>
          <w:rFonts w:ascii="Cambria" w:eastAsia="Cambria" w:hAnsi="Cambria" w:cs="Cambria"/>
          <w:i/>
          <w:color w:val="000000" w:themeColor="text1"/>
        </w:rPr>
        <w:t>Ensure</w:t>
      </w:r>
      <w:r w:rsidRPr="001407FF">
        <w:rPr>
          <w:rFonts w:ascii="Cambria" w:eastAsia="Cambria" w:hAnsi="Cambria" w:cs="Cambria"/>
          <w:iCs/>
          <w:color w:val="000000" w:themeColor="text1"/>
        </w:rPr>
        <w:t xml:space="preserve"> accessibility and permanent availability of information and distribution of emergency oral contraception (EOC) in private and public health services nationwide, including to rape victims. </w:t>
      </w:r>
    </w:p>
    <w:p w14:paraId="04029D6E" w14:textId="069FCE5A" w:rsidR="00393729" w:rsidRPr="001407FF" w:rsidRDefault="00DB0061" w:rsidP="001407FF">
      <w:pPr>
        <w:numPr>
          <w:ilvl w:val="0"/>
          <w:numId w:val="18"/>
        </w:numPr>
        <w:pBdr>
          <w:top w:val="nil"/>
          <w:left w:val="nil"/>
          <w:bottom w:val="nil"/>
          <w:right w:val="nil"/>
          <w:between w:val="nil"/>
        </w:pBdr>
        <w:spacing w:line="276" w:lineRule="auto"/>
        <w:jc w:val="both"/>
        <w:rPr>
          <w:rFonts w:ascii="Cambria" w:eastAsia="Cambria" w:hAnsi="Cambria" w:cs="Cambria"/>
          <w:color w:val="000000" w:themeColor="text1"/>
        </w:rPr>
      </w:pPr>
      <w:r w:rsidRPr="007771A1">
        <w:rPr>
          <w:rFonts w:ascii="Cambria" w:eastAsia="Cambria" w:hAnsi="Cambria" w:cs="Cambria"/>
          <w:i/>
          <w:iCs/>
          <w:color w:val="000000" w:themeColor="text1"/>
        </w:rPr>
        <w:t>Adopt</w:t>
      </w:r>
      <w:r w:rsidRPr="001407FF">
        <w:rPr>
          <w:rFonts w:ascii="Cambria" w:eastAsia="Cambria" w:hAnsi="Cambria" w:cs="Cambria"/>
          <w:color w:val="000000" w:themeColor="text1"/>
        </w:rPr>
        <w:t xml:space="preserve"> and implement an effective mechanism to address cases of sexual violence against children and adolescents.</w:t>
      </w:r>
    </w:p>
    <w:p w14:paraId="735E42ED" w14:textId="77777777" w:rsidR="00393729" w:rsidRPr="001407FF" w:rsidRDefault="00393729" w:rsidP="001407FF">
      <w:pPr>
        <w:spacing w:line="276" w:lineRule="auto"/>
        <w:jc w:val="both"/>
        <w:rPr>
          <w:rFonts w:ascii="Cambria" w:eastAsia="Cambria" w:hAnsi="Cambria" w:cs="Cambria"/>
          <w:color w:val="000000" w:themeColor="text1"/>
        </w:rPr>
      </w:pPr>
    </w:p>
    <w:p w14:paraId="020BF886" w14:textId="17701629" w:rsidR="00571B5C" w:rsidRPr="001407FF" w:rsidRDefault="006430C7" w:rsidP="001407FF">
      <w:pPr>
        <w:numPr>
          <w:ilvl w:val="0"/>
          <w:numId w:val="17"/>
        </w:numPr>
        <w:pBdr>
          <w:top w:val="nil"/>
          <w:left w:val="nil"/>
          <w:bottom w:val="nil"/>
          <w:right w:val="nil"/>
          <w:between w:val="nil"/>
        </w:pBdr>
        <w:spacing w:line="276" w:lineRule="auto"/>
        <w:jc w:val="both"/>
        <w:rPr>
          <w:rFonts w:ascii="Cambria" w:eastAsia="Cambria" w:hAnsi="Cambria" w:cs="Cambria"/>
          <w:b/>
          <w:color w:val="000000" w:themeColor="text1"/>
        </w:rPr>
      </w:pPr>
      <w:r w:rsidRPr="001407FF">
        <w:rPr>
          <w:rFonts w:ascii="Cambria" w:eastAsia="Cambria" w:hAnsi="Cambria" w:cs="Cambria"/>
          <w:b/>
          <w:color w:val="000000" w:themeColor="text1"/>
        </w:rPr>
        <w:t xml:space="preserve">Prevent </w:t>
      </w:r>
      <w:r w:rsidR="00571B5C" w:rsidRPr="001407FF">
        <w:rPr>
          <w:rFonts w:ascii="Cambria" w:eastAsia="Cambria" w:hAnsi="Cambria" w:cs="Cambria"/>
          <w:b/>
          <w:iCs/>
          <w:color w:val="000000" w:themeColor="text1"/>
        </w:rPr>
        <w:t>forced pregnancies and maternal mortality</w:t>
      </w:r>
    </w:p>
    <w:p w14:paraId="148B75A8" w14:textId="77777777" w:rsidR="00393729" w:rsidRPr="001407FF" w:rsidRDefault="00393729" w:rsidP="001407FF">
      <w:pPr>
        <w:spacing w:line="276" w:lineRule="auto"/>
        <w:jc w:val="both"/>
        <w:rPr>
          <w:rFonts w:ascii="Cambria" w:eastAsia="Cambria" w:hAnsi="Cambria" w:cs="Cambria"/>
          <w:color w:val="000000" w:themeColor="text1"/>
        </w:rPr>
      </w:pPr>
    </w:p>
    <w:p w14:paraId="452D71EB" w14:textId="03867CE1" w:rsidR="00393729" w:rsidRPr="001407FF" w:rsidRDefault="00571B5C" w:rsidP="001407FF">
      <w:pPr>
        <w:numPr>
          <w:ilvl w:val="0"/>
          <w:numId w:val="18"/>
        </w:numPr>
        <w:pBdr>
          <w:top w:val="nil"/>
          <w:left w:val="nil"/>
          <w:bottom w:val="nil"/>
          <w:right w:val="nil"/>
          <w:between w:val="nil"/>
        </w:pBdr>
        <w:spacing w:line="276" w:lineRule="auto"/>
        <w:jc w:val="both"/>
        <w:rPr>
          <w:rFonts w:ascii="Cambria" w:eastAsia="Cambria" w:hAnsi="Cambria" w:cs="Cambria"/>
          <w:iCs/>
          <w:color w:val="000000" w:themeColor="text1"/>
        </w:rPr>
      </w:pPr>
      <w:r w:rsidRPr="007771A1">
        <w:rPr>
          <w:rFonts w:ascii="Cambria" w:eastAsia="Cambria" w:hAnsi="Cambria" w:cs="Cambria"/>
          <w:i/>
          <w:color w:val="000000" w:themeColor="text1"/>
        </w:rPr>
        <w:t>Tackle</w:t>
      </w:r>
      <w:r w:rsidRPr="001407FF">
        <w:rPr>
          <w:rFonts w:ascii="Cambria" w:eastAsia="Cambria" w:hAnsi="Cambria" w:cs="Cambria"/>
          <w:iCs/>
          <w:color w:val="000000" w:themeColor="text1"/>
        </w:rPr>
        <w:t xml:space="preserve"> the high incidence of teenage pregnancies through policies that promote the implementation of comprehensive sexual education and ensure accessibility of sexual and reproductive health services. </w:t>
      </w:r>
    </w:p>
    <w:p w14:paraId="35C2C0C1" w14:textId="6B789512" w:rsidR="00201B71" w:rsidRPr="001407FF" w:rsidRDefault="00571B5C" w:rsidP="001407FF">
      <w:pPr>
        <w:pStyle w:val="ListParagraph"/>
        <w:numPr>
          <w:ilvl w:val="0"/>
          <w:numId w:val="18"/>
        </w:numPr>
        <w:pBdr>
          <w:top w:val="nil"/>
          <w:left w:val="nil"/>
          <w:bottom w:val="nil"/>
          <w:right w:val="nil"/>
          <w:between w:val="nil"/>
        </w:pBdr>
        <w:spacing w:line="276" w:lineRule="auto"/>
        <w:jc w:val="both"/>
        <w:rPr>
          <w:rFonts w:ascii="Cambria" w:eastAsia="Cambria" w:hAnsi="Cambria" w:cs="Cambria"/>
          <w:bCs/>
          <w:iCs/>
          <w:color w:val="000000" w:themeColor="text1"/>
        </w:rPr>
      </w:pPr>
      <w:r w:rsidRPr="001407FF">
        <w:rPr>
          <w:rFonts w:ascii="Cambria" w:eastAsia="Cambria" w:hAnsi="Cambria" w:cs="Cambria"/>
          <w:bCs/>
          <w:iCs/>
          <w:color w:val="000000" w:themeColor="text1"/>
        </w:rPr>
        <w:t xml:space="preserve">Adopting provisions and allocating a budget to reduce the rate of forced pregnancies nationwide and, in particular, in excluded regions. </w:t>
      </w:r>
    </w:p>
    <w:p w14:paraId="647D4B68" w14:textId="30174211" w:rsidR="00201B71" w:rsidRPr="007771A1" w:rsidRDefault="00571B5C" w:rsidP="001407FF">
      <w:pPr>
        <w:numPr>
          <w:ilvl w:val="0"/>
          <w:numId w:val="18"/>
        </w:numPr>
        <w:pBdr>
          <w:top w:val="nil"/>
          <w:left w:val="nil"/>
          <w:bottom w:val="nil"/>
          <w:right w:val="nil"/>
          <w:between w:val="nil"/>
        </w:pBdr>
        <w:spacing w:line="276" w:lineRule="auto"/>
        <w:jc w:val="both"/>
        <w:rPr>
          <w:rFonts w:ascii="Cambria" w:eastAsia="Cambria" w:hAnsi="Cambria" w:cs="Cambria"/>
          <w:color w:val="000000" w:themeColor="text1"/>
        </w:rPr>
      </w:pPr>
      <w:r w:rsidRPr="00C14D98">
        <w:rPr>
          <w:rFonts w:ascii="Cambria" w:eastAsia="Cambria" w:hAnsi="Cambria" w:cs="Cambria"/>
          <w:i/>
          <w:iCs/>
          <w:color w:val="000000" w:themeColor="text1"/>
        </w:rPr>
        <w:t xml:space="preserve">Adopt </w:t>
      </w:r>
      <w:r w:rsidRPr="007771A1">
        <w:rPr>
          <w:rFonts w:ascii="Cambria" w:eastAsia="Cambria" w:hAnsi="Cambria" w:cs="Cambria"/>
          <w:color w:val="000000" w:themeColor="text1"/>
        </w:rPr>
        <w:t>intersectional and interinstitutional measures to prevent forced pregnancies in girls and adolescents</w:t>
      </w:r>
      <w:r w:rsidR="00C57EBC" w:rsidRPr="007771A1">
        <w:rPr>
          <w:rFonts w:ascii="Cambria" w:eastAsia="Cambria" w:hAnsi="Cambria" w:cs="Cambria"/>
          <w:color w:val="000000" w:themeColor="text1"/>
        </w:rPr>
        <w:t>.</w:t>
      </w:r>
    </w:p>
    <w:p w14:paraId="2B1D4C0E" w14:textId="089F12BC" w:rsidR="00393729" w:rsidRPr="00C57EBC" w:rsidRDefault="00201B71" w:rsidP="00C57EBC">
      <w:pPr>
        <w:numPr>
          <w:ilvl w:val="0"/>
          <w:numId w:val="18"/>
        </w:numPr>
        <w:pBdr>
          <w:top w:val="nil"/>
          <w:left w:val="nil"/>
          <w:bottom w:val="nil"/>
          <w:right w:val="nil"/>
          <w:between w:val="nil"/>
        </w:pBdr>
        <w:spacing w:line="276" w:lineRule="auto"/>
        <w:jc w:val="both"/>
        <w:rPr>
          <w:rFonts w:ascii="Cambria" w:eastAsia="Cambria" w:hAnsi="Cambria" w:cs="Cambria"/>
          <w:color w:val="000000" w:themeColor="text1"/>
        </w:rPr>
      </w:pPr>
      <w:r w:rsidRPr="007771A1">
        <w:rPr>
          <w:rFonts w:ascii="Cambria" w:eastAsia="Cambria" w:hAnsi="Cambria" w:cs="Cambria"/>
          <w:bCs/>
          <w:i/>
          <w:color w:val="000000" w:themeColor="text1"/>
        </w:rPr>
        <w:t xml:space="preserve">Ensure </w:t>
      </w:r>
      <w:r w:rsidRPr="001407FF">
        <w:rPr>
          <w:rFonts w:ascii="Cambria" w:eastAsia="Cambria" w:hAnsi="Cambria" w:cs="Cambria"/>
          <w:bCs/>
          <w:iCs/>
          <w:color w:val="000000" w:themeColor="text1"/>
        </w:rPr>
        <w:t>prevention measures against maternal mortality and morbidity in girls and adolescents.</w:t>
      </w:r>
    </w:p>
    <w:p w14:paraId="1DFB83C3" w14:textId="77777777" w:rsidR="00393729" w:rsidRPr="001407FF" w:rsidRDefault="00393729" w:rsidP="001407FF">
      <w:pPr>
        <w:pBdr>
          <w:top w:val="nil"/>
          <w:left w:val="nil"/>
          <w:bottom w:val="nil"/>
          <w:right w:val="nil"/>
          <w:between w:val="nil"/>
        </w:pBdr>
        <w:spacing w:line="276" w:lineRule="auto"/>
        <w:ind w:left="720"/>
        <w:jc w:val="both"/>
        <w:rPr>
          <w:rFonts w:ascii="Cambria" w:eastAsia="Cambria" w:hAnsi="Cambria" w:cs="Cambria"/>
          <w:color w:val="000000" w:themeColor="text1"/>
        </w:rPr>
      </w:pPr>
    </w:p>
    <w:p w14:paraId="23C7E0C6" w14:textId="6C24A149" w:rsidR="00C90213" w:rsidRPr="001407FF" w:rsidRDefault="00C90213" w:rsidP="001407FF">
      <w:pPr>
        <w:numPr>
          <w:ilvl w:val="0"/>
          <w:numId w:val="17"/>
        </w:numPr>
        <w:pBdr>
          <w:top w:val="nil"/>
          <w:left w:val="nil"/>
          <w:bottom w:val="nil"/>
          <w:right w:val="nil"/>
          <w:between w:val="nil"/>
        </w:pBdr>
        <w:spacing w:line="276" w:lineRule="auto"/>
        <w:jc w:val="both"/>
        <w:rPr>
          <w:rFonts w:ascii="Cambria" w:eastAsia="Cambria" w:hAnsi="Cambria" w:cs="Cambria"/>
          <w:b/>
          <w:color w:val="000000" w:themeColor="text1"/>
        </w:rPr>
      </w:pPr>
      <w:r w:rsidRPr="001407FF">
        <w:rPr>
          <w:rFonts w:ascii="Cambria" w:eastAsia="Cambria" w:hAnsi="Cambria" w:cs="Cambria"/>
          <w:b/>
          <w:bCs/>
          <w:color w:val="000000" w:themeColor="text1"/>
        </w:rPr>
        <w:t>Access to comprehensive sexual education</w:t>
      </w:r>
    </w:p>
    <w:p w14:paraId="2DB41C40" w14:textId="77777777" w:rsidR="00393729" w:rsidRPr="001407FF" w:rsidRDefault="00393729" w:rsidP="001407FF">
      <w:pPr>
        <w:spacing w:line="276" w:lineRule="auto"/>
        <w:jc w:val="both"/>
        <w:rPr>
          <w:rFonts w:ascii="Cambria" w:eastAsia="Cambria" w:hAnsi="Cambria" w:cs="Cambria"/>
          <w:color w:val="000000" w:themeColor="text1"/>
        </w:rPr>
      </w:pPr>
    </w:p>
    <w:p w14:paraId="71AC8004" w14:textId="11227215" w:rsidR="00393729" w:rsidRPr="001407FF" w:rsidRDefault="00DB0061" w:rsidP="001407FF">
      <w:pPr>
        <w:numPr>
          <w:ilvl w:val="0"/>
          <w:numId w:val="18"/>
        </w:numPr>
        <w:pBdr>
          <w:top w:val="nil"/>
          <w:left w:val="nil"/>
          <w:bottom w:val="nil"/>
          <w:right w:val="nil"/>
          <w:between w:val="nil"/>
        </w:pBdr>
        <w:spacing w:line="276" w:lineRule="auto"/>
        <w:jc w:val="both"/>
        <w:rPr>
          <w:rFonts w:ascii="Cambria" w:eastAsia="Cambria" w:hAnsi="Cambria" w:cs="Cambria"/>
          <w:color w:val="000000" w:themeColor="text1"/>
        </w:rPr>
      </w:pPr>
      <w:r w:rsidRPr="00C57EBC">
        <w:rPr>
          <w:rFonts w:ascii="Cambria" w:eastAsia="Cambria" w:hAnsi="Cambria" w:cs="Cambria"/>
          <w:i/>
          <w:iCs/>
          <w:color w:val="000000" w:themeColor="text1"/>
        </w:rPr>
        <w:t>Implement</w:t>
      </w:r>
      <w:r w:rsidRPr="001407FF">
        <w:rPr>
          <w:rFonts w:ascii="Cambria" w:eastAsia="Cambria" w:hAnsi="Cambria" w:cs="Cambria"/>
          <w:color w:val="000000" w:themeColor="text1"/>
        </w:rPr>
        <w:t xml:space="preserve"> comprehensive sexual education as part of a national policy with the status of law in Peru. Promote and disseminate awareness campaigns on the importance of CSE.</w:t>
      </w:r>
    </w:p>
    <w:p w14:paraId="622534A9" w14:textId="3844BDAD" w:rsidR="00C90213" w:rsidRPr="001407FF" w:rsidRDefault="00C17A87" w:rsidP="001407FF">
      <w:pPr>
        <w:numPr>
          <w:ilvl w:val="0"/>
          <w:numId w:val="18"/>
        </w:numPr>
        <w:pBdr>
          <w:top w:val="nil"/>
          <w:left w:val="nil"/>
          <w:bottom w:val="nil"/>
          <w:right w:val="nil"/>
          <w:between w:val="nil"/>
        </w:pBdr>
        <w:spacing w:line="276" w:lineRule="auto"/>
        <w:jc w:val="both"/>
        <w:rPr>
          <w:rFonts w:ascii="Cambria" w:eastAsia="Cambria" w:hAnsi="Cambria" w:cs="Cambria"/>
          <w:color w:val="000000" w:themeColor="text1"/>
        </w:rPr>
      </w:pPr>
      <w:r w:rsidRPr="00C57EBC">
        <w:rPr>
          <w:rFonts w:ascii="Cambria" w:eastAsia="Cambria" w:hAnsi="Cambria" w:cs="Cambria"/>
          <w:i/>
          <w:iCs/>
          <w:color w:val="000000" w:themeColor="text1"/>
        </w:rPr>
        <w:t>Promote</w:t>
      </w:r>
      <w:r w:rsidR="00C90213" w:rsidRPr="00C57EBC">
        <w:rPr>
          <w:rFonts w:ascii="Cambria" w:eastAsia="Cambria" w:hAnsi="Cambria" w:cs="Cambria"/>
          <w:i/>
          <w:iCs/>
          <w:color w:val="000000" w:themeColor="text1"/>
        </w:rPr>
        <w:t xml:space="preserve"> </w:t>
      </w:r>
      <w:r w:rsidR="00C90213" w:rsidRPr="001407FF">
        <w:rPr>
          <w:rFonts w:ascii="Cambria" w:eastAsia="Cambria" w:hAnsi="Cambria" w:cs="Cambria"/>
          <w:color w:val="000000" w:themeColor="text1"/>
        </w:rPr>
        <w:t xml:space="preserve">and </w:t>
      </w:r>
      <w:r w:rsidR="00C90213" w:rsidRPr="00C57EBC">
        <w:rPr>
          <w:rFonts w:ascii="Cambria" w:eastAsia="Cambria" w:hAnsi="Cambria" w:cs="Cambria"/>
          <w:i/>
          <w:iCs/>
          <w:color w:val="000000" w:themeColor="text1"/>
        </w:rPr>
        <w:t xml:space="preserve">implement </w:t>
      </w:r>
      <w:r w:rsidR="00C90213" w:rsidRPr="001407FF">
        <w:rPr>
          <w:rFonts w:ascii="Cambria" w:eastAsia="Cambria" w:hAnsi="Cambria" w:cs="Cambria"/>
          <w:color w:val="000000" w:themeColor="text1"/>
        </w:rPr>
        <w:t xml:space="preserve">a system to follow up on cases of pregnant students or adolescent mothers to ensure compliance with Law </w:t>
      </w:r>
      <w:r w:rsidR="00C14D98">
        <w:rPr>
          <w:rFonts w:ascii="Cambria" w:eastAsia="Cambria" w:hAnsi="Cambria" w:cs="Cambria"/>
          <w:color w:val="000000" w:themeColor="text1"/>
        </w:rPr>
        <w:t xml:space="preserve">No. </w:t>
      </w:r>
      <w:r w:rsidR="00C90213" w:rsidRPr="001407FF">
        <w:rPr>
          <w:rFonts w:ascii="Cambria" w:eastAsia="Cambria" w:hAnsi="Cambria" w:cs="Cambria"/>
          <w:color w:val="000000" w:themeColor="text1"/>
        </w:rPr>
        <w:t>29600, "Law to Promote the Return to School for Pregnancy and its Regulations," to prevent girls or adolescents stopped their life projects by forced maternity.</w:t>
      </w:r>
    </w:p>
    <w:p w14:paraId="54095804" w14:textId="30EACD78" w:rsidR="00253BEA" w:rsidRPr="001407FF" w:rsidRDefault="00C17A87" w:rsidP="001407FF">
      <w:pPr>
        <w:numPr>
          <w:ilvl w:val="0"/>
          <w:numId w:val="18"/>
        </w:numPr>
        <w:pBdr>
          <w:top w:val="nil"/>
          <w:left w:val="nil"/>
          <w:bottom w:val="nil"/>
          <w:right w:val="nil"/>
          <w:between w:val="nil"/>
        </w:pBdr>
        <w:spacing w:line="276" w:lineRule="auto"/>
        <w:jc w:val="both"/>
        <w:rPr>
          <w:rFonts w:ascii="Cambria" w:eastAsia="Cambria" w:hAnsi="Cambria" w:cs="Cambria"/>
          <w:color w:val="000000" w:themeColor="text1"/>
          <w:u w:val="single"/>
        </w:rPr>
      </w:pPr>
      <w:r w:rsidRPr="00C57EBC">
        <w:rPr>
          <w:rFonts w:ascii="Cambria" w:eastAsia="Cambria" w:hAnsi="Cambria" w:cs="Cambria"/>
          <w:i/>
          <w:iCs/>
          <w:color w:val="000000" w:themeColor="text1"/>
        </w:rPr>
        <w:t xml:space="preserve">Implement </w:t>
      </w:r>
      <w:r w:rsidRPr="001407FF">
        <w:rPr>
          <w:rFonts w:ascii="Cambria" w:eastAsia="Cambria" w:hAnsi="Cambria" w:cs="Cambria"/>
          <w:color w:val="000000" w:themeColor="text1"/>
        </w:rPr>
        <w:t>a specific CSE regulation, determine a sector (whether directorate or sub-directorate) supervising its progress and budget, and monitor the CSE implementation.</w:t>
      </w:r>
    </w:p>
    <w:p w14:paraId="089B4F15" w14:textId="22682335" w:rsidR="00393729" w:rsidRPr="001407FF" w:rsidRDefault="00331E5D" w:rsidP="001407FF">
      <w:pPr>
        <w:pStyle w:val="ListParagraph"/>
        <w:numPr>
          <w:ilvl w:val="0"/>
          <w:numId w:val="24"/>
        </w:numPr>
        <w:pBdr>
          <w:top w:val="nil"/>
          <w:left w:val="nil"/>
          <w:bottom w:val="nil"/>
          <w:right w:val="nil"/>
          <w:between w:val="nil"/>
        </w:pBdr>
        <w:spacing w:line="276" w:lineRule="auto"/>
        <w:jc w:val="both"/>
        <w:rPr>
          <w:rFonts w:ascii="Cambria" w:eastAsia="Cambria" w:hAnsi="Cambria" w:cstheme="minorHAnsi"/>
          <w:color w:val="000000" w:themeColor="text1"/>
        </w:rPr>
      </w:pPr>
      <w:r w:rsidRPr="00C57EBC">
        <w:rPr>
          <w:rFonts w:ascii="Cambria" w:eastAsia="Cambria" w:hAnsi="Cambria" w:cstheme="minorHAnsi"/>
          <w:i/>
          <w:iCs/>
          <w:color w:val="000000" w:themeColor="text1"/>
        </w:rPr>
        <w:t>Implement</w:t>
      </w:r>
      <w:r w:rsidRPr="001407FF">
        <w:rPr>
          <w:rFonts w:ascii="Cambria" w:eastAsia="Cambria" w:hAnsi="Cambria" w:cstheme="minorHAnsi"/>
          <w:color w:val="000000" w:themeColor="text1"/>
        </w:rPr>
        <w:t xml:space="preserve"> the National Curriculum for Basic Education and repeal </w:t>
      </w:r>
      <w:r w:rsidRPr="001407FF">
        <w:rPr>
          <w:rFonts w:ascii="Cambria" w:eastAsia="Cambria" w:hAnsi="Cambria" w:cs="Cambria"/>
          <w:color w:val="000000" w:themeColor="text1"/>
        </w:rPr>
        <w:t>N</w:t>
      </w:r>
      <w:r w:rsidR="00C57EBC">
        <w:rPr>
          <w:rFonts w:ascii="Cambria" w:eastAsia="Cambria" w:hAnsi="Cambria" w:cs="Cambria"/>
          <w:color w:val="000000" w:themeColor="text1"/>
        </w:rPr>
        <w:t>o.</w:t>
      </w:r>
      <w:r w:rsidRPr="001407FF">
        <w:rPr>
          <w:rFonts w:ascii="Cambria" w:eastAsia="Cambria" w:hAnsi="Cambria" w:cstheme="minorHAnsi"/>
          <w:color w:val="000000" w:themeColor="text1"/>
        </w:rPr>
        <w:t xml:space="preserve"> 31498 for being unconstitutional and undermining comprehensive sexual education.</w:t>
      </w:r>
    </w:p>
    <w:p w14:paraId="49359C70" w14:textId="0149979E" w:rsidR="00393729" w:rsidRPr="00C57EBC" w:rsidRDefault="00C90213" w:rsidP="00C57EBC">
      <w:pPr>
        <w:numPr>
          <w:ilvl w:val="0"/>
          <w:numId w:val="24"/>
        </w:numPr>
        <w:pBdr>
          <w:top w:val="nil"/>
          <w:left w:val="nil"/>
          <w:bottom w:val="nil"/>
          <w:right w:val="nil"/>
          <w:between w:val="nil"/>
        </w:pBdr>
        <w:spacing w:line="276" w:lineRule="auto"/>
        <w:jc w:val="both"/>
        <w:rPr>
          <w:rFonts w:ascii="Cambria" w:eastAsia="Cambria" w:hAnsi="Cambria" w:cstheme="minorHAnsi"/>
          <w:color w:val="000000" w:themeColor="text1"/>
        </w:rPr>
      </w:pPr>
      <w:r w:rsidRPr="00C57EBC">
        <w:rPr>
          <w:rFonts w:ascii="Cambria" w:eastAsia="Cambria" w:hAnsi="Cambria" w:cs="Cambria"/>
          <w:i/>
          <w:iCs/>
          <w:color w:val="000000" w:themeColor="text1"/>
        </w:rPr>
        <w:t xml:space="preserve">Develop </w:t>
      </w:r>
      <w:r w:rsidRPr="001407FF">
        <w:rPr>
          <w:rFonts w:ascii="Cambria" w:eastAsia="Cambria" w:hAnsi="Cambria" w:cs="Cambria"/>
          <w:color w:val="000000" w:themeColor="text1"/>
        </w:rPr>
        <w:t>a training plan for teachers in all modalities covering the Initial, Primary, and Secondary levels of the National Curriculum for Basic Education content.</w:t>
      </w:r>
    </w:p>
    <w:p w14:paraId="28BF5D4A" w14:textId="77777777" w:rsidR="00393729" w:rsidRPr="001407FF" w:rsidRDefault="00393729" w:rsidP="001407FF">
      <w:pPr>
        <w:spacing w:line="276" w:lineRule="auto"/>
        <w:jc w:val="both"/>
        <w:rPr>
          <w:rFonts w:ascii="Cambria" w:eastAsia="Cambria" w:hAnsi="Cambria" w:cs="Cambria"/>
          <w:color w:val="000000" w:themeColor="text1"/>
        </w:rPr>
      </w:pPr>
    </w:p>
    <w:p w14:paraId="58848A8C" w14:textId="06819E43" w:rsidR="006430C7" w:rsidRPr="001407FF" w:rsidRDefault="006430C7" w:rsidP="001407FF">
      <w:pPr>
        <w:numPr>
          <w:ilvl w:val="0"/>
          <w:numId w:val="17"/>
        </w:numPr>
        <w:pBdr>
          <w:top w:val="nil"/>
          <w:left w:val="nil"/>
          <w:bottom w:val="nil"/>
          <w:right w:val="nil"/>
          <w:between w:val="nil"/>
        </w:pBdr>
        <w:spacing w:line="276" w:lineRule="auto"/>
        <w:jc w:val="both"/>
        <w:rPr>
          <w:rFonts w:ascii="Cambria" w:eastAsia="Cambria" w:hAnsi="Cambria" w:cs="Cambria"/>
          <w:b/>
          <w:color w:val="000000" w:themeColor="text1"/>
        </w:rPr>
      </w:pPr>
      <w:r w:rsidRPr="001407FF">
        <w:rPr>
          <w:rFonts w:ascii="Cambria" w:eastAsia="Cambria" w:hAnsi="Cambria" w:cs="Cambria"/>
          <w:b/>
          <w:iCs/>
          <w:color w:val="000000" w:themeColor="text1"/>
        </w:rPr>
        <w:t>Access to abortion and decriminalization of abortion</w:t>
      </w:r>
    </w:p>
    <w:p w14:paraId="26EB5C55" w14:textId="77777777" w:rsidR="00393729" w:rsidRPr="001407FF" w:rsidRDefault="00393729" w:rsidP="001407FF">
      <w:pPr>
        <w:spacing w:line="276" w:lineRule="auto"/>
        <w:jc w:val="both"/>
        <w:rPr>
          <w:rFonts w:ascii="Cambria" w:eastAsia="Cambria" w:hAnsi="Cambria" w:cs="Cambria"/>
          <w:color w:val="000000" w:themeColor="text1"/>
        </w:rPr>
      </w:pPr>
    </w:p>
    <w:p w14:paraId="03D42DBA" w14:textId="12900594" w:rsidR="006430C7" w:rsidRPr="001407FF" w:rsidRDefault="006430C7" w:rsidP="001407FF">
      <w:pPr>
        <w:pStyle w:val="ListParagraph"/>
        <w:numPr>
          <w:ilvl w:val="0"/>
          <w:numId w:val="18"/>
        </w:numPr>
        <w:pBdr>
          <w:top w:val="nil"/>
          <w:left w:val="nil"/>
          <w:bottom w:val="nil"/>
          <w:right w:val="nil"/>
          <w:between w:val="nil"/>
        </w:pBdr>
        <w:spacing w:line="276" w:lineRule="auto"/>
        <w:jc w:val="both"/>
        <w:rPr>
          <w:rFonts w:ascii="Cambria" w:eastAsia="Cambria" w:hAnsi="Cambria" w:cs="Cambria"/>
          <w:bCs/>
          <w:iCs/>
          <w:color w:val="000000" w:themeColor="text1"/>
        </w:rPr>
      </w:pPr>
      <w:r w:rsidRPr="001407FF">
        <w:rPr>
          <w:rFonts w:ascii="Cambria" w:eastAsia="Cambria" w:hAnsi="Cambria" w:cs="Cambria"/>
          <w:bCs/>
          <w:iCs/>
          <w:color w:val="000000" w:themeColor="text1"/>
        </w:rPr>
        <w:t>The Peruvian State should strengthen training healthcare workers on sexual and reproductive health, considering gender and intercultural approaches.</w:t>
      </w:r>
      <w:r w:rsidRPr="00C57EBC">
        <w:rPr>
          <w:rFonts w:ascii="Cambria" w:eastAsia="Cambria" w:hAnsi="Cambria" w:cs="Cambria"/>
          <w:bCs/>
          <w:i/>
          <w:iCs/>
          <w:color w:val="000000" w:themeColor="text1"/>
        </w:rPr>
        <w:t xml:space="preserve"> </w:t>
      </w:r>
      <w:r w:rsidRPr="00C57EBC">
        <w:rPr>
          <w:rFonts w:ascii="Cambria" w:eastAsia="Cambria" w:hAnsi="Cambria" w:cstheme="minorHAnsi"/>
          <w:i/>
          <w:iCs/>
          <w:color w:val="000000" w:themeColor="text1"/>
        </w:rPr>
        <w:t>Ensure</w:t>
      </w:r>
      <w:r w:rsidRPr="001407FF">
        <w:rPr>
          <w:rFonts w:ascii="Cambria" w:eastAsia="Cambria" w:hAnsi="Cambria" w:cstheme="minorHAnsi"/>
          <w:color w:val="000000" w:themeColor="text1"/>
        </w:rPr>
        <w:t xml:space="preserve"> access to confidential and friendly sexual and reproductive health services with a gender, intersectional approach to girls and adolescents</w:t>
      </w:r>
    </w:p>
    <w:p w14:paraId="611ED5C2" w14:textId="0115A220" w:rsidR="00253BEA" w:rsidRPr="001407FF" w:rsidRDefault="00253BEA" w:rsidP="001407FF">
      <w:pPr>
        <w:numPr>
          <w:ilvl w:val="0"/>
          <w:numId w:val="18"/>
        </w:numPr>
        <w:pBdr>
          <w:top w:val="nil"/>
          <w:left w:val="nil"/>
          <w:bottom w:val="nil"/>
          <w:right w:val="nil"/>
          <w:between w:val="nil"/>
        </w:pBdr>
        <w:spacing w:line="276" w:lineRule="auto"/>
        <w:jc w:val="both"/>
        <w:rPr>
          <w:rFonts w:ascii="Cambria" w:eastAsia="Cambria" w:hAnsi="Cambria" w:cs="Cambria"/>
          <w:color w:val="000000" w:themeColor="text1"/>
        </w:rPr>
      </w:pPr>
      <w:r w:rsidRPr="001407FF">
        <w:rPr>
          <w:rFonts w:ascii="Cambria" w:eastAsia="Cambria" w:hAnsi="Cambria" w:cs="Cambria"/>
          <w:color w:val="000000" w:themeColor="text1"/>
        </w:rPr>
        <w:t xml:space="preserve">The Peruvian State should decriminalize abortion in all cases where pregnancy results from rape, incest, and cases of severe fetal abnormality, as was recommended by treaty bodies such Human Rights Committee in the case </w:t>
      </w:r>
      <w:r w:rsidRPr="00C57EBC">
        <w:rPr>
          <w:rFonts w:ascii="Cambria" w:eastAsia="Cambria" w:hAnsi="Cambria" w:cs="Cambria"/>
          <w:i/>
          <w:iCs/>
          <w:color w:val="000000" w:themeColor="text1"/>
        </w:rPr>
        <w:t>K.L v. Peru</w:t>
      </w:r>
      <w:r w:rsidRPr="001407FF">
        <w:rPr>
          <w:rFonts w:ascii="Cambria" w:eastAsia="Cambria" w:hAnsi="Cambria" w:cs="Cambria"/>
          <w:color w:val="000000" w:themeColor="text1"/>
        </w:rPr>
        <w:t xml:space="preserve"> (2005), Committee on the Elimination of Discrimination against Women in the case </w:t>
      </w:r>
      <w:r w:rsidRPr="00C57EBC">
        <w:rPr>
          <w:rFonts w:ascii="Cambria" w:eastAsia="Cambria" w:hAnsi="Cambria" w:cs="Cambria"/>
          <w:i/>
          <w:iCs/>
          <w:color w:val="000000" w:themeColor="text1"/>
        </w:rPr>
        <w:t>L.C v. Peru</w:t>
      </w:r>
      <w:r w:rsidRPr="001407FF">
        <w:rPr>
          <w:rFonts w:ascii="Cambria" w:eastAsia="Cambria" w:hAnsi="Cambria" w:cs="Cambria"/>
          <w:color w:val="000000" w:themeColor="text1"/>
        </w:rPr>
        <w:t xml:space="preserve"> (2011), Committee on the Rights of the Child in the case </w:t>
      </w:r>
      <w:r w:rsidRPr="00C57EBC">
        <w:rPr>
          <w:rFonts w:ascii="Cambria" w:eastAsia="Cambria" w:hAnsi="Cambria" w:cs="Cambria"/>
          <w:i/>
          <w:iCs/>
          <w:color w:val="000000" w:themeColor="text1"/>
        </w:rPr>
        <w:t>Camila v. Peru</w:t>
      </w:r>
      <w:r w:rsidRPr="001407FF">
        <w:rPr>
          <w:rFonts w:ascii="Cambria" w:eastAsia="Cambria" w:hAnsi="Cambria" w:cs="Cambria"/>
          <w:color w:val="000000" w:themeColor="text1"/>
        </w:rPr>
        <w:t xml:space="preserve"> (2023)</w:t>
      </w:r>
      <w:r w:rsidR="007771A1">
        <w:rPr>
          <w:rFonts w:ascii="Cambria" w:eastAsia="Cambria" w:hAnsi="Cambria" w:cs="Cambria"/>
          <w:color w:val="000000" w:themeColor="text1"/>
        </w:rPr>
        <w:t>.</w:t>
      </w:r>
      <w:r w:rsidRPr="001407FF">
        <w:rPr>
          <w:rFonts w:ascii="Cambria" w:eastAsia="Cambria" w:hAnsi="Cambria" w:cs="Cambria"/>
          <w:color w:val="000000" w:themeColor="text1"/>
        </w:rPr>
        <w:t xml:space="preserve"> </w:t>
      </w:r>
    </w:p>
    <w:p w14:paraId="7196488D" w14:textId="165F4D22" w:rsidR="00393729" w:rsidRPr="001407FF" w:rsidRDefault="00C93E48" w:rsidP="001407FF">
      <w:pPr>
        <w:numPr>
          <w:ilvl w:val="0"/>
          <w:numId w:val="18"/>
        </w:numPr>
        <w:pBdr>
          <w:top w:val="nil"/>
          <w:left w:val="nil"/>
          <w:bottom w:val="nil"/>
          <w:right w:val="nil"/>
          <w:between w:val="nil"/>
        </w:pBdr>
        <w:spacing w:line="276" w:lineRule="auto"/>
        <w:jc w:val="both"/>
        <w:rPr>
          <w:rFonts w:ascii="Cambria" w:eastAsia="Cambria" w:hAnsi="Cambria" w:cs="Cambria"/>
          <w:color w:val="000000" w:themeColor="text1"/>
        </w:rPr>
      </w:pPr>
      <w:r w:rsidRPr="007771A1">
        <w:rPr>
          <w:rFonts w:ascii="Cambria" w:eastAsia="Cambria" w:hAnsi="Cambria" w:cs="Cambria"/>
          <w:i/>
          <w:iCs/>
          <w:color w:val="000000" w:themeColor="text1"/>
        </w:rPr>
        <w:t xml:space="preserve">Amend </w:t>
      </w:r>
      <w:r w:rsidRPr="001407FF">
        <w:rPr>
          <w:rFonts w:ascii="Cambria" w:eastAsia="Cambria" w:hAnsi="Cambria" w:cs="Cambria"/>
          <w:color w:val="000000" w:themeColor="text1"/>
        </w:rPr>
        <w:t xml:space="preserve">the Technical Guide and </w:t>
      </w:r>
      <w:r w:rsidRPr="007771A1">
        <w:rPr>
          <w:rFonts w:ascii="Cambria" w:eastAsia="Cambria" w:hAnsi="Cambria" w:cs="Cambria"/>
          <w:i/>
          <w:iCs/>
          <w:color w:val="000000" w:themeColor="text1"/>
        </w:rPr>
        <w:t>develop</w:t>
      </w:r>
      <w:r w:rsidRPr="001407FF">
        <w:rPr>
          <w:rFonts w:ascii="Cambria" w:eastAsia="Cambria" w:hAnsi="Cambria" w:cs="Cambria"/>
          <w:color w:val="000000" w:themeColor="text1"/>
        </w:rPr>
        <w:t xml:space="preserve"> comprehensive health care protocols for teenagers with unintended pregnancies, taking into account the risk to the life or health of the girls and adolescents. </w:t>
      </w:r>
      <w:r w:rsidRPr="007771A1">
        <w:rPr>
          <w:rFonts w:ascii="Cambria" w:eastAsia="Cambria" w:hAnsi="Cambria" w:cs="Cambria"/>
          <w:i/>
          <w:iCs/>
          <w:color w:val="000000" w:themeColor="text1"/>
        </w:rPr>
        <w:t>Establish</w:t>
      </w:r>
      <w:r w:rsidRPr="001407FF">
        <w:rPr>
          <w:rFonts w:ascii="Cambria" w:eastAsia="Cambria" w:hAnsi="Cambria" w:cs="Cambria"/>
          <w:color w:val="000000" w:themeColor="text1"/>
        </w:rPr>
        <w:t xml:space="preserve"> a clear and prompt remedy for failures to abide by the procedures set out in the Technical Handbook for access to induced abortion and complying with the provisions set by the Committee on the Rights of the Child. </w:t>
      </w:r>
      <w:r w:rsidR="006430C7" w:rsidRPr="001407FF">
        <w:rPr>
          <w:rFonts w:ascii="Cambria" w:eastAsia="Cambria" w:hAnsi="Cambria" w:cs="Cambria"/>
          <w:color w:val="000000" w:themeColor="text1"/>
        </w:rPr>
        <w:t xml:space="preserve"> </w:t>
      </w:r>
    </w:p>
    <w:p w14:paraId="2D6A41DC" w14:textId="77777777" w:rsidR="00393729" w:rsidRPr="001407FF" w:rsidRDefault="00393729" w:rsidP="001407FF">
      <w:pPr>
        <w:spacing w:line="276" w:lineRule="auto"/>
        <w:jc w:val="both"/>
        <w:rPr>
          <w:rFonts w:ascii="Cambria" w:eastAsia="Cambria" w:hAnsi="Cambria" w:cs="Cambria"/>
          <w:color w:val="000000" w:themeColor="text1"/>
        </w:rPr>
      </w:pPr>
    </w:p>
    <w:p w14:paraId="606D597B" w14:textId="77777777" w:rsidR="00393729" w:rsidRPr="001407FF" w:rsidRDefault="00393729" w:rsidP="001407FF">
      <w:pPr>
        <w:spacing w:line="276" w:lineRule="auto"/>
        <w:jc w:val="both"/>
        <w:rPr>
          <w:rFonts w:ascii="Cambria" w:eastAsia="Cambria" w:hAnsi="Cambria" w:cs="Cambria"/>
          <w:color w:val="000000" w:themeColor="text1"/>
        </w:rPr>
      </w:pPr>
    </w:p>
    <w:p w14:paraId="5E0EA53D" w14:textId="77777777" w:rsidR="00393729" w:rsidRPr="001407FF" w:rsidRDefault="00393729" w:rsidP="001407FF">
      <w:pPr>
        <w:spacing w:line="276" w:lineRule="auto"/>
        <w:jc w:val="both"/>
        <w:rPr>
          <w:rFonts w:ascii="Cambria" w:eastAsia="Cambria" w:hAnsi="Cambria" w:cs="Cambria"/>
          <w:strike/>
          <w:color w:val="000000" w:themeColor="text1"/>
        </w:rPr>
      </w:pPr>
    </w:p>
    <w:p w14:paraId="000000B3" w14:textId="77777777" w:rsidR="00546420" w:rsidRDefault="00546420" w:rsidP="001407FF">
      <w:pPr>
        <w:spacing w:line="276" w:lineRule="auto"/>
        <w:jc w:val="both"/>
        <w:rPr>
          <w:rFonts w:ascii="Cambria" w:eastAsia="Cambria" w:hAnsi="Cambria" w:cs="Cambria"/>
          <w:strike/>
          <w:color w:val="000000" w:themeColor="text1"/>
        </w:rPr>
      </w:pPr>
    </w:p>
    <w:p w14:paraId="189560FC" w14:textId="77777777" w:rsidR="00C7180F" w:rsidRDefault="00C7180F" w:rsidP="001407FF">
      <w:pPr>
        <w:spacing w:line="276" w:lineRule="auto"/>
        <w:jc w:val="both"/>
        <w:rPr>
          <w:rFonts w:ascii="Cambria" w:eastAsia="Cambria" w:hAnsi="Cambria" w:cs="Cambria"/>
          <w:strike/>
          <w:color w:val="000000" w:themeColor="text1"/>
        </w:rPr>
      </w:pPr>
    </w:p>
    <w:p w14:paraId="1E9F6FD0" w14:textId="77777777" w:rsidR="00C14D98" w:rsidRDefault="00C14D98" w:rsidP="001407FF">
      <w:pPr>
        <w:spacing w:line="276" w:lineRule="auto"/>
        <w:jc w:val="both"/>
        <w:rPr>
          <w:rFonts w:ascii="Cambria" w:eastAsia="Cambria" w:hAnsi="Cambria" w:cs="Cambria"/>
          <w:strike/>
          <w:color w:val="000000" w:themeColor="text1"/>
        </w:rPr>
      </w:pPr>
    </w:p>
    <w:p w14:paraId="3379A1B5" w14:textId="77777777" w:rsidR="00C7180F" w:rsidRDefault="00C7180F" w:rsidP="001407FF">
      <w:pPr>
        <w:spacing w:line="276" w:lineRule="auto"/>
        <w:jc w:val="both"/>
        <w:rPr>
          <w:rFonts w:ascii="Cambria" w:eastAsia="Cambria" w:hAnsi="Cambria" w:cs="Cambria"/>
          <w:strike/>
          <w:color w:val="000000" w:themeColor="text1"/>
        </w:rPr>
      </w:pPr>
    </w:p>
    <w:p w14:paraId="22F23E02" w14:textId="77777777" w:rsidR="00C7180F" w:rsidRPr="001407FF" w:rsidRDefault="00C7180F" w:rsidP="001407FF">
      <w:pPr>
        <w:spacing w:line="276" w:lineRule="auto"/>
        <w:jc w:val="both"/>
        <w:rPr>
          <w:rFonts w:ascii="Cambria" w:eastAsia="Cambria" w:hAnsi="Cambria" w:cs="Cambria"/>
          <w:strike/>
          <w:color w:val="000000" w:themeColor="text1"/>
        </w:rPr>
      </w:pPr>
    </w:p>
    <w:sectPr w:rsidR="00C7180F" w:rsidRPr="001407FF">
      <w:head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B7234" w14:textId="77777777" w:rsidR="00A57892" w:rsidRDefault="00A57892">
      <w:r>
        <w:separator/>
      </w:r>
    </w:p>
  </w:endnote>
  <w:endnote w:type="continuationSeparator" w:id="0">
    <w:p w14:paraId="55F29EC0" w14:textId="77777777" w:rsidR="00A57892" w:rsidRDefault="00A57892">
      <w:r>
        <w:continuationSeparator/>
      </w:r>
    </w:p>
  </w:endnote>
  <w:endnote w:id="1">
    <w:p w14:paraId="130AE38C" w14:textId="0F405487" w:rsidR="00EE2CAC" w:rsidRPr="00EE2CAC" w:rsidRDefault="00EE2CAC" w:rsidP="00EE2CAC">
      <w:pPr>
        <w:pStyle w:val="NoSpacing"/>
        <w:jc w:val="both"/>
        <w:rPr>
          <w:rFonts w:ascii="Cambria" w:hAnsi="Cambria"/>
          <w:color w:val="000000" w:themeColor="text1"/>
          <w:sz w:val="16"/>
          <w:szCs w:val="16"/>
        </w:rPr>
      </w:pPr>
      <w:r>
        <w:rPr>
          <w:rStyle w:val="EndnoteReference"/>
        </w:rPr>
        <w:endnoteRef/>
      </w:r>
      <w:r>
        <w:t xml:space="preserve"> </w:t>
      </w:r>
      <w:r w:rsidRPr="0015217C">
        <w:rPr>
          <w:rFonts w:ascii="Cambria" w:hAnsi="Cambria"/>
          <w:color w:val="000000" w:themeColor="text1"/>
          <w:sz w:val="16"/>
          <w:szCs w:val="16"/>
        </w:rPr>
        <w:t xml:space="preserve">The </w:t>
      </w:r>
      <w:r w:rsidRPr="00C7180F">
        <w:rPr>
          <w:rFonts w:ascii="Cambria" w:hAnsi="Cambria"/>
          <w:b/>
          <w:bCs/>
          <w:color w:val="000000" w:themeColor="text1"/>
          <w:sz w:val="16"/>
          <w:szCs w:val="16"/>
        </w:rPr>
        <w:t>Manuela Ramos</w:t>
      </w:r>
      <w:r w:rsidRPr="0015217C">
        <w:rPr>
          <w:rFonts w:ascii="Cambria" w:hAnsi="Cambria"/>
          <w:color w:val="000000" w:themeColor="text1"/>
          <w:sz w:val="16"/>
          <w:szCs w:val="16"/>
        </w:rPr>
        <w:t xml:space="preserve"> Movement is a Peruvian feminist organization that has been working since 1978 for the rights of women in Peru. </w:t>
      </w:r>
    </w:p>
  </w:endnote>
  <w:endnote w:id="2">
    <w:p w14:paraId="4ABC57B6" w14:textId="108BA8A9" w:rsidR="00EE2CAC" w:rsidRDefault="00EE2CAC" w:rsidP="00C7180F">
      <w:pPr>
        <w:pStyle w:val="FootnoteText"/>
        <w:ind w:left="540" w:hanging="540"/>
        <w:jc w:val="both"/>
      </w:pPr>
      <w:r>
        <w:rPr>
          <w:rStyle w:val="EndnoteReference"/>
        </w:rPr>
        <w:endnoteRef/>
      </w:r>
      <w:r>
        <w:t xml:space="preserve"> </w:t>
      </w:r>
      <w:r w:rsidRPr="00C7180F">
        <w:rPr>
          <w:rFonts w:ascii="Cambria" w:hAnsi="Cambria"/>
          <w:b/>
          <w:bCs/>
          <w:sz w:val="16"/>
          <w:szCs w:val="16"/>
        </w:rPr>
        <w:t>Alianza SÍ Podemos</w:t>
      </w:r>
      <w:r w:rsidRPr="0015217C">
        <w:rPr>
          <w:rFonts w:ascii="Cambria" w:hAnsi="Cambria"/>
          <w:sz w:val="16"/>
          <w:szCs w:val="16"/>
        </w:rPr>
        <w:t xml:space="preserve"> (ASP) por la Educación Sexual Integral (ASP) is an inter-institutional network created to influence and monitor the implementation of Comprehensive Sexual Education (ESI) as a public policy that responds to the universal right to quality education. It is a civil society articulation composed of several civil society organizations and individuals, including Manuela Ramos, Centro de la Mujer Flora Tristán, Instituto Peruano de Paternidad Responsable (INPPARES), Centro de Estudios de Problemas Económicos y sociales de la Juventud (CEPESJU), Foro Educativo, Centro de Investigación en Religión y Política (CIERP), Asociación KALLPA, Red IQ,</w:t>
      </w:r>
      <w:r w:rsidR="00C14D98">
        <w:rPr>
          <w:rFonts w:ascii="Cambria" w:hAnsi="Cambria"/>
          <w:sz w:val="16"/>
          <w:szCs w:val="16"/>
        </w:rPr>
        <w:t xml:space="preserve"> </w:t>
      </w:r>
      <w:r w:rsidRPr="0015217C">
        <w:rPr>
          <w:rFonts w:ascii="Cambria" w:hAnsi="Cambria"/>
          <w:sz w:val="16"/>
          <w:szCs w:val="16"/>
        </w:rPr>
        <w:t>CRESIENDO, Quinta Ola.</w:t>
      </w:r>
    </w:p>
  </w:endnote>
  <w:endnote w:id="3">
    <w:p w14:paraId="2D070B2B" w14:textId="315EB1AB" w:rsidR="00EE2CAC" w:rsidRPr="00C14D98" w:rsidRDefault="00EE2CAC" w:rsidP="005928E0">
      <w:pPr>
        <w:pStyle w:val="EndnoteText"/>
        <w:jc w:val="both"/>
        <w:rPr>
          <w:rFonts w:ascii="Cambria" w:hAnsi="Cambria"/>
          <w:sz w:val="16"/>
          <w:szCs w:val="16"/>
        </w:rPr>
      </w:pPr>
      <w:r w:rsidRPr="00C14D98">
        <w:rPr>
          <w:rStyle w:val="EndnoteReference"/>
          <w:rFonts w:ascii="Cambria" w:hAnsi="Cambria"/>
          <w:sz w:val="16"/>
          <w:szCs w:val="16"/>
        </w:rPr>
        <w:endnoteRef/>
      </w:r>
      <w:r w:rsidRPr="00C14D98">
        <w:rPr>
          <w:rFonts w:ascii="Cambria" w:hAnsi="Cambria"/>
          <w:sz w:val="16"/>
          <w:szCs w:val="16"/>
        </w:rPr>
        <w:t xml:space="preserve"> </w:t>
      </w:r>
      <w:r w:rsidR="00C14D98" w:rsidRPr="00C14D98">
        <w:rPr>
          <w:rFonts w:ascii="Cambria" w:hAnsi="Cambria"/>
          <w:sz w:val="16"/>
          <w:szCs w:val="16"/>
        </w:rPr>
        <w:t>Elida Guerra elaborated on this report as a request for Manuela Ramos.</w:t>
      </w:r>
    </w:p>
  </w:endnote>
  <w:endnote w:id="4">
    <w:p w14:paraId="76C7DDA6" w14:textId="27A102EE" w:rsidR="00EE2CAC" w:rsidRPr="00EE2CAC" w:rsidRDefault="00EE2CAC" w:rsidP="00C14D98">
      <w:pPr>
        <w:pStyle w:val="NoSpacing"/>
        <w:ind w:left="540" w:hanging="540"/>
        <w:jc w:val="both"/>
        <w:rPr>
          <w:rFonts w:ascii="Cambria" w:hAnsi="Cambria"/>
          <w:color w:val="000000" w:themeColor="text1"/>
          <w:sz w:val="16"/>
          <w:szCs w:val="16"/>
        </w:rPr>
      </w:pPr>
      <w:r>
        <w:rPr>
          <w:rStyle w:val="EndnoteReference"/>
        </w:rPr>
        <w:endnoteRef/>
      </w:r>
      <w:r>
        <w:t xml:space="preserve"> </w:t>
      </w:r>
      <w:r w:rsidRPr="001407FF">
        <w:rPr>
          <w:rFonts w:ascii="Cambria" w:hAnsi="Cambria"/>
          <w:color w:val="000000" w:themeColor="text1"/>
          <w:sz w:val="16"/>
          <w:szCs w:val="16"/>
        </w:rPr>
        <w:t xml:space="preserve">Committee on the Rights of the Child (CRC). Concluding Observations (2016), </w:t>
      </w:r>
      <w:r w:rsidRPr="007F3B43">
        <w:rPr>
          <w:rFonts w:ascii="Cambria" w:hAnsi="Cambria"/>
          <w:i/>
          <w:iCs/>
          <w:color w:val="000000" w:themeColor="text1"/>
          <w:sz w:val="16"/>
          <w:szCs w:val="16"/>
        </w:rPr>
        <w:t>UN Doc. No. CRC/C/PER/CO/4-5</w:t>
      </w:r>
      <w:r w:rsidRPr="001407FF">
        <w:rPr>
          <w:rFonts w:ascii="Cambria" w:hAnsi="Cambria"/>
          <w:color w:val="000000" w:themeColor="text1"/>
          <w:sz w:val="16"/>
          <w:szCs w:val="16"/>
        </w:rPr>
        <w:t xml:space="preserve"> [hereinafter, “Concluding Observations (2016)”].  </w:t>
      </w:r>
    </w:p>
  </w:endnote>
  <w:endnote w:id="5">
    <w:p w14:paraId="5F103C17" w14:textId="39EE8B26" w:rsidR="00EE2CAC" w:rsidRPr="00EE2CAC" w:rsidRDefault="00EE2CAC" w:rsidP="00C14D98">
      <w:pPr>
        <w:pStyle w:val="NoSpacing"/>
        <w:ind w:left="540" w:hanging="540"/>
        <w:jc w:val="both"/>
        <w:rPr>
          <w:rFonts w:ascii="Cambria" w:hAnsi="Cambria"/>
          <w:color w:val="000000" w:themeColor="text1"/>
          <w:sz w:val="16"/>
          <w:szCs w:val="16"/>
        </w:rPr>
      </w:pPr>
      <w:r>
        <w:rPr>
          <w:rStyle w:val="EndnoteReference"/>
        </w:rPr>
        <w:endnoteRef/>
      </w:r>
      <w:r>
        <w:t xml:space="preserve"> </w:t>
      </w:r>
      <w:r w:rsidRPr="001407FF">
        <w:rPr>
          <w:rFonts w:ascii="Cambria" w:hAnsi="Cambria"/>
          <w:color w:val="000000" w:themeColor="text1"/>
          <w:sz w:val="16"/>
          <w:szCs w:val="16"/>
        </w:rPr>
        <w:t xml:space="preserve">Committee on the Rights of the Child (CRC). List of issues (2021), </w:t>
      </w:r>
      <w:hyperlink r:id="rId1" w:history="1">
        <w:r w:rsidRPr="007F3B43">
          <w:rPr>
            <w:rStyle w:val="Hyperlink"/>
            <w:rFonts w:ascii="Cambria" w:hAnsi="Cambria"/>
            <w:i/>
            <w:iCs/>
            <w:color w:val="000000" w:themeColor="text1"/>
            <w:sz w:val="16"/>
            <w:szCs w:val="16"/>
          </w:rPr>
          <w:t>UN Doc. CRC/C/PER/QPR/6-7</w:t>
        </w:r>
      </w:hyperlink>
      <w:r w:rsidRPr="007F3B43">
        <w:rPr>
          <w:rFonts w:ascii="Cambria" w:hAnsi="Cambria"/>
          <w:i/>
          <w:iCs/>
          <w:color w:val="000000" w:themeColor="text1"/>
          <w:sz w:val="16"/>
          <w:szCs w:val="16"/>
        </w:rPr>
        <w:t>,</w:t>
      </w:r>
      <w:r w:rsidRPr="001407FF">
        <w:rPr>
          <w:rFonts w:ascii="Cambria" w:hAnsi="Cambria"/>
          <w:color w:val="000000" w:themeColor="text1"/>
          <w:sz w:val="16"/>
          <w:szCs w:val="16"/>
        </w:rPr>
        <w:t xml:space="preserve"> [hereinafter, “List of issues (2021)”]</w:t>
      </w:r>
      <w:r>
        <w:rPr>
          <w:rFonts w:ascii="Cambria" w:hAnsi="Cambria"/>
          <w:color w:val="000000" w:themeColor="text1"/>
          <w:sz w:val="16"/>
          <w:szCs w:val="16"/>
        </w:rPr>
        <w:t xml:space="preserve">, </w:t>
      </w:r>
      <w:r w:rsidRPr="001407FF">
        <w:rPr>
          <w:rFonts w:ascii="Cambria" w:hAnsi="Cambria"/>
          <w:color w:val="000000" w:themeColor="text1"/>
          <w:sz w:val="16"/>
          <w:szCs w:val="16"/>
        </w:rPr>
        <w:t>October 27, 2021.</w:t>
      </w:r>
    </w:p>
  </w:endnote>
  <w:endnote w:id="6">
    <w:p w14:paraId="24008697" w14:textId="4558D7A4" w:rsidR="00EE2CAC" w:rsidRPr="00EE2CAC" w:rsidRDefault="00EE2CAC" w:rsidP="005928E0">
      <w:pPr>
        <w:pStyle w:val="NoSpacing"/>
        <w:jc w:val="both"/>
        <w:rPr>
          <w:rFonts w:ascii="Cambria" w:hAnsi="Cambria"/>
          <w:color w:val="000000" w:themeColor="text1"/>
          <w:sz w:val="16"/>
          <w:szCs w:val="16"/>
        </w:rPr>
      </w:pPr>
      <w:r>
        <w:rPr>
          <w:rStyle w:val="EndnoteReference"/>
        </w:rPr>
        <w:endnoteRef/>
      </w:r>
      <w:r>
        <w:t xml:space="preserve"> </w:t>
      </w:r>
      <w:r w:rsidRPr="001407FF">
        <w:rPr>
          <w:rFonts w:ascii="Cambria" w:hAnsi="Cambria"/>
          <w:color w:val="000000" w:themeColor="text1"/>
          <w:sz w:val="16"/>
          <w:szCs w:val="16"/>
        </w:rPr>
        <w:t xml:space="preserve">Committee on the Rights of the Child (CRC). Concluding Observations (2016). List of issues (2021). </w:t>
      </w:r>
    </w:p>
  </w:endnote>
  <w:endnote w:id="7">
    <w:p w14:paraId="00F3165F" w14:textId="06EC4409" w:rsidR="00EE2CAC" w:rsidRPr="00EE2CAC" w:rsidRDefault="00EE2CAC" w:rsidP="005928E0">
      <w:pPr>
        <w:pStyle w:val="NoSpacing"/>
        <w:jc w:val="both"/>
        <w:rPr>
          <w:rFonts w:ascii="Cambria" w:hAnsi="Cambria"/>
          <w:color w:val="000000" w:themeColor="text1"/>
          <w:sz w:val="16"/>
          <w:szCs w:val="16"/>
        </w:rPr>
      </w:pPr>
      <w:r>
        <w:rPr>
          <w:rStyle w:val="EndnoteReference"/>
        </w:rPr>
        <w:endnoteRef/>
      </w:r>
      <w:r>
        <w:t xml:space="preserve"> </w:t>
      </w:r>
      <w:r w:rsidRPr="001407FF">
        <w:rPr>
          <w:rFonts w:ascii="Cambria" w:hAnsi="Cambria"/>
          <w:color w:val="000000" w:themeColor="text1"/>
          <w:sz w:val="16"/>
          <w:szCs w:val="16"/>
        </w:rPr>
        <w:t>Committee on the Rights of the Child (CRC). List of issues (2021), ¶ 32.</w:t>
      </w:r>
    </w:p>
  </w:endnote>
  <w:endnote w:id="8">
    <w:p w14:paraId="6A73D9BD" w14:textId="4F6507E2" w:rsidR="00EE2CAC" w:rsidRDefault="00EE2CAC" w:rsidP="00C14D9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The Committee recommended the Peruvian State provide data disaggregated on the number of adolescent mothers and the maternal mortality rates among children and adolescents. Committee on the Rights of the Child (CRC). List of issues (2021), ¶ 40 (d).</w:t>
      </w:r>
    </w:p>
  </w:endnote>
  <w:endnote w:id="9">
    <w:p w14:paraId="2F75F763" w14:textId="175C23F3" w:rsidR="00EE2CAC" w:rsidRDefault="00EE2CAC" w:rsidP="005928E0">
      <w:pPr>
        <w:pStyle w:val="EndnoteText"/>
        <w:jc w:val="both"/>
      </w:pPr>
      <w:r>
        <w:rPr>
          <w:rStyle w:val="EndnoteReference"/>
        </w:rPr>
        <w:endnoteRef/>
      </w:r>
      <w:r>
        <w:t xml:space="preserve"> </w:t>
      </w:r>
      <w:r w:rsidRPr="001407FF">
        <w:rPr>
          <w:rFonts w:ascii="Cambria" w:hAnsi="Cambria"/>
          <w:color w:val="000000" w:themeColor="text1"/>
          <w:sz w:val="16"/>
          <w:szCs w:val="16"/>
        </w:rPr>
        <w:t>Committee on the Rights of the Child (CRC). List of issues (2021), ¶ 40 (d).</w:t>
      </w:r>
    </w:p>
  </w:endnote>
  <w:endnote w:id="10">
    <w:p w14:paraId="35F14999" w14:textId="3FD78FF3" w:rsidR="00EE2CAC" w:rsidRDefault="00EE2CAC" w:rsidP="005928E0">
      <w:pPr>
        <w:pStyle w:val="EndnoteText"/>
        <w:jc w:val="both"/>
      </w:pPr>
      <w:r>
        <w:rPr>
          <w:rStyle w:val="EndnoteReference"/>
        </w:rPr>
        <w:endnoteRef/>
      </w:r>
      <w:r>
        <w:t xml:space="preserve"> </w:t>
      </w:r>
      <w:r w:rsidRPr="001407FF">
        <w:rPr>
          <w:rFonts w:ascii="Cambria" w:hAnsi="Cambria"/>
          <w:i/>
          <w:color w:val="000000" w:themeColor="text1"/>
          <w:sz w:val="16"/>
          <w:szCs w:val="16"/>
        </w:rPr>
        <w:t>Id</w:t>
      </w:r>
      <w:r w:rsidRPr="001407FF">
        <w:rPr>
          <w:rFonts w:ascii="Cambria" w:hAnsi="Cambria"/>
          <w:color w:val="000000" w:themeColor="text1"/>
          <w:sz w:val="16"/>
          <w:szCs w:val="16"/>
        </w:rPr>
        <w:t>. ¶ 56 (c).</w:t>
      </w:r>
    </w:p>
  </w:endnote>
  <w:endnote w:id="11">
    <w:p w14:paraId="362AE64C" w14:textId="4567FBA3" w:rsidR="00EE2CAC" w:rsidRDefault="00EE2CAC" w:rsidP="005928E0">
      <w:pPr>
        <w:pStyle w:val="EndnoteText"/>
        <w:jc w:val="both"/>
      </w:pPr>
      <w:r>
        <w:rPr>
          <w:rStyle w:val="EndnoteReference"/>
        </w:rPr>
        <w:endnoteRef/>
      </w:r>
      <w:r>
        <w:t xml:space="preserve"> </w:t>
      </w:r>
      <w:r w:rsidRPr="001407FF">
        <w:rPr>
          <w:rFonts w:ascii="Cambria" w:hAnsi="Cambria"/>
          <w:color w:val="000000" w:themeColor="text1"/>
          <w:sz w:val="16"/>
          <w:szCs w:val="16"/>
        </w:rPr>
        <w:t>Committee on the Rights of the Child (CRC). Concluding Observations (2016), ¶ 56(c).</w:t>
      </w:r>
    </w:p>
  </w:endnote>
  <w:endnote w:id="12">
    <w:p w14:paraId="53F8F7E1" w14:textId="349892D7" w:rsidR="00673DC5" w:rsidRDefault="00673DC5" w:rsidP="00C14D9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Committee on the Elimination of Discrimination against Women (CEDAW). Concluding Observations (2014), ¶ 33; Committee on the Elimination of Racial Discrimination (CERD). Concluding Observations on the combined 22nd and 23rd periodic reports of Peru, adopted its 95th session (23 April -11 May 2018), UN Doc. No. CERD/C/PER/CO/22-23, ¶ 12.</w:t>
      </w:r>
    </w:p>
  </w:endnote>
  <w:endnote w:id="13">
    <w:p w14:paraId="5F512C28" w14:textId="1FEECF40" w:rsidR="00673DC5" w:rsidRDefault="00673DC5" w:rsidP="00C14D98">
      <w:pPr>
        <w:pStyle w:val="EndnoteText"/>
        <w:ind w:left="540" w:hanging="540"/>
        <w:jc w:val="both"/>
      </w:pPr>
      <w:r>
        <w:rPr>
          <w:rStyle w:val="EndnoteReference"/>
        </w:rPr>
        <w:endnoteRef/>
      </w:r>
      <w:r>
        <w:t xml:space="preserve"> </w:t>
      </w:r>
      <w:r w:rsidRPr="00087DB2">
        <w:rPr>
          <w:rFonts w:ascii="Cambria" w:hAnsi="Cambria"/>
          <w:color w:val="000000" w:themeColor="text1"/>
          <w:sz w:val="16"/>
          <w:szCs w:val="16"/>
        </w:rPr>
        <w:t xml:space="preserve">Office of the Ombudsman. </w:t>
      </w:r>
      <w:hyperlink r:id="rId2" w:history="1">
        <w:r w:rsidRPr="00087DB2">
          <w:rPr>
            <w:rStyle w:val="Hyperlink"/>
            <w:rFonts w:ascii="Cambria" w:hAnsi="Cambria"/>
            <w:i/>
            <w:iCs/>
            <w:color w:val="000000" w:themeColor="text1"/>
            <w:sz w:val="16"/>
            <w:szCs w:val="16"/>
          </w:rPr>
          <w:t>“Monitoring women's sexual and reproductive health care services in a health emergency by COVID-19”</w:t>
        </w:r>
      </w:hyperlink>
      <w:r w:rsidRPr="00087DB2">
        <w:rPr>
          <w:rFonts w:ascii="Cambria" w:hAnsi="Cambria"/>
          <w:i/>
          <w:iCs/>
          <w:color w:val="000000" w:themeColor="text1"/>
          <w:sz w:val="16"/>
          <w:szCs w:val="16"/>
        </w:rPr>
        <w:t xml:space="preserve">. </w:t>
      </w:r>
      <w:r w:rsidRPr="00087DB2">
        <w:rPr>
          <w:rFonts w:ascii="Cambria" w:hAnsi="Cambria"/>
          <w:color w:val="000000" w:themeColor="text1"/>
          <w:sz w:val="16"/>
          <w:szCs w:val="16"/>
        </w:rPr>
        <w:t>Report No. 013-2021-DP/ADM, 2021.</w:t>
      </w:r>
    </w:p>
  </w:endnote>
  <w:endnote w:id="14">
    <w:p w14:paraId="2B4633BF" w14:textId="3EA881EE" w:rsidR="00673DC5" w:rsidRDefault="00673DC5" w:rsidP="00C14D98">
      <w:pPr>
        <w:pStyle w:val="EndnoteText"/>
        <w:ind w:left="540" w:hanging="540"/>
        <w:jc w:val="both"/>
      </w:pPr>
      <w:r>
        <w:rPr>
          <w:rStyle w:val="EndnoteReference"/>
        </w:rPr>
        <w:endnoteRef/>
      </w:r>
      <w:r>
        <w:t xml:space="preserve"> </w:t>
      </w:r>
      <w:r>
        <w:rPr>
          <w:rFonts w:ascii="Cambria" w:hAnsi="Cambria"/>
          <w:color w:val="000000" w:themeColor="text1"/>
          <w:sz w:val="16"/>
          <w:szCs w:val="16"/>
        </w:rPr>
        <w:t xml:space="preserve">The </w:t>
      </w:r>
      <w:r w:rsidRPr="001407FF">
        <w:rPr>
          <w:rFonts w:ascii="Cambria" w:hAnsi="Cambria"/>
          <w:color w:val="000000" w:themeColor="text1"/>
          <w:sz w:val="16"/>
          <w:szCs w:val="16"/>
        </w:rPr>
        <w:t xml:space="preserve">Congress </w:t>
      </w:r>
      <w:r>
        <w:rPr>
          <w:rFonts w:ascii="Cambria" w:hAnsi="Cambria"/>
          <w:color w:val="000000" w:themeColor="text1"/>
          <w:sz w:val="16"/>
          <w:szCs w:val="16"/>
        </w:rPr>
        <w:t xml:space="preserve">of the Republic </w:t>
      </w:r>
      <w:r w:rsidRPr="001407FF">
        <w:rPr>
          <w:rFonts w:ascii="Cambria" w:hAnsi="Cambria"/>
          <w:color w:val="000000" w:themeColor="text1"/>
          <w:sz w:val="16"/>
          <w:szCs w:val="16"/>
        </w:rPr>
        <w:t>promoted two bills that are now laws: 1) </w:t>
      </w:r>
      <w:r w:rsidRPr="00954DDC">
        <w:rPr>
          <w:rFonts w:ascii="Cambria" w:hAnsi="Cambria"/>
          <w:b/>
          <w:bCs/>
          <w:color w:val="000000" w:themeColor="text1"/>
          <w:sz w:val="16"/>
          <w:szCs w:val="16"/>
        </w:rPr>
        <w:t>Law No. 32000</w:t>
      </w:r>
      <w:r w:rsidRPr="001407FF">
        <w:rPr>
          <w:rFonts w:ascii="Cambria" w:hAnsi="Cambria"/>
          <w:color w:val="000000" w:themeColor="text1"/>
          <w:sz w:val="16"/>
          <w:szCs w:val="16"/>
        </w:rPr>
        <w:t>, which recognizes fetal personhood; 2) </w:t>
      </w:r>
      <w:r w:rsidRPr="00954DDC">
        <w:rPr>
          <w:rFonts w:ascii="Cambria" w:hAnsi="Cambria"/>
          <w:b/>
          <w:bCs/>
          <w:color w:val="000000" w:themeColor="text1"/>
          <w:sz w:val="16"/>
          <w:szCs w:val="16"/>
        </w:rPr>
        <w:t>Law No. 31935</w:t>
      </w:r>
      <w:r w:rsidRPr="001407FF">
        <w:rPr>
          <w:rFonts w:ascii="Cambria" w:hAnsi="Cambria"/>
          <w:color w:val="000000" w:themeColor="text1"/>
          <w:sz w:val="16"/>
          <w:szCs w:val="16"/>
        </w:rPr>
        <w:t>, which establishes that human life begins at conception.</w:t>
      </w:r>
    </w:p>
  </w:endnote>
  <w:endnote w:id="15">
    <w:p w14:paraId="2B74A4FB" w14:textId="77777777" w:rsidR="00C14D98" w:rsidRDefault="00673DC5" w:rsidP="00C14D98">
      <w:pPr>
        <w:pStyle w:val="NoSpacing"/>
        <w:ind w:left="540" w:hanging="540"/>
        <w:jc w:val="both"/>
        <w:rPr>
          <w:rFonts w:ascii="Cambria" w:hAnsi="Cambria"/>
          <w:color w:val="000000" w:themeColor="text1"/>
          <w:sz w:val="16"/>
          <w:szCs w:val="16"/>
        </w:rPr>
      </w:pPr>
      <w:r>
        <w:rPr>
          <w:rStyle w:val="EndnoteReference"/>
        </w:rPr>
        <w:endnoteRef/>
      </w:r>
      <w:r>
        <w:t xml:space="preserve"> </w:t>
      </w:r>
      <w:r w:rsidRPr="001407FF">
        <w:rPr>
          <w:rFonts w:ascii="Cambria" w:hAnsi="Cambria"/>
          <w:color w:val="000000" w:themeColor="text1"/>
          <w:sz w:val="16"/>
          <w:szCs w:val="16"/>
        </w:rPr>
        <w:t xml:space="preserve">Among the bills promoted, we have: </w:t>
      </w:r>
      <w:r w:rsidRPr="00954DDC">
        <w:rPr>
          <w:rFonts w:ascii="Cambria" w:hAnsi="Cambria"/>
          <w:b/>
          <w:bCs/>
          <w:color w:val="000000" w:themeColor="text1"/>
          <w:sz w:val="16"/>
          <w:szCs w:val="16"/>
        </w:rPr>
        <w:t>Bill No. 5909/2023</w:t>
      </w:r>
      <w:r w:rsidRPr="001407FF">
        <w:rPr>
          <w:rFonts w:ascii="Cambria" w:hAnsi="Cambria"/>
          <w:color w:val="000000" w:themeColor="text1"/>
          <w:sz w:val="16"/>
          <w:szCs w:val="16"/>
        </w:rPr>
        <w:t xml:space="preserve">, </w:t>
      </w:r>
      <w:r w:rsidRPr="00954DDC">
        <w:rPr>
          <w:rFonts w:ascii="Cambria" w:hAnsi="Cambria"/>
          <w:i/>
          <w:iCs/>
          <w:color w:val="000000" w:themeColor="text1"/>
          <w:sz w:val="16"/>
          <w:szCs w:val="16"/>
        </w:rPr>
        <w:t>"Law that strengthens the Peruvian Financial Intelligence Unit"</w:t>
      </w:r>
      <w:r w:rsidRPr="001407FF">
        <w:rPr>
          <w:rFonts w:ascii="Cambria" w:hAnsi="Cambria"/>
          <w:color w:val="000000" w:themeColor="text1"/>
          <w:sz w:val="16"/>
          <w:szCs w:val="16"/>
        </w:rPr>
        <w:t xml:space="preserve">; 2) </w:t>
      </w:r>
      <w:r w:rsidRPr="00954DDC">
        <w:rPr>
          <w:rFonts w:ascii="Cambria" w:hAnsi="Cambria"/>
          <w:b/>
          <w:bCs/>
          <w:color w:val="000000" w:themeColor="text1"/>
          <w:sz w:val="16"/>
          <w:szCs w:val="16"/>
        </w:rPr>
        <w:t>Bill No. 7818/2024</w:t>
      </w:r>
      <w:r w:rsidRPr="001407FF">
        <w:rPr>
          <w:rFonts w:ascii="Cambria" w:hAnsi="Cambria"/>
          <w:color w:val="000000" w:themeColor="text1"/>
          <w:sz w:val="16"/>
          <w:szCs w:val="16"/>
        </w:rPr>
        <w:t xml:space="preserve">, </w:t>
      </w:r>
      <w:r w:rsidRPr="00954DDC">
        <w:rPr>
          <w:rFonts w:ascii="Cambria" w:hAnsi="Cambria"/>
          <w:i/>
          <w:iCs/>
          <w:color w:val="000000" w:themeColor="text1"/>
          <w:sz w:val="16"/>
          <w:szCs w:val="16"/>
        </w:rPr>
        <w:t>"Law that modifies Articles 96 and 109 of Legislative Decree No. 295, Legislative Decree that approves the Civil Code and Article 410 of Law No. 26887, General Law of Corporations, which regulate the dissolution of associations, foundations and corporations</w:t>
      </w:r>
      <w:r w:rsidRPr="001407FF">
        <w:rPr>
          <w:rFonts w:ascii="Cambria" w:hAnsi="Cambria"/>
          <w:color w:val="000000" w:themeColor="text1"/>
          <w:sz w:val="16"/>
          <w:szCs w:val="16"/>
        </w:rPr>
        <w:t>". Also, on June 5, 2024, the Foreign Affairs Commission approved the opinion that modifies Law No. 27692. This opinion groups six bills, which are: 1) bill No. 6162/2023-CR; 2) bill No. 6252/2023-CR; 3) bill No. 7140/2023-CR; 4) bill No. 7367/2023-CR; 5) bill No. 7354/2023-CR and 6) bill No. 7505/2023-CR. </w:t>
      </w:r>
    </w:p>
    <w:p w14:paraId="108224B1" w14:textId="77777777" w:rsidR="00C14D98" w:rsidRDefault="00C14D98" w:rsidP="00C14D98">
      <w:pPr>
        <w:pStyle w:val="NoSpacing"/>
        <w:ind w:left="540" w:hanging="540"/>
        <w:jc w:val="both"/>
        <w:rPr>
          <w:rFonts w:ascii="Cambria" w:hAnsi="Cambria"/>
          <w:color w:val="000000" w:themeColor="text1"/>
          <w:sz w:val="16"/>
          <w:szCs w:val="16"/>
        </w:rPr>
      </w:pPr>
    </w:p>
    <w:p w14:paraId="64CF2C6C" w14:textId="34EA0302" w:rsidR="00673DC5" w:rsidRPr="00673DC5" w:rsidRDefault="00673DC5" w:rsidP="00C14D98">
      <w:pPr>
        <w:pStyle w:val="NoSpacing"/>
        <w:ind w:left="540"/>
        <w:jc w:val="both"/>
        <w:rPr>
          <w:rFonts w:ascii="Cambria" w:hAnsi="Cambria"/>
          <w:color w:val="000000" w:themeColor="text1"/>
          <w:sz w:val="16"/>
          <w:szCs w:val="16"/>
        </w:rPr>
      </w:pPr>
      <w:r w:rsidRPr="001407FF">
        <w:rPr>
          <w:rFonts w:ascii="Cambria" w:hAnsi="Cambria"/>
          <w:color w:val="000000" w:themeColor="text1"/>
          <w:sz w:val="16"/>
          <w:szCs w:val="16"/>
        </w:rPr>
        <w:t xml:space="preserve">Finally, on June 5, 2024, Congress approved the opinion of </w:t>
      </w:r>
      <w:r w:rsidRPr="00191DE9">
        <w:rPr>
          <w:rFonts w:ascii="Cambria" w:hAnsi="Cambria"/>
          <w:b/>
          <w:bCs/>
          <w:color w:val="000000" w:themeColor="text1"/>
          <w:sz w:val="16"/>
          <w:szCs w:val="16"/>
        </w:rPr>
        <w:t>Bill No. 7032/2023-CR</w:t>
      </w:r>
      <w:r w:rsidRPr="001407FF">
        <w:rPr>
          <w:rFonts w:ascii="Cambria" w:hAnsi="Cambria"/>
          <w:color w:val="000000" w:themeColor="text1"/>
          <w:sz w:val="16"/>
          <w:szCs w:val="16"/>
        </w:rPr>
        <w:t xml:space="preserve"> and </w:t>
      </w:r>
      <w:r w:rsidRPr="00191DE9">
        <w:rPr>
          <w:rFonts w:ascii="Cambria" w:hAnsi="Cambria"/>
          <w:b/>
          <w:bCs/>
          <w:color w:val="000000" w:themeColor="text1"/>
          <w:sz w:val="16"/>
          <w:szCs w:val="16"/>
        </w:rPr>
        <w:t>No. 7146/2023-CR</w:t>
      </w:r>
      <w:r w:rsidRPr="001407FF">
        <w:rPr>
          <w:rFonts w:ascii="Cambria" w:hAnsi="Cambria"/>
          <w:color w:val="000000" w:themeColor="text1"/>
          <w:sz w:val="16"/>
          <w:szCs w:val="16"/>
        </w:rPr>
        <w:t xml:space="preserve">, a law that promotes Parent </w:t>
      </w:r>
      <w:r w:rsidRPr="00191DE9">
        <w:rPr>
          <w:rFonts w:ascii="Cambria" w:hAnsi="Cambria"/>
          <w:color w:val="000000" w:themeColor="text1"/>
          <w:sz w:val="16"/>
          <w:szCs w:val="16"/>
        </w:rPr>
        <w:t>Schools in Regular and Private Basic Education institutions.</w:t>
      </w:r>
    </w:p>
  </w:endnote>
  <w:endnote w:id="16">
    <w:p w14:paraId="451FFE71" w14:textId="5325A6DB" w:rsidR="00673DC5" w:rsidRDefault="00673DC5" w:rsidP="00C14D98">
      <w:pPr>
        <w:pStyle w:val="EndnoteText"/>
        <w:ind w:left="540" w:hanging="540"/>
        <w:jc w:val="both"/>
      </w:pPr>
      <w:r>
        <w:rPr>
          <w:rStyle w:val="EndnoteReference"/>
        </w:rPr>
        <w:endnoteRef/>
      </w:r>
      <w:r>
        <w:t xml:space="preserve"> </w:t>
      </w:r>
      <w:r w:rsidRPr="00191DE9">
        <w:rPr>
          <w:rFonts w:ascii="Cambria" w:hAnsi="Cambria" w:cs="Segoe UI"/>
          <w:color w:val="000000" w:themeColor="text1"/>
          <w:sz w:val="16"/>
          <w:szCs w:val="16"/>
        </w:rPr>
        <w:t xml:space="preserve">An example of this is the promotion of legislative initiatives such as 1) </w:t>
      </w:r>
      <w:r w:rsidRPr="00191DE9">
        <w:rPr>
          <w:rFonts w:ascii="Cambria" w:hAnsi="Cambria" w:cs="Segoe UI"/>
          <w:b/>
          <w:bCs/>
          <w:color w:val="000000" w:themeColor="text1"/>
          <w:sz w:val="16"/>
          <w:szCs w:val="16"/>
        </w:rPr>
        <w:t>Bill No. 05216/2022-CR</w:t>
      </w:r>
      <w:r w:rsidRPr="00191DE9">
        <w:rPr>
          <w:rFonts w:ascii="Cambria" w:hAnsi="Cambria" w:cs="Segoe UI"/>
          <w:color w:val="000000" w:themeColor="text1"/>
          <w:sz w:val="16"/>
          <w:szCs w:val="16"/>
        </w:rPr>
        <w:t xml:space="preserve">, </w:t>
      </w:r>
      <w:r w:rsidRPr="00191DE9">
        <w:rPr>
          <w:rFonts w:ascii="Cambria" w:hAnsi="Cambria" w:cs="Segoe UI"/>
          <w:i/>
          <w:iCs/>
          <w:color w:val="000000" w:themeColor="text1"/>
          <w:sz w:val="16"/>
          <w:szCs w:val="16"/>
        </w:rPr>
        <w:t>"Law to Denounce the American Convention on Human Rights"</w:t>
      </w:r>
      <w:r w:rsidRPr="001407FF">
        <w:rPr>
          <w:rFonts w:ascii="Cambria" w:hAnsi="Cambria" w:cs="Segoe UI"/>
          <w:color w:val="000000" w:themeColor="text1"/>
          <w:sz w:val="16"/>
          <w:szCs w:val="16"/>
        </w:rPr>
        <w:t xml:space="preserve">; 2) </w:t>
      </w:r>
      <w:r w:rsidRPr="00191DE9">
        <w:rPr>
          <w:rFonts w:ascii="Cambria" w:hAnsi="Cambria" w:cs="Segoe UI"/>
          <w:b/>
          <w:bCs/>
          <w:color w:val="000000" w:themeColor="text1"/>
          <w:sz w:val="16"/>
          <w:szCs w:val="16"/>
        </w:rPr>
        <w:t>Bill No. 03494/2022-CR</w:t>
      </w:r>
      <w:r w:rsidRPr="001407FF">
        <w:rPr>
          <w:rFonts w:ascii="Cambria" w:hAnsi="Cambria" w:cs="Segoe UI"/>
          <w:color w:val="000000" w:themeColor="text1"/>
          <w:sz w:val="16"/>
          <w:szCs w:val="16"/>
        </w:rPr>
        <w:t xml:space="preserve">, </w:t>
      </w:r>
      <w:r w:rsidRPr="00191DE9">
        <w:rPr>
          <w:rFonts w:ascii="Cambria" w:hAnsi="Cambria" w:cs="Segoe UI"/>
          <w:i/>
          <w:iCs/>
          <w:color w:val="000000" w:themeColor="text1"/>
          <w:sz w:val="16"/>
          <w:szCs w:val="16"/>
        </w:rPr>
        <w:t>"Law to Denounce the American Convention on Human Rights (Pact of San Jose, Costa Rica) in order to reinstate the death penalty in Peru, thus restoring absolute sovereignty in criminal matters regarding the death penalty in the country"</w:t>
      </w:r>
      <w:r w:rsidRPr="001407FF">
        <w:rPr>
          <w:rFonts w:ascii="Cambria" w:hAnsi="Cambria" w:cs="Segoe UI"/>
          <w:color w:val="000000" w:themeColor="text1"/>
          <w:sz w:val="16"/>
          <w:szCs w:val="16"/>
        </w:rPr>
        <w:t xml:space="preserve">; 3) </w:t>
      </w:r>
      <w:r w:rsidRPr="00191DE9">
        <w:rPr>
          <w:rFonts w:ascii="Cambria" w:hAnsi="Cambria" w:cs="Segoe UI"/>
          <w:b/>
          <w:bCs/>
          <w:color w:val="000000" w:themeColor="text1"/>
          <w:sz w:val="16"/>
          <w:szCs w:val="16"/>
        </w:rPr>
        <w:t>Bill No. 05582/2022-CR</w:t>
      </w:r>
      <w:r>
        <w:rPr>
          <w:rFonts w:ascii="Cambria" w:hAnsi="Cambria" w:cs="Segoe UI"/>
          <w:color w:val="000000" w:themeColor="text1"/>
          <w:sz w:val="16"/>
          <w:szCs w:val="16"/>
        </w:rPr>
        <w:t xml:space="preserve">, </w:t>
      </w:r>
      <w:r w:rsidRPr="00191DE9">
        <w:rPr>
          <w:rFonts w:ascii="Cambria" w:hAnsi="Cambria" w:cs="Segoe UI"/>
          <w:i/>
          <w:iCs/>
          <w:color w:val="000000" w:themeColor="text1"/>
          <w:sz w:val="16"/>
          <w:szCs w:val="16"/>
        </w:rPr>
        <w:t>“Law proposing the denunciation of the American Convention on Human Rights and the withdrawal of the Inter-American Court of Human Rights jurisdiction as a matter of national interest”.</w:t>
      </w:r>
    </w:p>
  </w:endnote>
  <w:endnote w:id="17">
    <w:p w14:paraId="6C37E664" w14:textId="2C5CB431" w:rsidR="00673DC5" w:rsidRDefault="00673DC5" w:rsidP="00C14D98">
      <w:pPr>
        <w:pStyle w:val="EndnoteText"/>
        <w:ind w:left="270" w:hanging="270"/>
        <w:jc w:val="both"/>
      </w:pPr>
      <w:r>
        <w:rPr>
          <w:rStyle w:val="EndnoteReference"/>
        </w:rPr>
        <w:endnoteRef/>
      </w:r>
      <w:r w:rsidRPr="00A7252D">
        <w:rPr>
          <w:rFonts w:ascii="Cambria" w:hAnsi="Cambria"/>
          <w:color w:val="000000" w:themeColor="text1"/>
          <w:sz w:val="16"/>
          <w:szCs w:val="16"/>
        </w:rPr>
        <w:t>Congress of the Republic. Opinion of the Foreign Affairs Commission. June 5, 2024. Available at: &lt;https://wb2server.congreso.gob.pe/spley-portal-service/archivo/MTkzNDEw/pdf&gt; (last visited December 11, 2024).</w:t>
      </w:r>
    </w:p>
  </w:endnote>
  <w:endnote w:id="18">
    <w:p w14:paraId="718ADC13" w14:textId="1BB8CBED" w:rsidR="00673DC5" w:rsidRDefault="00673DC5" w:rsidP="005928E0">
      <w:pPr>
        <w:pStyle w:val="EndnoteText"/>
        <w:jc w:val="both"/>
      </w:pPr>
      <w:r>
        <w:rPr>
          <w:rStyle w:val="EndnoteReference"/>
        </w:rPr>
        <w:endnoteRef/>
      </w:r>
      <w:r>
        <w:t xml:space="preserve"> </w:t>
      </w:r>
      <w:r w:rsidRPr="00A7252D">
        <w:rPr>
          <w:rFonts w:ascii="Cambria" w:hAnsi="Cambria"/>
          <w:color w:val="000000" w:themeColor="text1"/>
          <w:sz w:val="16"/>
          <w:szCs w:val="16"/>
        </w:rPr>
        <w:t xml:space="preserve">Twitter, Post Canada in Peru. Joint statement, creation of APCI. Available at:&lt; </w:t>
      </w:r>
      <w:hyperlink r:id="rId3" w:history="1">
        <w:r w:rsidRPr="00A7252D">
          <w:rPr>
            <w:rStyle w:val="Hyperlink"/>
            <w:rFonts w:ascii="Cambria" w:hAnsi="Cambria"/>
            <w:color w:val="000000" w:themeColor="text1"/>
            <w:sz w:val="16"/>
            <w:szCs w:val="16"/>
          </w:rPr>
          <w:t>https://x.com/CanadaenPeru/status/1800285498851864800</w:t>
        </w:r>
      </w:hyperlink>
      <w:r w:rsidRPr="00A7252D">
        <w:rPr>
          <w:rFonts w:ascii="Cambria" w:hAnsi="Cambria"/>
          <w:color w:val="000000" w:themeColor="text1"/>
          <w:sz w:val="16"/>
          <w:szCs w:val="16"/>
        </w:rPr>
        <w:t>&gt; (last visited December 5, 2024).</w:t>
      </w:r>
    </w:p>
  </w:endnote>
  <w:endnote w:id="19">
    <w:p w14:paraId="3A4F865E" w14:textId="3A3563DC" w:rsidR="00673DC5" w:rsidRDefault="00673DC5" w:rsidP="00C14D98">
      <w:pPr>
        <w:pStyle w:val="EndnoteText"/>
        <w:ind w:left="540" w:hanging="540"/>
        <w:jc w:val="both"/>
      </w:pPr>
      <w:r>
        <w:rPr>
          <w:rStyle w:val="EndnoteReference"/>
        </w:rPr>
        <w:endnoteRef/>
      </w:r>
      <w:r>
        <w:t xml:space="preserve"> </w:t>
      </w:r>
      <w:r w:rsidRPr="00A7252D">
        <w:rPr>
          <w:rFonts w:ascii="Cambria" w:hAnsi="Cambria"/>
          <w:color w:val="000000" w:themeColor="text1"/>
          <w:sz w:val="16"/>
          <w:szCs w:val="16"/>
        </w:rPr>
        <w:t>United Nations. Mandates of the UN </w:t>
      </w:r>
      <w:r w:rsidRPr="00A7252D">
        <w:rPr>
          <w:rFonts w:ascii="Cambria" w:hAnsi="Cambria"/>
          <w:i/>
          <w:iCs/>
          <w:color w:val="000000" w:themeColor="text1"/>
          <w:sz w:val="16"/>
          <w:szCs w:val="16"/>
        </w:rPr>
        <w:t>Special Rapporteur on the Rights to Freedom of Peaceful Assembly and of Association</w:t>
      </w:r>
      <w:r w:rsidRPr="00A7252D">
        <w:rPr>
          <w:rFonts w:ascii="Cambria" w:hAnsi="Cambria"/>
          <w:color w:val="000000" w:themeColor="text1"/>
          <w:sz w:val="16"/>
          <w:szCs w:val="16"/>
        </w:rPr>
        <w:t>, UN </w:t>
      </w:r>
      <w:r w:rsidRPr="00A7252D">
        <w:rPr>
          <w:rFonts w:ascii="Cambria" w:hAnsi="Cambria"/>
          <w:i/>
          <w:iCs/>
          <w:color w:val="000000" w:themeColor="text1"/>
          <w:sz w:val="16"/>
          <w:szCs w:val="16"/>
        </w:rPr>
        <w:t>Special Rapporteur on the promotion and protection</w:t>
      </w:r>
      <w:r w:rsidRPr="00A7252D">
        <w:rPr>
          <w:rFonts w:ascii="Cambria" w:hAnsi="Cambria"/>
          <w:color w:val="000000" w:themeColor="text1"/>
          <w:sz w:val="16"/>
          <w:szCs w:val="16"/>
        </w:rPr>
        <w:t> of the </w:t>
      </w:r>
      <w:r w:rsidRPr="00A7252D">
        <w:rPr>
          <w:rFonts w:ascii="Cambria" w:hAnsi="Cambria"/>
          <w:i/>
          <w:iCs/>
          <w:color w:val="000000" w:themeColor="text1"/>
          <w:sz w:val="16"/>
          <w:szCs w:val="16"/>
        </w:rPr>
        <w:t>right to freedom of opinion and expression, Special Rapporteur on the situation of human rights defenders</w:t>
      </w:r>
      <w:r w:rsidRPr="00A7252D">
        <w:rPr>
          <w:rFonts w:ascii="Cambria" w:hAnsi="Cambria"/>
          <w:color w:val="000000" w:themeColor="text1"/>
          <w:sz w:val="16"/>
          <w:szCs w:val="16"/>
        </w:rPr>
        <w:t>, and the </w:t>
      </w:r>
      <w:r w:rsidRPr="00A7252D">
        <w:rPr>
          <w:rFonts w:ascii="Cambria" w:hAnsi="Cambria"/>
          <w:i/>
          <w:iCs/>
          <w:color w:val="000000" w:themeColor="text1"/>
          <w:sz w:val="16"/>
          <w:szCs w:val="16"/>
        </w:rPr>
        <w:t>Special Rapporteur on the promotion and protection of human rights and fundamental freedoms while countering terrorism.</w:t>
      </w:r>
      <w:r w:rsidRPr="00A7252D">
        <w:rPr>
          <w:rFonts w:ascii="Cambria" w:hAnsi="Cambria"/>
          <w:color w:val="000000" w:themeColor="text1"/>
          <w:sz w:val="16"/>
          <w:szCs w:val="16"/>
        </w:rPr>
        <w:t> </w:t>
      </w:r>
      <w:hyperlink r:id="rId4" w:history="1">
        <w:r w:rsidRPr="00F50617">
          <w:rPr>
            <w:rStyle w:val="Hyperlink"/>
            <w:rFonts w:ascii="Cambria" w:hAnsi="Cambria"/>
            <w:i/>
            <w:iCs/>
            <w:sz w:val="16"/>
            <w:szCs w:val="16"/>
          </w:rPr>
          <w:t>OL PER 4/2024</w:t>
        </w:r>
      </w:hyperlink>
      <w:r w:rsidRPr="00F50617">
        <w:rPr>
          <w:rFonts w:ascii="Cambria" w:hAnsi="Cambria"/>
          <w:i/>
          <w:iCs/>
          <w:color w:val="000000" w:themeColor="text1"/>
          <w:sz w:val="16"/>
          <w:szCs w:val="16"/>
        </w:rPr>
        <w:t>.</w:t>
      </w:r>
      <w:r w:rsidRPr="00A7252D">
        <w:rPr>
          <w:rFonts w:ascii="Cambria" w:hAnsi="Cambria"/>
          <w:color w:val="000000" w:themeColor="text1"/>
          <w:sz w:val="16"/>
          <w:szCs w:val="16"/>
        </w:rPr>
        <w:t xml:space="preserve"> June 19, 2024, p. 6.</w:t>
      </w:r>
    </w:p>
  </w:endnote>
  <w:endnote w:id="20">
    <w:p w14:paraId="4FEAE3E7" w14:textId="771F50EF" w:rsidR="00673DC5" w:rsidRDefault="00673DC5"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Official newspaper ‘Diario Oficial El Peruano’, </w:t>
      </w:r>
      <w:hyperlink r:id="rId5" w:history="1">
        <w:r w:rsidRPr="001407FF">
          <w:rPr>
            <w:rStyle w:val="Hyperlink"/>
            <w:rFonts w:ascii="Cambria" w:eastAsia="Cambria" w:hAnsi="Cambria" w:cs="Cambria"/>
            <w:i/>
            <w:iCs/>
            <w:color w:val="000000" w:themeColor="text1"/>
            <w:sz w:val="16"/>
            <w:szCs w:val="16"/>
          </w:rPr>
          <w:t>“Aprueban por insistencia proyecto de ley que reconoce derechos al concebido”</w:t>
        </w:r>
      </w:hyperlink>
      <w:r w:rsidRPr="001407FF">
        <w:rPr>
          <w:rFonts w:ascii="Cambria" w:hAnsi="Cambria"/>
          <w:color w:val="000000" w:themeColor="text1"/>
          <w:sz w:val="16"/>
          <w:szCs w:val="16"/>
        </w:rPr>
        <w:t xml:space="preserve"> [Parliament passes a law recognizing the rights of the conceived child], </w:t>
      </w:r>
      <w:r w:rsidRPr="00EA42B4">
        <w:rPr>
          <w:rFonts w:ascii="Cambria" w:hAnsi="Cambria"/>
          <w:color w:val="000000" w:themeColor="text1"/>
          <w:sz w:val="16"/>
          <w:szCs w:val="16"/>
        </w:rPr>
        <w:t>November 9 , 2023.</w:t>
      </w:r>
    </w:p>
  </w:endnote>
  <w:endnote w:id="21">
    <w:p w14:paraId="09BAC5BC" w14:textId="046C8C19" w:rsidR="00673DC5" w:rsidRDefault="00673DC5" w:rsidP="005928E0">
      <w:pPr>
        <w:pStyle w:val="EndnoteText"/>
        <w:jc w:val="both"/>
      </w:pPr>
      <w:r>
        <w:rPr>
          <w:rStyle w:val="EndnoteReference"/>
        </w:rPr>
        <w:endnoteRef/>
      </w:r>
      <w:r>
        <w:t xml:space="preserve"> </w:t>
      </w:r>
      <w:r w:rsidRPr="00EA42B4">
        <w:rPr>
          <w:rFonts w:ascii="Cambria" w:hAnsi="Cambria"/>
          <w:color w:val="000000" w:themeColor="text1"/>
          <w:sz w:val="16"/>
          <w:szCs w:val="16"/>
        </w:rPr>
        <w:t>Congress of the Republic. Bill No.785/2021-CR, </w:t>
      </w:r>
      <w:hyperlink r:id="rId6" w:history="1">
        <w:r w:rsidRPr="00EA42B4">
          <w:rPr>
            <w:rStyle w:val="Hyperlink"/>
            <w:rFonts w:ascii="Cambria" w:eastAsia="Cambria" w:hAnsi="Cambria" w:cs="Cambria"/>
            <w:i/>
            <w:iCs/>
            <w:color w:val="000000" w:themeColor="text1"/>
            <w:sz w:val="16"/>
            <w:szCs w:val="16"/>
          </w:rPr>
          <w:t>“Proyecto de Ley que reconoce derechos al concebido”,</w:t>
        </w:r>
      </w:hyperlink>
      <w:r w:rsidRPr="00EA42B4">
        <w:rPr>
          <w:rFonts w:ascii="Cambria" w:hAnsi="Cambria"/>
          <w:color w:val="000000" w:themeColor="text1"/>
          <w:sz w:val="16"/>
          <w:szCs w:val="16"/>
        </w:rPr>
        <w:t> November</w:t>
      </w:r>
      <w:r w:rsidRPr="00333AC0">
        <w:rPr>
          <w:rFonts w:ascii="Cambria" w:hAnsi="Cambria"/>
          <w:color w:val="000000" w:themeColor="text1"/>
          <w:sz w:val="16"/>
          <w:szCs w:val="16"/>
        </w:rPr>
        <w:t xml:space="preserve"> 18, 2021.</w:t>
      </w:r>
    </w:p>
  </w:endnote>
  <w:endnote w:id="22">
    <w:p w14:paraId="5FB1E776" w14:textId="33F0CA61" w:rsidR="00673DC5" w:rsidRDefault="00673DC5" w:rsidP="00E34588">
      <w:pPr>
        <w:pStyle w:val="EndnoteText"/>
        <w:ind w:left="540" w:hanging="540"/>
        <w:jc w:val="both"/>
      </w:pPr>
      <w:r>
        <w:rPr>
          <w:rStyle w:val="EndnoteReference"/>
        </w:rPr>
        <w:endnoteRef/>
      </w:r>
      <w:r>
        <w:t xml:space="preserve"> </w:t>
      </w:r>
      <w:r w:rsidRPr="00333AC0">
        <w:rPr>
          <w:rFonts w:ascii="Cambria" w:hAnsi="Cambria"/>
          <w:color w:val="000000" w:themeColor="text1"/>
          <w:sz w:val="16"/>
          <w:szCs w:val="16"/>
        </w:rPr>
        <w:t>Several institutions have expressed their concern about this bill's approval. The Ombudsman's Office ,</w:t>
      </w:r>
      <w:r w:rsidRPr="00333AC0">
        <w:rPr>
          <w:rFonts w:ascii="Cambria" w:hAnsi="Cambria"/>
          <w:i/>
          <w:color w:val="000000" w:themeColor="text1"/>
          <w:sz w:val="16"/>
          <w:szCs w:val="16"/>
        </w:rPr>
        <w:t xml:space="preserve"> </w:t>
      </w:r>
      <w:hyperlink r:id="rId7">
        <w:r w:rsidRPr="00333AC0">
          <w:rPr>
            <w:rFonts w:ascii="Cambria" w:hAnsi="Cambria"/>
            <w:i/>
            <w:color w:val="000000" w:themeColor="text1"/>
            <w:sz w:val="16"/>
            <w:szCs w:val="16"/>
            <w:u w:val="single"/>
          </w:rPr>
          <w:t>“DP expresa discrepancias con el proyecto de ley que reconoce derechos al concebido”</w:t>
        </w:r>
      </w:hyperlink>
      <w:r w:rsidRPr="00333AC0">
        <w:rPr>
          <w:rFonts w:ascii="Cambria" w:hAnsi="Cambria"/>
          <w:color w:val="000000" w:themeColor="text1"/>
          <w:sz w:val="16"/>
          <w:szCs w:val="16"/>
        </w:rPr>
        <w:t xml:space="preserve"> [</w:t>
      </w:r>
      <w:r w:rsidRPr="00EA42B4">
        <w:rPr>
          <w:rFonts w:ascii="Cambria" w:hAnsi="Cambria"/>
          <w:color w:val="000000" w:themeColor="text1"/>
          <w:sz w:val="16"/>
          <w:szCs w:val="16"/>
        </w:rPr>
        <w:t xml:space="preserve">DP expressed discrepancies with the bill that recognizes the rights of the conceived child], November 10, 2023. ; MIMP, November </w:t>
      </w:r>
      <w:r>
        <w:rPr>
          <w:rFonts w:ascii="Cambria" w:hAnsi="Cambria"/>
          <w:color w:val="000000" w:themeColor="text1"/>
          <w:sz w:val="16"/>
          <w:szCs w:val="16"/>
        </w:rPr>
        <w:t xml:space="preserve">9, </w:t>
      </w:r>
      <w:r w:rsidRPr="00EA42B4">
        <w:rPr>
          <w:rFonts w:ascii="Cambria" w:hAnsi="Cambria"/>
          <w:color w:val="000000" w:themeColor="text1"/>
          <w:sz w:val="16"/>
          <w:szCs w:val="16"/>
        </w:rPr>
        <w:t xml:space="preserve">2023. Available at: </w:t>
      </w:r>
      <w:hyperlink r:id="rId8" w:history="1">
        <w:r w:rsidRPr="00EA42B4">
          <w:rPr>
            <w:rStyle w:val="Hyperlink"/>
            <w:rFonts w:ascii="Cambria" w:hAnsi="Cambria"/>
            <w:sz w:val="16"/>
            <w:szCs w:val="16"/>
          </w:rPr>
          <w:t>https://x.com/MimpPeru/status/1722808058374422791?mx=2&gt;November</w:t>
        </w:r>
      </w:hyperlink>
      <w:r w:rsidRPr="00EA42B4">
        <w:rPr>
          <w:rFonts w:ascii="Cambria" w:hAnsi="Cambria"/>
          <w:color w:val="000000" w:themeColor="text1"/>
          <w:sz w:val="16"/>
          <w:szCs w:val="16"/>
        </w:rPr>
        <w:t>(last visited December 11, 2024). MESECVI expressed its concern about the approval of this initiative. It is available at https://twitter.com/MESECVI/status/1723128814341882149&gt; (last visited December 05, 2024).</w:t>
      </w:r>
    </w:p>
  </w:endnote>
  <w:endnote w:id="23">
    <w:p w14:paraId="2E442E06" w14:textId="2ABB3DF3" w:rsidR="00673DC5" w:rsidRDefault="00673DC5"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 xml:space="preserve">Official newspaper ‘Diario Oficial El Peruano’, </w:t>
      </w:r>
      <w:hyperlink r:id="rId9">
        <w:r w:rsidRPr="001407FF">
          <w:rPr>
            <w:rFonts w:ascii="Cambria" w:hAnsi="Cambria"/>
            <w:i/>
            <w:iCs/>
            <w:color w:val="000000" w:themeColor="text1"/>
            <w:sz w:val="16"/>
            <w:szCs w:val="16"/>
            <w:u w:val="single"/>
          </w:rPr>
          <w:t>“Ley que reconoce derechos al concebido”</w:t>
        </w:r>
      </w:hyperlink>
      <w:r w:rsidRPr="001407FF">
        <w:rPr>
          <w:rFonts w:ascii="Cambria" w:hAnsi="Cambria"/>
          <w:i/>
          <w:iCs/>
          <w:color w:val="000000" w:themeColor="text1"/>
          <w:sz w:val="16"/>
          <w:szCs w:val="16"/>
        </w:rPr>
        <w:t xml:space="preserve"> </w:t>
      </w:r>
      <w:r w:rsidRPr="001407FF">
        <w:rPr>
          <w:rFonts w:ascii="Cambria" w:hAnsi="Cambria"/>
          <w:color w:val="000000" w:themeColor="text1"/>
          <w:sz w:val="16"/>
          <w:szCs w:val="16"/>
        </w:rPr>
        <w:t>[</w:t>
      </w:r>
      <w:r w:rsidRPr="001407FF">
        <w:rPr>
          <w:rFonts w:ascii="Cambria" w:hAnsi="Cambria" w:cstheme="minorHAnsi"/>
          <w:color w:val="000000" w:themeColor="text1"/>
          <w:sz w:val="16"/>
          <w:szCs w:val="16"/>
        </w:rPr>
        <w:t>Law Recognizing the Rights of the Conceived Child</w:t>
      </w:r>
      <w:r w:rsidRPr="001407FF">
        <w:rPr>
          <w:rFonts w:ascii="Cambria" w:hAnsi="Cambria"/>
          <w:color w:val="000000" w:themeColor="text1"/>
          <w:sz w:val="16"/>
          <w:szCs w:val="16"/>
        </w:rPr>
        <w:t>], November 15, 2023.</w:t>
      </w:r>
    </w:p>
  </w:endnote>
  <w:endnote w:id="24">
    <w:p w14:paraId="77CE1670" w14:textId="1742FC63" w:rsidR="00673DC5" w:rsidRDefault="00673DC5" w:rsidP="00E34588">
      <w:pPr>
        <w:pStyle w:val="EndnoteText"/>
        <w:ind w:left="540" w:hanging="540"/>
        <w:jc w:val="both"/>
      </w:pPr>
      <w:r>
        <w:rPr>
          <w:rStyle w:val="EndnoteReference"/>
        </w:rPr>
        <w:endnoteRef/>
      </w:r>
      <w:r>
        <w:t xml:space="preserve"> </w:t>
      </w:r>
      <w:r w:rsidRPr="00997747">
        <w:rPr>
          <w:rFonts w:ascii="Cambria" w:hAnsi="Cambria"/>
          <w:color w:val="000000" w:themeColor="text1"/>
          <w:sz w:val="16"/>
          <w:szCs w:val="16"/>
        </w:rPr>
        <w:t xml:space="preserve">Press Release, Manuela Ramos, </w:t>
      </w:r>
      <w:hyperlink r:id="rId10">
        <w:r w:rsidRPr="00997747">
          <w:rPr>
            <w:rFonts w:ascii="Cambria" w:hAnsi="Cambria"/>
            <w:i/>
            <w:color w:val="000000" w:themeColor="text1"/>
            <w:sz w:val="16"/>
            <w:szCs w:val="16"/>
            <w:u w:val="single"/>
          </w:rPr>
          <w:t>“Organizaciones y sociedad civil, señalan que este proyecto de ley  busca limitar el aborto terapéutico en Perú</w:t>
        </w:r>
      </w:hyperlink>
      <w:r w:rsidRPr="00997747">
        <w:rPr>
          <w:rFonts w:ascii="Cambria" w:hAnsi="Cambria"/>
          <w:i/>
          <w:color w:val="000000" w:themeColor="text1"/>
          <w:sz w:val="16"/>
          <w:szCs w:val="16"/>
        </w:rPr>
        <w:t>”</w:t>
      </w:r>
      <w:r w:rsidRPr="00997747">
        <w:rPr>
          <w:rFonts w:ascii="Cambria" w:hAnsi="Cambria"/>
          <w:color w:val="000000" w:themeColor="text1"/>
          <w:sz w:val="16"/>
          <w:szCs w:val="16"/>
        </w:rPr>
        <w:t xml:space="preserve"> [Organizations and civil society expressed that this bill seeks to restrict access to therapeutic abortion in Peru], April 19, 2023.</w:t>
      </w:r>
    </w:p>
  </w:endnote>
  <w:endnote w:id="25">
    <w:p w14:paraId="26891638" w14:textId="28F2E3E2" w:rsidR="00673DC5" w:rsidRDefault="00673DC5"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 xml:space="preserve">Official newspaper ‘Diario Oficial El Peruano’, </w:t>
      </w:r>
      <w:hyperlink r:id="rId11" w:anchor=":~:text=12%2F04%2F2024%20En%2030,embarazo%20de%20la%20madre%20gestante." w:history="1">
        <w:r w:rsidRPr="001407FF">
          <w:rPr>
            <w:rStyle w:val="Hyperlink"/>
            <w:rFonts w:ascii="Cambria" w:hAnsi="Cambria"/>
            <w:i/>
            <w:iCs/>
            <w:color w:val="000000" w:themeColor="text1"/>
            <w:sz w:val="16"/>
            <w:szCs w:val="16"/>
          </w:rPr>
          <w:t>“Ley  Nro. 32000: protegen embarazo y a la madre gestante”</w:t>
        </w:r>
      </w:hyperlink>
      <w:r w:rsidRPr="001407FF">
        <w:rPr>
          <w:rStyle w:val="Hyperlink"/>
          <w:rFonts w:ascii="Cambria" w:hAnsi="Cambria"/>
          <w:color w:val="000000" w:themeColor="text1"/>
          <w:sz w:val="16"/>
          <w:szCs w:val="16"/>
        </w:rPr>
        <w:t xml:space="preserve"> [Law No. 32000: protects pregnancy and the pregnant mother]</w:t>
      </w:r>
      <w:r w:rsidRPr="001407FF">
        <w:rPr>
          <w:rFonts w:ascii="Cambria" w:hAnsi="Cambria"/>
          <w:color w:val="000000" w:themeColor="text1"/>
          <w:sz w:val="16"/>
          <w:szCs w:val="16"/>
        </w:rPr>
        <w:t>, April 13, 2024.</w:t>
      </w:r>
    </w:p>
  </w:endnote>
  <w:endnote w:id="26">
    <w:p w14:paraId="667A1CD4" w14:textId="3F7F89EE" w:rsidR="00673DC5" w:rsidRDefault="00673DC5" w:rsidP="005928E0">
      <w:pPr>
        <w:pStyle w:val="EndnoteText"/>
        <w:jc w:val="both"/>
      </w:pPr>
      <w:r>
        <w:rPr>
          <w:rStyle w:val="EndnoteReference"/>
        </w:rPr>
        <w:endnoteRef/>
      </w:r>
      <w:r>
        <w:t xml:space="preserve"> </w:t>
      </w:r>
      <w:r w:rsidRPr="001407FF">
        <w:rPr>
          <w:rFonts w:ascii="Cambria" w:hAnsi="Cambria"/>
          <w:color w:val="000000" w:themeColor="text1"/>
          <w:sz w:val="16"/>
          <w:szCs w:val="16"/>
        </w:rPr>
        <w:t>CEDAW Committee, L.C. v. Peru, Communication No. 22/2009, U.N. Doc. CEDAW/C/50/D/22/2009 (2011), ¶8</w:t>
      </w:r>
      <w:r>
        <w:rPr>
          <w:rFonts w:ascii="Cambria" w:hAnsi="Cambria"/>
          <w:color w:val="000000" w:themeColor="text1"/>
          <w:sz w:val="16"/>
          <w:szCs w:val="16"/>
        </w:rPr>
        <w:t>.</w:t>
      </w:r>
      <w:r w:rsidRPr="001407FF">
        <w:rPr>
          <w:rFonts w:ascii="Cambria" w:hAnsi="Cambria"/>
          <w:color w:val="000000" w:themeColor="text1"/>
          <w:sz w:val="16"/>
          <w:szCs w:val="16"/>
        </w:rPr>
        <w:t>15.</w:t>
      </w:r>
    </w:p>
  </w:endnote>
  <w:endnote w:id="27">
    <w:p w14:paraId="40A3C0FE" w14:textId="77DEDF22" w:rsidR="004F54AA" w:rsidRDefault="004F54AA" w:rsidP="005928E0">
      <w:pPr>
        <w:pStyle w:val="EndnoteText"/>
        <w:jc w:val="both"/>
      </w:pPr>
      <w:r>
        <w:rPr>
          <w:rStyle w:val="EndnoteReference"/>
        </w:rPr>
        <w:endnoteRef/>
      </w:r>
      <w:r>
        <w:t xml:space="preserve"> </w:t>
      </w:r>
      <w:r w:rsidRPr="001407FF">
        <w:rPr>
          <w:rFonts w:ascii="Cambria" w:hAnsi="Cambria"/>
          <w:color w:val="000000" w:themeColor="text1"/>
          <w:sz w:val="16"/>
          <w:szCs w:val="16"/>
        </w:rPr>
        <w:t>Committee on the Rights of the Child (CRC). List of issues (2021), ¶ 17 (e).</w:t>
      </w:r>
    </w:p>
  </w:endnote>
  <w:endnote w:id="28">
    <w:p w14:paraId="6C0DED94" w14:textId="511B0361" w:rsidR="004F54AA" w:rsidRDefault="004F54AA" w:rsidP="005928E0">
      <w:pPr>
        <w:pStyle w:val="EndnoteText"/>
        <w:jc w:val="both"/>
      </w:pPr>
      <w:r>
        <w:rPr>
          <w:rStyle w:val="EndnoteReference"/>
        </w:rPr>
        <w:endnoteRef/>
      </w:r>
      <w:r>
        <w:t xml:space="preserve"> </w:t>
      </w:r>
      <w:r w:rsidRPr="001407FF">
        <w:rPr>
          <w:rFonts w:ascii="Cambria" w:hAnsi="Cambria"/>
          <w:i/>
          <w:color w:val="000000" w:themeColor="text1"/>
          <w:sz w:val="16"/>
          <w:szCs w:val="16"/>
        </w:rPr>
        <w:t>Id</w:t>
      </w:r>
      <w:r w:rsidRPr="001407FF">
        <w:rPr>
          <w:rFonts w:ascii="Cambria" w:hAnsi="Cambria"/>
          <w:color w:val="000000" w:themeColor="text1"/>
          <w:sz w:val="16"/>
          <w:szCs w:val="16"/>
        </w:rPr>
        <w:t>. ¶ 11 (b).</w:t>
      </w:r>
    </w:p>
  </w:endnote>
  <w:endnote w:id="29">
    <w:p w14:paraId="1CB4BFBC" w14:textId="7BE93646" w:rsidR="004F54AA" w:rsidRDefault="004F54AA" w:rsidP="005928E0">
      <w:pPr>
        <w:pStyle w:val="EndnoteText"/>
        <w:jc w:val="both"/>
      </w:pPr>
      <w:r>
        <w:rPr>
          <w:rStyle w:val="EndnoteReference"/>
        </w:rPr>
        <w:endnoteRef/>
      </w:r>
      <w:r>
        <w:t xml:space="preserve"> </w:t>
      </w:r>
      <w:r w:rsidRPr="001B30A2">
        <w:rPr>
          <w:rFonts w:ascii="Cambria" w:hAnsi="Cambria"/>
          <w:i/>
          <w:color w:val="000000" w:themeColor="text1"/>
          <w:sz w:val="16"/>
          <w:szCs w:val="16"/>
        </w:rPr>
        <w:t>Id</w:t>
      </w:r>
      <w:r w:rsidRPr="001B30A2">
        <w:rPr>
          <w:rFonts w:ascii="Cambria" w:hAnsi="Cambria"/>
          <w:color w:val="000000" w:themeColor="text1"/>
          <w:sz w:val="16"/>
          <w:szCs w:val="16"/>
        </w:rPr>
        <w:t>. ¶ 18 (d).</w:t>
      </w:r>
    </w:p>
  </w:endnote>
  <w:endnote w:id="30">
    <w:p w14:paraId="51706859" w14:textId="2CF50528" w:rsidR="004F54AA" w:rsidRDefault="004F54AA" w:rsidP="00E34588">
      <w:pPr>
        <w:pStyle w:val="EndnoteText"/>
        <w:ind w:left="540" w:hanging="540"/>
        <w:jc w:val="both"/>
      </w:pPr>
      <w:r>
        <w:rPr>
          <w:rStyle w:val="EndnoteReference"/>
        </w:rPr>
        <w:endnoteRef/>
      </w:r>
      <w:r>
        <w:t xml:space="preserve"> </w:t>
      </w:r>
      <w:r w:rsidRPr="001B30A2">
        <w:rPr>
          <w:rFonts w:ascii="Cambria" w:hAnsi="Cambria"/>
          <w:color w:val="000000" w:themeColor="text1"/>
          <w:sz w:val="16"/>
          <w:szCs w:val="16"/>
        </w:rPr>
        <w:t xml:space="preserve">Press release. Manuela Ramos, </w:t>
      </w:r>
      <w:hyperlink r:id="rId12">
        <w:r w:rsidRPr="001B30A2">
          <w:rPr>
            <w:rFonts w:ascii="Cambria" w:hAnsi="Cambria"/>
            <w:i/>
            <w:color w:val="000000" w:themeColor="text1"/>
            <w:sz w:val="16"/>
            <w:szCs w:val="16"/>
            <w:u w:val="single"/>
          </w:rPr>
          <w:t>“La sociedad está cambiando, ¿por qué las leyes no?”</w:t>
        </w:r>
      </w:hyperlink>
      <w:r w:rsidRPr="001B30A2">
        <w:rPr>
          <w:rFonts w:ascii="Cambria" w:hAnsi="Cambria"/>
          <w:i/>
          <w:color w:val="000000" w:themeColor="text1"/>
          <w:sz w:val="16"/>
          <w:szCs w:val="16"/>
        </w:rPr>
        <w:t xml:space="preserve"> </w:t>
      </w:r>
      <w:r w:rsidRPr="001B30A2">
        <w:rPr>
          <w:rFonts w:ascii="Cambria" w:hAnsi="Cambria"/>
          <w:color w:val="000000" w:themeColor="text1"/>
          <w:sz w:val="16"/>
          <w:szCs w:val="16"/>
        </w:rPr>
        <w:t>[Society is changing; why aren't the laws?] March 14, 2023. Promsex and Manuela Ramos conducted a survey on "Sexuality, Reproduction, and Gender Inequalities.”</w:t>
      </w:r>
    </w:p>
  </w:endnote>
  <w:endnote w:id="31">
    <w:p w14:paraId="70C87503" w14:textId="438A27DD" w:rsidR="004F54AA" w:rsidRDefault="004F54AA"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 xml:space="preserve">United Nations Population Fund, UNFPA </w:t>
      </w:r>
      <w:hyperlink r:id="rId13" w:history="1">
        <w:r w:rsidRPr="00304C9B">
          <w:rPr>
            <w:rStyle w:val="Hyperlink"/>
            <w:rFonts w:ascii="Cambria" w:hAnsi="Cambria" w:cs="Cambria"/>
            <w:i/>
            <w:iCs/>
            <w:color w:val="000000" w:themeColor="text1"/>
            <w:sz w:val="16"/>
            <w:szCs w:val="16"/>
          </w:rPr>
          <w:t>“Perú: maternidad en niñas entre 10 y 14 años creció 40% entre 2020 y 2022”</w:t>
        </w:r>
      </w:hyperlink>
      <w:r w:rsidRPr="001407FF">
        <w:rPr>
          <w:rFonts w:ascii="Cambria" w:hAnsi="Cambria"/>
          <w:color w:val="000000" w:themeColor="text1"/>
          <w:sz w:val="16"/>
          <w:szCs w:val="16"/>
        </w:rPr>
        <w:t xml:space="preserve"> [Peru: Maternity </w:t>
      </w:r>
      <w:r w:rsidRPr="001B30A2">
        <w:rPr>
          <w:rFonts w:ascii="Cambria" w:hAnsi="Cambria"/>
          <w:color w:val="000000" w:themeColor="text1"/>
          <w:sz w:val="16"/>
          <w:szCs w:val="16"/>
        </w:rPr>
        <w:t>in girls aged 10 to 14 increased by 40% between 2020 and 2022], September 20, 2023.</w:t>
      </w:r>
    </w:p>
  </w:endnote>
  <w:endnote w:id="32">
    <w:p w14:paraId="5C445D5B" w14:textId="089ED02D" w:rsidR="004F54AA" w:rsidRDefault="004F54AA" w:rsidP="00E34588">
      <w:pPr>
        <w:pStyle w:val="EndnoteText"/>
        <w:ind w:left="540" w:hanging="540"/>
        <w:jc w:val="both"/>
      </w:pPr>
      <w:r>
        <w:rPr>
          <w:rStyle w:val="EndnoteReference"/>
        </w:rPr>
        <w:endnoteRef/>
      </w:r>
      <w:r>
        <w:t xml:space="preserve"> </w:t>
      </w:r>
      <w:r w:rsidRPr="001B30A2">
        <w:rPr>
          <w:rFonts w:ascii="Cambria" w:hAnsi="Cambria"/>
          <w:color w:val="000000" w:themeColor="text1"/>
          <w:sz w:val="16"/>
          <w:szCs w:val="16"/>
        </w:rPr>
        <w:t>United Nations Population Fund, UNFPA. Digital dashboard on pregnancy and childbearing among girls and adolescents in Peru. Available at:&lt; https://peru.unfpa.org/es/mapa-embarazo-y-maternidad-adolescentes-peru&gt; (last visited 7 December 2024).</w:t>
      </w:r>
    </w:p>
  </w:endnote>
  <w:endnote w:id="33">
    <w:p w14:paraId="59297012" w14:textId="0876DC7B" w:rsidR="004F54AA" w:rsidRDefault="004F54AA" w:rsidP="005928E0">
      <w:pPr>
        <w:pStyle w:val="EndnoteText"/>
        <w:jc w:val="both"/>
      </w:pPr>
      <w:r>
        <w:rPr>
          <w:rStyle w:val="EndnoteReference"/>
        </w:rPr>
        <w:endnoteRef/>
      </w:r>
      <w:r>
        <w:t xml:space="preserve"> </w:t>
      </w:r>
      <w:r w:rsidRPr="001B30A2">
        <w:rPr>
          <w:rFonts w:ascii="Cambria" w:hAnsi="Cambria"/>
          <w:color w:val="000000" w:themeColor="text1"/>
          <w:sz w:val="16"/>
          <w:szCs w:val="16"/>
        </w:rPr>
        <w:t>United Nations Population Fund, AECID and others (2009). Fact sheet, 3. Violence against adolescents.</w:t>
      </w:r>
    </w:p>
  </w:endnote>
  <w:endnote w:id="34">
    <w:p w14:paraId="6D2FD2D4" w14:textId="637EFA8E" w:rsidR="004F54AA" w:rsidRDefault="004F54AA" w:rsidP="00E34588">
      <w:pPr>
        <w:pStyle w:val="EndnoteText"/>
        <w:ind w:left="540" w:hanging="540"/>
        <w:jc w:val="both"/>
      </w:pPr>
      <w:r>
        <w:rPr>
          <w:rStyle w:val="EndnoteReference"/>
        </w:rPr>
        <w:endnoteRef/>
      </w:r>
      <w:r>
        <w:t xml:space="preserve"> </w:t>
      </w:r>
      <w:r w:rsidRPr="001407FF">
        <w:rPr>
          <w:rFonts w:ascii="Cambria" w:eastAsia="Times New Roman" w:hAnsi="Cambria" w:cs="Times New Roman"/>
          <w:color w:val="000000" w:themeColor="text1"/>
          <w:sz w:val="16"/>
          <w:szCs w:val="16"/>
        </w:rPr>
        <w:t>Among the guidelines and directives</w:t>
      </w:r>
      <w:r>
        <w:rPr>
          <w:rFonts w:ascii="Cambria" w:eastAsia="Times New Roman" w:hAnsi="Cambria" w:cs="Times New Roman"/>
          <w:color w:val="000000" w:themeColor="text1"/>
          <w:sz w:val="16"/>
          <w:szCs w:val="16"/>
        </w:rPr>
        <w:t>, we have</w:t>
      </w:r>
      <w:r w:rsidRPr="001407FF">
        <w:rPr>
          <w:rFonts w:ascii="Cambria" w:hAnsi="Cambria"/>
          <w:color w:val="000000" w:themeColor="text1"/>
          <w:sz w:val="16"/>
          <w:szCs w:val="16"/>
        </w:rPr>
        <w:t xml:space="preserve">: i) Technical Standard No. 034-MINSA/DGSP-v.01 </w:t>
      </w:r>
      <w:r w:rsidRPr="001407FF">
        <w:rPr>
          <w:rFonts w:ascii="Cambria" w:hAnsi="Cambria"/>
          <w:i/>
          <w:iCs/>
          <w:color w:val="000000" w:themeColor="text1"/>
          <w:sz w:val="16"/>
          <w:szCs w:val="16"/>
        </w:rPr>
        <w:t>"Norma Técnica de Atención Integral de la Salud en la Etapa de Vida Adolescente"</w:t>
      </w:r>
      <w:r w:rsidRPr="001407FF">
        <w:rPr>
          <w:rFonts w:ascii="Cambria" w:hAnsi="Cambria"/>
          <w:color w:val="000000" w:themeColor="text1"/>
          <w:sz w:val="16"/>
          <w:szCs w:val="16"/>
        </w:rPr>
        <w:t xml:space="preserve"> [Technical Standard for Comprehensive Health Care in the Stages of Adolescence]; ii) Ministerial Resolution No. 633-2005/MINSA, August 22, 2005, updated the Ministerial Resolution No. 973-2012/MINSA, December 7, 2012; iii) Ministerial Resolution No. 503-2012/MINSA June 15, 2012 approved the Technical Standard No. 095-MINSA/DGSP.V.01 </w:t>
      </w:r>
      <w:r w:rsidRPr="001407FF">
        <w:rPr>
          <w:rFonts w:ascii="Cambria" w:hAnsi="Cambria"/>
          <w:i/>
          <w:iCs/>
          <w:color w:val="000000" w:themeColor="text1"/>
          <w:sz w:val="16"/>
          <w:szCs w:val="16"/>
        </w:rPr>
        <w:t xml:space="preserve">"Norma Técnica de Salud: Criterios y Estándares de Evaluación de Servicios Diferenciados de Atención Integral de Salud para adolescentes" </w:t>
      </w:r>
      <w:r w:rsidRPr="001407FF">
        <w:rPr>
          <w:rFonts w:ascii="Cambria" w:hAnsi="Cambria"/>
          <w:color w:val="000000" w:themeColor="text1"/>
          <w:sz w:val="16"/>
          <w:szCs w:val="16"/>
        </w:rPr>
        <w:t xml:space="preserve">[Technical Health Standard: Criteria and Standards for the Evaluation of Differentiated Comprehensive Health Care Services for Adolescents]; iv) Technical Standard No. 124-2016, </w:t>
      </w:r>
      <w:r w:rsidRPr="001407FF">
        <w:rPr>
          <w:rFonts w:ascii="Cambria" w:hAnsi="Cambria"/>
          <w:i/>
          <w:iCs/>
          <w:color w:val="000000" w:themeColor="text1"/>
          <w:sz w:val="16"/>
          <w:szCs w:val="16"/>
        </w:rPr>
        <w:t>“Norma Técnica de Salud de Planificación Familiar”</w:t>
      </w:r>
      <w:r w:rsidRPr="001407FF">
        <w:rPr>
          <w:rFonts w:ascii="Cambria" w:hAnsi="Cambria"/>
          <w:color w:val="000000" w:themeColor="text1"/>
          <w:sz w:val="16"/>
          <w:szCs w:val="16"/>
        </w:rPr>
        <w:t xml:space="preserve"> [Family Planning Technical Health Standard] approved by Ministerial Resolution No. 652-2016/MINSA, item 6.3 provides guidance and counseling about family planning.</w:t>
      </w:r>
    </w:p>
  </w:endnote>
  <w:endnote w:id="35">
    <w:p w14:paraId="42AE148F" w14:textId="3804FE80" w:rsidR="004F54AA" w:rsidRDefault="004F54AA"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 xml:space="preserve">Ministerial Resolution No. 227-2019/MINSA of March 8, 2019, approving the Health Directive No. 083-MINSA/2019/DGIESP </w:t>
      </w:r>
      <w:r w:rsidRPr="001407FF">
        <w:rPr>
          <w:rFonts w:ascii="Cambria" w:hAnsi="Cambria"/>
          <w:i/>
          <w:iCs/>
          <w:color w:val="000000" w:themeColor="text1"/>
          <w:sz w:val="16"/>
          <w:szCs w:val="16"/>
        </w:rPr>
        <w:t>"</w:t>
      </w:r>
      <w:hyperlink r:id="rId14">
        <w:r w:rsidRPr="001407FF">
          <w:rPr>
            <w:rFonts w:ascii="Cambria" w:hAnsi="Cambria"/>
            <w:i/>
            <w:iCs/>
            <w:color w:val="000000" w:themeColor="text1"/>
            <w:sz w:val="16"/>
            <w:szCs w:val="16"/>
            <w:u w:val="single"/>
          </w:rPr>
          <w:t>Directiva Sanitaria para el uso del Kit para la atención de casos de Violencia Sexual"</w:t>
        </w:r>
      </w:hyperlink>
      <w:r w:rsidRPr="001407FF">
        <w:rPr>
          <w:rFonts w:ascii="Cambria" w:hAnsi="Cambria"/>
          <w:i/>
          <w:iCs/>
          <w:color w:val="000000" w:themeColor="text1"/>
          <w:sz w:val="16"/>
          <w:szCs w:val="16"/>
        </w:rPr>
        <w:t xml:space="preserve"> </w:t>
      </w:r>
      <w:r w:rsidRPr="001407FF">
        <w:rPr>
          <w:rFonts w:ascii="Cambria" w:hAnsi="Cambria"/>
          <w:color w:val="000000" w:themeColor="text1"/>
          <w:sz w:val="16"/>
          <w:szCs w:val="16"/>
        </w:rPr>
        <w:t>[</w:t>
      </w:r>
      <w:r w:rsidRPr="001407FF">
        <w:rPr>
          <w:rFonts w:ascii="Cambria" w:hAnsi="Cambria" w:cstheme="minorHAnsi"/>
          <w:color w:val="000000" w:themeColor="text1"/>
          <w:sz w:val="16"/>
          <w:szCs w:val="16"/>
        </w:rPr>
        <w:t>Health directive for the use of the care Kit for cases of sexual violence</w:t>
      </w:r>
      <w:r w:rsidRPr="001407FF">
        <w:rPr>
          <w:rFonts w:ascii="Cambria" w:hAnsi="Cambria"/>
          <w:color w:val="000000" w:themeColor="text1"/>
          <w:sz w:val="16"/>
          <w:szCs w:val="16"/>
        </w:rPr>
        <w:t>].</w:t>
      </w:r>
    </w:p>
  </w:endnote>
  <w:endnote w:id="36">
    <w:p w14:paraId="62AF3747" w14:textId="316F9F3A" w:rsidR="004F54AA" w:rsidRDefault="004F54AA"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 xml:space="preserve">República, </w:t>
      </w:r>
      <w:r w:rsidRPr="001407FF">
        <w:rPr>
          <w:rFonts w:ascii="Cambria" w:hAnsi="Cambria"/>
          <w:i/>
          <w:iCs/>
          <w:color w:val="000000" w:themeColor="text1"/>
          <w:sz w:val="16"/>
          <w:szCs w:val="16"/>
        </w:rPr>
        <w:t>“</w:t>
      </w:r>
      <w:hyperlink r:id="rId15" w:history="1">
        <w:r w:rsidRPr="001407FF">
          <w:rPr>
            <w:rStyle w:val="Hyperlink"/>
            <w:rFonts w:ascii="Cambria" w:eastAsia="Cambria" w:hAnsi="Cambria" w:cs="Cambria"/>
            <w:i/>
            <w:iCs/>
            <w:color w:val="000000" w:themeColor="text1"/>
            <w:sz w:val="16"/>
            <w:szCs w:val="16"/>
          </w:rPr>
          <w:t>Aún hay trabas en entrega de la píldora del día siguiente</w:t>
        </w:r>
      </w:hyperlink>
      <w:r w:rsidRPr="001407FF">
        <w:rPr>
          <w:rFonts w:ascii="Cambria" w:hAnsi="Cambria"/>
          <w:i/>
          <w:iCs/>
          <w:color w:val="000000" w:themeColor="text1"/>
          <w:sz w:val="16"/>
          <w:szCs w:val="16"/>
          <w:u w:val="single"/>
        </w:rPr>
        <w:t xml:space="preserve">” </w:t>
      </w:r>
      <w:r w:rsidRPr="001407FF">
        <w:rPr>
          <w:rFonts w:ascii="Cambria" w:hAnsi="Cambria"/>
          <w:color w:val="000000" w:themeColor="text1"/>
          <w:sz w:val="16"/>
          <w:szCs w:val="16"/>
          <w:u w:val="single"/>
        </w:rPr>
        <w:t>[</w:t>
      </w:r>
      <w:r w:rsidRPr="001407FF">
        <w:rPr>
          <w:rFonts w:ascii="Cambria" w:hAnsi="Cambria"/>
          <w:color w:val="000000" w:themeColor="text1"/>
          <w:sz w:val="16"/>
          <w:szCs w:val="16"/>
        </w:rPr>
        <w:t>There are still obstacles in the delivery of the emergency contraceptive pill], October</w:t>
      </w:r>
      <w:r>
        <w:rPr>
          <w:rFonts w:ascii="Cambria" w:hAnsi="Cambria"/>
          <w:color w:val="000000" w:themeColor="text1"/>
          <w:sz w:val="16"/>
          <w:szCs w:val="16"/>
        </w:rPr>
        <w:t xml:space="preserve"> 28,</w:t>
      </w:r>
      <w:r w:rsidRPr="001407FF">
        <w:rPr>
          <w:rFonts w:ascii="Cambria" w:hAnsi="Cambria"/>
          <w:color w:val="000000" w:themeColor="text1"/>
          <w:sz w:val="16"/>
          <w:szCs w:val="16"/>
        </w:rPr>
        <w:t xml:space="preserve"> 2019. </w:t>
      </w:r>
    </w:p>
  </w:endnote>
  <w:endnote w:id="37">
    <w:p w14:paraId="4A3B8B6B" w14:textId="0DA42068" w:rsidR="004F54AA" w:rsidRDefault="004F54AA" w:rsidP="005928E0">
      <w:pPr>
        <w:pStyle w:val="EndnoteText"/>
        <w:jc w:val="both"/>
      </w:pPr>
      <w:r>
        <w:rPr>
          <w:rStyle w:val="EndnoteReference"/>
        </w:rPr>
        <w:endnoteRef/>
      </w:r>
      <w:r>
        <w:t xml:space="preserve"> </w:t>
      </w:r>
      <w:r w:rsidRPr="00294CCD">
        <w:rPr>
          <w:rFonts w:ascii="Cambria" w:hAnsi="Cambria"/>
          <w:color w:val="000000" w:themeColor="text1"/>
          <w:sz w:val="16"/>
          <w:szCs w:val="16"/>
        </w:rPr>
        <w:t>Promsex. Response to the request for access to information from the Minsa, Letter No. Nº 652-2019, March 22</w:t>
      </w:r>
      <w:r>
        <w:rPr>
          <w:rFonts w:ascii="Cambria" w:hAnsi="Cambria"/>
          <w:color w:val="000000" w:themeColor="text1"/>
          <w:sz w:val="16"/>
          <w:szCs w:val="16"/>
        </w:rPr>
        <w:t>, 2019</w:t>
      </w:r>
      <w:r w:rsidRPr="001407FF">
        <w:rPr>
          <w:rFonts w:ascii="Cambria" w:hAnsi="Cambria"/>
          <w:color w:val="000000" w:themeColor="text1"/>
          <w:sz w:val="16"/>
          <w:szCs w:val="16"/>
        </w:rPr>
        <w:t>.</w:t>
      </w:r>
    </w:p>
  </w:endnote>
  <w:endnote w:id="38">
    <w:p w14:paraId="6E8F404E" w14:textId="3213CC6D" w:rsidR="004F54AA" w:rsidRDefault="004F54AA"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Mesa de Vigilancia Ciudadana en Derechos Sexuales y Reproductivos</w:t>
      </w:r>
      <w:r w:rsidRPr="001407FF">
        <w:rPr>
          <w:rFonts w:ascii="Cambria" w:hAnsi="Cambria"/>
          <w:i/>
          <w:iCs/>
          <w:color w:val="000000" w:themeColor="text1"/>
          <w:sz w:val="16"/>
          <w:szCs w:val="16"/>
        </w:rPr>
        <w:t>, </w:t>
      </w:r>
      <w:hyperlink r:id="rId16" w:tgtFrame="_blank" w:history="1">
        <w:r w:rsidRPr="001407FF">
          <w:rPr>
            <w:rStyle w:val="Hyperlink"/>
            <w:rFonts w:ascii="Cambria" w:eastAsia="Cambria" w:hAnsi="Cambria" w:cs="Cambria"/>
            <w:i/>
            <w:iCs/>
            <w:color w:val="000000" w:themeColor="text1"/>
            <w:sz w:val="16"/>
            <w:szCs w:val="16"/>
          </w:rPr>
          <w:t>“Informe sobre el progreso y las brechas en la implementación de derechos, salud y justicia sexual y reproductiva en el 10 aniversario del Consenso de Montevideo en Perú”</w:t>
        </w:r>
      </w:hyperlink>
      <w:r w:rsidRPr="001407FF">
        <w:rPr>
          <w:rFonts w:ascii="Cambria" w:hAnsi="Cambria"/>
          <w:color w:val="000000" w:themeColor="text1"/>
          <w:sz w:val="16"/>
          <w:szCs w:val="16"/>
        </w:rPr>
        <w:t>[</w:t>
      </w:r>
      <w:hyperlink r:id="rId17" w:tgtFrame="_blank" w:history="1">
        <w:r w:rsidRPr="00294CCD">
          <w:rPr>
            <w:rStyle w:val="Hyperlink"/>
            <w:rFonts w:ascii="Cambria" w:eastAsia="Cambria" w:hAnsi="Cambria" w:cs="Cambria"/>
            <w:color w:val="000000" w:themeColor="text1"/>
            <w:sz w:val="16"/>
            <w:szCs w:val="16"/>
          </w:rPr>
          <w:t>Report on progress and gaps in the implementation of sexual and reproductive rights, health and justice on the 10th anniversary of the Montevideo Consensus in Peru</w:t>
        </w:r>
      </w:hyperlink>
      <w:r w:rsidRPr="00294CCD">
        <w:rPr>
          <w:rFonts w:ascii="Cambria" w:hAnsi="Cambria"/>
          <w:color w:val="000000" w:themeColor="text1"/>
          <w:sz w:val="16"/>
          <w:szCs w:val="16"/>
        </w:rPr>
        <w:t>]. November 2023,</w:t>
      </w:r>
    </w:p>
  </w:endnote>
  <w:endnote w:id="39">
    <w:p w14:paraId="02474928" w14:textId="56F90E6C" w:rsidR="004F54AA" w:rsidRDefault="004F54AA" w:rsidP="00E34588">
      <w:pPr>
        <w:pStyle w:val="EndnoteText"/>
        <w:ind w:left="540" w:hanging="540"/>
        <w:jc w:val="both"/>
      </w:pPr>
      <w:r>
        <w:rPr>
          <w:rStyle w:val="EndnoteReference"/>
        </w:rPr>
        <w:endnoteRef/>
      </w:r>
      <w:r>
        <w:t xml:space="preserve"> </w:t>
      </w:r>
      <w:r w:rsidRPr="00294CCD">
        <w:rPr>
          <w:rFonts w:ascii="Cambria" w:hAnsi="Cambria"/>
          <w:color w:val="000000" w:themeColor="text1"/>
          <w:sz w:val="16"/>
          <w:szCs w:val="16"/>
        </w:rPr>
        <w:t>The Ombudsman's Office, “</w:t>
      </w:r>
      <w:r w:rsidRPr="00294CCD">
        <w:rPr>
          <w:rFonts w:ascii="Cambria" w:hAnsi="Cambria"/>
          <w:i/>
          <w:color w:val="000000" w:themeColor="text1"/>
          <w:sz w:val="16"/>
          <w:szCs w:val="16"/>
        </w:rPr>
        <w:t>Derecho a la Salud Materna. Seguimiento de las Recomendaciones Defensoriales a Establecimientos de Salud en Arequipa, Junín, Lima, Piura y Puno”</w:t>
      </w:r>
      <w:r w:rsidRPr="00294CCD">
        <w:rPr>
          <w:rFonts w:ascii="Cambria" w:hAnsi="Cambria"/>
          <w:color w:val="000000" w:themeColor="text1"/>
          <w:sz w:val="16"/>
          <w:szCs w:val="16"/>
        </w:rPr>
        <w:t xml:space="preserve"> [Right to Maternal Health. Follow-up of Ombudsman Recommendations to Health Facilities in Arequipa, Junín, Lima, Piura and Puno</w:t>
      </w:r>
      <w:r>
        <w:rPr>
          <w:rFonts w:ascii="Cambria" w:hAnsi="Cambria"/>
          <w:color w:val="000000" w:themeColor="text1"/>
          <w:sz w:val="16"/>
          <w:szCs w:val="16"/>
        </w:rPr>
        <w:t>]</w:t>
      </w:r>
      <w:r w:rsidRPr="00294CCD">
        <w:rPr>
          <w:rFonts w:ascii="Cambria" w:hAnsi="Cambria"/>
          <w:color w:val="000000" w:themeColor="text1"/>
          <w:sz w:val="16"/>
          <w:szCs w:val="16"/>
        </w:rPr>
        <w:t>. Report No. 001-2017-DP/ADM 2016, p. 86.</w:t>
      </w:r>
    </w:p>
  </w:endnote>
  <w:endnote w:id="40">
    <w:p w14:paraId="0C422C6E" w14:textId="7F87CD4C" w:rsidR="004F54AA" w:rsidRDefault="004F54AA" w:rsidP="005928E0">
      <w:pPr>
        <w:pStyle w:val="EndnoteText"/>
        <w:jc w:val="both"/>
      </w:pPr>
      <w:r>
        <w:rPr>
          <w:rStyle w:val="EndnoteReference"/>
        </w:rPr>
        <w:endnoteRef/>
      </w:r>
      <w:r>
        <w:t xml:space="preserve"> </w:t>
      </w:r>
      <w:r w:rsidRPr="001407FF">
        <w:rPr>
          <w:rFonts w:ascii="Cambria" w:hAnsi="Cambria"/>
          <w:color w:val="000000" w:themeColor="text1"/>
          <w:sz w:val="16"/>
          <w:szCs w:val="16"/>
        </w:rPr>
        <w:t>Committee on the Rights of the Child (CRC). List of issues (2021), ¶ 37 (a).</w:t>
      </w:r>
    </w:p>
  </w:endnote>
  <w:endnote w:id="41">
    <w:p w14:paraId="5D419D2F" w14:textId="2895ABDC" w:rsidR="004F54AA" w:rsidRDefault="004F54AA" w:rsidP="00E34588">
      <w:pPr>
        <w:pStyle w:val="EndnoteText"/>
        <w:ind w:left="540" w:hanging="540"/>
        <w:jc w:val="both"/>
      </w:pPr>
      <w:r>
        <w:rPr>
          <w:rStyle w:val="EndnoteReference"/>
        </w:rPr>
        <w:endnoteRef/>
      </w:r>
      <w:r>
        <w:t xml:space="preserve"> </w:t>
      </w:r>
      <w:r w:rsidRPr="00294CCD">
        <w:rPr>
          <w:rFonts w:ascii="Cambria" w:hAnsi="Cambria"/>
          <w:color w:val="000000" w:themeColor="text1"/>
          <w:sz w:val="16"/>
          <w:szCs w:val="16"/>
        </w:rPr>
        <w:t>According to the Public Prosecutor's Office, 649 trafficking cases were registered nationwide from January to October 2021, 45% of which involved adolescents between 13 and 17 years of age. Press release. Manuela Ramos,</w:t>
      </w:r>
      <w:r>
        <w:rPr>
          <w:rFonts w:ascii="Cambria" w:hAnsi="Cambria"/>
          <w:color w:val="000000" w:themeColor="text1"/>
          <w:sz w:val="16"/>
          <w:szCs w:val="16"/>
        </w:rPr>
        <w:t xml:space="preserve"> </w:t>
      </w:r>
      <w:r w:rsidRPr="00920DFE">
        <w:rPr>
          <w:rFonts w:ascii="Cambria" w:hAnsi="Cambria"/>
          <w:i/>
          <w:iCs/>
          <w:color w:val="000000" w:themeColor="text1"/>
          <w:sz w:val="16"/>
          <w:szCs w:val="16"/>
        </w:rPr>
        <w:t>“Explotación sexual infantil”</w:t>
      </w:r>
      <w:r>
        <w:rPr>
          <w:rFonts w:ascii="Cambria" w:hAnsi="Cambria"/>
          <w:color w:val="000000" w:themeColor="text1"/>
          <w:sz w:val="16"/>
          <w:szCs w:val="16"/>
        </w:rPr>
        <w:t xml:space="preserve"> </w:t>
      </w:r>
      <w:r w:rsidRPr="00294CCD">
        <w:rPr>
          <w:rFonts w:ascii="Cambria" w:hAnsi="Cambria"/>
          <w:color w:val="000000" w:themeColor="text1"/>
          <w:sz w:val="16"/>
          <w:szCs w:val="16"/>
        </w:rPr>
        <w:t>[Child sexual exploitation], April 5, 2022.</w:t>
      </w:r>
    </w:p>
  </w:endnote>
  <w:endnote w:id="42">
    <w:p w14:paraId="75C32C86" w14:textId="04AD8700" w:rsidR="004F54AA" w:rsidRDefault="004F54AA" w:rsidP="005928E0">
      <w:pPr>
        <w:pStyle w:val="EndnoteText"/>
        <w:jc w:val="both"/>
      </w:pPr>
      <w:r>
        <w:rPr>
          <w:rStyle w:val="EndnoteReference"/>
        </w:rPr>
        <w:endnoteRef/>
      </w:r>
      <w:r>
        <w:t xml:space="preserve"> </w:t>
      </w:r>
      <w:r w:rsidRPr="00304C9B">
        <w:rPr>
          <w:rFonts w:ascii="Cambria" w:hAnsi="Cambria"/>
          <w:color w:val="000000" w:themeColor="text1"/>
          <w:sz w:val="16"/>
          <w:szCs w:val="16"/>
        </w:rPr>
        <w:t>Committee</w:t>
      </w:r>
      <w:r w:rsidRPr="001407FF">
        <w:rPr>
          <w:rFonts w:ascii="Cambria" w:hAnsi="Cambria"/>
          <w:color w:val="000000" w:themeColor="text1"/>
          <w:sz w:val="16"/>
          <w:szCs w:val="16"/>
        </w:rPr>
        <w:t xml:space="preserve"> on the Rights of the Child (CRC). Concluding Observations (2016), ¶ 5</w:t>
      </w:r>
      <w:r>
        <w:rPr>
          <w:rFonts w:ascii="Cambria" w:hAnsi="Cambria"/>
          <w:color w:val="000000" w:themeColor="text1"/>
          <w:sz w:val="16"/>
          <w:szCs w:val="16"/>
        </w:rPr>
        <w:t>6</w:t>
      </w:r>
      <w:r w:rsidRPr="001407FF">
        <w:rPr>
          <w:rFonts w:ascii="Cambria" w:hAnsi="Cambria"/>
          <w:color w:val="000000" w:themeColor="text1"/>
          <w:sz w:val="16"/>
          <w:szCs w:val="16"/>
        </w:rPr>
        <w:t>(</w:t>
      </w:r>
      <w:r>
        <w:rPr>
          <w:rFonts w:ascii="Cambria" w:hAnsi="Cambria"/>
          <w:color w:val="000000" w:themeColor="text1"/>
          <w:sz w:val="16"/>
          <w:szCs w:val="16"/>
        </w:rPr>
        <w:t>a</w:t>
      </w:r>
      <w:r w:rsidRPr="001407FF">
        <w:rPr>
          <w:rFonts w:ascii="Cambria" w:hAnsi="Cambria"/>
          <w:color w:val="000000" w:themeColor="text1"/>
          <w:sz w:val="16"/>
          <w:szCs w:val="16"/>
        </w:rPr>
        <w:t>).</w:t>
      </w:r>
    </w:p>
  </w:endnote>
  <w:endnote w:id="43">
    <w:p w14:paraId="5C3D2E98" w14:textId="392D8C06" w:rsidR="004F54AA" w:rsidRDefault="004F54AA"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Press Release No. 622/OCII/DP/2022, </w:t>
      </w:r>
      <w:hyperlink r:id="rId18" w:history="1">
        <w:r w:rsidRPr="00294CCD">
          <w:rPr>
            <w:rStyle w:val="Hyperlink"/>
            <w:rFonts w:ascii="Cambria" w:eastAsia="Cambria" w:hAnsi="Cambria" w:cs="Cambria"/>
            <w:i/>
            <w:iCs/>
            <w:color w:val="000000" w:themeColor="text1"/>
            <w:sz w:val="16"/>
            <w:szCs w:val="16"/>
          </w:rPr>
          <w:t>“Defensoría del Pueblo: situación actual del embarazo en adolescentes exige un mayor acceso a salud sexual y reproductiva y educación sexual integral</w:t>
        </w:r>
      </w:hyperlink>
      <w:r w:rsidRPr="00294CCD">
        <w:rPr>
          <w:rFonts w:ascii="Cambria" w:hAnsi="Cambria"/>
          <w:i/>
          <w:iCs/>
          <w:color w:val="000000" w:themeColor="text1"/>
          <w:sz w:val="16"/>
          <w:szCs w:val="16"/>
        </w:rPr>
        <w:t>”</w:t>
      </w:r>
      <w:r w:rsidRPr="00294CCD">
        <w:rPr>
          <w:rFonts w:ascii="Cambria" w:hAnsi="Cambria"/>
          <w:color w:val="000000" w:themeColor="text1"/>
          <w:sz w:val="16"/>
          <w:szCs w:val="16"/>
        </w:rPr>
        <w:t xml:space="preserve"> [Ombudsman's Office: The current situation of teenage pregnancies require ensuring access to sexual and reproductive health and comprehensive sexual education], September 26,</w:t>
      </w:r>
      <w:r w:rsidRPr="003173A5">
        <w:rPr>
          <w:rFonts w:ascii="Cambria" w:hAnsi="Cambria"/>
          <w:color w:val="000000" w:themeColor="text1"/>
          <w:sz w:val="16"/>
          <w:szCs w:val="16"/>
        </w:rPr>
        <w:t xml:space="preserve"> 2022.</w:t>
      </w:r>
    </w:p>
  </w:endnote>
  <w:endnote w:id="44">
    <w:p w14:paraId="05954D06" w14:textId="256701B6" w:rsidR="004F54AA" w:rsidRDefault="004F54AA" w:rsidP="005928E0">
      <w:pPr>
        <w:pStyle w:val="EndnoteText"/>
        <w:jc w:val="both"/>
      </w:pPr>
      <w:r>
        <w:rPr>
          <w:rStyle w:val="EndnoteReference"/>
        </w:rPr>
        <w:endnoteRef/>
      </w:r>
      <w:r>
        <w:t xml:space="preserve"> </w:t>
      </w:r>
      <w:r w:rsidRPr="001407FF">
        <w:rPr>
          <w:rFonts w:ascii="Cambria" w:hAnsi="Cambria"/>
          <w:color w:val="000000" w:themeColor="text1"/>
          <w:sz w:val="16"/>
          <w:szCs w:val="16"/>
        </w:rPr>
        <w:t>Committee on the Rights of the Child (CRC). Concluding Observations (2016), ¶ 5</w:t>
      </w:r>
      <w:r>
        <w:rPr>
          <w:rFonts w:ascii="Cambria" w:hAnsi="Cambria"/>
          <w:color w:val="000000" w:themeColor="text1"/>
          <w:sz w:val="16"/>
          <w:szCs w:val="16"/>
        </w:rPr>
        <w:t>5</w:t>
      </w:r>
      <w:r w:rsidRPr="001407FF">
        <w:rPr>
          <w:rFonts w:ascii="Cambria" w:hAnsi="Cambria"/>
          <w:color w:val="000000" w:themeColor="text1"/>
          <w:sz w:val="16"/>
          <w:szCs w:val="16"/>
        </w:rPr>
        <w:t>(</w:t>
      </w:r>
      <w:r>
        <w:rPr>
          <w:rFonts w:ascii="Cambria" w:hAnsi="Cambria"/>
          <w:color w:val="000000" w:themeColor="text1"/>
          <w:sz w:val="16"/>
          <w:szCs w:val="16"/>
        </w:rPr>
        <w:t>a</w:t>
      </w:r>
      <w:r w:rsidRPr="001407FF">
        <w:rPr>
          <w:rFonts w:ascii="Cambria" w:hAnsi="Cambria"/>
          <w:color w:val="000000" w:themeColor="text1"/>
          <w:sz w:val="16"/>
          <w:szCs w:val="16"/>
        </w:rPr>
        <w:t>).</w:t>
      </w:r>
    </w:p>
  </w:endnote>
  <w:endnote w:id="45">
    <w:p w14:paraId="5182A824" w14:textId="67136314" w:rsidR="004F54AA" w:rsidRDefault="004F54AA" w:rsidP="00E34588">
      <w:pPr>
        <w:pStyle w:val="EndnoteText"/>
        <w:ind w:left="540" w:hanging="540"/>
        <w:jc w:val="both"/>
      </w:pPr>
      <w:r>
        <w:rPr>
          <w:rStyle w:val="EndnoteReference"/>
        </w:rPr>
        <w:endnoteRef/>
      </w:r>
      <w:r>
        <w:t xml:space="preserve"> </w:t>
      </w:r>
      <w:r w:rsidR="005928E0" w:rsidRPr="001407FF">
        <w:rPr>
          <w:rFonts w:ascii="Cambria" w:hAnsi="Cambria"/>
          <w:color w:val="000000" w:themeColor="text1"/>
          <w:sz w:val="16"/>
          <w:szCs w:val="16"/>
        </w:rPr>
        <w:t>Press Release No. 622/OCII/DP/2022, </w:t>
      </w:r>
      <w:hyperlink r:id="rId19" w:history="1">
        <w:r w:rsidR="005928E0" w:rsidRPr="00294CCD">
          <w:rPr>
            <w:rStyle w:val="Hyperlink"/>
            <w:rFonts w:ascii="Cambria" w:eastAsia="Cambria" w:hAnsi="Cambria" w:cs="Cambria"/>
            <w:i/>
            <w:iCs/>
            <w:color w:val="000000" w:themeColor="text1"/>
            <w:sz w:val="16"/>
            <w:szCs w:val="16"/>
          </w:rPr>
          <w:t>“Defensoría del Pueblo: situación actual del embarazo en adolescentes exige un mayor acceso a salud sexual y reproductiva y educación sexual integral</w:t>
        </w:r>
      </w:hyperlink>
      <w:r w:rsidR="005928E0" w:rsidRPr="00294CCD">
        <w:rPr>
          <w:rFonts w:ascii="Cambria" w:hAnsi="Cambria"/>
          <w:i/>
          <w:iCs/>
          <w:color w:val="000000" w:themeColor="text1"/>
          <w:sz w:val="16"/>
          <w:szCs w:val="16"/>
        </w:rPr>
        <w:t>”</w:t>
      </w:r>
      <w:r w:rsidR="005928E0" w:rsidRPr="00294CCD">
        <w:rPr>
          <w:rFonts w:ascii="Cambria" w:hAnsi="Cambria"/>
          <w:color w:val="000000" w:themeColor="text1"/>
          <w:sz w:val="16"/>
          <w:szCs w:val="16"/>
        </w:rPr>
        <w:t xml:space="preserve"> [Ombudsman's Office: The current situation of teenage pregnancies require ensuring access to sexual and reproductive health and comprehensive sexual education], September 26,</w:t>
      </w:r>
      <w:r w:rsidR="005928E0" w:rsidRPr="003173A5">
        <w:rPr>
          <w:rFonts w:ascii="Cambria" w:hAnsi="Cambria"/>
          <w:color w:val="000000" w:themeColor="text1"/>
          <w:sz w:val="16"/>
          <w:szCs w:val="16"/>
        </w:rPr>
        <w:t xml:space="preserve"> 2022.</w:t>
      </w:r>
    </w:p>
  </w:endnote>
  <w:endnote w:id="46">
    <w:p w14:paraId="66013561" w14:textId="3A59C767" w:rsidR="004F54AA" w:rsidRDefault="004F54AA"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Chirapaq</w:t>
      </w:r>
      <w:r w:rsidRPr="001407FF">
        <w:rPr>
          <w:rFonts w:ascii="Cambria" w:hAnsi="Cambria"/>
          <w:i/>
          <w:iCs/>
          <w:color w:val="000000" w:themeColor="text1"/>
          <w:sz w:val="16"/>
          <w:szCs w:val="16"/>
        </w:rPr>
        <w:t>, </w:t>
      </w:r>
      <w:hyperlink r:id="rId20" w:tgtFrame="_blank" w:history="1">
        <w:r w:rsidRPr="001407FF">
          <w:rPr>
            <w:rStyle w:val="Hyperlink"/>
            <w:rFonts w:ascii="Cambria" w:hAnsi="Cambria"/>
            <w:i/>
            <w:iCs/>
            <w:color w:val="000000" w:themeColor="text1"/>
            <w:sz w:val="16"/>
            <w:szCs w:val="16"/>
          </w:rPr>
          <w:t>"Violencia sexual contra niñas y jóvenes indígenas.</w:t>
        </w:r>
      </w:hyperlink>
      <w:r w:rsidRPr="001407FF">
        <w:rPr>
          <w:rFonts w:ascii="Cambria" w:hAnsi="Cambria"/>
          <w:color w:val="000000" w:themeColor="text1"/>
          <w:sz w:val="16"/>
          <w:szCs w:val="16"/>
        </w:rPr>
        <w:t> </w:t>
      </w:r>
      <w:hyperlink r:id="rId21" w:tgtFrame="_blank" w:history="1">
        <w:r w:rsidRPr="001407FF">
          <w:rPr>
            <w:rStyle w:val="Hyperlink"/>
            <w:rFonts w:ascii="Cambria" w:hAnsi="Cambria"/>
            <w:i/>
            <w:iCs/>
            <w:color w:val="000000" w:themeColor="text1"/>
            <w:sz w:val="16"/>
            <w:szCs w:val="16"/>
          </w:rPr>
          <w:t>Reporte Nacional"</w:t>
        </w:r>
      </w:hyperlink>
      <w:r>
        <w:rPr>
          <w:rFonts w:ascii="Cambria" w:hAnsi="Cambria"/>
          <w:color w:val="000000" w:themeColor="text1"/>
          <w:sz w:val="16"/>
          <w:szCs w:val="16"/>
        </w:rPr>
        <w:t xml:space="preserve"> </w:t>
      </w:r>
      <w:r w:rsidRPr="001407FF">
        <w:rPr>
          <w:rFonts w:ascii="Cambria" w:hAnsi="Cambria"/>
          <w:color w:val="000000" w:themeColor="text1"/>
          <w:sz w:val="16"/>
          <w:szCs w:val="16"/>
        </w:rPr>
        <w:t>[</w:t>
      </w:r>
      <w:r w:rsidRPr="001407FF">
        <w:rPr>
          <w:rFonts w:ascii="Cambria" w:hAnsi="Cambria"/>
          <w:i/>
          <w:iCs/>
          <w:color w:val="000000" w:themeColor="text1"/>
          <w:sz w:val="16"/>
          <w:szCs w:val="16"/>
        </w:rPr>
        <w:t>Sexual violence against Indigenous girls and young women],</w:t>
      </w:r>
      <w:r w:rsidRPr="001407FF">
        <w:rPr>
          <w:rFonts w:ascii="Cambria" w:hAnsi="Cambria"/>
          <w:color w:val="000000" w:themeColor="text1"/>
          <w:sz w:val="16"/>
          <w:szCs w:val="16"/>
        </w:rPr>
        <w:t> February 2021, p. 7.</w:t>
      </w:r>
    </w:p>
  </w:endnote>
  <w:endnote w:id="47">
    <w:p w14:paraId="5C410843" w14:textId="6F038891" w:rsidR="004F54AA" w:rsidRDefault="004F54AA" w:rsidP="00E34588">
      <w:pPr>
        <w:pStyle w:val="EndnoteText"/>
        <w:ind w:left="540" w:hanging="540"/>
        <w:jc w:val="both"/>
      </w:pPr>
      <w:r>
        <w:rPr>
          <w:rStyle w:val="EndnoteReference"/>
        </w:rPr>
        <w:endnoteRef/>
      </w:r>
      <w:r>
        <w:t xml:space="preserve"> </w:t>
      </w:r>
      <w:r w:rsidR="005928E0" w:rsidRPr="00087DB2">
        <w:rPr>
          <w:rFonts w:ascii="Cambria" w:hAnsi="Cambria"/>
          <w:color w:val="000000" w:themeColor="text1"/>
          <w:sz w:val="16"/>
          <w:szCs w:val="16"/>
        </w:rPr>
        <w:t xml:space="preserve">Office of the </w:t>
      </w:r>
      <w:r w:rsidR="005928E0" w:rsidRPr="005928E0">
        <w:rPr>
          <w:rFonts w:ascii="Cambria" w:hAnsi="Cambria"/>
          <w:color w:val="000000" w:themeColor="text1"/>
          <w:sz w:val="16"/>
          <w:szCs w:val="16"/>
        </w:rPr>
        <w:t xml:space="preserve">Ombudsman, </w:t>
      </w:r>
      <w:hyperlink r:id="rId22" w:tgtFrame="_blank" w:history="1">
        <w:r w:rsidRPr="005928E0">
          <w:rPr>
            <w:rStyle w:val="Hyperlink"/>
            <w:rFonts w:ascii="Cambria" w:hAnsi="Cambria"/>
            <w:i/>
            <w:iCs/>
            <w:color w:val="000000" w:themeColor="text1"/>
            <w:sz w:val="16"/>
            <w:szCs w:val="16"/>
          </w:rPr>
          <w:t>“Situación de los derechos de las mujeres indígenas en el Perú” [Situation of the rights of indigenous women in Peru].</w:t>
        </w:r>
      </w:hyperlink>
      <w:r w:rsidRPr="005928E0">
        <w:rPr>
          <w:rFonts w:ascii="Cambria" w:hAnsi="Cambria"/>
          <w:color w:val="000000" w:themeColor="text1"/>
          <w:sz w:val="16"/>
          <w:szCs w:val="16"/>
        </w:rPr>
        <w:t> Lima. Report No. 002-2019-DP/AMASPPI/PPI, December 2019.</w:t>
      </w:r>
    </w:p>
  </w:endnote>
  <w:endnote w:id="48">
    <w:p w14:paraId="4C6999A6" w14:textId="12689CAB" w:rsidR="004F54AA" w:rsidRDefault="004F54AA" w:rsidP="005928E0">
      <w:pPr>
        <w:pStyle w:val="EndnoteText"/>
        <w:jc w:val="both"/>
      </w:pPr>
      <w:r>
        <w:rPr>
          <w:rStyle w:val="EndnoteReference"/>
        </w:rPr>
        <w:endnoteRef/>
      </w:r>
      <w:r>
        <w:t xml:space="preserve"> </w:t>
      </w:r>
      <w:r w:rsidRPr="001407FF">
        <w:rPr>
          <w:rFonts w:ascii="Cambria" w:hAnsi="Cambria"/>
          <w:color w:val="000000" w:themeColor="text1"/>
          <w:sz w:val="16"/>
          <w:szCs w:val="16"/>
        </w:rPr>
        <w:t>Committee on the Rights of the Child (CRC). List of issues (2021), ¶ 40 (c).</w:t>
      </w:r>
    </w:p>
  </w:endnote>
  <w:endnote w:id="49">
    <w:p w14:paraId="43C9A985" w14:textId="377CAFA5" w:rsidR="004F54AA" w:rsidRDefault="004F54AA"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Demographic Survey of Statistics and Informatics -ENDES (2022). National Institute of Statistics and Informatics -INEI, corresponds to Graph 3.7. Adolescents aged 15-19 who are mothers or pregnant for the first time, by area of residence, 1996-2022.</w:t>
      </w:r>
    </w:p>
  </w:endnote>
  <w:endnote w:id="50">
    <w:p w14:paraId="2534EFE9" w14:textId="71F675A5" w:rsidR="004F54AA" w:rsidRDefault="004F54AA" w:rsidP="005928E0">
      <w:pPr>
        <w:pStyle w:val="EndnoteText"/>
        <w:jc w:val="both"/>
      </w:pPr>
      <w:r>
        <w:rPr>
          <w:rStyle w:val="EndnoteReference"/>
        </w:rPr>
        <w:endnoteRef/>
      </w:r>
      <w:r>
        <w:t xml:space="preserve"> </w:t>
      </w:r>
      <w:r w:rsidRPr="001407FF">
        <w:rPr>
          <w:rFonts w:ascii="Cambria" w:hAnsi="Cambria"/>
          <w:color w:val="000000" w:themeColor="text1"/>
          <w:sz w:val="16"/>
          <w:szCs w:val="16"/>
        </w:rPr>
        <w:t>National Institute of Statistics and Informatics -INEI. Available at: </w:t>
      </w:r>
      <w:hyperlink r:id="rId23" w:tgtFrame="_blank" w:history="1">
        <w:r w:rsidRPr="001407FF">
          <w:rPr>
            <w:rStyle w:val="Hyperlink"/>
            <w:rFonts w:ascii="Cambria" w:hAnsi="Cambria"/>
            <w:color w:val="000000" w:themeColor="text1"/>
            <w:sz w:val="16"/>
            <w:szCs w:val="16"/>
          </w:rPr>
          <w:t>https:</w:t>
        </w:r>
      </w:hyperlink>
      <w:r w:rsidRPr="001407FF">
        <w:rPr>
          <w:rFonts w:ascii="Cambria" w:hAnsi="Cambria"/>
          <w:color w:val="000000" w:themeColor="text1"/>
          <w:sz w:val="16"/>
          <w:szCs w:val="16"/>
        </w:rPr>
        <w:t> //www.gob.pe/inei/ (</w:t>
      </w:r>
      <w:r>
        <w:rPr>
          <w:rFonts w:ascii="Cambria" w:hAnsi="Cambria"/>
          <w:color w:val="000000" w:themeColor="text1"/>
          <w:sz w:val="16"/>
          <w:szCs w:val="16"/>
        </w:rPr>
        <w:t>last visited</w:t>
      </w:r>
      <w:r w:rsidRPr="001407FF">
        <w:rPr>
          <w:rFonts w:ascii="Cambria" w:hAnsi="Cambria"/>
          <w:color w:val="000000" w:themeColor="text1"/>
          <w:sz w:val="16"/>
          <w:szCs w:val="16"/>
        </w:rPr>
        <w:t xml:space="preserve"> December 5, 2024).</w:t>
      </w:r>
    </w:p>
  </w:endnote>
  <w:endnote w:id="51">
    <w:p w14:paraId="160514CA" w14:textId="297BF18A" w:rsidR="00B83247" w:rsidRPr="00E34588" w:rsidRDefault="00B83247" w:rsidP="00E34588">
      <w:pPr>
        <w:pStyle w:val="NoSpacing"/>
        <w:ind w:left="540" w:hanging="540"/>
        <w:jc w:val="both"/>
        <w:rPr>
          <w:rFonts w:ascii="Cambria" w:hAnsi="Cambria"/>
          <w:color w:val="000000" w:themeColor="text1"/>
          <w:sz w:val="16"/>
          <w:szCs w:val="16"/>
        </w:rPr>
      </w:pPr>
      <w:r>
        <w:rPr>
          <w:rStyle w:val="EndnoteReference"/>
        </w:rPr>
        <w:endnoteRef/>
      </w:r>
      <w:r>
        <w:t xml:space="preserve"> </w:t>
      </w:r>
      <w:r w:rsidRPr="001407FF">
        <w:rPr>
          <w:rFonts w:ascii="Cambria" w:hAnsi="Cambria"/>
          <w:color w:val="000000" w:themeColor="text1"/>
          <w:sz w:val="16"/>
          <w:szCs w:val="16"/>
        </w:rPr>
        <w:t xml:space="preserve">United Nations Population Fund, UNFPA </w:t>
      </w:r>
      <w:hyperlink r:id="rId24" w:history="1">
        <w:r w:rsidRPr="003173A5">
          <w:rPr>
            <w:rStyle w:val="Hyperlink"/>
            <w:rFonts w:ascii="Cambria" w:hAnsi="Cambria" w:cs="Cambria"/>
            <w:i/>
            <w:iCs/>
            <w:color w:val="000000" w:themeColor="text1"/>
            <w:sz w:val="16"/>
            <w:szCs w:val="16"/>
          </w:rPr>
          <w:t>“Perú: maternidad en niñas entre 10 y 14 años creció 40% entre 2020 y 2022”</w:t>
        </w:r>
      </w:hyperlink>
      <w:r w:rsidRPr="001407FF">
        <w:rPr>
          <w:rFonts w:ascii="Cambria" w:hAnsi="Cambria"/>
          <w:color w:val="000000" w:themeColor="text1"/>
          <w:sz w:val="16"/>
          <w:szCs w:val="16"/>
        </w:rPr>
        <w:t xml:space="preserve"> [Peru: Maternity in girls aged 10 to 14 increased by 40% between 2020 and 2022], September 20, 2023</w:t>
      </w:r>
      <w:r w:rsidR="00E34588">
        <w:rPr>
          <w:rFonts w:ascii="Cambria" w:hAnsi="Cambria"/>
          <w:color w:val="000000" w:themeColor="text1"/>
          <w:sz w:val="16"/>
          <w:szCs w:val="16"/>
        </w:rPr>
        <w:t>.</w:t>
      </w:r>
    </w:p>
  </w:endnote>
  <w:endnote w:id="52">
    <w:p w14:paraId="6826F34B" w14:textId="71EC49C2" w:rsidR="00B83247" w:rsidRPr="005928E0" w:rsidRDefault="00B83247" w:rsidP="00E34588">
      <w:pPr>
        <w:pStyle w:val="NoSpacing"/>
        <w:ind w:left="540" w:hanging="540"/>
        <w:jc w:val="both"/>
        <w:rPr>
          <w:rFonts w:ascii="Cambria" w:hAnsi="Cambria"/>
          <w:color w:val="000000" w:themeColor="text1"/>
          <w:sz w:val="16"/>
          <w:szCs w:val="16"/>
        </w:rPr>
      </w:pPr>
      <w:r>
        <w:rPr>
          <w:rStyle w:val="EndnoteReference"/>
        </w:rPr>
        <w:endnoteRef/>
      </w:r>
      <w:r>
        <w:t xml:space="preserve"> </w:t>
      </w:r>
      <w:r w:rsidRPr="00286FE7">
        <w:rPr>
          <w:rFonts w:ascii="Cambria" w:hAnsi="Cambria"/>
          <w:color w:val="000000" w:themeColor="text1"/>
          <w:sz w:val="16"/>
          <w:szCs w:val="16"/>
        </w:rPr>
        <w:t xml:space="preserve">In November 2023, the Executive Branch enacted Law No. 31945, a law that prohibits underage marriage in Peru; the Peruvian State still does not take adequate measures to reduce child marriage, sexual violence against children and adolescents, or prevent adolescent pregnancy. Congress of the Republic, </w:t>
      </w:r>
      <w:hyperlink r:id="rId25" w:history="1">
        <w:r w:rsidR="00286FE7" w:rsidRPr="00286FE7">
          <w:rPr>
            <w:rStyle w:val="Hyperlink"/>
            <w:rFonts w:ascii="Cambria" w:hAnsi="Cambria"/>
            <w:i/>
            <w:iCs/>
            <w:sz w:val="16"/>
            <w:szCs w:val="16"/>
          </w:rPr>
          <w:t>“Ejecutivo promulga ley que pone fin al matrimonio infantil</w:t>
        </w:r>
        <w:r w:rsidRPr="00286FE7">
          <w:rPr>
            <w:rStyle w:val="Hyperlink"/>
            <w:rFonts w:ascii="Cambria" w:hAnsi="Cambria"/>
            <w:i/>
            <w:iCs/>
            <w:sz w:val="16"/>
            <w:szCs w:val="16"/>
          </w:rPr>
          <w:t>”</w:t>
        </w:r>
      </w:hyperlink>
      <w:r>
        <w:rPr>
          <w:rFonts w:ascii="Cambria" w:hAnsi="Cambria"/>
          <w:i/>
          <w:iCs/>
          <w:color w:val="000000" w:themeColor="text1"/>
          <w:sz w:val="16"/>
          <w:szCs w:val="16"/>
        </w:rPr>
        <w:t xml:space="preserve"> </w:t>
      </w:r>
      <w:r>
        <w:rPr>
          <w:rFonts w:ascii="Cambria" w:hAnsi="Cambria"/>
          <w:color w:val="000000" w:themeColor="text1"/>
          <w:sz w:val="16"/>
          <w:szCs w:val="16"/>
        </w:rPr>
        <w:t>[</w:t>
      </w:r>
      <w:r w:rsidRPr="00286FE7">
        <w:rPr>
          <w:rFonts w:ascii="Cambria" w:hAnsi="Cambria"/>
          <w:color w:val="000000" w:themeColor="text1"/>
          <w:sz w:val="16"/>
          <w:szCs w:val="16"/>
        </w:rPr>
        <w:t>Executive enacts law to end child marriage</w:t>
      </w:r>
      <w:r>
        <w:rPr>
          <w:rFonts w:ascii="Cambria" w:hAnsi="Cambria"/>
          <w:color w:val="000000" w:themeColor="text1"/>
          <w:sz w:val="16"/>
          <w:szCs w:val="16"/>
        </w:rPr>
        <w:t>],</w:t>
      </w:r>
      <w:r w:rsidRPr="00286FE7">
        <w:rPr>
          <w:rFonts w:ascii="Cambria" w:hAnsi="Cambria"/>
          <w:color w:val="000000" w:themeColor="text1"/>
          <w:sz w:val="16"/>
          <w:szCs w:val="16"/>
        </w:rPr>
        <w:t xml:space="preserve"> November 25, 2023.</w:t>
      </w:r>
    </w:p>
  </w:endnote>
  <w:endnote w:id="53">
    <w:p w14:paraId="23200485" w14:textId="6DC6A711" w:rsidR="00B83247" w:rsidRDefault="00B83247"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 xml:space="preserve">United Nations Population Fund, UNFPA </w:t>
      </w:r>
      <w:hyperlink r:id="rId26" w:history="1">
        <w:r w:rsidRPr="00D838E3">
          <w:rPr>
            <w:rStyle w:val="Hyperlink"/>
            <w:rFonts w:ascii="Cambria" w:hAnsi="Cambria" w:cs="Cambria"/>
            <w:i/>
            <w:iCs/>
            <w:color w:val="000000" w:themeColor="text1"/>
            <w:sz w:val="16"/>
            <w:szCs w:val="16"/>
          </w:rPr>
          <w:t>“Perú: maternidad en niñas entre 10 y 14 años creció 40% entre 2020 y 2022”</w:t>
        </w:r>
      </w:hyperlink>
      <w:r w:rsidRPr="001407FF">
        <w:rPr>
          <w:rFonts w:ascii="Cambria" w:hAnsi="Cambria"/>
          <w:color w:val="000000" w:themeColor="text1"/>
          <w:sz w:val="16"/>
          <w:szCs w:val="16"/>
        </w:rPr>
        <w:t xml:space="preserve"> [Peru: Maternity in girls aged 10 to 14 increased by 40% between 2020 and 2022], September 20, 2023.</w:t>
      </w:r>
    </w:p>
  </w:endnote>
  <w:endnote w:id="54">
    <w:p w14:paraId="105A8D5B" w14:textId="2B741B3F" w:rsidR="00925BE0" w:rsidRDefault="00925BE0"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 xml:space="preserve">The Ministry of Health released a press release stating that </w:t>
      </w:r>
      <w:r w:rsidRPr="001407FF">
        <w:rPr>
          <w:rFonts w:ascii="Cambria" w:hAnsi="Cambria"/>
          <w:i/>
          <w:color w:val="000000" w:themeColor="text1"/>
          <w:sz w:val="16"/>
          <w:szCs w:val="16"/>
        </w:rPr>
        <w:t>“Más de 150 mil menores embarazadas atendió el SIS a nivel nacional”</w:t>
      </w:r>
      <w:r>
        <w:rPr>
          <w:rFonts w:ascii="Cambria" w:hAnsi="Cambria"/>
          <w:color w:val="000000" w:themeColor="text1"/>
          <w:sz w:val="16"/>
          <w:szCs w:val="16"/>
        </w:rPr>
        <w:t xml:space="preserve"> </w:t>
      </w:r>
      <w:r w:rsidRPr="001407FF">
        <w:rPr>
          <w:rFonts w:ascii="Cambria" w:hAnsi="Cambria"/>
          <w:color w:val="000000" w:themeColor="text1"/>
          <w:sz w:val="16"/>
          <w:szCs w:val="16"/>
        </w:rPr>
        <w:t>[More than 150 thousand pregnant minors were attended by the SIS nationwide], February 1, 2018.</w:t>
      </w:r>
    </w:p>
  </w:endnote>
  <w:endnote w:id="55">
    <w:p w14:paraId="0A402452" w14:textId="6C56E8E2" w:rsidR="00925BE0" w:rsidRDefault="00925BE0" w:rsidP="005928E0">
      <w:pPr>
        <w:pStyle w:val="EndnoteText"/>
        <w:jc w:val="both"/>
      </w:pPr>
      <w:r>
        <w:rPr>
          <w:rStyle w:val="EndnoteReference"/>
        </w:rPr>
        <w:endnoteRef/>
      </w:r>
      <w:r>
        <w:t xml:space="preserve"> </w:t>
      </w:r>
      <w:r w:rsidRPr="001407FF">
        <w:rPr>
          <w:rFonts w:ascii="Cambria" w:hAnsi="Cambria"/>
          <w:color w:val="000000" w:themeColor="text1"/>
          <w:sz w:val="16"/>
          <w:szCs w:val="16"/>
        </w:rPr>
        <w:t>Ministry of Health - MINSA. Online Registration System of Certified Live Births (CNV).</w:t>
      </w:r>
      <w:r w:rsidRPr="001407FF">
        <w:rPr>
          <w:rFonts w:ascii="Cambria" w:hAnsi="Cambria"/>
          <w:i/>
          <w:iCs/>
          <w:color w:val="000000" w:themeColor="text1"/>
          <w:sz w:val="16"/>
          <w:szCs w:val="16"/>
        </w:rPr>
        <w:t xml:space="preserve"> </w:t>
      </w:r>
      <w:hyperlink r:id="rId27" w:history="1">
        <w:r w:rsidRPr="001407FF">
          <w:rPr>
            <w:rStyle w:val="Hyperlink"/>
            <w:rFonts w:ascii="Cambria" w:hAnsi="Cambria"/>
            <w:i/>
            <w:iCs/>
            <w:color w:val="000000" w:themeColor="text1"/>
            <w:sz w:val="16"/>
            <w:szCs w:val="16"/>
          </w:rPr>
          <w:t>Certificate of live birth (2024)</w:t>
        </w:r>
      </w:hyperlink>
      <w:r w:rsidRPr="001407FF">
        <w:rPr>
          <w:rFonts w:ascii="Cambria" w:hAnsi="Cambria"/>
          <w:color w:val="000000" w:themeColor="text1"/>
          <w:sz w:val="16"/>
          <w:szCs w:val="16"/>
        </w:rPr>
        <w:t>.</w:t>
      </w:r>
    </w:p>
  </w:endnote>
  <w:endnote w:id="56">
    <w:p w14:paraId="167822C1" w14:textId="78B5532F" w:rsidR="00925BE0" w:rsidRDefault="00925BE0" w:rsidP="005928E0">
      <w:pPr>
        <w:pStyle w:val="EndnoteText"/>
        <w:jc w:val="both"/>
      </w:pPr>
      <w:r>
        <w:rPr>
          <w:rStyle w:val="EndnoteReference"/>
        </w:rPr>
        <w:endnoteRef/>
      </w:r>
      <w:r>
        <w:t xml:space="preserve"> </w:t>
      </w:r>
      <w:r w:rsidRPr="001407FF">
        <w:rPr>
          <w:rFonts w:ascii="Cambria" w:hAnsi="Cambria"/>
          <w:color w:val="000000" w:themeColor="text1"/>
          <w:sz w:val="16"/>
          <w:szCs w:val="16"/>
        </w:rPr>
        <w:t>Ministry of Health - MINSA. Online Registration System of Certified Live Births (CNV).</w:t>
      </w:r>
      <w:hyperlink r:id="rId28" w:history="1">
        <w:r w:rsidRPr="001407FF">
          <w:rPr>
            <w:rStyle w:val="Hyperlink"/>
            <w:rFonts w:ascii="Cambria" w:hAnsi="Cambria"/>
            <w:i/>
            <w:iCs/>
            <w:color w:val="000000" w:themeColor="text1"/>
            <w:sz w:val="16"/>
            <w:szCs w:val="16"/>
          </w:rPr>
          <w:t>Certificate of live birth (2023)</w:t>
        </w:r>
      </w:hyperlink>
      <w:r w:rsidRPr="001407FF">
        <w:rPr>
          <w:rFonts w:ascii="Cambria" w:hAnsi="Cambria"/>
          <w:i/>
          <w:iCs/>
          <w:color w:val="000000" w:themeColor="text1"/>
          <w:sz w:val="16"/>
          <w:szCs w:val="16"/>
        </w:rPr>
        <w:t>. </w:t>
      </w:r>
    </w:p>
  </w:endnote>
  <w:endnote w:id="57">
    <w:p w14:paraId="0E38A6ED" w14:textId="35559E32" w:rsidR="00925BE0" w:rsidRDefault="00925BE0" w:rsidP="005928E0">
      <w:pPr>
        <w:pStyle w:val="EndnoteText"/>
        <w:jc w:val="both"/>
      </w:pPr>
      <w:r>
        <w:rPr>
          <w:rStyle w:val="EndnoteReference"/>
        </w:rPr>
        <w:endnoteRef/>
      </w:r>
      <w:r>
        <w:t xml:space="preserve"> </w:t>
      </w:r>
      <w:r w:rsidRPr="001407FF">
        <w:rPr>
          <w:rFonts w:ascii="Cambria" w:hAnsi="Cambria"/>
          <w:color w:val="000000" w:themeColor="text1"/>
          <w:sz w:val="16"/>
          <w:szCs w:val="16"/>
        </w:rPr>
        <w:t>Ministry of Health - MINSA. INEI Report of Certified Live Births, Graph 3.11, Peru: Live Births (2015 -2022).</w:t>
      </w:r>
    </w:p>
  </w:endnote>
  <w:endnote w:id="58">
    <w:p w14:paraId="7B0BC436" w14:textId="4425CD19" w:rsidR="00925BE0" w:rsidRDefault="00925BE0" w:rsidP="005928E0">
      <w:pPr>
        <w:pStyle w:val="EndnoteText"/>
        <w:jc w:val="both"/>
      </w:pPr>
      <w:r>
        <w:rPr>
          <w:rStyle w:val="EndnoteReference"/>
        </w:rPr>
        <w:endnoteRef/>
      </w:r>
      <w:r>
        <w:t xml:space="preserve"> </w:t>
      </w:r>
      <w:r w:rsidRPr="001407FF">
        <w:rPr>
          <w:rFonts w:ascii="Cambria" w:hAnsi="Cambria"/>
          <w:color w:val="000000" w:themeColor="text1"/>
          <w:sz w:val="16"/>
          <w:szCs w:val="16"/>
        </w:rPr>
        <w:t>Ministry of Health - MINSA. Online Registration System of Certified Live Births (CNV).</w:t>
      </w:r>
      <w:hyperlink r:id="rId29" w:history="1">
        <w:r w:rsidRPr="001407FF">
          <w:rPr>
            <w:rStyle w:val="Hyperlink"/>
            <w:rFonts w:ascii="Cambria" w:hAnsi="Cambria"/>
            <w:i/>
            <w:iCs/>
            <w:color w:val="000000" w:themeColor="text1"/>
            <w:sz w:val="16"/>
            <w:szCs w:val="16"/>
          </w:rPr>
          <w:t>Certificate of live birth (2021)</w:t>
        </w:r>
      </w:hyperlink>
      <w:r w:rsidRPr="001407FF">
        <w:rPr>
          <w:rFonts w:ascii="Cambria" w:hAnsi="Cambria"/>
          <w:i/>
          <w:iCs/>
          <w:color w:val="000000" w:themeColor="text1"/>
          <w:sz w:val="16"/>
          <w:szCs w:val="16"/>
        </w:rPr>
        <w:t>.</w:t>
      </w:r>
    </w:p>
  </w:endnote>
  <w:endnote w:id="59">
    <w:p w14:paraId="112DB83F" w14:textId="482C188A" w:rsidR="00925BE0" w:rsidRDefault="00925BE0"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UNFPA press release. </w:t>
      </w:r>
      <w:hyperlink r:id="rId30" w:tgtFrame="_blank" w:history="1">
        <w:r w:rsidRPr="001407FF">
          <w:rPr>
            <w:rStyle w:val="Hyperlink"/>
            <w:rFonts w:ascii="Cambria" w:eastAsia="Cambria" w:hAnsi="Cambria" w:cs="Cambria"/>
            <w:i/>
            <w:iCs/>
            <w:color w:val="000000" w:themeColor="text1"/>
            <w:sz w:val="16"/>
            <w:szCs w:val="16"/>
          </w:rPr>
          <w:t>"Peru: maternity in girls between 10 and 14 years increase 14% in 2022"</w:t>
        </w:r>
      </w:hyperlink>
      <w:r w:rsidRPr="001407FF">
        <w:rPr>
          <w:rFonts w:ascii="Cambria" w:hAnsi="Cambria"/>
          <w:color w:val="000000" w:themeColor="text1"/>
          <w:sz w:val="16"/>
          <w:szCs w:val="16"/>
        </w:rPr>
        <w:t>, March 2, 2023. The Ombudsman's Office Press Release, </w:t>
      </w:r>
      <w:hyperlink r:id="rId31" w:tgtFrame="_blank" w:history="1">
        <w:r w:rsidRPr="001407FF">
          <w:rPr>
            <w:rStyle w:val="Hyperlink"/>
            <w:rFonts w:ascii="Cambria" w:eastAsia="Cambria" w:hAnsi="Cambria" w:cs="Cambria"/>
            <w:i/>
            <w:iCs/>
            <w:color w:val="000000" w:themeColor="text1"/>
            <w:sz w:val="16"/>
            <w:szCs w:val="16"/>
          </w:rPr>
          <w:t>"The State must strengthen sexual and reproductive health services"</w:t>
        </w:r>
      </w:hyperlink>
      <w:r w:rsidRPr="001407FF">
        <w:rPr>
          <w:rFonts w:ascii="Cambria" w:hAnsi="Cambria"/>
          <w:color w:val="000000" w:themeColor="text1"/>
          <w:sz w:val="16"/>
          <w:szCs w:val="16"/>
        </w:rPr>
        <w:t>, June 13, 2023, reports 1624 live births.</w:t>
      </w:r>
    </w:p>
  </w:endnote>
  <w:endnote w:id="60">
    <w:p w14:paraId="7665E858" w14:textId="51E25DAD" w:rsidR="00925BE0" w:rsidRDefault="00925BE0" w:rsidP="005928E0">
      <w:pPr>
        <w:pStyle w:val="EndnoteText"/>
        <w:jc w:val="both"/>
      </w:pPr>
      <w:r>
        <w:rPr>
          <w:rStyle w:val="EndnoteReference"/>
        </w:rPr>
        <w:endnoteRef/>
      </w:r>
      <w:r>
        <w:t xml:space="preserve"> </w:t>
      </w:r>
      <w:r w:rsidRPr="001407FF">
        <w:rPr>
          <w:rFonts w:ascii="Cambria" w:hAnsi="Cambria"/>
          <w:color w:val="000000" w:themeColor="text1"/>
          <w:sz w:val="16"/>
          <w:szCs w:val="16"/>
        </w:rPr>
        <w:t xml:space="preserve">Committee on the Rights of the Child (CRC). List of issues (2021), ¶ </w:t>
      </w:r>
      <w:r>
        <w:rPr>
          <w:rFonts w:ascii="Cambria" w:hAnsi="Cambria"/>
          <w:color w:val="000000" w:themeColor="text1"/>
          <w:sz w:val="16"/>
          <w:szCs w:val="16"/>
        </w:rPr>
        <w:t>22</w:t>
      </w:r>
      <w:r w:rsidRPr="001407FF">
        <w:rPr>
          <w:rFonts w:ascii="Cambria" w:hAnsi="Cambria"/>
          <w:color w:val="000000" w:themeColor="text1"/>
          <w:sz w:val="16"/>
          <w:szCs w:val="16"/>
        </w:rPr>
        <w:t xml:space="preserve"> (</w:t>
      </w:r>
      <w:r>
        <w:rPr>
          <w:rFonts w:ascii="Cambria" w:hAnsi="Cambria"/>
          <w:color w:val="000000" w:themeColor="text1"/>
          <w:sz w:val="16"/>
          <w:szCs w:val="16"/>
        </w:rPr>
        <w:t>a,</w:t>
      </w:r>
      <w:r w:rsidRPr="001407FF">
        <w:rPr>
          <w:rFonts w:ascii="Cambria" w:hAnsi="Cambria"/>
          <w:color w:val="000000" w:themeColor="text1"/>
          <w:sz w:val="16"/>
          <w:szCs w:val="16"/>
        </w:rPr>
        <w:t>b).</w:t>
      </w:r>
    </w:p>
  </w:endnote>
  <w:endnote w:id="61">
    <w:p w14:paraId="64BA58B3" w14:textId="5681C812" w:rsidR="00925BE0" w:rsidRDefault="00925BE0"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 xml:space="preserve">United Nations Population Fund, UNFPA </w:t>
      </w:r>
      <w:hyperlink r:id="rId32" w:history="1">
        <w:r w:rsidRPr="00D838E3">
          <w:rPr>
            <w:rStyle w:val="Hyperlink"/>
            <w:rFonts w:ascii="Cambria" w:hAnsi="Cambria" w:cs="Cambria"/>
            <w:i/>
            <w:iCs/>
            <w:color w:val="000000" w:themeColor="text1"/>
            <w:sz w:val="16"/>
            <w:szCs w:val="16"/>
          </w:rPr>
          <w:t>“Perú: maternidad en niñas entre 10 y 14 años creció 40% entre 2020 y 2022”</w:t>
        </w:r>
      </w:hyperlink>
      <w:r w:rsidRPr="00D838E3">
        <w:rPr>
          <w:rFonts w:ascii="Cambria" w:hAnsi="Cambria"/>
          <w:i/>
          <w:iCs/>
          <w:color w:val="000000" w:themeColor="text1"/>
          <w:sz w:val="16"/>
          <w:szCs w:val="16"/>
        </w:rPr>
        <w:t xml:space="preserve"> </w:t>
      </w:r>
      <w:r w:rsidRPr="001407FF">
        <w:rPr>
          <w:rFonts w:ascii="Cambria" w:hAnsi="Cambria"/>
          <w:color w:val="000000" w:themeColor="text1"/>
          <w:sz w:val="16"/>
          <w:szCs w:val="16"/>
        </w:rPr>
        <w:t>[Peru: Maternity in girls aged 10 to 14 increased by 40% between 2020 and 2022], September 20, 2023.</w:t>
      </w:r>
    </w:p>
  </w:endnote>
  <w:endnote w:id="62">
    <w:p w14:paraId="41DB1CE7" w14:textId="2FCC270F" w:rsidR="00925BE0" w:rsidRDefault="00925BE0" w:rsidP="005928E0">
      <w:pPr>
        <w:pStyle w:val="EndnoteText"/>
        <w:jc w:val="both"/>
      </w:pPr>
      <w:r>
        <w:rPr>
          <w:rStyle w:val="EndnoteReference"/>
        </w:rPr>
        <w:endnoteRef/>
      </w:r>
      <w:r>
        <w:t xml:space="preserve"> </w:t>
      </w:r>
      <w:r w:rsidRPr="001407FF">
        <w:rPr>
          <w:rFonts w:ascii="Cambria" w:hAnsi="Cambria"/>
          <w:i/>
          <w:color w:val="000000" w:themeColor="text1"/>
          <w:sz w:val="16"/>
          <w:szCs w:val="16"/>
        </w:rPr>
        <w:t>Id.</w:t>
      </w:r>
    </w:p>
  </w:endnote>
  <w:endnote w:id="63">
    <w:p w14:paraId="4C0C269F" w14:textId="7C03D1C8" w:rsidR="00925BE0" w:rsidRDefault="00925BE0" w:rsidP="005928E0">
      <w:pPr>
        <w:pStyle w:val="EndnoteText"/>
        <w:jc w:val="both"/>
      </w:pPr>
      <w:r>
        <w:rPr>
          <w:rStyle w:val="EndnoteReference"/>
        </w:rPr>
        <w:endnoteRef/>
      </w:r>
      <w:r>
        <w:t xml:space="preserve"> </w:t>
      </w:r>
      <w:r w:rsidRPr="001407FF">
        <w:rPr>
          <w:rFonts w:ascii="Cambria" w:hAnsi="Cambria"/>
          <w:color w:val="000000" w:themeColor="text1"/>
          <w:sz w:val="16"/>
          <w:szCs w:val="16"/>
        </w:rPr>
        <w:t>Committee on the Rights of the Child (CRC). Concluding Observations (2016), ¶ 54(c).</w:t>
      </w:r>
    </w:p>
  </w:endnote>
  <w:endnote w:id="64">
    <w:p w14:paraId="25FD25A5" w14:textId="44060E75" w:rsidR="00925BE0" w:rsidRDefault="00925BE0"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 xml:space="preserve">Ministry of Health (MINSA). General Directorate of Epidemiology: </w:t>
      </w:r>
      <w:r w:rsidRPr="001407FF">
        <w:rPr>
          <w:rFonts w:ascii="Cambria" w:hAnsi="Cambria"/>
          <w:i/>
          <w:iCs/>
          <w:color w:val="000000" w:themeColor="text1"/>
          <w:sz w:val="16"/>
          <w:szCs w:val="16"/>
        </w:rPr>
        <w:t>Muerte materna en el Perú 2001-2011</w:t>
      </w:r>
      <w:r w:rsidRPr="001407FF">
        <w:rPr>
          <w:rFonts w:ascii="Cambria" w:hAnsi="Cambria"/>
          <w:color w:val="000000" w:themeColor="text1"/>
          <w:sz w:val="16"/>
          <w:szCs w:val="16"/>
        </w:rPr>
        <w:t xml:space="preserve"> [</w:t>
      </w:r>
      <w:hyperlink r:id="rId33" w:history="1">
        <w:r w:rsidRPr="001407FF">
          <w:rPr>
            <w:rStyle w:val="Hyperlink"/>
            <w:rFonts w:ascii="Cambria" w:eastAsia="Cambria" w:hAnsi="Cambria" w:cs="Cambria"/>
            <w:color w:val="000000" w:themeColor="text1"/>
            <w:sz w:val="16"/>
            <w:szCs w:val="16"/>
          </w:rPr>
          <w:t>Maternal death in Peru 2001-2011</w:t>
        </w:r>
      </w:hyperlink>
      <w:r w:rsidRPr="001407FF">
        <w:rPr>
          <w:rFonts w:ascii="Cambria" w:hAnsi="Cambria"/>
          <w:color w:val="000000" w:themeColor="text1"/>
          <w:sz w:val="16"/>
          <w:szCs w:val="16"/>
          <w:u w:val="single"/>
        </w:rPr>
        <w:t>]. </w:t>
      </w:r>
      <w:r w:rsidRPr="001407FF">
        <w:rPr>
          <w:rFonts w:ascii="Cambria" w:hAnsi="Cambria"/>
          <w:color w:val="000000" w:themeColor="text1"/>
          <w:sz w:val="16"/>
          <w:szCs w:val="16"/>
        </w:rPr>
        <w:t>Lima MINSA-UNFPA, 2013.</w:t>
      </w:r>
    </w:p>
  </w:endnote>
  <w:endnote w:id="65">
    <w:p w14:paraId="2C1964B7" w14:textId="10D67D75" w:rsidR="00925BE0" w:rsidRPr="005928E0" w:rsidRDefault="00925BE0" w:rsidP="005928E0">
      <w:pPr>
        <w:pStyle w:val="NoSpacing"/>
        <w:jc w:val="both"/>
        <w:rPr>
          <w:rFonts w:ascii="Cambria" w:hAnsi="Cambria"/>
          <w:color w:val="000000" w:themeColor="text1"/>
          <w:sz w:val="16"/>
          <w:szCs w:val="16"/>
          <w:lang w:val="en-US"/>
        </w:rPr>
      </w:pPr>
      <w:r>
        <w:rPr>
          <w:rStyle w:val="EndnoteReference"/>
        </w:rPr>
        <w:endnoteRef/>
      </w:r>
      <w:r>
        <w:t xml:space="preserve"> </w:t>
      </w:r>
      <w:r w:rsidRPr="001407FF">
        <w:rPr>
          <w:rFonts w:ascii="Cambria" w:hAnsi="Cambria"/>
          <w:color w:val="000000" w:themeColor="text1"/>
          <w:sz w:val="16"/>
          <w:szCs w:val="16"/>
        </w:rPr>
        <w:t xml:space="preserve">Ministry of Health (MINSA); The National Institute of Statistics and Informatics (INEI). </w:t>
      </w:r>
      <w:r w:rsidRPr="001407FF">
        <w:rPr>
          <w:rFonts w:ascii="Cambria" w:hAnsi="Cambria"/>
          <w:i/>
          <w:iCs/>
          <w:color w:val="000000" w:themeColor="text1"/>
          <w:sz w:val="16"/>
          <w:szCs w:val="16"/>
        </w:rPr>
        <w:t>Certificate Live Births.</w:t>
      </w:r>
      <w:r w:rsidRPr="001407FF">
        <w:rPr>
          <w:rFonts w:ascii="Cambria" w:hAnsi="Cambria"/>
          <w:color w:val="000000" w:themeColor="text1"/>
          <w:sz w:val="16"/>
          <w:szCs w:val="16"/>
        </w:rPr>
        <w:t xml:space="preserve"> See Graph No. 3.7.</w:t>
      </w:r>
    </w:p>
  </w:endnote>
  <w:endnote w:id="66">
    <w:p w14:paraId="28A4E9EE" w14:textId="24FAF402" w:rsidR="00925BE0" w:rsidRDefault="00925BE0"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Promsex. Response to the request for access to information from the Minsa</w:t>
      </w:r>
      <w:r>
        <w:rPr>
          <w:rFonts w:ascii="Cambria" w:hAnsi="Cambria"/>
          <w:color w:val="000000" w:themeColor="text1"/>
          <w:sz w:val="16"/>
          <w:szCs w:val="16"/>
        </w:rPr>
        <w:t>,</w:t>
      </w:r>
      <w:r w:rsidRPr="001407FF">
        <w:rPr>
          <w:rFonts w:ascii="Cambria" w:hAnsi="Cambria"/>
          <w:color w:val="000000" w:themeColor="text1"/>
          <w:sz w:val="16"/>
          <w:szCs w:val="16"/>
        </w:rPr>
        <w:t xml:space="preserve"> Letter No. Nº08-2017-SIS/OGIIT, Integral Health System Database, 2016.</w:t>
      </w:r>
    </w:p>
  </w:endnote>
  <w:endnote w:id="67">
    <w:p w14:paraId="311B8050" w14:textId="011800AA" w:rsidR="00925BE0" w:rsidRDefault="00925BE0"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Promsex. Response to the request for access to information from the Minsa, Letter N.º 027-2018, February 9, 2018 through Official Communication Nº 649-2018-DGIESP-MINSA, March 12, 2018, p. 7.</w:t>
      </w:r>
    </w:p>
  </w:endnote>
  <w:endnote w:id="68">
    <w:p w14:paraId="71F40E5A" w14:textId="0DC5771D" w:rsidR="00925BE0" w:rsidRDefault="00925BE0" w:rsidP="005928E0">
      <w:pPr>
        <w:pStyle w:val="EndnoteText"/>
        <w:jc w:val="both"/>
      </w:pPr>
      <w:r>
        <w:rPr>
          <w:rStyle w:val="EndnoteReference"/>
        </w:rPr>
        <w:endnoteRef/>
      </w:r>
      <w:r>
        <w:t xml:space="preserve"> </w:t>
      </w:r>
      <w:r w:rsidRPr="001407FF">
        <w:rPr>
          <w:rFonts w:ascii="Cambria" w:hAnsi="Cambria"/>
          <w:color w:val="000000" w:themeColor="text1"/>
          <w:sz w:val="16"/>
          <w:szCs w:val="16"/>
        </w:rPr>
        <w:t>Comprehensive Health Insurance. Newborns registered in 2016 to underage mothers.</w:t>
      </w:r>
    </w:p>
  </w:endnote>
  <w:endnote w:id="69">
    <w:p w14:paraId="5792AA2B" w14:textId="4C7C6E8A" w:rsidR="00925BE0" w:rsidRDefault="00925BE0"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National Institute of Statistics and Informatics (INEI). Peru: “</w:t>
      </w:r>
      <w:hyperlink r:id="rId34" w:history="1">
        <w:r w:rsidRPr="001407FF">
          <w:rPr>
            <w:rStyle w:val="Hyperlink"/>
            <w:rFonts w:ascii="Cambria" w:hAnsi="Cambria"/>
            <w:i/>
            <w:iCs/>
            <w:color w:val="000000" w:themeColor="text1"/>
            <w:sz w:val="16"/>
            <w:szCs w:val="16"/>
          </w:rPr>
          <w:t>Situación Social de las Madres Adolescentes, 2007</w:t>
        </w:r>
      </w:hyperlink>
      <w:r w:rsidRPr="001407FF">
        <w:rPr>
          <w:rFonts w:ascii="Cambria" w:hAnsi="Cambria"/>
          <w:i/>
          <w:iCs/>
          <w:color w:val="000000" w:themeColor="text1"/>
          <w:sz w:val="16"/>
          <w:szCs w:val="16"/>
        </w:rPr>
        <w:t xml:space="preserve">” </w:t>
      </w:r>
      <w:r w:rsidRPr="001407FF">
        <w:rPr>
          <w:rFonts w:ascii="Cambria" w:hAnsi="Cambria"/>
          <w:color w:val="000000" w:themeColor="text1"/>
          <w:sz w:val="16"/>
          <w:szCs w:val="16"/>
        </w:rPr>
        <w:t xml:space="preserve"> [Peru: The social situation of adolescent mothers (2007)]. Lima, March 2010.</w:t>
      </w:r>
    </w:p>
  </w:endnote>
  <w:endnote w:id="70">
    <w:p w14:paraId="492FBCC4" w14:textId="5C5F445D" w:rsidR="00925BE0" w:rsidRDefault="00925BE0" w:rsidP="005928E0">
      <w:pPr>
        <w:pStyle w:val="EndnoteText"/>
        <w:jc w:val="both"/>
      </w:pPr>
      <w:r>
        <w:rPr>
          <w:rStyle w:val="EndnoteReference"/>
        </w:rPr>
        <w:endnoteRef/>
      </w:r>
      <w:r>
        <w:t xml:space="preserve"> </w:t>
      </w:r>
      <w:r w:rsidRPr="001407FF">
        <w:rPr>
          <w:rFonts w:ascii="Cambria" w:hAnsi="Cambria"/>
          <w:color w:val="000000" w:themeColor="text1"/>
          <w:sz w:val="16"/>
          <w:szCs w:val="16"/>
        </w:rPr>
        <w:t>Committee on the Rights of the Child (CRC). Concluding Observations (2016), ¶ 55(d).</w:t>
      </w:r>
    </w:p>
  </w:endnote>
  <w:endnote w:id="71">
    <w:p w14:paraId="52042B2A" w14:textId="52E20771" w:rsidR="00925BE0" w:rsidRDefault="00925BE0" w:rsidP="005928E0">
      <w:pPr>
        <w:pStyle w:val="EndnoteText"/>
        <w:jc w:val="both"/>
      </w:pPr>
      <w:r>
        <w:rPr>
          <w:rStyle w:val="EndnoteReference"/>
        </w:rPr>
        <w:endnoteRef/>
      </w:r>
      <w:r>
        <w:t xml:space="preserve"> </w:t>
      </w:r>
      <w:r w:rsidRPr="001407FF">
        <w:rPr>
          <w:rFonts w:ascii="Cambria" w:hAnsi="Cambria"/>
          <w:i/>
          <w:color w:val="000000" w:themeColor="text1"/>
          <w:sz w:val="16"/>
          <w:szCs w:val="16"/>
        </w:rPr>
        <w:t>Id.</w:t>
      </w:r>
      <w:r w:rsidRPr="001407FF">
        <w:rPr>
          <w:rFonts w:ascii="Cambria" w:hAnsi="Cambria"/>
          <w:color w:val="000000" w:themeColor="text1"/>
          <w:sz w:val="16"/>
          <w:szCs w:val="16"/>
        </w:rPr>
        <w:t xml:space="preserve"> ¶ 56 (d).</w:t>
      </w:r>
    </w:p>
  </w:endnote>
  <w:endnote w:id="72">
    <w:p w14:paraId="6906C58C" w14:textId="50BDAF27" w:rsidR="00925BE0" w:rsidRDefault="00925BE0"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 xml:space="preserve">Rondón, M., </w:t>
      </w:r>
      <w:r w:rsidRPr="001407FF">
        <w:rPr>
          <w:rFonts w:ascii="Cambria" w:hAnsi="Cambria"/>
          <w:i/>
          <w:color w:val="000000" w:themeColor="text1"/>
          <w:sz w:val="16"/>
          <w:szCs w:val="16"/>
        </w:rPr>
        <w:t>“Impacto del embarazo luego de una violación. Argumentos para proteger la salud mental”</w:t>
      </w:r>
      <w:r w:rsidRPr="001407FF">
        <w:rPr>
          <w:rFonts w:ascii="Cambria" w:hAnsi="Cambria"/>
          <w:color w:val="000000" w:themeColor="text1"/>
          <w:sz w:val="16"/>
          <w:szCs w:val="16"/>
        </w:rPr>
        <w:t>, [Rape-Related pregnancy. Arguments to protect mental health], 2015.p 21.</w:t>
      </w:r>
    </w:p>
  </w:endnote>
  <w:endnote w:id="73">
    <w:p w14:paraId="38B71A17" w14:textId="0ECD797F" w:rsidR="00925BE0" w:rsidRDefault="00925BE0"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 xml:space="preserve">Infobae </w:t>
      </w:r>
      <w:hyperlink r:id="rId35" w:history="1">
        <w:r w:rsidRPr="001407FF">
          <w:rPr>
            <w:rStyle w:val="Hyperlink"/>
            <w:rFonts w:ascii="Cambria" w:eastAsia="Cambria" w:hAnsi="Cambria" w:cs="Cambria"/>
            <w:i/>
            <w:iCs/>
            <w:color w:val="000000" w:themeColor="text1"/>
            <w:sz w:val="16"/>
            <w:szCs w:val="16"/>
          </w:rPr>
          <w:t>“Día Mundial para la Prevención del Suicidio: un tema tabú y el preocupante aumento de suicidios en adolescentes”</w:t>
        </w:r>
      </w:hyperlink>
      <w:r w:rsidRPr="001407FF">
        <w:rPr>
          <w:rFonts w:ascii="Cambria" w:hAnsi="Cambria"/>
          <w:color w:val="000000" w:themeColor="text1"/>
          <w:sz w:val="16"/>
          <w:szCs w:val="16"/>
        </w:rPr>
        <w:t> </w:t>
      </w:r>
      <w:hyperlink r:id="rId36" w:tgtFrame="_blank" w:history="1">
        <w:r w:rsidRPr="001407FF">
          <w:rPr>
            <w:rStyle w:val="Hyperlink"/>
            <w:rFonts w:ascii="Cambria" w:eastAsia="Cambria" w:hAnsi="Cambria" w:cs="Cambria"/>
            <w:color w:val="000000" w:themeColor="text1"/>
            <w:sz w:val="16"/>
            <w:szCs w:val="16"/>
          </w:rPr>
          <w:t>[World Suicide Prevention Day: a taboo subject and the worrying increase in adolescent suicide],</w:t>
        </w:r>
      </w:hyperlink>
      <w:r w:rsidRPr="001407FF">
        <w:rPr>
          <w:rFonts w:ascii="Cambria" w:hAnsi="Cambria"/>
          <w:color w:val="000000" w:themeColor="text1"/>
          <w:sz w:val="16"/>
          <w:szCs w:val="16"/>
        </w:rPr>
        <w:t> September 10, 2023</w:t>
      </w:r>
      <w:hyperlink r:id="rId37" w:tgtFrame="_blank" w:history="1">
        <w:r w:rsidRPr="001407FF">
          <w:rPr>
            <w:rStyle w:val="Hyperlink"/>
            <w:rFonts w:ascii="Cambria" w:eastAsia="Cambria" w:hAnsi="Cambria" w:cs="Cambria"/>
            <w:color w:val="000000" w:themeColor="text1"/>
            <w:sz w:val="16"/>
            <w:szCs w:val="16"/>
          </w:rPr>
          <w:t>.</w:t>
        </w:r>
      </w:hyperlink>
    </w:p>
  </w:endnote>
  <w:endnote w:id="74">
    <w:p w14:paraId="51121C4E" w14:textId="7A4E3EF2" w:rsidR="00925BE0" w:rsidRDefault="00925BE0" w:rsidP="005928E0">
      <w:pPr>
        <w:pStyle w:val="EndnoteText"/>
        <w:jc w:val="both"/>
      </w:pPr>
      <w:r>
        <w:rPr>
          <w:rStyle w:val="EndnoteReference"/>
        </w:rPr>
        <w:endnoteRef/>
      </w:r>
      <w:r>
        <w:t xml:space="preserve"> </w:t>
      </w:r>
      <w:r w:rsidRPr="001407FF">
        <w:rPr>
          <w:rFonts w:ascii="Cambria" w:hAnsi="Cambria"/>
          <w:color w:val="000000" w:themeColor="text1"/>
          <w:sz w:val="16"/>
          <w:szCs w:val="16"/>
        </w:rPr>
        <w:t>Committee on the Rights of the Child (CRC). Concluding Observations (2016), ¶ 56(</w:t>
      </w:r>
      <w:r>
        <w:rPr>
          <w:rFonts w:ascii="Cambria" w:hAnsi="Cambria"/>
          <w:color w:val="000000" w:themeColor="text1"/>
          <w:sz w:val="16"/>
          <w:szCs w:val="16"/>
        </w:rPr>
        <w:t>b</w:t>
      </w:r>
      <w:r w:rsidRPr="001407FF">
        <w:rPr>
          <w:rFonts w:ascii="Cambria" w:hAnsi="Cambria"/>
          <w:color w:val="000000" w:themeColor="text1"/>
          <w:sz w:val="16"/>
          <w:szCs w:val="16"/>
        </w:rPr>
        <w:t>).</w:t>
      </w:r>
    </w:p>
  </w:endnote>
  <w:endnote w:id="75">
    <w:p w14:paraId="4236E4BE" w14:textId="0F97AD3A" w:rsidR="00925BE0" w:rsidRPr="005928E0" w:rsidRDefault="00925BE0" w:rsidP="00E34588">
      <w:pPr>
        <w:pStyle w:val="NoSpacing"/>
        <w:ind w:left="540" w:hanging="540"/>
        <w:jc w:val="both"/>
        <w:rPr>
          <w:rFonts w:ascii="Cambria" w:hAnsi="Cambria"/>
          <w:i/>
          <w:iCs/>
          <w:color w:val="000000" w:themeColor="text1"/>
          <w:sz w:val="16"/>
          <w:szCs w:val="16"/>
        </w:rPr>
      </w:pPr>
      <w:r>
        <w:rPr>
          <w:rStyle w:val="EndnoteReference"/>
        </w:rPr>
        <w:endnoteRef/>
      </w:r>
      <w:r>
        <w:t xml:space="preserve"> </w:t>
      </w:r>
      <w:r w:rsidRPr="001407FF">
        <w:rPr>
          <w:rFonts w:ascii="Cambria" w:hAnsi="Cambria"/>
          <w:color w:val="000000" w:themeColor="text1"/>
          <w:sz w:val="16"/>
          <w:szCs w:val="16"/>
        </w:rPr>
        <w:t xml:space="preserve">Criminal Code, 1991, article 119 which states that </w:t>
      </w:r>
      <w:r w:rsidRPr="001407FF">
        <w:rPr>
          <w:rFonts w:ascii="Cambria" w:hAnsi="Cambria"/>
          <w:i/>
          <w:iCs/>
          <w:color w:val="000000" w:themeColor="text1"/>
          <w:sz w:val="16"/>
          <w:szCs w:val="16"/>
        </w:rPr>
        <w:t>“and abortion performed by a doctor, with the consent of the pregnant woman or her legal representative, if there is one, is not punishable if it is the only way to save her life or avoid serious and permanent damage to her health”.</w:t>
      </w:r>
    </w:p>
  </w:endnote>
  <w:endnote w:id="76">
    <w:p w14:paraId="72AECF60" w14:textId="48DD34A1" w:rsidR="00925BE0" w:rsidRPr="005928E0" w:rsidRDefault="00925BE0" w:rsidP="00E34588">
      <w:pPr>
        <w:pStyle w:val="NoSpacing"/>
        <w:ind w:left="540" w:hanging="540"/>
        <w:jc w:val="both"/>
        <w:rPr>
          <w:rFonts w:ascii="Cambria" w:hAnsi="Cambria"/>
          <w:color w:val="000000" w:themeColor="text1"/>
          <w:sz w:val="16"/>
          <w:szCs w:val="16"/>
        </w:rPr>
      </w:pPr>
      <w:r>
        <w:rPr>
          <w:rStyle w:val="EndnoteReference"/>
        </w:rPr>
        <w:endnoteRef/>
      </w:r>
      <w:r>
        <w:t xml:space="preserve"> </w:t>
      </w:r>
      <w:r w:rsidRPr="001407FF">
        <w:rPr>
          <w:rFonts w:ascii="Cambria" w:hAnsi="Cambria"/>
          <w:color w:val="000000" w:themeColor="text1"/>
          <w:sz w:val="16"/>
          <w:szCs w:val="16"/>
        </w:rPr>
        <w:t>Ministry of Health</w:t>
      </w:r>
      <w:r w:rsidRPr="001407FF">
        <w:rPr>
          <w:rFonts w:ascii="Cambria" w:hAnsi="Cambria"/>
          <w:i/>
          <w:color w:val="000000" w:themeColor="text1"/>
          <w:sz w:val="16"/>
          <w:szCs w:val="16"/>
        </w:rPr>
        <w:t xml:space="preserve">, </w:t>
      </w:r>
      <w:hyperlink r:id="rId38">
        <w:r w:rsidRPr="001407FF">
          <w:rPr>
            <w:rFonts w:ascii="Cambria" w:hAnsi="Cambria"/>
            <w:i/>
            <w:color w:val="000000" w:themeColor="text1"/>
            <w:sz w:val="16"/>
            <w:szCs w:val="16"/>
            <w:u w:val="single"/>
          </w:rPr>
          <w:t>Guía Técnica Nacional para la Estandarización del Procedimiento de la Atención Integral de la Gestante en la Interrupción Voluntaria por Indicación Terapéutica del embarazo menor de 22 semanas con consentimiento informado en el marco de lo dispuesto en el</w:t>
        </w:r>
      </w:hyperlink>
      <w:r w:rsidRPr="001407FF">
        <w:rPr>
          <w:rFonts w:ascii="Cambria" w:hAnsi="Cambria"/>
          <w:i/>
          <w:color w:val="000000" w:themeColor="text1"/>
          <w:sz w:val="16"/>
          <w:szCs w:val="16"/>
          <w:u w:val="single"/>
        </w:rPr>
        <w:t xml:space="preserve"> artículo 119 del Código Penal [National Technical Guide for the standardization of the procedure of comprehensive care of pregnant women in the voluntary termination of pregnancies of less than 22 weeks by therapeutic indication with informed consent in the framework of that provided for in Article 119 of the Criminal Code], </w:t>
      </w:r>
      <w:r w:rsidRPr="001407FF">
        <w:rPr>
          <w:rFonts w:ascii="Cambria" w:hAnsi="Cambria"/>
          <w:color w:val="000000" w:themeColor="text1"/>
          <w:sz w:val="16"/>
          <w:szCs w:val="16"/>
        </w:rPr>
        <w:t>approved by Resolution No. 486-2014/MINSA, June 27, 2014.</w:t>
      </w:r>
    </w:p>
  </w:endnote>
  <w:endnote w:id="77">
    <w:p w14:paraId="77402B33" w14:textId="44C790D7" w:rsidR="00925BE0" w:rsidRDefault="00925BE0"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Mesa de Vigilancia Ciudadana en Derechos Sexuales y Reproductivos</w:t>
      </w:r>
      <w:r w:rsidRPr="001407FF">
        <w:rPr>
          <w:rFonts w:ascii="Cambria" w:hAnsi="Cambria"/>
          <w:i/>
          <w:iCs/>
          <w:color w:val="000000" w:themeColor="text1"/>
          <w:sz w:val="16"/>
          <w:szCs w:val="16"/>
        </w:rPr>
        <w:t>, </w:t>
      </w:r>
      <w:hyperlink r:id="rId39" w:tgtFrame="_blank" w:history="1">
        <w:r w:rsidRPr="001407FF">
          <w:rPr>
            <w:rStyle w:val="Hyperlink"/>
            <w:rFonts w:ascii="Cambria" w:eastAsia="Cambria" w:hAnsi="Cambria" w:cs="Cambria"/>
            <w:i/>
            <w:iCs/>
            <w:color w:val="000000" w:themeColor="text1"/>
            <w:sz w:val="16"/>
            <w:szCs w:val="16"/>
          </w:rPr>
          <w:t>“Informe sobre el progreso y las brechas en la implementación de derechos, salud y justicia sexual y reproductiva en el 10 aniversario del Consenso de Montevideo en Perú”</w:t>
        </w:r>
      </w:hyperlink>
      <w:r>
        <w:rPr>
          <w:rStyle w:val="Hyperlink"/>
          <w:rFonts w:ascii="Cambria" w:eastAsia="Cambria" w:hAnsi="Cambria" w:cs="Cambria"/>
          <w:i/>
          <w:iCs/>
          <w:color w:val="000000" w:themeColor="text1"/>
          <w:sz w:val="16"/>
          <w:szCs w:val="16"/>
        </w:rPr>
        <w:t xml:space="preserve"> </w:t>
      </w:r>
      <w:r w:rsidRPr="001407FF">
        <w:rPr>
          <w:rFonts w:ascii="Cambria" w:hAnsi="Cambria"/>
          <w:color w:val="000000" w:themeColor="text1"/>
          <w:sz w:val="16"/>
          <w:szCs w:val="16"/>
        </w:rPr>
        <w:t>[</w:t>
      </w:r>
      <w:hyperlink r:id="rId40" w:tgtFrame="_blank" w:history="1">
        <w:r w:rsidRPr="001407FF">
          <w:rPr>
            <w:rStyle w:val="Hyperlink"/>
            <w:rFonts w:ascii="Cambria" w:eastAsia="Cambria" w:hAnsi="Cambria" w:cs="Cambria"/>
            <w:color w:val="000000" w:themeColor="text1"/>
            <w:sz w:val="16"/>
            <w:szCs w:val="16"/>
          </w:rPr>
          <w:t>Report on progress and gaps in the implementation of sexual and reproductive rights, health and justice on the 10th anniversary of the Montevideo Consensus in Peru</w:t>
        </w:r>
      </w:hyperlink>
      <w:r w:rsidRPr="001407FF">
        <w:rPr>
          <w:rFonts w:ascii="Cambria" w:hAnsi="Cambria"/>
          <w:color w:val="000000" w:themeColor="text1"/>
          <w:sz w:val="16"/>
          <w:szCs w:val="16"/>
        </w:rPr>
        <w:t>]. November 2023, p. 26-27.</w:t>
      </w:r>
    </w:p>
  </w:endnote>
  <w:endnote w:id="78">
    <w:p w14:paraId="156D56BF" w14:textId="017852C7" w:rsidR="00925BE0" w:rsidRDefault="00925BE0" w:rsidP="005928E0">
      <w:pPr>
        <w:pStyle w:val="EndnoteText"/>
        <w:jc w:val="both"/>
      </w:pPr>
      <w:r>
        <w:rPr>
          <w:rStyle w:val="EndnoteReference"/>
        </w:rPr>
        <w:endnoteRef/>
      </w:r>
      <w:r>
        <w:t xml:space="preserve"> </w:t>
      </w:r>
      <w:r w:rsidRPr="001407FF">
        <w:rPr>
          <w:rFonts w:ascii="Cambria" w:hAnsi="Cambria"/>
          <w:color w:val="000000" w:themeColor="text1"/>
          <w:sz w:val="16"/>
          <w:szCs w:val="16"/>
        </w:rPr>
        <w:t>Committee on the Rights of the Child (CRC). List of issues (2021), ¶ 55 (b).</w:t>
      </w:r>
    </w:p>
  </w:endnote>
  <w:endnote w:id="79">
    <w:p w14:paraId="06B4816C" w14:textId="7C692771" w:rsidR="00A6787C" w:rsidRDefault="00A6787C"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Committee on the Rights of the Child (CRC), Views Adopted by the Committee Under the Optional Protocol to the Convention on the Rights of the Child on a Communications Procedure, Concerning Communication No. 136/2021, U.N. Doc. CRC/C/93/D/136/2021 (June 13, 2023)</w:t>
      </w:r>
    </w:p>
  </w:endnote>
  <w:endnote w:id="80">
    <w:p w14:paraId="378FC74E" w14:textId="1BE3E7DD" w:rsidR="00A6787C" w:rsidRDefault="00A6787C" w:rsidP="005928E0">
      <w:pPr>
        <w:pStyle w:val="EndnoteText"/>
        <w:jc w:val="both"/>
      </w:pPr>
      <w:r>
        <w:rPr>
          <w:rStyle w:val="EndnoteReference"/>
        </w:rPr>
        <w:endnoteRef/>
      </w:r>
      <w:r>
        <w:t xml:space="preserve"> </w:t>
      </w:r>
      <w:r w:rsidRPr="001407FF">
        <w:rPr>
          <w:rFonts w:ascii="Cambria" w:hAnsi="Cambria"/>
          <w:i/>
          <w:color w:val="000000" w:themeColor="text1"/>
          <w:sz w:val="16"/>
          <w:szCs w:val="16"/>
        </w:rPr>
        <w:t>Id</w:t>
      </w:r>
      <w:r>
        <w:rPr>
          <w:rFonts w:ascii="Cambria" w:hAnsi="Cambria"/>
          <w:i/>
          <w:color w:val="000000" w:themeColor="text1"/>
          <w:sz w:val="16"/>
          <w:szCs w:val="16"/>
        </w:rPr>
        <w:t>.</w:t>
      </w:r>
      <w:r w:rsidRPr="001407FF">
        <w:rPr>
          <w:rFonts w:ascii="Cambria" w:hAnsi="Cambria"/>
          <w:color w:val="000000" w:themeColor="text1"/>
          <w:sz w:val="16"/>
          <w:szCs w:val="16"/>
        </w:rPr>
        <w:t xml:space="preserve"> ¶ 9.</w:t>
      </w:r>
    </w:p>
  </w:endnote>
  <w:endnote w:id="81">
    <w:p w14:paraId="4F82D6EB" w14:textId="1D7D817B" w:rsidR="00A6787C" w:rsidRDefault="00A6787C"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Promsex has pointed out that more than a year after the Views, the Peruvian State has only complied with the reparation regarding publishing the Views into Quechua. It has yet to implement the other reparation measures established by the CRC effectively. Promsex. Letter</w:t>
      </w:r>
      <w:r>
        <w:rPr>
          <w:rFonts w:ascii="Cambria" w:hAnsi="Cambria"/>
          <w:color w:val="000000" w:themeColor="text1"/>
          <w:sz w:val="16"/>
          <w:szCs w:val="16"/>
        </w:rPr>
        <w:t xml:space="preserve"> No.</w:t>
      </w:r>
      <w:r w:rsidRPr="001407FF">
        <w:rPr>
          <w:rFonts w:ascii="Cambria" w:hAnsi="Cambria"/>
          <w:color w:val="000000" w:themeColor="text1"/>
          <w:sz w:val="16"/>
          <w:szCs w:val="16"/>
        </w:rPr>
        <w:t xml:space="preserve"> 541-2024. Independent information for Peru’s Periodic Review schedules for the Committee on the Rights of the Child, August 15, 2024.</w:t>
      </w:r>
    </w:p>
  </w:endnote>
  <w:endnote w:id="82">
    <w:p w14:paraId="71F8ABBB" w14:textId="22B21BA0" w:rsidR="00A6787C" w:rsidRDefault="00A6787C" w:rsidP="005928E0">
      <w:pPr>
        <w:pStyle w:val="EndnoteText"/>
        <w:jc w:val="both"/>
      </w:pPr>
      <w:r>
        <w:rPr>
          <w:rStyle w:val="EndnoteReference"/>
        </w:rPr>
        <w:endnoteRef/>
      </w:r>
      <w:r>
        <w:t xml:space="preserve"> </w:t>
      </w:r>
      <w:r w:rsidRPr="00294CCD">
        <w:rPr>
          <w:rFonts w:ascii="Cambria" w:hAnsi="Cambria"/>
          <w:color w:val="000000" w:themeColor="text1"/>
          <w:sz w:val="16"/>
          <w:szCs w:val="16"/>
        </w:rPr>
        <w:t>The Ministry of Health does not have a unified registry of requests for access to therapeutic abortion.</w:t>
      </w:r>
    </w:p>
  </w:endnote>
  <w:endnote w:id="83">
    <w:p w14:paraId="7654BBB8" w14:textId="4E2E3752" w:rsidR="00A6787C" w:rsidRDefault="00A6787C"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 xml:space="preserve">Promsex. </w:t>
      </w:r>
      <w:hyperlink r:id="rId41" w:history="1">
        <w:r w:rsidRPr="001407FF">
          <w:rPr>
            <w:rStyle w:val="Hyperlink"/>
            <w:rFonts w:ascii="Cambria" w:hAnsi="Cambria"/>
            <w:i/>
            <w:iCs/>
            <w:color w:val="000000" w:themeColor="text1"/>
            <w:sz w:val="16"/>
            <w:szCs w:val="16"/>
          </w:rPr>
          <w:t>“Abortos terapéuticos. Realizados en el Perú entre el 2014 y 2023”</w:t>
        </w:r>
      </w:hyperlink>
      <w:r w:rsidRPr="001407FF">
        <w:rPr>
          <w:rFonts w:ascii="Cambria" w:hAnsi="Cambria"/>
          <w:i/>
          <w:iCs/>
          <w:color w:val="000000" w:themeColor="text1"/>
          <w:sz w:val="16"/>
          <w:szCs w:val="16"/>
        </w:rPr>
        <w:t>,</w:t>
      </w:r>
      <w:r w:rsidRPr="001407FF">
        <w:rPr>
          <w:rFonts w:ascii="Cambria" w:hAnsi="Cambria"/>
          <w:color w:val="000000" w:themeColor="text1"/>
          <w:sz w:val="16"/>
          <w:szCs w:val="16"/>
        </w:rPr>
        <w:t xml:space="preserve"> [</w:t>
      </w:r>
      <w:r w:rsidRPr="001407FF">
        <w:rPr>
          <w:rFonts w:ascii="Cambria" w:hAnsi="Cambria"/>
          <w:i/>
          <w:iCs/>
          <w:color w:val="000000" w:themeColor="text1"/>
          <w:sz w:val="16"/>
          <w:szCs w:val="16"/>
        </w:rPr>
        <w:t xml:space="preserve">Therapeutic abortions between 2014 and 2023], </w:t>
      </w:r>
      <w:r w:rsidRPr="001407FF">
        <w:rPr>
          <w:rFonts w:ascii="Cambria" w:hAnsi="Cambria"/>
          <w:color w:val="000000" w:themeColor="text1"/>
          <w:sz w:val="16"/>
          <w:szCs w:val="16"/>
        </w:rPr>
        <w:t>July 2024, p. 35.</w:t>
      </w:r>
    </w:p>
  </w:endnote>
  <w:endnote w:id="84">
    <w:p w14:paraId="7F4064A8" w14:textId="2BE32934" w:rsidR="00A6787C" w:rsidRDefault="00A6787C" w:rsidP="00E34588">
      <w:pPr>
        <w:pStyle w:val="EndnoteText"/>
        <w:ind w:left="540" w:hanging="540"/>
        <w:jc w:val="both"/>
      </w:pPr>
      <w:r>
        <w:rPr>
          <w:rStyle w:val="EndnoteReference"/>
        </w:rPr>
        <w:endnoteRef/>
      </w:r>
      <w:r>
        <w:t xml:space="preserve"> </w:t>
      </w:r>
      <w:r>
        <w:rPr>
          <w:rFonts w:ascii="Cambria" w:hAnsi="Cambria"/>
          <w:color w:val="000000" w:themeColor="text1"/>
          <w:sz w:val="16"/>
          <w:szCs w:val="16"/>
        </w:rPr>
        <w:t xml:space="preserve">Promsex. </w:t>
      </w:r>
      <w:r w:rsidRPr="001407FF">
        <w:rPr>
          <w:rFonts w:ascii="Cambria" w:hAnsi="Cambria"/>
          <w:color w:val="000000" w:themeColor="text1"/>
          <w:sz w:val="16"/>
          <w:szCs w:val="16"/>
        </w:rPr>
        <w:t>Response to the request for access to information from the Minister of Health: Memorandum No. 464-2021-DEOG/INMP, April 29, 2021.</w:t>
      </w:r>
    </w:p>
  </w:endnote>
  <w:endnote w:id="85">
    <w:p w14:paraId="1EB6A3C9" w14:textId="16C0B7C4" w:rsidR="00A6787C" w:rsidRDefault="00A6787C" w:rsidP="005928E0">
      <w:pPr>
        <w:pStyle w:val="EndnoteText"/>
        <w:jc w:val="both"/>
      </w:pPr>
      <w:r>
        <w:rPr>
          <w:rStyle w:val="EndnoteReference"/>
        </w:rPr>
        <w:endnoteRef/>
      </w:r>
      <w:r>
        <w:t xml:space="preserve"> </w:t>
      </w:r>
      <w:r>
        <w:rPr>
          <w:rFonts w:ascii="Cambria" w:hAnsi="Cambria"/>
          <w:color w:val="000000" w:themeColor="text1"/>
          <w:sz w:val="16"/>
          <w:szCs w:val="16"/>
        </w:rPr>
        <w:t xml:space="preserve">Promsex. </w:t>
      </w:r>
      <w:r w:rsidRPr="001407FF">
        <w:rPr>
          <w:rFonts w:ascii="Cambria" w:hAnsi="Cambria"/>
          <w:color w:val="000000" w:themeColor="text1"/>
          <w:sz w:val="16"/>
          <w:szCs w:val="16"/>
        </w:rPr>
        <w:t>Response to the request for access to information from the Minister of Health: Exp.16-051635-001</w:t>
      </w:r>
    </w:p>
  </w:endnote>
  <w:endnote w:id="86">
    <w:p w14:paraId="399B217E" w14:textId="1B85BE20" w:rsidR="00A6787C" w:rsidRDefault="00A6787C" w:rsidP="00E34588">
      <w:pPr>
        <w:pStyle w:val="EndnoteText"/>
        <w:ind w:left="540" w:hanging="540"/>
        <w:jc w:val="both"/>
      </w:pPr>
      <w:r>
        <w:rPr>
          <w:rStyle w:val="EndnoteReference"/>
        </w:rPr>
        <w:endnoteRef/>
      </w:r>
      <w:r>
        <w:t xml:space="preserve"> </w:t>
      </w:r>
      <w:r>
        <w:rPr>
          <w:rFonts w:ascii="Cambria" w:hAnsi="Cambria"/>
          <w:color w:val="000000" w:themeColor="text1"/>
          <w:sz w:val="16"/>
          <w:szCs w:val="16"/>
        </w:rPr>
        <w:t xml:space="preserve">Promsex. </w:t>
      </w:r>
      <w:r w:rsidRPr="001407FF">
        <w:rPr>
          <w:rFonts w:ascii="Cambria" w:hAnsi="Cambria"/>
          <w:color w:val="000000" w:themeColor="text1"/>
          <w:sz w:val="16"/>
          <w:szCs w:val="16"/>
        </w:rPr>
        <w:t>Response to the request for access to information from the Minister of Health: Number of women who have undergone therapeutic abortion by months according to departments from July 2014 to 2016.</w:t>
      </w:r>
    </w:p>
  </w:endnote>
  <w:endnote w:id="87">
    <w:p w14:paraId="6419FD44" w14:textId="12EDF1D5" w:rsidR="00A6787C" w:rsidRDefault="00A6787C" w:rsidP="00E34588">
      <w:pPr>
        <w:pStyle w:val="EndnoteText"/>
        <w:ind w:left="540" w:hanging="540"/>
        <w:jc w:val="both"/>
      </w:pPr>
      <w:r>
        <w:rPr>
          <w:rStyle w:val="EndnoteReference"/>
        </w:rPr>
        <w:endnoteRef/>
      </w:r>
      <w:r w:rsidRPr="001407FF">
        <w:rPr>
          <w:rFonts w:ascii="Cambria" w:hAnsi="Cambria"/>
          <w:color w:val="000000" w:themeColor="text1"/>
          <w:sz w:val="16"/>
          <w:szCs w:val="16"/>
        </w:rPr>
        <w:t>Congresswoman Jáuregui de Aguayo on Facebook. November 12, 2024. Available at: &lt;</w:t>
      </w:r>
      <w:hyperlink r:id="rId42" w:tgtFrame="_blank" w:tooltip="Protected by Outlook: https://www.facebook.com/story.php?storyE1J. Click or tap to follow the link." w:history="1">
        <w:r w:rsidRPr="001407FF">
          <w:rPr>
            <w:rStyle w:val="Hyperlink"/>
            <w:rFonts w:ascii="Cambria" w:eastAsia="Times New Roman" w:hAnsi="Cambria"/>
            <w:color w:val="000000" w:themeColor="text1"/>
            <w:sz w:val="16"/>
            <w:szCs w:val="16"/>
          </w:rPr>
          <w:t>https://www.facebook.com/story.php?storyE1J</w:t>
        </w:r>
      </w:hyperlink>
      <w:r w:rsidRPr="001407FF">
        <w:rPr>
          <w:rFonts w:ascii="Cambria" w:hAnsi="Cambria"/>
          <w:color w:val="000000" w:themeColor="text1"/>
          <w:sz w:val="16"/>
          <w:szCs w:val="16"/>
        </w:rPr>
        <w:t>&gt;. Meeting of the Health and Population Commission. November 5, 2024.  Available at: &lt;</w:t>
      </w:r>
      <w:hyperlink r:id="rId43" w:tgtFrame="_blank" w:tooltip="Protected by Outlook: https://www.youtube.com/watch?v=7fh05C65Mrg&amp;&amp;list=PLfVIxRaemgNqE7OKwsW15vIN0Ue47v8g5&amp;&amp;index=2. Click or tap to follow the link." w:history="1">
        <w:r w:rsidRPr="001407FF">
          <w:rPr>
            <w:rStyle w:val="Hyperlink"/>
            <w:rFonts w:ascii="Cambria" w:eastAsia="Times New Roman" w:hAnsi="Cambria"/>
            <w:color w:val="000000" w:themeColor="text1"/>
            <w:sz w:val="16"/>
            <w:szCs w:val="16"/>
          </w:rPr>
          <w:t>https://www.youtube.com/watch?v=7fh05C65Mrg&amp;&amp;list=PLfVIxRaemgNqE7OKwsW15vIN0Ue47v8g5&amp;&amp;index=2</w:t>
        </w:r>
      </w:hyperlink>
      <w:r w:rsidRPr="001407FF">
        <w:rPr>
          <w:rFonts w:ascii="Cambria" w:hAnsi="Cambria"/>
          <w:color w:val="000000" w:themeColor="text1"/>
          <w:sz w:val="16"/>
          <w:szCs w:val="16"/>
        </w:rPr>
        <w:t>&gt; (</w:t>
      </w:r>
      <w:r>
        <w:rPr>
          <w:rFonts w:ascii="Cambria" w:hAnsi="Cambria"/>
          <w:color w:val="000000" w:themeColor="text1"/>
          <w:sz w:val="16"/>
          <w:szCs w:val="16"/>
        </w:rPr>
        <w:t xml:space="preserve">last visited </w:t>
      </w:r>
      <w:r w:rsidRPr="001407FF">
        <w:rPr>
          <w:rFonts w:ascii="Cambria" w:hAnsi="Cambria"/>
          <w:color w:val="000000" w:themeColor="text1"/>
          <w:sz w:val="16"/>
          <w:szCs w:val="16"/>
        </w:rPr>
        <w:t>December 11, 2024).</w:t>
      </w:r>
    </w:p>
  </w:endnote>
  <w:endnote w:id="88">
    <w:p w14:paraId="12C20876" w14:textId="4D6342C8" w:rsidR="00A6787C" w:rsidRPr="005928E0" w:rsidRDefault="00A6787C" w:rsidP="00E34588">
      <w:pPr>
        <w:pStyle w:val="NoSpacing"/>
        <w:ind w:left="540" w:hanging="540"/>
        <w:jc w:val="both"/>
        <w:rPr>
          <w:rFonts w:ascii="Cambria" w:hAnsi="Cambria"/>
          <w:color w:val="000000" w:themeColor="text1"/>
          <w:sz w:val="16"/>
          <w:szCs w:val="16"/>
        </w:rPr>
      </w:pPr>
      <w:r>
        <w:rPr>
          <w:rStyle w:val="EndnoteReference"/>
        </w:rPr>
        <w:endnoteRef/>
      </w:r>
      <w:r w:rsidRPr="001407FF">
        <w:rPr>
          <w:rFonts w:ascii="Cambria" w:hAnsi="Cambria"/>
          <w:color w:val="000000" w:themeColor="text1"/>
          <w:sz w:val="16"/>
          <w:szCs w:val="16"/>
        </w:rPr>
        <w:t>Constitutional Court. Case Exp. No. 3208-2004-AA/TC, May 30, 2005, Reason 6. Available at: &lt;</w:t>
      </w:r>
      <w:hyperlink r:id="rId44" w:tgtFrame="_blank" w:tooltip="Protected by Outlook: https://www.tc.gob.pe/jurisprudencia/2005/03208-2004-AA.pdf. Click or tap to follow the link." w:history="1">
        <w:r w:rsidRPr="001407FF">
          <w:rPr>
            <w:rStyle w:val="Hyperlink"/>
            <w:rFonts w:ascii="Cambria" w:eastAsia="Times New Roman" w:hAnsi="Cambria"/>
            <w:color w:val="000000" w:themeColor="text1"/>
            <w:sz w:val="16"/>
            <w:szCs w:val="16"/>
          </w:rPr>
          <w:t>https://www.tc.gob.pe/jurisprudencia/2005/03208-2004-AA.pdf</w:t>
        </w:r>
      </w:hyperlink>
      <w:r w:rsidRPr="001407FF">
        <w:rPr>
          <w:rFonts w:ascii="Cambria" w:hAnsi="Cambria"/>
          <w:color w:val="000000" w:themeColor="text1"/>
          <w:sz w:val="16"/>
          <w:szCs w:val="16"/>
        </w:rPr>
        <w:t>&gt; (</w:t>
      </w:r>
      <w:r>
        <w:rPr>
          <w:rFonts w:ascii="Cambria" w:hAnsi="Cambria"/>
          <w:color w:val="000000" w:themeColor="text1"/>
          <w:sz w:val="16"/>
          <w:szCs w:val="16"/>
        </w:rPr>
        <w:t>last visited</w:t>
      </w:r>
      <w:r w:rsidRPr="001407FF">
        <w:rPr>
          <w:rFonts w:ascii="Cambria" w:hAnsi="Cambria"/>
          <w:color w:val="000000" w:themeColor="text1"/>
          <w:sz w:val="16"/>
          <w:szCs w:val="16"/>
        </w:rPr>
        <w:t xml:space="preserve"> December 11, 2024).</w:t>
      </w:r>
    </w:p>
  </w:endnote>
  <w:endnote w:id="89">
    <w:p w14:paraId="68506B8E" w14:textId="14D52E17" w:rsidR="00A6787C" w:rsidRDefault="00A6787C" w:rsidP="005928E0">
      <w:pPr>
        <w:pStyle w:val="EndnoteText"/>
        <w:jc w:val="both"/>
      </w:pPr>
      <w:r>
        <w:rPr>
          <w:rStyle w:val="EndnoteReference"/>
        </w:rPr>
        <w:endnoteRef/>
      </w:r>
      <w:r>
        <w:t xml:space="preserve"> </w:t>
      </w:r>
      <w:r w:rsidRPr="001407FF">
        <w:rPr>
          <w:rFonts w:ascii="Cambria" w:hAnsi="Cambria"/>
          <w:color w:val="000000" w:themeColor="text1"/>
          <w:sz w:val="16"/>
          <w:szCs w:val="16"/>
        </w:rPr>
        <w:t>Committee on the Rights of the Child (CRC), Camila v. Peru. Communication No. 136/2021, U.N.Doc. RC/C/93/D/136/2021, ¶ 9.</w:t>
      </w:r>
    </w:p>
  </w:endnote>
  <w:endnote w:id="90">
    <w:p w14:paraId="215462AC" w14:textId="2C2140CE" w:rsidR="00A6787C" w:rsidRDefault="00A6787C"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General Health Law, Law No. 26842, Article 30, “</w:t>
      </w:r>
      <w:r w:rsidRPr="001407FF">
        <w:rPr>
          <w:rFonts w:ascii="Cambria" w:hAnsi="Cambria"/>
          <w:i/>
          <w:iCs/>
          <w:color w:val="000000" w:themeColor="text1"/>
          <w:sz w:val="16"/>
          <w:szCs w:val="16"/>
        </w:rPr>
        <w:t xml:space="preserve">The doctor who provides health care to a person injured by a knife, gunshot, traffic accident, or because of other type of violence that constitutes a crime prosecutable ex officio, or when there are signs of criminal abortion, is obliged to report the matter to the appropriate authority”. </w:t>
      </w:r>
      <w:r w:rsidRPr="001407FF">
        <w:rPr>
          <w:rFonts w:ascii="Cambria" w:hAnsi="Cambria"/>
          <w:color w:val="000000" w:themeColor="text1"/>
          <w:sz w:val="16"/>
          <w:szCs w:val="16"/>
        </w:rPr>
        <w:t>This article provides that health professionals must report evidence of crime, violence, or indication of abortion. This obligation violates the professional secret between patients and the health provider.</w:t>
      </w:r>
    </w:p>
  </w:endnote>
  <w:endnote w:id="91">
    <w:p w14:paraId="7EA96172" w14:textId="4F6DD1D7" w:rsidR="00A6787C" w:rsidRDefault="00A6787C" w:rsidP="00E34588">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Promsex. Response to the request for access to information from the Office of the Attorney General, Official Communication No. Nº810-2017-MP-FN-GG-OCPLAP/03 dated May 16, 2017.</w:t>
      </w:r>
    </w:p>
  </w:endnote>
  <w:endnote w:id="92">
    <w:p w14:paraId="39D49FE8" w14:textId="65D3AB69" w:rsidR="00A6787C" w:rsidRDefault="00A6787C" w:rsidP="00FD3B0C">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Promsex. General Management of the Judiciary, Official Communication No. 323-2019-SG-GG-PJ. Request to access public information regarding complaints for the crime of abortion and their status, report on the number of processes submitted in the year 2017 and 2018 (21 March 2019). There are 73 convictions registered for the crime of abortion, at the national level; thus, it is assumed that the rest of the women are still facing criminal proceedings at different stages.</w:t>
      </w:r>
    </w:p>
  </w:endnote>
  <w:endnote w:id="93">
    <w:p w14:paraId="5B6C0CB7" w14:textId="2D377A18" w:rsidR="00A6787C" w:rsidRDefault="00A6787C" w:rsidP="00FD3B0C">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Salud con Lupa.</w:t>
      </w:r>
      <w:r w:rsidRPr="001407FF">
        <w:rPr>
          <w:rFonts w:ascii="Cambria" w:hAnsi="Cambria"/>
          <w:i/>
          <w:color w:val="000000" w:themeColor="text1"/>
          <w:sz w:val="16"/>
          <w:szCs w:val="16"/>
        </w:rPr>
        <w:t xml:space="preserve"> “</w:t>
      </w:r>
      <w:hyperlink r:id="rId45">
        <w:r w:rsidRPr="001407FF">
          <w:rPr>
            <w:rFonts w:ascii="Cambria" w:hAnsi="Cambria"/>
            <w:i/>
            <w:color w:val="000000" w:themeColor="text1"/>
            <w:sz w:val="16"/>
            <w:szCs w:val="16"/>
            <w:u w:val="single"/>
          </w:rPr>
          <w:t>De la sala de emergencias al juzgado por un aborto’</w:t>
        </w:r>
      </w:hyperlink>
      <w:r w:rsidRPr="001407FF">
        <w:rPr>
          <w:rFonts w:ascii="Cambria" w:hAnsi="Cambria"/>
          <w:i/>
          <w:color w:val="000000" w:themeColor="text1"/>
          <w:sz w:val="16"/>
          <w:szCs w:val="16"/>
        </w:rPr>
        <w:t>’[</w:t>
      </w:r>
      <w:hyperlink r:id="rId46" w:tgtFrame="_blank" w:history="1">
        <w:r w:rsidRPr="001407FF">
          <w:rPr>
            <w:rStyle w:val="Hyperlink"/>
            <w:rFonts w:ascii="Cambria" w:eastAsia="Cambria" w:hAnsi="Cambria" w:cs="Cambria"/>
            <w:i/>
            <w:iCs/>
            <w:color w:val="000000" w:themeColor="text1"/>
            <w:sz w:val="16"/>
            <w:szCs w:val="16"/>
          </w:rPr>
          <w:t>From the emergency room to the courtroom for an abortion</w:t>
        </w:r>
      </w:hyperlink>
      <w:r w:rsidRPr="001407FF">
        <w:rPr>
          <w:rFonts w:ascii="Cambria" w:hAnsi="Cambria"/>
          <w:i/>
          <w:iCs/>
          <w:color w:val="000000" w:themeColor="text1"/>
          <w:sz w:val="16"/>
          <w:szCs w:val="16"/>
        </w:rPr>
        <w:t xml:space="preserve">]. </w:t>
      </w:r>
      <w:r w:rsidRPr="001407FF">
        <w:rPr>
          <w:rFonts w:ascii="Cambria" w:hAnsi="Cambria"/>
          <w:color w:val="000000" w:themeColor="text1"/>
          <w:sz w:val="16"/>
          <w:szCs w:val="16"/>
        </w:rPr>
        <w:t>November 28, 2022. </w:t>
      </w:r>
    </w:p>
  </w:endnote>
  <w:endnote w:id="94">
    <w:p w14:paraId="37E387CC" w14:textId="0CF6A449" w:rsidR="00A6787C" w:rsidRDefault="00A6787C" w:rsidP="005928E0">
      <w:pPr>
        <w:pStyle w:val="EndnoteText"/>
        <w:jc w:val="both"/>
      </w:pPr>
      <w:r>
        <w:rPr>
          <w:rStyle w:val="EndnoteReference"/>
        </w:rPr>
        <w:endnoteRef/>
      </w:r>
      <w:r>
        <w:t xml:space="preserve"> </w:t>
      </w:r>
      <w:r w:rsidRPr="001407FF">
        <w:rPr>
          <w:rFonts w:ascii="Cambria" w:hAnsi="Cambria"/>
          <w:color w:val="000000" w:themeColor="text1"/>
          <w:sz w:val="16"/>
          <w:szCs w:val="16"/>
        </w:rPr>
        <w:t xml:space="preserve">Committee on the Rights of the Child (CRC). List of issues (2021), ¶ </w:t>
      </w:r>
      <w:r>
        <w:rPr>
          <w:rFonts w:ascii="Cambria" w:hAnsi="Cambria"/>
          <w:color w:val="000000" w:themeColor="text1"/>
          <w:sz w:val="16"/>
          <w:szCs w:val="16"/>
        </w:rPr>
        <w:t>25</w:t>
      </w:r>
      <w:r w:rsidRPr="001407FF">
        <w:rPr>
          <w:rFonts w:ascii="Cambria" w:hAnsi="Cambria"/>
          <w:color w:val="000000" w:themeColor="text1"/>
          <w:sz w:val="16"/>
          <w:szCs w:val="16"/>
        </w:rPr>
        <w:t>(f). Concluding Observations (2016), ¶ 62(e).</w:t>
      </w:r>
    </w:p>
  </w:endnote>
  <w:endnote w:id="95">
    <w:p w14:paraId="58E06CE2" w14:textId="28205391" w:rsidR="00A6787C" w:rsidRDefault="00A6787C" w:rsidP="005928E0">
      <w:pPr>
        <w:pStyle w:val="EndnoteText"/>
        <w:jc w:val="both"/>
      </w:pPr>
      <w:r>
        <w:rPr>
          <w:rStyle w:val="EndnoteReference"/>
        </w:rPr>
        <w:endnoteRef/>
      </w:r>
      <w:r>
        <w:t xml:space="preserve"> </w:t>
      </w:r>
      <w:r w:rsidRPr="001407FF">
        <w:rPr>
          <w:rFonts w:ascii="Cambria" w:hAnsi="Cambria"/>
          <w:color w:val="000000" w:themeColor="text1"/>
          <w:sz w:val="16"/>
          <w:szCs w:val="16"/>
        </w:rPr>
        <w:t>Demographic Survey of Statistics and Informatics -ENDES (2022). National Institute of Statistics and Informatics -INEI,p. 40.</w:t>
      </w:r>
    </w:p>
  </w:endnote>
  <w:endnote w:id="96">
    <w:p w14:paraId="176A7453" w14:textId="259F8C85" w:rsidR="00A6787C" w:rsidRDefault="00A6787C" w:rsidP="005928E0">
      <w:pPr>
        <w:pStyle w:val="EndnoteText"/>
        <w:jc w:val="both"/>
      </w:pPr>
      <w:r>
        <w:rPr>
          <w:rStyle w:val="EndnoteReference"/>
        </w:rPr>
        <w:endnoteRef/>
      </w:r>
      <w:r>
        <w:t xml:space="preserve"> </w:t>
      </w:r>
      <w:r w:rsidRPr="00F5220E">
        <w:rPr>
          <w:rFonts w:ascii="Cambria" w:hAnsi="Cambria"/>
          <w:i/>
          <w:iCs/>
          <w:color w:val="000000" w:themeColor="text1"/>
          <w:sz w:val="16"/>
          <w:szCs w:val="16"/>
        </w:rPr>
        <w:t>Id.</w:t>
      </w:r>
    </w:p>
  </w:endnote>
  <w:endnote w:id="97">
    <w:p w14:paraId="384C4ADB" w14:textId="024F73BB" w:rsidR="00A6787C" w:rsidRDefault="00A6787C" w:rsidP="005928E0">
      <w:pPr>
        <w:pStyle w:val="EndnoteText"/>
        <w:jc w:val="both"/>
      </w:pPr>
      <w:r>
        <w:rPr>
          <w:rStyle w:val="EndnoteReference"/>
        </w:rPr>
        <w:endnoteRef/>
      </w:r>
      <w:r>
        <w:t xml:space="preserve"> </w:t>
      </w:r>
      <w:r w:rsidRPr="001407FF">
        <w:rPr>
          <w:rFonts w:ascii="Cambria" w:hAnsi="Cambria"/>
          <w:color w:val="000000" w:themeColor="text1"/>
          <w:sz w:val="16"/>
          <w:szCs w:val="16"/>
        </w:rPr>
        <w:t>Demographic Survey of Statistics and Informatics -ENDES (2023). National Institute of Statistics and Informatics -INEI,p. 40.</w:t>
      </w:r>
    </w:p>
  </w:endnote>
  <w:endnote w:id="98">
    <w:p w14:paraId="382E6C90" w14:textId="29B58326" w:rsidR="00A6787C" w:rsidRDefault="00A6787C" w:rsidP="00FD3B0C">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Motta, A., Keogh, S. C., Prada, E., and others, </w:t>
      </w:r>
      <w:hyperlink r:id="rId47" w:tgtFrame="_blank" w:history="1">
        <w:r w:rsidRPr="001407FF">
          <w:rPr>
            <w:rStyle w:val="Hyperlink"/>
            <w:rFonts w:ascii="Cambria" w:eastAsia="Cambria" w:hAnsi="Cambria" w:cs="Cambria"/>
            <w:i/>
            <w:iCs/>
            <w:color w:val="000000" w:themeColor="text1"/>
            <w:sz w:val="16"/>
            <w:szCs w:val="16"/>
          </w:rPr>
          <w:t>“De la normativa a la práctica: La política de educación sexual y su implementación en el Perú”</w:t>
        </w:r>
      </w:hyperlink>
      <w:r w:rsidRPr="001407FF">
        <w:rPr>
          <w:rFonts w:ascii="Cambria" w:hAnsi="Cambria"/>
          <w:color w:val="000000" w:themeColor="text1"/>
          <w:sz w:val="16"/>
          <w:szCs w:val="16"/>
        </w:rPr>
        <w:t>[</w:t>
      </w:r>
      <w:hyperlink r:id="rId48" w:tgtFrame="_blank" w:history="1">
        <w:r w:rsidRPr="001407FF">
          <w:rPr>
            <w:rStyle w:val="Hyperlink"/>
            <w:rFonts w:ascii="Cambria" w:eastAsia="Cambria" w:hAnsi="Cambria" w:cs="Cambria"/>
            <w:color w:val="000000" w:themeColor="text1"/>
            <w:sz w:val="16"/>
            <w:szCs w:val="16"/>
          </w:rPr>
          <w:t>From regulation to practice: sex education policy and its implementation in Peru</w:t>
        </w:r>
      </w:hyperlink>
      <w:r w:rsidRPr="001407FF">
        <w:rPr>
          <w:rFonts w:ascii="Cambria" w:hAnsi="Cambria"/>
          <w:color w:val="000000" w:themeColor="text1"/>
          <w:sz w:val="16"/>
          <w:szCs w:val="16"/>
        </w:rPr>
        <w:t>].Guttmacher Institute and others. Lima, 2017, p. 53.</w:t>
      </w:r>
    </w:p>
  </w:endnote>
  <w:endnote w:id="99">
    <w:p w14:paraId="725F45E9" w14:textId="635C86B6" w:rsidR="00A6787C" w:rsidRDefault="00A6787C" w:rsidP="00FD3B0C">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 xml:space="preserve">Press Release No. 622/OCII/DP/2022, </w:t>
      </w:r>
      <w:hyperlink r:id="rId49">
        <w:r w:rsidRPr="001407FF">
          <w:rPr>
            <w:rFonts w:ascii="Cambria" w:hAnsi="Cambria"/>
            <w:i/>
            <w:iCs/>
            <w:color w:val="000000" w:themeColor="text1"/>
            <w:sz w:val="16"/>
            <w:szCs w:val="16"/>
            <w:u w:val="single"/>
          </w:rPr>
          <w:t>“Defensoría del Pueblo: situación actual del embarazo en adolescentes exige un mayor acceso a salud sexual y reproductiva y educación sexual integral</w:t>
        </w:r>
      </w:hyperlink>
      <w:r w:rsidRPr="001407FF">
        <w:rPr>
          <w:rFonts w:ascii="Cambria" w:hAnsi="Cambria"/>
          <w:i/>
          <w:iCs/>
          <w:color w:val="000000" w:themeColor="text1"/>
          <w:sz w:val="16"/>
          <w:szCs w:val="16"/>
        </w:rPr>
        <w:t>”</w:t>
      </w:r>
      <w:r w:rsidRPr="001407FF">
        <w:rPr>
          <w:rFonts w:ascii="Cambria" w:hAnsi="Cambria"/>
          <w:color w:val="000000" w:themeColor="text1"/>
          <w:sz w:val="16"/>
          <w:szCs w:val="16"/>
        </w:rPr>
        <w:t xml:space="preserve"> [Ombudsman's Office: The current situation of teenage pregnancy requires access to sexual and reproductive health services and comprehensive sexual education], September 26, 2022.</w:t>
      </w:r>
    </w:p>
  </w:endnote>
  <w:endnote w:id="100">
    <w:p w14:paraId="3D7366A8" w14:textId="57607266" w:rsidR="00A6787C" w:rsidRDefault="00A6787C" w:rsidP="00FD3B0C">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 xml:space="preserve">Press release, </w:t>
      </w:r>
      <w:hyperlink r:id="rId50">
        <w:r w:rsidRPr="001407FF">
          <w:rPr>
            <w:rFonts w:ascii="Cambria" w:hAnsi="Cambria"/>
            <w:i/>
            <w:color w:val="000000" w:themeColor="text1"/>
            <w:sz w:val="16"/>
            <w:szCs w:val="16"/>
            <w:u w:val="single"/>
          </w:rPr>
          <w:t>“Ucayali: Colegio San Fernando redujo en un 80% el embarazo adolescente”</w:t>
        </w:r>
      </w:hyperlink>
      <w:r w:rsidRPr="001407FF">
        <w:rPr>
          <w:rFonts w:ascii="Cambria" w:hAnsi="Cambria"/>
          <w:color w:val="000000" w:themeColor="text1"/>
          <w:sz w:val="16"/>
          <w:szCs w:val="16"/>
        </w:rPr>
        <w:t xml:space="preserve"> [Ucayali: Colegio San Fernando reduced teenage pregnancy by 80%], April 19, 2022</w:t>
      </w:r>
    </w:p>
  </w:endnote>
  <w:endnote w:id="101">
    <w:p w14:paraId="002C85AC" w14:textId="74C5267F" w:rsidR="00A6787C" w:rsidRDefault="00A6787C" w:rsidP="00FD3B0C">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 xml:space="preserve">Committee on the Rights of the Child (CRC). List of issues (2021), ¶ </w:t>
      </w:r>
      <w:r>
        <w:rPr>
          <w:rFonts w:ascii="Cambria" w:hAnsi="Cambria"/>
          <w:color w:val="000000" w:themeColor="text1"/>
          <w:sz w:val="16"/>
          <w:szCs w:val="16"/>
        </w:rPr>
        <w:t>41</w:t>
      </w:r>
      <w:r w:rsidRPr="001407FF">
        <w:rPr>
          <w:rFonts w:ascii="Cambria" w:hAnsi="Cambria"/>
          <w:color w:val="000000" w:themeColor="text1"/>
          <w:sz w:val="16"/>
          <w:szCs w:val="16"/>
        </w:rPr>
        <w:t>(</w:t>
      </w:r>
      <w:r>
        <w:rPr>
          <w:rFonts w:ascii="Cambria" w:hAnsi="Cambria"/>
          <w:color w:val="000000" w:themeColor="text1"/>
          <w:sz w:val="16"/>
          <w:szCs w:val="16"/>
        </w:rPr>
        <w:t>c</w:t>
      </w:r>
      <w:r w:rsidRPr="001407FF">
        <w:rPr>
          <w:rFonts w:ascii="Cambria" w:hAnsi="Cambria"/>
          <w:color w:val="000000" w:themeColor="text1"/>
          <w:sz w:val="16"/>
          <w:szCs w:val="16"/>
        </w:rPr>
        <w:t>).</w:t>
      </w:r>
      <w:r w:rsidRPr="00A6787C">
        <w:rPr>
          <w:rFonts w:ascii="Cambria" w:hAnsi="Cambria"/>
          <w:color w:val="000000" w:themeColor="text1"/>
          <w:sz w:val="16"/>
          <w:szCs w:val="16"/>
        </w:rPr>
        <w:t xml:space="preserve"> </w:t>
      </w:r>
      <w:r w:rsidRPr="001407FF">
        <w:rPr>
          <w:rFonts w:ascii="Cambria" w:hAnsi="Cambria"/>
          <w:color w:val="000000" w:themeColor="text1"/>
          <w:sz w:val="16"/>
          <w:szCs w:val="16"/>
        </w:rPr>
        <w:t xml:space="preserve">Committee on the Rights of the Child (CRC). List of issues (2021), ¶ </w:t>
      </w:r>
      <w:r>
        <w:rPr>
          <w:rFonts w:ascii="Cambria" w:hAnsi="Cambria"/>
          <w:color w:val="000000" w:themeColor="text1"/>
          <w:sz w:val="16"/>
          <w:szCs w:val="16"/>
        </w:rPr>
        <w:t>41</w:t>
      </w:r>
      <w:r w:rsidRPr="001407FF">
        <w:rPr>
          <w:rFonts w:ascii="Cambria" w:hAnsi="Cambria"/>
          <w:color w:val="000000" w:themeColor="text1"/>
          <w:sz w:val="16"/>
          <w:szCs w:val="16"/>
        </w:rPr>
        <w:t>(</w:t>
      </w:r>
      <w:r>
        <w:rPr>
          <w:rFonts w:ascii="Cambria" w:hAnsi="Cambria"/>
          <w:color w:val="000000" w:themeColor="text1"/>
          <w:sz w:val="16"/>
          <w:szCs w:val="16"/>
        </w:rPr>
        <w:t>c</w:t>
      </w:r>
      <w:r w:rsidRPr="001407FF">
        <w:rPr>
          <w:rFonts w:ascii="Cambria" w:hAnsi="Cambria"/>
          <w:color w:val="000000" w:themeColor="text1"/>
          <w:sz w:val="16"/>
          <w:szCs w:val="16"/>
        </w:rPr>
        <w:t>).</w:t>
      </w:r>
    </w:p>
  </w:endnote>
  <w:endnote w:id="102">
    <w:p w14:paraId="2589A8A6" w14:textId="5A6C4CEC" w:rsidR="00A6787C" w:rsidRDefault="00A6787C" w:rsidP="00FD3B0C">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 xml:space="preserve">Infobae, </w:t>
      </w:r>
      <w:hyperlink r:id="rId51" w:history="1">
        <w:r w:rsidRPr="001407FF">
          <w:rPr>
            <w:rStyle w:val="Hyperlink"/>
            <w:rFonts w:ascii="Cambria" w:eastAsia="Times New Roman" w:hAnsi="Cambria"/>
            <w:color w:val="000000" w:themeColor="text1"/>
            <w:sz w:val="16"/>
            <w:szCs w:val="16"/>
          </w:rPr>
          <w:t>“Medio millar de profesores abusaron sexualmente de niñas en Amazonas</w:t>
        </w:r>
        <w:r w:rsidRPr="001407FF">
          <w:rPr>
            <w:rStyle w:val="Hyperlink"/>
            <w:rFonts w:ascii="Cambria" w:hAnsi="Cambria"/>
            <w:color w:val="000000" w:themeColor="text1"/>
            <w:sz w:val="16"/>
            <w:szCs w:val="16"/>
          </w:rPr>
          <w:t>”</w:t>
        </w:r>
      </w:hyperlink>
      <w:r w:rsidRPr="001407FF">
        <w:rPr>
          <w:rFonts w:ascii="Cambria" w:hAnsi="Cambria"/>
          <w:color w:val="000000" w:themeColor="text1"/>
          <w:sz w:val="16"/>
          <w:szCs w:val="16"/>
        </w:rPr>
        <w:t xml:space="preserve"> [Half a thousand teachers sexually abused girls in Amazona</w:t>
      </w:r>
      <w:r>
        <w:rPr>
          <w:rFonts w:ascii="Cambria" w:hAnsi="Cambria"/>
          <w:color w:val="000000" w:themeColor="text1"/>
          <w:sz w:val="16"/>
          <w:szCs w:val="16"/>
        </w:rPr>
        <w:t>s</w:t>
      </w:r>
      <w:r w:rsidRPr="001407FF">
        <w:rPr>
          <w:rFonts w:ascii="Cambria" w:hAnsi="Cambria"/>
          <w:color w:val="000000" w:themeColor="text1"/>
          <w:sz w:val="16"/>
          <w:szCs w:val="16"/>
        </w:rPr>
        <w:t>], June 9, 2024.</w:t>
      </w:r>
    </w:p>
  </w:endnote>
  <w:endnote w:id="103">
    <w:p w14:paraId="614C8570" w14:textId="21A30B04" w:rsidR="00A6787C" w:rsidRDefault="00A6787C" w:rsidP="00FD3B0C">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 xml:space="preserve">La República, </w:t>
      </w:r>
      <w:hyperlink r:id="rId52">
        <w:r w:rsidRPr="001407FF">
          <w:rPr>
            <w:rFonts w:ascii="Cambria" w:hAnsi="Cambria"/>
            <w:i/>
            <w:color w:val="000000" w:themeColor="text1"/>
            <w:sz w:val="16"/>
            <w:szCs w:val="16"/>
            <w:u w:val="single"/>
          </w:rPr>
          <w:t>“Condorcanqui: 22 nuevos casos de abuso sexual a niños solo en noviembre”</w:t>
        </w:r>
      </w:hyperlink>
      <w:r w:rsidRPr="001407FF">
        <w:rPr>
          <w:rFonts w:ascii="Cambria" w:hAnsi="Cambria"/>
          <w:i/>
          <w:color w:val="000000" w:themeColor="text1"/>
          <w:sz w:val="16"/>
          <w:szCs w:val="16"/>
        </w:rPr>
        <w:t xml:space="preserve">, </w:t>
      </w:r>
      <w:r w:rsidRPr="00F5220E">
        <w:rPr>
          <w:rFonts w:ascii="Cambria" w:hAnsi="Cambria"/>
          <w:iCs/>
          <w:color w:val="000000" w:themeColor="text1"/>
          <w:sz w:val="16"/>
          <w:szCs w:val="16"/>
        </w:rPr>
        <w:t>[Condorcanqui: 22 new cases of child sexual abuse in November], December 03, 2024.</w:t>
      </w:r>
    </w:p>
  </w:endnote>
  <w:endnote w:id="104">
    <w:p w14:paraId="6CF36B0A" w14:textId="1B843935" w:rsidR="00A6787C" w:rsidRDefault="00A6787C" w:rsidP="00FD3B0C">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Wayka. “</w:t>
      </w:r>
      <w:hyperlink r:id="rId53">
        <w:r w:rsidRPr="001407FF">
          <w:rPr>
            <w:rFonts w:ascii="Cambria" w:hAnsi="Cambria"/>
            <w:i/>
            <w:color w:val="000000" w:themeColor="text1"/>
            <w:sz w:val="16"/>
            <w:szCs w:val="16"/>
            <w:u w:val="single"/>
          </w:rPr>
          <w:t>Niñas y niños Awajún: las víctimas de la indiferencia Estatal y la ausencia de recursos</w:t>
        </w:r>
      </w:hyperlink>
      <w:r w:rsidRPr="001407FF">
        <w:rPr>
          <w:rFonts w:ascii="Cambria" w:hAnsi="Cambria"/>
          <w:i/>
          <w:color w:val="000000" w:themeColor="text1"/>
          <w:sz w:val="16"/>
          <w:szCs w:val="16"/>
          <w:u w:val="single"/>
        </w:rPr>
        <w:t>”</w:t>
      </w:r>
      <w:r w:rsidRPr="001407FF">
        <w:rPr>
          <w:rFonts w:ascii="Cambria" w:hAnsi="Cambria"/>
          <w:i/>
          <w:color w:val="000000" w:themeColor="text1"/>
          <w:sz w:val="16"/>
          <w:szCs w:val="16"/>
        </w:rPr>
        <w:t>,</w:t>
      </w:r>
      <w:r w:rsidRPr="001407FF">
        <w:rPr>
          <w:rFonts w:ascii="Cambria" w:hAnsi="Cambria"/>
          <w:color w:val="000000" w:themeColor="text1"/>
          <w:sz w:val="16"/>
          <w:szCs w:val="16"/>
        </w:rPr>
        <w:t xml:space="preserve"> [A</w:t>
      </w:r>
      <w:r w:rsidRPr="00F5220E">
        <w:rPr>
          <w:rFonts w:ascii="Cambria" w:hAnsi="Cambria"/>
          <w:i/>
          <w:iCs/>
          <w:color w:val="000000" w:themeColor="text1"/>
          <w:sz w:val="16"/>
          <w:szCs w:val="16"/>
        </w:rPr>
        <w:t xml:space="preserve">wajún </w:t>
      </w:r>
      <w:r w:rsidRPr="001407FF">
        <w:rPr>
          <w:rFonts w:ascii="Cambria" w:hAnsi="Cambria"/>
          <w:color w:val="000000" w:themeColor="text1"/>
          <w:sz w:val="16"/>
          <w:szCs w:val="16"/>
        </w:rPr>
        <w:t>children: Victims of government indifference due to a government's lack of resources],</w:t>
      </w:r>
      <w:r>
        <w:rPr>
          <w:rFonts w:ascii="Cambria" w:hAnsi="Cambria"/>
          <w:color w:val="000000" w:themeColor="text1"/>
          <w:sz w:val="16"/>
          <w:szCs w:val="16"/>
        </w:rPr>
        <w:t xml:space="preserve"> </w:t>
      </w:r>
      <w:r w:rsidRPr="001407FF">
        <w:rPr>
          <w:rFonts w:ascii="Cambria" w:hAnsi="Cambria"/>
          <w:color w:val="000000" w:themeColor="text1"/>
          <w:sz w:val="16"/>
          <w:szCs w:val="16"/>
        </w:rPr>
        <w:t>2024.</w:t>
      </w:r>
    </w:p>
  </w:endnote>
  <w:endnote w:id="105">
    <w:p w14:paraId="066B0ED2" w14:textId="49106E38" w:rsidR="00A6787C" w:rsidRDefault="00A6787C" w:rsidP="005928E0">
      <w:pPr>
        <w:pStyle w:val="EndnoteText"/>
        <w:jc w:val="both"/>
      </w:pPr>
      <w:r>
        <w:rPr>
          <w:rStyle w:val="EndnoteReference"/>
        </w:rPr>
        <w:endnoteRef/>
      </w:r>
      <w:r>
        <w:t xml:space="preserve"> </w:t>
      </w:r>
      <w:r w:rsidRPr="001407FF">
        <w:rPr>
          <w:rFonts w:ascii="Cambria" w:hAnsi="Cambria"/>
          <w:color w:val="000000" w:themeColor="text1"/>
          <w:sz w:val="16"/>
          <w:szCs w:val="16"/>
        </w:rPr>
        <w:t>Epicentro. “</w:t>
      </w:r>
      <w:hyperlink r:id="rId54">
        <w:r w:rsidRPr="001407FF">
          <w:rPr>
            <w:rFonts w:ascii="Cambria" w:hAnsi="Cambria"/>
            <w:i/>
            <w:color w:val="000000" w:themeColor="text1"/>
            <w:sz w:val="16"/>
            <w:szCs w:val="16"/>
            <w:u w:val="single"/>
          </w:rPr>
          <w:t>Condorcanqui: Fuego de impunidad. Epicentro</w:t>
        </w:r>
      </w:hyperlink>
      <w:r w:rsidRPr="001407FF">
        <w:rPr>
          <w:rFonts w:ascii="Cambria" w:hAnsi="Cambria"/>
          <w:i/>
          <w:color w:val="000000" w:themeColor="text1"/>
          <w:sz w:val="16"/>
          <w:szCs w:val="16"/>
          <w:u w:val="single"/>
        </w:rPr>
        <w:t>” [</w:t>
      </w:r>
      <w:r w:rsidRPr="001407FF">
        <w:rPr>
          <w:rFonts w:ascii="Cambria" w:hAnsi="Cambria"/>
          <w:color w:val="000000" w:themeColor="text1"/>
          <w:sz w:val="16"/>
          <w:szCs w:val="16"/>
        </w:rPr>
        <w:t>Condorcanqui: Fire of impunity], 2022.</w:t>
      </w:r>
    </w:p>
  </w:endnote>
  <w:endnote w:id="106">
    <w:p w14:paraId="1A8370BE" w14:textId="6F7DCB91" w:rsidR="00A6787C" w:rsidRDefault="00A6787C" w:rsidP="00FD3B0C">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 xml:space="preserve">Infobae, </w:t>
      </w:r>
      <w:hyperlink r:id="rId55">
        <w:r w:rsidRPr="001407FF">
          <w:rPr>
            <w:rFonts w:ascii="Cambria" w:hAnsi="Cambria"/>
            <w:i/>
            <w:color w:val="000000" w:themeColor="text1"/>
            <w:sz w:val="16"/>
            <w:szCs w:val="16"/>
            <w:u w:val="single"/>
          </w:rPr>
          <w:t>“Ministro de Educación desata ola de repudio al sugerir que agresiones sexuales contra niñas awajún pueden ser una práctica cultural”</w:t>
        </w:r>
      </w:hyperlink>
      <w:r w:rsidRPr="001407FF">
        <w:rPr>
          <w:rFonts w:ascii="Cambria" w:hAnsi="Cambria"/>
          <w:color w:val="000000" w:themeColor="text1"/>
          <w:sz w:val="16"/>
          <w:szCs w:val="16"/>
        </w:rPr>
        <w:t xml:space="preserve">, [Minister of Education unleashes a wave of repudiation by suggesting that sexual aggressions against </w:t>
      </w:r>
      <w:r w:rsidRPr="00F5220E">
        <w:rPr>
          <w:rFonts w:ascii="Cambria" w:hAnsi="Cambria"/>
          <w:i/>
          <w:iCs/>
          <w:color w:val="000000" w:themeColor="text1"/>
          <w:sz w:val="16"/>
          <w:szCs w:val="16"/>
        </w:rPr>
        <w:t xml:space="preserve">Awajún </w:t>
      </w:r>
      <w:r w:rsidRPr="001407FF">
        <w:rPr>
          <w:rFonts w:ascii="Cambria" w:hAnsi="Cambria"/>
          <w:color w:val="000000" w:themeColor="text1"/>
          <w:sz w:val="16"/>
          <w:szCs w:val="16"/>
        </w:rPr>
        <w:t>girls may be a cultural practice], June 13, 2024.</w:t>
      </w:r>
    </w:p>
  </w:endnote>
  <w:endnote w:id="107">
    <w:p w14:paraId="367F6BF4" w14:textId="06A2271A" w:rsidR="00A6787C" w:rsidRDefault="00A6787C" w:rsidP="005928E0">
      <w:pPr>
        <w:pStyle w:val="EndnoteText"/>
        <w:jc w:val="both"/>
      </w:pPr>
      <w:r>
        <w:rPr>
          <w:rStyle w:val="EndnoteReference"/>
        </w:rPr>
        <w:endnoteRef/>
      </w:r>
      <w:r>
        <w:t xml:space="preserve"> </w:t>
      </w:r>
      <w:r w:rsidRPr="001407FF">
        <w:rPr>
          <w:rFonts w:ascii="Cambria" w:hAnsi="Cambria"/>
          <w:color w:val="000000" w:themeColor="text1"/>
          <w:sz w:val="16"/>
          <w:szCs w:val="16"/>
        </w:rPr>
        <w:t xml:space="preserve">Wayka, </w:t>
      </w:r>
      <w:hyperlink r:id="rId56" w:history="1">
        <w:r w:rsidRPr="00F5220E">
          <w:rPr>
            <w:rStyle w:val="Hyperlink"/>
            <w:rFonts w:ascii="Cambria" w:hAnsi="Cambria" w:cs="Cambria"/>
            <w:i/>
            <w:iCs/>
            <w:color w:val="000000" w:themeColor="text1"/>
            <w:sz w:val="16"/>
            <w:szCs w:val="16"/>
          </w:rPr>
          <w:t>“</w:t>
        </w:r>
        <w:r w:rsidRPr="00F5220E">
          <w:rPr>
            <w:rStyle w:val="Hyperlink"/>
            <w:rFonts w:ascii="Cambria" w:eastAsia="Cambria" w:hAnsi="Cambria" w:cs="Cambria"/>
            <w:i/>
            <w:iCs/>
            <w:color w:val="000000" w:themeColor="text1"/>
            <w:sz w:val="16"/>
            <w:szCs w:val="16"/>
          </w:rPr>
          <w:t>HIV: Peruvian Amazonia and indigenous communities are the most affected</w:t>
        </w:r>
        <w:r w:rsidRPr="00F5220E">
          <w:rPr>
            <w:rStyle w:val="Hyperlink"/>
            <w:rFonts w:ascii="Cambria" w:hAnsi="Cambria" w:cs="Cambria"/>
            <w:i/>
            <w:iCs/>
            <w:color w:val="000000" w:themeColor="text1"/>
            <w:sz w:val="16"/>
            <w:szCs w:val="16"/>
          </w:rPr>
          <w:t>”,</w:t>
        </w:r>
      </w:hyperlink>
      <w:r w:rsidRPr="001407FF">
        <w:rPr>
          <w:rFonts w:ascii="Cambria" w:hAnsi="Cambria"/>
          <w:color w:val="000000" w:themeColor="text1"/>
          <w:sz w:val="16"/>
          <w:szCs w:val="16"/>
        </w:rPr>
        <w:t xml:space="preserve"> November 29, 2024.</w:t>
      </w:r>
    </w:p>
  </w:endnote>
  <w:endnote w:id="108">
    <w:p w14:paraId="3C7D4D03" w14:textId="19863784" w:rsidR="00AB238F" w:rsidRDefault="00AB238F" w:rsidP="00FD3B0C">
      <w:pPr>
        <w:pStyle w:val="EndnoteText"/>
        <w:ind w:left="540" w:hanging="540"/>
        <w:jc w:val="both"/>
      </w:pPr>
      <w:r>
        <w:rPr>
          <w:rStyle w:val="EndnoteReference"/>
        </w:rPr>
        <w:endnoteRef/>
      </w:r>
      <w:r>
        <w:t xml:space="preserve"> </w:t>
      </w:r>
      <w:r w:rsidRPr="001407FF">
        <w:rPr>
          <w:rFonts w:ascii="Cambria" w:hAnsi="Cambria"/>
          <w:color w:val="000000" w:themeColor="text1"/>
          <w:sz w:val="16"/>
          <w:szCs w:val="16"/>
        </w:rPr>
        <w:t xml:space="preserve">La República, </w:t>
      </w:r>
      <w:hyperlink r:id="rId57">
        <w:r w:rsidRPr="001407FF">
          <w:rPr>
            <w:rFonts w:ascii="Cambria" w:hAnsi="Cambria"/>
            <w:i/>
            <w:color w:val="000000" w:themeColor="text1"/>
            <w:sz w:val="16"/>
            <w:szCs w:val="16"/>
            <w:u w:val="single"/>
          </w:rPr>
          <w:t>“Condorcanqui: 22 nuevos casos de abuso sexual a niños solo en noviembre”</w:t>
        </w:r>
      </w:hyperlink>
      <w:r w:rsidRPr="001407FF">
        <w:rPr>
          <w:rFonts w:ascii="Cambria" w:hAnsi="Cambria"/>
          <w:i/>
          <w:color w:val="000000" w:themeColor="text1"/>
          <w:sz w:val="16"/>
          <w:szCs w:val="16"/>
        </w:rPr>
        <w:t xml:space="preserve">, </w:t>
      </w:r>
      <w:r w:rsidRPr="004133C7">
        <w:rPr>
          <w:rFonts w:ascii="Cambria" w:hAnsi="Cambria"/>
          <w:iCs/>
          <w:color w:val="000000" w:themeColor="text1"/>
          <w:sz w:val="16"/>
          <w:szCs w:val="16"/>
        </w:rPr>
        <w:t>[Condorcanqui: 22 new cases of child sexual abuse in November],</w:t>
      </w:r>
      <w:r>
        <w:rPr>
          <w:rFonts w:ascii="Cambria" w:hAnsi="Cambria"/>
          <w:iCs/>
          <w:color w:val="000000" w:themeColor="text1"/>
          <w:sz w:val="16"/>
          <w:szCs w:val="16"/>
        </w:rPr>
        <w:t xml:space="preserve"> </w:t>
      </w:r>
      <w:r w:rsidRPr="004133C7">
        <w:rPr>
          <w:rFonts w:ascii="Cambria" w:hAnsi="Cambria"/>
          <w:iCs/>
          <w:color w:val="000000" w:themeColor="text1"/>
          <w:sz w:val="16"/>
          <w:szCs w:val="16"/>
        </w:rPr>
        <w:t>December 03, 2024.</w:t>
      </w:r>
    </w:p>
  </w:endnote>
  <w:endnote w:id="109">
    <w:p w14:paraId="44F5F77F" w14:textId="3256CC91" w:rsidR="00AB238F" w:rsidRDefault="00AB238F" w:rsidP="005928E0">
      <w:pPr>
        <w:pStyle w:val="EndnoteText"/>
        <w:jc w:val="both"/>
      </w:pPr>
      <w:r>
        <w:rPr>
          <w:rStyle w:val="EndnoteReference"/>
        </w:rPr>
        <w:endnoteRef/>
      </w:r>
      <w:r>
        <w:t xml:space="preserve"> </w:t>
      </w:r>
      <w:r w:rsidRPr="001407FF">
        <w:rPr>
          <w:rFonts w:ascii="Cambria" w:hAnsi="Cambria"/>
          <w:color w:val="000000" w:themeColor="text1"/>
          <w:sz w:val="16"/>
          <w:szCs w:val="16"/>
        </w:rPr>
        <w:t>Manuela Ramos. Summary Sheet of the Huancasancos's case.</w:t>
      </w:r>
    </w:p>
  </w:endnote>
  <w:endnote w:id="110">
    <w:p w14:paraId="001E1C88" w14:textId="0ED9233D" w:rsidR="00AB238F" w:rsidRDefault="00AB238F" w:rsidP="005928E0">
      <w:pPr>
        <w:pStyle w:val="EndnoteText"/>
        <w:jc w:val="both"/>
      </w:pPr>
      <w:r>
        <w:rPr>
          <w:rStyle w:val="EndnoteReference"/>
        </w:rPr>
        <w:endnoteRef/>
      </w:r>
      <w:r>
        <w:t xml:space="preserve"> </w:t>
      </w:r>
      <w:r w:rsidRPr="001407FF">
        <w:rPr>
          <w:rFonts w:ascii="Cambria" w:hAnsi="Cambria"/>
          <w:color w:val="000000" w:themeColor="text1"/>
          <w:sz w:val="16"/>
          <w:szCs w:val="16"/>
        </w:rPr>
        <w:t xml:space="preserve">Committee on the Rights of the Child (CRC). List of issues (2021), ¶ </w:t>
      </w:r>
      <w:r>
        <w:rPr>
          <w:rFonts w:ascii="Cambria" w:hAnsi="Cambria"/>
          <w:color w:val="000000" w:themeColor="text1"/>
          <w:sz w:val="16"/>
          <w:szCs w:val="16"/>
        </w:rPr>
        <w:t>25</w:t>
      </w:r>
      <w:r w:rsidRPr="001407FF">
        <w:rPr>
          <w:rFonts w:ascii="Cambria" w:hAnsi="Cambria"/>
          <w:color w:val="000000" w:themeColor="text1"/>
          <w:sz w:val="16"/>
          <w:szCs w:val="16"/>
        </w:rPr>
        <w:t>(f).</w:t>
      </w:r>
    </w:p>
  </w:endnote>
  <w:endnote w:id="111">
    <w:p w14:paraId="4A0C850C" w14:textId="77777777" w:rsidR="00AB238F" w:rsidRPr="001407FF" w:rsidRDefault="00AB238F" w:rsidP="005928E0">
      <w:pPr>
        <w:pStyle w:val="NoSpacing"/>
        <w:jc w:val="both"/>
        <w:rPr>
          <w:rFonts w:ascii="Cambria" w:hAnsi="Cambria"/>
          <w:color w:val="000000" w:themeColor="text1"/>
          <w:sz w:val="16"/>
          <w:szCs w:val="16"/>
        </w:rPr>
      </w:pPr>
      <w:r>
        <w:rPr>
          <w:rStyle w:val="EndnoteReference"/>
        </w:rPr>
        <w:endnoteRef/>
      </w:r>
      <w:r>
        <w:t xml:space="preserve"> </w:t>
      </w:r>
      <w:r w:rsidRPr="004133C7">
        <w:rPr>
          <w:rFonts w:ascii="Cambria" w:hAnsi="Cambria"/>
          <w:color w:val="000000" w:themeColor="text1"/>
          <w:sz w:val="16"/>
          <w:szCs w:val="16"/>
        </w:rPr>
        <w:t>Among</w:t>
      </w:r>
      <w:r w:rsidRPr="001407FF">
        <w:rPr>
          <w:rFonts w:ascii="Cambria" w:hAnsi="Cambria"/>
          <w:color w:val="000000" w:themeColor="text1"/>
          <w:sz w:val="16"/>
          <w:szCs w:val="16"/>
        </w:rPr>
        <w:t xml:space="preserve"> the programs and policies adopted by the Peruvian State, we highlight the following:</w:t>
      </w:r>
    </w:p>
    <w:p w14:paraId="5D590210" w14:textId="77777777" w:rsidR="00AB238F" w:rsidRPr="001407FF" w:rsidRDefault="00AB238F" w:rsidP="005928E0">
      <w:pPr>
        <w:pStyle w:val="NoSpacing"/>
        <w:numPr>
          <w:ilvl w:val="0"/>
          <w:numId w:val="32"/>
        </w:numPr>
        <w:jc w:val="both"/>
        <w:rPr>
          <w:rFonts w:ascii="Cambria" w:hAnsi="Cambria"/>
          <w:color w:val="000000" w:themeColor="text1"/>
          <w:sz w:val="16"/>
          <w:szCs w:val="16"/>
        </w:rPr>
      </w:pPr>
      <w:r w:rsidRPr="005928E0">
        <w:rPr>
          <w:rFonts w:ascii="Cambria" w:hAnsi="Cambria"/>
          <w:b/>
          <w:bCs/>
          <w:color w:val="000000" w:themeColor="text1"/>
          <w:sz w:val="16"/>
          <w:szCs w:val="16"/>
        </w:rPr>
        <w:t>Law No.  28983</w:t>
      </w:r>
      <w:r w:rsidRPr="001407FF">
        <w:rPr>
          <w:rFonts w:ascii="Cambria" w:hAnsi="Cambria"/>
          <w:color w:val="000000" w:themeColor="text1"/>
          <w:sz w:val="16"/>
          <w:szCs w:val="16"/>
        </w:rPr>
        <w:t>, “</w:t>
      </w:r>
      <w:r w:rsidRPr="001407FF">
        <w:rPr>
          <w:rFonts w:ascii="Cambria" w:hAnsi="Cambria"/>
          <w:i/>
          <w:color w:val="000000" w:themeColor="text1"/>
          <w:sz w:val="16"/>
          <w:szCs w:val="16"/>
        </w:rPr>
        <w:t>Ley de Igualdad de Oportunidades entre Mujeres y Hombres”</w:t>
      </w:r>
      <w:r w:rsidRPr="001407FF">
        <w:rPr>
          <w:rFonts w:ascii="Cambria" w:hAnsi="Cambria"/>
          <w:color w:val="000000" w:themeColor="text1"/>
          <w:sz w:val="16"/>
          <w:szCs w:val="16"/>
        </w:rPr>
        <w:t xml:space="preserve"> [Law on Equal Opportunities for Women and Men], of March 17, 2007, includes "</w:t>
      </w:r>
      <w:r w:rsidRPr="004133C7">
        <w:rPr>
          <w:rFonts w:ascii="Cambria" w:hAnsi="Cambria"/>
          <w:i/>
          <w:iCs/>
          <w:color w:val="000000" w:themeColor="text1"/>
          <w:sz w:val="16"/>
          <w:szCs w:val="16"/>
        </w:rPr>
        <w:t xml:space="preserve">promoting the full and equal development of all children and adolescents, ensuring them comprehensive sexual education of scientific and ethical quality" </w:t>
      </w:r>
      <w:r w:rsidRPr="001407FF">
        <w:rPr>
          <w:rFonts w:ascii="Cambria" w:hAnsi="Cambria"/>
          <w:color w:val="000000" w:themeColor="text1"/>
          <w:sz w:val="16"/>
          <w:szCs w:val="16"/>
        </w:rPr>
        <w:t>as a State guideline for adopting policies, plans, and programs, within the Executive Branch, regional governments and local governments.  </w:t>
      </w:r>
    </w:p>
    <w:p w14:paraId="3AB0FE73" w14:textId="416437A5" w:rsidR="00AB238F" w:rsidRPr="001407FF" w:rsidRDefault="00AB238F" w:rsidP="005928E0">
      <w:pPr>
        <w:pStyle w:val="NoSpacing"/>
        <w:numPr>
          <w:ilvl w:val="0"/>
          <w:numId w:val="32"/>
        </w:numPr>
        <w:jc w:val="both"/>
        <w:rPr>
          <w:rFonts w:ascii="Cambria" w:hAnsi="Cambria"/>
          <w:color w:val="000000" w:themeColor="text1"/>
          <w:sz w:val="16"/>
          <w:szCs w:val="16"/>
        </w:rPr>
      </w:pPr>
      <w:r w:rsidRPr="001407FF">
        <w:rPr>
          <w:rFonts w:ascii="Cambria" w:hAnsi="Cambria"/>
          <w:color w:val="000000" w:themeColor="text1"/>
          <w:sz w:val="16"/>
          <w:szCs w:val="16"/>
        </w:rPr>
        <w:t>In 2008, the Ministry of Education approved "</w:t>
      </w:r>
      <w:r w:rsidRPr="001407FF">
        <w:rPr>
          <w:rFonts w:ascii="Cambria" w:hAnsi="Cambria"/>
          <w:i/>
          <w:color w:val="000000" w:themeColor="text1"/>
          <w:sz w:val="16"/>
          <w:szCs w:val="16"/>
        </w:rPr>
        <w:t>Lineamientos para la Educación Sexual Integral en la educación básica regular</w:t>
      </w:r>
      <w:r w:rsidRPr="001407FF">
        <w:rPr>
          <w:rFonts w:ascii="Cambria" w:hAnsi="Cambria"/>
          <w:color w:val="000000" w:themeColor="text1"/>
          <w:sz w:val="16"/>
          <w:szCs w:val="16"/>
        </w:rPr>
        <w:t xml:space="preserve">” [the Guidelines for Comprehensive Sexual Education in Regular Basic Education], establishing the objectives, contents, and methods of comprehensive sexual education. There is still a lack of political will, which has hindered its implementation. Also, </w:t>
      </w:r>
      <w:r w:rsidRPr="005928E0">
        <w:rPr>
          <w:rFonts w:ascii="Cambria" w:hAnsi="Cambria"/>
          <w:b/>
          <w:bCs/>
          <w:color w:val="000000" w:themeColor="text1"/>
          <w:sz w:val="16"/>
          <w:szCs w:val="16"/>
        </w:rPr>
        <w:t>Law N</w:t>
      </w:r>
      <w:r w:rsidR="00DF5862">
        <w:rPr>
          <w:rFonts w:ascii="Cambria" w:hAnsi="Cambria"/>
          <w:b/>
          <w:bCs/>
          <w:color w:val="000000" w:themeColor="text1"/>
          <w:sz w:val="16"/>
          <w:szCs w:val="16"/>
        </w:rPr>
        <w:t xml:space="preserve">o. </w:t>
      </w:r>
      <w:r w:rsidRPr="005928E0">
        <w:rPr>
          <w:rFonts w:ascii="Cambria" w:hAnsi="Cambria"/>
          <w:b/>
          <w:bCs/>
          <w:color w:val="000000" w:themeColor="text1"/>
          <w:sz w:val="16"/>
          <w:szCs w:val="16"/>
        </w:rPr>
        <w:t>29600</w:t>
      </w:r>
      <w:r w:rsidRPr="001407FF">
        <w:rPr>
          <w:rFonts w:ascii="Cambria" w:hAnsi="Cambria"/>
          <w:color w:val="000000" w:themeColor="text1"/>
          <w:sz w:val="16"/>
          <w:szCs w:val="16"/>
        </w:rPr>
        <w:t xml:space="preserve">, </w:t>
      </w:r>
      <w:r>
        <w:rPr>
          <w:rFonts w:ascii="Cambria" w:hAnsi="Cambria"/>
          <w:color w:val="000000" w:themeColor="text1"/>
          <w:sz w:val="16"/>
          <w:szCs w:val="16"/>
        </w:rPr>
        <w:t>“</w:t>
      </w:r>
      <w:r w:rsidRPr="001407FF">
        <w:rPr>
          <w:rFonts w:ascii="Cambria" w:hAnsi="Cambria"/>
          <w:i/>
          <w:color w:val="000000" w:themeColor="text1"/>
          <w:sz w:val="16"/>
          <w:szCs w:val="16"/>
        </w:rPr>
        <w:t>Ley que fomenta la reinserción escolar por embarazo</w:t>
      </w:r>
      <w:r w:rsidRPr="001407FF">
        <w:rPr>
          <w:rFonts w:ascii="Cambria" w:hAnsi="Cambria"/>
          <w:color w:val="000000" w:themeColor="text1"/>
          <w:sz w:val="16"/>
          <w:szCs w:val="16"/>
        </w:rPr>
        <w:t xml:space="preserve">” [Law to Promote the Return to School for Pregnancy], October 15, 2010, and </w:t>
      </w:r>
      <w:r w:rsidRPr="005928E0">
        <w:rPr>
          <w:rFonts w:ascii="Cambria" w:hAnsi="Cambria"/>
          <w:b/>
          <w:bCs/>
          <w:color w:val="000000" w:themeColor="text1"/>
          <w:sz w:val="16"/>
          <w:szCs w:val="16"/>
        </w:rPr>
        <w:t>Law N</w:t>
      </w:r>
      <w:r w:rsidR="00DF5862">
        <w:rPr>
          <w:rFonts w:ascii="Cambria" w:hAnsi="Cambria"/>
          <w:b/>
          <w:bCs/>
          <w:color w:val="000000" w:themeColor="text1"/>
          <w:sz w:val="16"/>
          <w:szCs w:val="16"/>
        </w:rPr>
        <w:t>o.</w:t>
      </w:r>
      <w:r w:rsidRPr="005928E0">
        <w:rPr>
          <w:rFonts w:ascii="Cambria" w:hAnsi="Cambria"/>
          <w:b/>
          <w:bCs/>
          <w:color w:val="000000" w:themeColor="text1"/>
          <w:sz w:val="16"/>
          <w:szCs w:val="16"/>
        </w:rPr>
        <w:t>30364</w:t>
      </w:r>
      <w:r w:rsidRPr="001407FF">
        <w:rPr>
          <w:rFonts w:ascii="Cambria" w:hAnsi="Cambria"/>
          <w:color w:val="000000" w:themeColor="text1"/>
          <w:sz w:val="16"/>
          <w:szCs w:val="16"/>
        </w:rPr>
        <w:t>, “</w:t>
      </w:r>
      <w:r w:rsidRPr="001407FF">
        <w:rPr>
          <w:rFonts w:ascii="Cambria" w:hAnsi="Cambria"/>
          <w:i/>
          <w:color w:val="000000" w:themeColor="text1"/>
          <w:sz w:val="16"/>
          <w:szCs w:val="16"/>
        </w:rPr>
        <w:t>Ley para prevenir, sancionar y erradicar la violencia contra las mujeres y los integrantes del grupo familiar</w:t>
      </w:r>
      <w:r w:rsidRPr="001407FF">
        <w:rPr>
          <w:rFonts w:ascii="Cambria" w:hAnsi="Cambria"/>
          <w:color w:val="000000" w:themeColor="text1"/>
          <w:sz w:val="16"/>
          <w:szCs w:val="16"/>
        </w:rPr>
        <w:t>” [Law to Prevent, Punish and Eradicate Violence against Women and Family Members], November 23, 2015.</w:t>
      </w:r>
    </w:p>
    <w:p w14:paraId="331E4510" w14:textId="77777777" w:rsidR="00AB238F" w:rsidRPr="001407FF" w:rsidRDefault="00AB238F" w:rsidP="005928E0">
      <w:pPr>
        <w:pStyle w:val="NoSpacing"/>
        <w:numPr>
          <w:ilvl w:val="0"/>
          <w:numId w:val="32"/>
        </w:numPr>
        <w:jc w:val="both"/>
        <w:rPr>
          <w:rFonts w:ascii="Cambria" w:hAnsi="Cambria"/>
          <w:color w:val="000000" w:themeColor="text1"/>
          <w:sz w:val="16"/>
          <w:szCs w:val="16"/>
        </w:rPr>
      </w:pPr>
      <w:r w:rsidRPr="001407FF">
        <w:rPr>
          <w:rFonts w:ascii="Cambria" w:hAnsi="Cambria"/>
          <w:color w:val="000000" w:themeColor="text1"/>
          <w:sz w:val="16"/>
          <w:szCs w:val="16"/>
        </w:rPr>
        <w:t>On June 3, 2021, the Ministry of Education approved "</w:t>
      </w:r>
      <w:hyperlink r:id="rId58">
        <w:r w:rsidRPr="001407FF">
          <w:rPr>
            <w:rFonts w:ascii="Cambria" w:hAnsi="Cambria"/>
            <w:i/>
            <w:color w:val="000000" w:themeColor="text1"/>
            <w:sz w:val="16"/>
            <w:szCs w:val="16"/>
            <w:u w:val="single"/>
          </w:rPr>
          <w:t>Guía para Implementar La Educación Sexual Integral. Recurso Educativo Dirigido a Docentes de Educación Básica Regular</w:t>
        </w:r>
      </w:hyperlink>
      <w:r w:rsidRPr="001407FF">
        <w:rPr>
          <w:rFonts w:ascii="Cambria" w:hAnsi="Cambria"/>
          <w:color w:val="000000" w:themeColor="text1"/>
          <w:sz w:val="16"/>
          <w:szCs w:val="16"/>
        </w:rPr>
        <w:t>“[the Guidelines for Implementing Comprehensive Sexual Education. Educational Resource for Teachers of Regular Basic Education], 2021.</w:t>
      </w:r>
    </w:p>
    <w:p w14:paraId="2B4C5500" w14:textId="77777777" w:rsidR="00AB238F" w:rsidRPr="001407FF" w:rsidRDefault="00AB238F" w:rsidP="005928E0">
      <w:pPr>
        <w:pStyle w:val="NoSpacing"/>
        <w:numPr>
          <w:ilvl w:val="0"/>
          <w:numId w:val="32"/>
        </w:numPr>
        <w:jc w:val="both"/>
        <w:rPr>
          <w:rFonts w:ascii="Cambria" w:hAnsi="Cambria"/>
          <w:color w:val="000000" w:themeColor="text1"/>
          <w:sz w:val="16"/>
          <w:szCs w:val="16"/>
        </w:rPr>
      </w:pPr>
      <w:r w:rsidRPr="001407FF">
        <w:rPr>
          <w:rFonts w:ascii="Cambria" w:hAnsi="Cambria"/>
          <w:color w:val="000000" w:themeColor="text1"/>
          <w:sz w:val="16"/>
          <w:szCs w:val="16"/>
        </w:rPr>
        <w:t>“Política Nacional de igualdad de género” [The National Policy for Gender Equality], in its priority objective 2, includes comprehensive sexual education. Supreme Decree N° 008-2019-MIMP, April 4, 2019.</w:t>
      </w:r>
    </w:p>
    <w:p w14:paraId="2A65A0D7" w14:textId="77777777" w:rsidR="00AB238F" w:rsidRPr="001407FF" w:rsidRDefault="00AB238F" w:rsidP="005928E0">
      <w:pPr>
        <w:pStyle w:val="NoSpacing"/>
        <w:numPr>
          <w:ilvl w:val="0"/>
          <w:numId w:val="32"/>
        </w:numPr>
        <w:jc w:val="both"/>
        <w:rPr>
          <w:rFonts w:ascii="Cambria" w:hAnsi="Cambria"/>
          <w:color w:val="000000" w:themeColor="text1"/>
          <w:sz w:val="16"/>
          <w:szCs w:val="16"/>
        </w:rPr>
      </w:pPr>
      <w:r w:rsidRPr="001407FF">
        <w:rPr>
          <w:rFonts w:ascii="Cambria" w:hAnsi="Cambria"/>
          <w:color w:val="000000" w:themeColor="text1"/>
          <w:sz w:val="16"/>
          <w:szCs w:val="16"/>
        </w:rPr>
        <w:t>“</w:t>
      </w:r>
      <w:r w:rsidRPr="001407FF">
        <w:rPr>
          <w:rFonts w:ascii="Cambria" w:hAnsi="Cambria"/>
          <w:i/>
          <w:color w:val="000000" w:themeColor="text1"/>
          <w:sz w:val="16"/>
          <w:szCs w:val="16"/>
        </w:rPr>
        <w:t>Política Nacional de Acción por la Infancia y la Adolescencia 2012-202” [</w:t>
      </w:r>
      <w:r w:rsidRPr="001407FF">
        <w:rPr>
          <w:rFonts w:ascii="Cambria" w:hAnsi="Cambria"/>
          <w:color w:val="000000" w:themeColor="text1"/>
          <w:sz w:val="16"/>
          <w:szCs w:val="16"/>
        </w:rPr>
        <w:t>The National Action Policy for Children and Adolescents 2012-2021]. Supreme Decree N° 013-2019-MINEDU, September 23, 2019.</w:t>
      </w:r>
    </w:p>
    <w:p w14:paraId="17D828A8" w14:textId="77777777" w:rsidR="00AB238F" w:rsidRPr="001407FF" w:rsidRDefault="00AB238F" w:rsidP="005928E0">
      <w:pPr>
        <w:pStyle w:val="NoSpacing"/>
        <w:numPr>
          <w:ilvl w:val="0"/>
          <w:numId w:val="32"/>
        </w:numPr>
        <w:jc w:val="both"/>
        <w:rPr>
          <w:rFonts w:ascii="Cambria" w:hAnsi="Cambria"/>
          <w:color w:val="000000" w:themeColor="text1"/>
          <w:sz w:val="16"/>
          <w:szCs w:val="16"/>
        </w:rPr>
      </w:pPr>
      <w:r w:rsidRPr="001407FF">
        <w:rPr>
          <w:rFonts w:ascii="Cambria" w:hAnsi="Cambria"/>
          <w:color w:val="000000" w:themeColor="text1"/>
          <w:sz w:val="16"/>
          <w:szCs w:val="16"/>
        </w:rPr>
        <w:t xml:space="preserve">“La </w:t>
      </w:r>
      <w:r w:rsidRPr="001407FF">
        <w:rPr>
          <w:rFonts w:ascii="Cambria" w:hAnsi="Cambria"/>
          <w:i/>
          <w:color w:val="000000" w:themeColor="text1"/>
          <w:sz w:val="16"/>
          <w:szCs w:val="16"/>
        </w:rPr>
        <w:t>Política Nacional de Juventud</w:t>
      </w:r>
      <w:r w:rsidRPr="001407FF">
        <w:rPr>
          <w:rFonts w:ascii="Cambria" w:hAnsi="Cambria"/>
          <w:color w:val="000000" w:themeColor="text1"/>
          <w:sz w:val="16"/>
          <w:szCs w:val="16"/>
        </w:rPr>
        <w:t>; en el Proyecto Educativo Nacional - PEN al 2036” [The National Youth Policy; in the National Education Project - PEN al 2036]. Supreme Decree N° 009-2020-MINEDU, July 29, 2020.</w:t>
      </w:r>
    </w:p>
    <w:p w14:paraId="2ABBDECA" w14:textId="7CE2164D" w:rsidR="00AB238F" w:rsidRPr="005928E0" w:rsidRDefault="00AB238F" w:rsidP="005928E0">
      <w:pPr>
        <w:pStyle w:val="NoSpacing"/>
        <w:numPr>
          <w:ilvl w:val="0"/>
          <w:numId w:val="32"/>
        </w:numPr>
        <w:jc w:val="both"/>
        <w:rPr>
          <w:rFonts w:ascii="Cambria" w:hAnsi="Cambria"/>
          <w:color w:val="000000" w:themeColor="text1"/>
          <w:sz w:val="16"/>
          <w:szCs w:val="16"/>
        </w:rPr>
      </w:pPr>
      <w:r w:rsidRPr="001407FF">
        <w:rPr>
          <w:rFonts w:ascii="Cambria" w:hAnsi="Cambria"/>
          <w:color w:val="000000" w:themeColor="text1"/>
          <w:sz w:val="16"/>
          <w:szCs w:val="16"/>
        </w:rPr>
        <w:t>“</w:t>
      </w:r>
      <w:r w:rsidRPr="001407FF">
        <w:rPr>
          <w:rFonts w:ascii="Cambria" w:hAnsi="Cambria"/>
          <w:i/>
          <w:color w:val="000000" w:themeColor="text1"/>
          <w:sz w:val="16"/>
          <w:szCs w:val="16"/>
        </w:rPr>
        <w:t>Plan Estratégico de Desarrollo Nacional</w:t>
      </w:r>
      <w:r w:rsidRPr="001407FF">
        <w:rPr>
          <w:rFonts w:ascii="Cambria" w:hAnsi="Cambria"/>
          <w:color w:val="000000" w:themeColor="text1"/>
          <w:sz w:val="16"/>
          <w:szCs w:val="16"/>
        </w:rPr>
        <w:t xml:space="preserve"> al 2050” [The Strategic Plan for National Development until 2050]. Supreme Decree N° 095-2022-PCM, July 27, 2022.</w:t>
      </w:r>
    </w:p>
  </w:endnote>
  <w:endnote w:id="112">
    <w:p w14:paraId="657E31CA" w14:textId="46B302CF" w:rsidR="00AB238F" w:rsidRPr="005928E0" w:rsidRDefault="00AB238F" w:rsidP="00FD3B0C">
      <w:pPr>
        <w:pStyle w:val="NoSpacing"/>
        <w:ind w:left="630" w:hanging="630"/>
        <w:jc w:val="both"/>
        <w:rPr>
          <w:rFonts w:ascii="Cambria" w:hAnsi="Cambria"/>
          <w:color w:val="000000" w:themeColor="text1"/>
          <w:sz w:val="16"/>
          <w:szCs w:val="16"/>
        </w:rPr>
      </w:pPr>
      <w:r>
        <w:rPr>
          <w:rStyle w:val="EndnoteReference"/>
        </w:rPr>
        <w:endnoteRef/>
      </w:r>
      <w:r>
        <w:t xml:space="preserve"> </w:t>
      </w:r>
      <w:r w:rsidRPr="001407FF">
        <w:rPr>
          <w:rFonts w:ascii="Cambria" w:hAnsi="Cambria"/>
          <w:color w:val="000000" w:themeColor="text1"/>
          <w:sz w:val="16"/>
          <w:szCs w:val="16"/>
        </w:rPr>
        <w:t>Office of the Ombudsman</w:t>
      </w:r>
      <w:r w:rsidRPr="001407FF">
        <w:rPr>
          <w:rFonts w:ascii="Cambria" w:hAnsi="Cambria"/>
          <w:i/>
          <w:iCs/>
          <w:color w:val="000000" w:themeColor="text1"/>
          <w:sz w:val="16"/>
          <w:szCs w:val="16"/>
        </w:rPr>
        <w:t>. </w:t>
      </w:r>
      <w:hyperlink r:id="rId59" w:tgtFrame="_blank" w:history="1">
        <w:r w:rsidRPr="001407FF">
          <w:rPr>
            <w:rStyle w:val="Hyperlink"/>
            <w:rFonts w:ascii="Cambria" w:eastAsia="Cambria" w:hAnsi="Cambria" w:cs="Cambria"/>
            <w:i/>
            <w:iCs/>
            <w:color w:val="000000" w:themeColor="text1"/>
            <w:sz w:val="16"/>
            <w:szCs w:val="16"/>
          </w:rPr>
          <w:t>“Informe sobre la supervisión de intervenciones efectivas para la prevención del embarazo no planeado en adolescentes: educación sexual integral y acceso a anticoncepción moderna para quienes lo requieren”</w:t>
        </w:r>
      </w:hyperlink>
      <w:r w:rsidRPr="001407FF">
        <w:rPr>
          <w:rStyle w:val="Hyperlink"/>
          <w:rFonts w:ascii="Cambria" w:eastAsia="Cambria" w:hAnsi="Cambria" w:cs="Cambria"/>
          <w:i/>
          <w:iCs/>
          <w:color w:val="000000" w:themeColor="text1"/>
          <w:sz w:val="16"/>
          <w:szCs w:val="16"/>
        </w:rPr>
        <w:t xml:space="preserve"> </w:t>
      </w:r>
      <w:r w:rsidRPr="001407FF">
        <w:rPr>
          <w:rFonts w:ascii="Cambria" w:hAnsi="Cambria"/>
          <w:color w:val="000000" w:themeColor="text1"/>
          <w:sz w:val="16"/>
          <w:szCs w:val="16"/>
        </w:rPr>
        <w:t>[</w:t>
      </w:r>
      <w:hyperlink r:id="rId60" w:tgtFrame="_blank" w:history="1">
        <w:r w:rsidRPr="001407FF">
          <w:rPr>
            <w:rStyle w:val="Hyperlink"/>
            <w:rFonts w:ascii="Cambria" w:eastAsia="Cambria" w:hAnsi="Cambria" w:cs="Cambria"/>
            <w:color w:val="000000" w:themeColor="text1"/>
            <w:sz w:val="16"/>
            <w:szCs w:val="16"/>
          </w:rPr>
          <w:t>Report on monitoring effective interventions for the prevention of unintended adolescent pregnancy: comprehensive sexual education and access to modern contraception</w:t>
        </w:r>
      </w:hyperlink>
      <w:r w:rsidRPr="001407FF">
        <w:rPr>
          <w:rFonts w:ascii="Cambria" w:hAnsi="Cambria"/>
          <w:color w:val="000000" w:themeColor="text1"/>
          <w:sz w:val="16"/>
          <w:szCs w:val="16"/>
        </w:rPr>
        <w:t>]. Report No. 007-2021-DP, July 2021.</w:t>
      </w:r>
    </w:p>
  </w:endnote>
  <w:endnote w:id="113">
    <w:p w14:paraId="1628C7CB" w14:textId="77777777" w:rsidR="00AB238F" w:rsidRPr="001407FF" w:rsidRDefault="00AB238F" w:rsidP="005928E0">
      <w:pPr>
        <w:pStyle w:val="NoSpacing"/>
        <w:jc w:val="both"/>
        <w:rPr>
          <w:rFonts w:ascii="Cambria" w:hAnsi="Cambria"/>
          <w:strike/>
          <w:color w:val="000000" w:themeColor="text1"/>
          <w:sz w:val="16"/>
          <w:szCs w:val="16"/>
        </w:rPr>
      </w:pPr>
      <w:r>
        <w:rPr>
          <w:rStyle w:val="EndnoteReference"/>
        </w:rPr>
        <w:endnoteRef/>
      </w:r>
      <w:r>
        <w:t xml:space="preserve"> </w:t>
      </w:r>
      <w:r w:rsidRPr="001407FF">
        <w:rPr>
          <w:rFonts w:ascii="Cambria" w:hAnsi="Cambria"/>
          <w:color w:val="000000" w:themeColor="text1"/>
          <w:sz w:val="16"/>
          <w:szCs w:val="16"/>
        </w:rPr>
        <w:t>The Congress of the Republic promoted and approved several harmful legislative initiatives; among them, we have:</w:t>
      </w:r>
    </w:p>
    <w:p w14:paraId="60E2380A" w14:textId="55D0CEB5" w:rsidR="00AB238F" w:rsidRPr="005928E0" w:rsidRDefault="00AB238F" w:rsidP="00FD3B0C">
      <w:pPr>
        <w:pStyle w:val="NoSpacing"/>
        <w:ind w:left="630"/>
        <w:jc w:val="both"/>
        <w:rPr>
          <w:rFonts w:ascii="Cambria" w:hAnsi="Cambria"/>
          <w:color w:val="000000" w:themeColor="text1"/>
          <w:sz w:val="16"/>
          <w:szCs w:val="16"/>
        </w:rPr>
      </w:pPr>
      <w:r w:rsidRPr="001407FF">
        <w:rPr>
          <w:rFonts w:ascii="Cambria" w:hAnsi="Cambria"/>
          <w:color w:val="000000" w:themeColor="text1"/>
          <w:sz w:val="16"/>
          <w:szCs w:val="16"/>
        </w:rPr>
        <w:t xml:space="preserve">i) </w:t>
      </w:r>
      <w:r w:rsidRPr="004133C7">
        <w:rPr>
          <w:rFonts w:ascii="Cambria" w:hAnsi="Cambria"/>
          <w:b/>
          <w:bCs/>
          <w:color w:val="000000" w:themeColor="text1"/>
          <w:sz w:val="16"/>
          <w:szCs w:val="16"/>
        </w:rPr>
        <w:t>Bill No. 7579/2023</w:t>
      </w:r>
      <w:r w:rsidRPr="001407FF">
        <w:rPr>
          <w:rFonts w:ascii="Cambria" w:hAnsi="Cambria"/>
          <w:color w:val="000000" w:themeColor="text1"/>
          <w:sz w:val="16"/>
          <w:szCs w:val="16"/>
        </w:rPr>
        <w:t xml:space="preserve"> recognizes the right of parents to choose the sexual education their children receive in educational institutions. Congress of the Republic of Peru. </w:t>
      </w:r>
      <w:r w:rsidRPr="004133C7">
        <w:rPr>
          <w:rFonts w:ascii="Cambria" w:hAnsi="Cambria"/>
          <w:b/>
          <w:bCs/>
          <w:color w:val="000000" w:themeColor="text1"/>
          <w:sz w:val="16"/>
          <w:szCs w:val="16"/>
        </w:rPr>
        <w:t>Bill No. 07579/2023-CR</w:t>
      </w:r>
      <w:r w:rsidRPr="00920DFE">
        <w:rPr>
          <w:rFonts w:ascii="Cambria" w:hAnsi="Cambria"/>
          <w:color w:val="000000" w:themeColor="text1"/>
          <w:sz w:val="16"/>
          <w:szCs w:val="16"/>
        </w:rPr>
        <w:t xml:space="preserve">, </w:t>
      </w:r>
      <w:hyperlink r:id="rId61" w:anchor="/expediente/2021/7579" w:history="1">
        <w:r w:rsidRPr="00920DFE">
          <w:rPr>
            <w:rStyle w:val="Hyperlink"/>
            <w:rFonts w:ascii="Cambria" w:eastAsia="Cambria" w:hAnsi="Cambria" w:cs="Cambria"/>
            <w:i/>
            <w:iCs/>
            <w:color w:val="000000" w:themeColor="text1"/>
            <w:sz w:val="16"/>
            <w:szCs w:val="16"/>
          </w:rPr>
          <w:t>"Proyecto de Ley Nro. 07579/2023-CR, Ley que reconoce el derecho de los padres de familia a elegir la educación sexual que reciben sus hijos"</w:t>
        </w:r>
      </w:hyperlink>
      <w:r w:rsidRPr="00920DFE">
        <w:rPr>
          <w:rFonts w:ascii="Cambria" w:hAnsi="Cambria"/>
          <w:color w:val="000000" w:themeColor="text1"/>
          <w:sz w:val="16"/>
          <w:szCs w:val="16"/>
        </w:rPr>
        <w:t>, April</w:t>
      </w:r>
      <w:r w:rsidRPr="001407FF">
        <w:rPr>
          <w:rFonts w:ascii="Cambria" w:hAnsi="Cambria"/>
          <w:color w:val="000000" w:themeColor="text1"/>
          <w:sz w:val="16"/>
          <w:szCs w:val="16"/>
        </w:rPr>
        <w:t xml:space="preserve"> 15, 2024; ii) </w:t>
      </w:r>
      <w:r w:rsidRPr="004133C7">
        <w:rPr>
          <w:rFonts w:ascii="Cambria" w:hAnsi="Cambria"/>
          <w:b/>
          <w:bCs/>
          <w:color w:val="000000" w:themeColor="text1"/>
          <w:sz w:val="16"/>
          <w:szCs w:val="16"/>
        </w:rPr>
        <w:t>Laws Nos. 7032 and 7146</w:t>
      </w:r>
      <w:r>
        <w:rPr>
          <w:rFonts w:ascii="Cambria" w:hAnsi="Cambria"/>
          <w:b/>
          <w:bCs/>
          <w:color w:val="000000" w:themeColor="text1"/>
          <w:sz w:val="16"/>
          <w:szCs w:val="16"/>
        </w:rPr>
        <w:t xml:space="preserve">, </w:t>
      </w:r>
      <w:r w:rsidRPr="004133C7">
        <w:rPr>
          <w:rFonts w:ascii="Cambria" w:hAnsi="Cambria"/>
          <w:i/>
          <w:iCs/>
          <w:color w:val="000000" w:themeColor="text1"/>
          <w:sz w:val="16"/>
          <w:szCs w:val="16"/>
        </w:rPr>
        <w:t xml:space="preserve">"Ley que promueve las Escuelas de Padres en las Instituciones de Educación Básica Regular y Privada" </w:t>
      </w:r>
      <w:r w:rsidRPr="001407FF">
        <w:rPr>
          <w:rFonts w:ascii="Cambria" w:hAnsi="Cambria"/>
          <w:color w:val="000000" w:themeColor="text1"/>
          <w:sz w:val="16"/>
          <w:szCs w:val="16"/>
        </w:rPr>
        <w:t xml:space="preserve">attempts to ban parent associations (APAFA) from entering into agreements with those who receive grants from international cooperation. This bill impedes non-governmental organizations from providing CSE training in the country's public and private educational institutions. Congress of the Republic of Peru. </w:t>
      </w:r>
      <w:hyperlink r:id="rId62" w:history="1">
        <w:r w:rsidRPr="004133C7">
          <w:rPr>
            <w:rStyle w:val="Hyperlink"/>
            <w:rFonts w:ascii="Cambria" w:eastAsia="Cambria" w:hAnsi="Cambria" w:cs="Cambria"/>
            <w:i/>
            <w:iCs/>
            <w:color w:val="000000" w:themeColor="text1"/>
            <w:sz w:val="16"/>
            <w:szCs w:val="16"/>
          </w:rPr>
          <w:t>"Dictamen recaído en el Proyecto de Ley N</w:t>
        </w:r>
        <w:r w:rsidR="00DF5862">
          <w:rPr>
            <w:rStyle w:val="Hyperlink"/>
            <w:rFonts w:ascii="Cambria" w:eastAsia="Cambria" w:hAnsi="Cambria" w:cs="Cambria"/>
            <w:i/>
            <w:iCs/>
            <w:color w:val="000000" w:themeColor="text1"/>
            <w:sz w:val="16"/>
            <w:szCs w:val="16"/>
          </w:rPr>
          <w:t>o.</w:t>
        </w:r>
        <w:r w:rsidRPr="004133C7">
          <w:rPr>
            <w:rStyle w:val="Hyperlink"/>
            <w:rFonts w:ascii="Cambria" w:eastAsia="Cambria" w:hAnsi="Cambria" w:cs="Cambria"/>
            <w:i/>
            <w:iCs/>
            <w:color w:val="000000" w:themeColor="text1"/>
            <w:sz w:val="16"/>
            <w:szCs w:val="16"/>
          </w:rPr>
          <w:t xml:space="preserve"> 7032 y 7146, Ley que promueve las Escuelas de Padres en las Instituciones de Educación Básica Regular y Privad</w:t>
        </w:r>
        <w:r w:rsidRPr="004133C7">
          <w:rPr>
            <w:rStyle w:val="Hyperlink"/>
            <w:rFonts w:ascii="Cambria" w:hAnsi="Cambria" w:cs="Cambria"/>
            <w:i/>
            <w:iCs/>
            <w:color w:val="000000" w:themeColor="text1"/>
            <w:sz w:val="16"/>
            <w:szCs w:val="16"/>
          </w:rPr>
          <w:t>a</w:t>
        </w:r>
      </w:hyperlink>
      <w:r w:rsidRPr="004133C7">
        <w:rPr>
          <w:rFonts w:ascii="Cambria" w:hAnsi="Cambria"/>
          <w:i/>
          <w:iCs/>
          <w:color w:val="000000" w:themeColor="text1"/>
          <w:sz w:val="16"/>
          <w:szCs w:val="16"/>
        </w:rPr>
        <w:t>"</w:t>
      </w:r>
      <w:r w:rsidRPr="001407FF">
        <w:rPr>
          <w:rFonts w:ascii="Cambria" w:hAnsi="Cambria"/>
          <w:color w:val="000000" w:themeColor="text1"/>
          <w:sz w:val="16"/>
          <w:szCs w:val="16"/>
        </w:rPr>
        <w:t xml:space="preserve"> [Opinion on Bill No. 7032 and 7146, Law that promotes Parent Schools in Public and Private Basic Education Institutions], June 19, 2024.</w:t>
      </w:r>
    </w:p>
  </w:endnote>
  <w:endnote w:id="114">
    <w:p w14:paraId="59090F97" w14:textId="3A3874BA" w:rsidR="00AB238F" w:rsidRDefault="00AB238F" w:rsidP="00FD3B0C">
      <w:pPr>
        <w:pStyle w:val="EndnoteText"/>
        <w:ind w:left="630"/>
        <w:jc w:val="both"/>
      </w:pPr>
      <w:r>
        <w:rPr>
          <w:rStyle w:val="EndnoteReference"/>
        </w:rPr>
        <w:endnoteRef/>
      </w:r>
      <w:r>
        <w:t xml:space="preserve"> </w:t>
      </w:r>
      <w:r w:rsidRPr="001407FF">
        <w:rPr>
          <w:rFonts w:ascii="Cambria" w:hAnsi="Cambria"/>
          <w:color w:val="000000" w:themeColor="text1"/>
          <w:sz w:val="16"/>
          <w:szCs w:val="16"/>
        </w:rPr>
        <w:t>Official newspaper ‘Diario Oficial El Peruano’, “</w:t>
      </w:r>
      <w:r w:rsidRPr="001407FF">
        <w:rPr>
          <w:rFonts w:ascii="Cambria" w:eastAsia="Arial" w:hAnsi="Cambria" w:cs="Arial"/>
          <w:color w:val="000000" w:themeColor="text1"/>
          <w:sz w:val="16"/>
          <w:szCs w:val="16"/>
        </w:rPr>
        <w:t xml:space="preserve">Law No. 31498, </w:t>
      </w:r>
      <w:hyperlink r:id="rId63" w:history="1">
        <w:r w:rsidRPr="001407FF">
          <w:rPr>
            <w:rStyle w:val="Hyperlink"/>
            <w:rFonts w:ascii="Cambria" w:eastAsia="Arial" w:hAnsi="Cambria" w:cs="Arial"/>
            <w:i/>
            <w:iCs/>
            <w:color w:val="000000" w:themeColor="text1"/>
            <w:sz w:val="16"/>
            <w:szCs w:val="16"/>
          </w:rPr>
          <w:t>“Law that promotes the quality of educational materials and resources in Peru”</w:t>
        </w:r>
      </w:hyperlink>
      <w:r w:rsidRPr="001407FF">
        <w:rPr>
          <w:rFonts w:ascii="Cambria" w:eastAsia="Arial" w:hAnsi="Cambria" w:cs="Arial"/>
          <w:i/>
          <w:iCs/>
          <w:color w:val="000000" w:themeColor="text1"/>
          <w:sz w:val="16"/>
          <w:szCs w:val="16"/>
        </w:rPr>
        <w:t xml:space="preserve">, </w:t>
      </w:r>
      <w:r w:rsidRPr="001407FF">
        <w:rPr>
          <w:rFonts w:ascii="Cambria" w:eastAsia="Arial" w:hAnsi="Cambria" w:cs="Arial"/>
          <w:color w:val="000000" w:themeColor="text1"/>
          <w:sz w:val="16"/>
          <w:szCs w:val="16"/>
        </w:rPr>
        <w:t>May 25, 2022.</w:t>
      </w:r>
    </w:p>
  </w:endnote>
  <w:endnote w:id="115">
    <w:p w14:paraId="4D73D9C7" w14:textId="22D244C9" w:rsidR="00AB238F" w:rsidRDefault="00AB238F" w:rsidP="005928E0">
      <w:pPr>
        <w:pStyle w:val="EndnoteText"/>
        <w:jc w:val="both"/>
      </w:pPr>
      <w:r>
        <w:rPr>
          <w:rStyle w:val="EndnoteReference"/>
        </w:rPr>
        <w:endnoteRef/>
      </w:r>
      <w:r>
        <w:t xml:space="preserve"> </w:t>
      </w:r>
      <w:r w:rsidRPr="001407FF">
        <w:rPr>
          <w:rFonts w:ascii="Cambria" w:hAnsi="Cambria"/>
          <w:color w:val="000000" w:themeColor="text1"/>
          <w:sz w:val="16"/>
          <w:szCs w:val="16"/>
        </w:rPr>
        <w:t xml:space="preserve">Human Rights Watch. </w:t>
      </w:r>
      <w:hyperlink r:id="rId64">
        <w:r w:rsidRPr="001407FF">
          <w:rPr>
            <w:rFonts w:ascii="Cambria" w:hAnsi="Cambria"/>
            <w:i/>
            <w:color w:val="000000" w:themeColor="text1"/>
            <w:sz w:val="16"/>
            <w:szCs w:val="16"/>
            <w:u w:val="single"/>
          </w:rPr>
          <w:t>“Peru is Threatening Human Rights Education”</w:t>
        </w:r>
      </w:hyperlink>
      <w:r w:rsidRPr="001407FF">
        <w:rPr>
          <w:rFonts w:ascii="Cambria" w:hAnsi="Cambria"/>
          <w:color w:val="000000" w:themeColor="text1"/>
          <w:sz w:val="16"/>
          <w:szCs w:val="16"/>
        </w:rPr>
        <w:t>, January 24, 2023.</w:t>
      </w:r>
    </w:p>
  </w:endnote>
  <w:endnote w:id="116">
    <w:p w14:paraId="5A376BF7" w14:textId="6DF92DA2" w:rsidR="005928E0" w:rsidRDefault="005928E0" w:rsidP="00FD3B0C">
      <w:pPr>
        <w:pStyle w:val="EndnoteText"/>
        <w:ind w:left="630" w:hanging="630"/>
        <w:jc w:val="both"/>
      </w:pPr>
      <w:r>
        <w:rPr>
          <w:rStyle w:val="EndnoteReference"/>
        </w:rPr>
        <w:endnoteRef/>
      </w:r>
      <w:r>
        <w:t xml:space="preserve"> </w:t>
      </w:r>
      <w:r w:rsidRPr="001407FF">
        <w:rPr>
          <w:rFonts w:ascii="Cambria" w:hAnsi="Cambria"/>
          <w:color w:val="000000" w:themeColor="text1"/>
          <w:sz w:val="16"/>
          <w:szCs w:val="16"/>
        </w:rPr>
        <w:t xml:space="preserve">It is important to highlight the activism of civil society organizations, who created the </w:t>
      </w:r>
      <w:r w:rsidRPr="00813732">
        <w:rPr>
          <w:rFonts w:ascii="Cambria" w:hAnsi="Cambria"/>
          <w:i/>
          <w:iCs/>
          <w:color w:val="000000" w:themeColor="text1"/>
          <w:sz w:val="16"/>
          <w:szCs w:val="16"/>
        </w:rPr>
        <w:t>'Plataforma Educación sin Retrocesos'</w:t>
      </w:r>
      <w:r w:rsidRPr="001407FF">
        <w:rPr>
          <w:rFonts w:ascii="Cambria" w:hAnsi="Cambria"/>
          <w:color w:val="000000" w:themeColor="text1"/>
          <w:sz w:val="16"/>
          <w:szCs w:val="16"/>
        </w:rPr>
        <w:t xml:space="preserve"> to propose actions regarding this law and other regressive laws to the education system in Peru. It is a civil society articulation for the defense of education policy, with quality standards and human rights, composed of several civil society organizations, including Manuela Ramos.  Available at: </w:t>
      </w:r>
      <w:hyperlink r:id="rId65" w:tgtFrame="_blank" w:history="1">
        <w:r w:rsidRPr="001407FF">
          <w:rPr>
            <w:rStyle w:val="Hyperlink"/>
            <w:rFonts w:ascii="Cambria" w:hAnsi="Cambria"/>
            <w:color w:val="000000" w:themeColor="text1"/>
            <w:sz w:val="16"/>
            <w:szCs w:val="16"/>
          </w:rPr>
          <w:t>https://educacionsinretroceso.com</w:t>
        </w:r>
      </w:hyperlink>
      <w:r w:rsidRPr="001407FF">
        <w:rPr>
          <w:rStyle w:val="Hyperlink"/>
          <w:rFonts w:ascii="Cambria" w:hAnsi="Cambria"/>
          <w:color w:val="000000" w:themeColor="text1"/>
          <w:sz w:val="16"/>
          <w:szCs w:val="16"/>
        </w:rPr>
        <w:t>.</w:t>
      </w:r>
    </w:p>
  </w:endnote>
  <w:endnote w:id="117">
    <w:p w14:paraId="7BDF7D6A" w14:textId="28F48E1D" w:rsidR="005928E0" w:rsidRDefault="005928E0" w:rsidP="00FD3B0C">
      <w:pPr>
        <w:pStyle w:val="EndnoteText"/>
        <w:ind w:left="630" w:hanging="630"/>
        <w:jc w:val="both"/>
      </w:pPr>
      <w:r>
        <w:rPr>
          <w:rStyle w:val="EndnoteReference"/>
        </w:rPr>
        <w:endnoteRef/>
      </w:r>
      <w:r>
        <w:t xml:space="preserve"> </w:t>
      </w:r>
      <w:r w:rsidRPr="001407FF">
        <w:rPr>
          <w:rFonts w:ascii="Cambria" w:hAnsi="Cambria"/>
          <w:color w:val="000000" w:themeColor="text1"/>
          <w:sz w:val="16"/>
          <w:szCs w:val="16"/>
        </w:rPr>
        <w:t>Mesa de Vigilancia Ciudadana en Derechos Sexuales y Reproductivos, </w:t>
      </w:r>
      <w:hyperlink r:id="rId66" w:tgtFrame="_blank" w:history="1">
        <w:r w:rsidRPr="001407FF">
          <w:rPr>
            <w:rStyle w:val="Hyperlink"/>
            <w:rFonts w:ascii="Cambria" w:eastAsia="Cambria" w:hAnsi="Cambria" w:cs="Cambria"/>
            <w:i/>
            <w:iCs/>
            <w:color w:val="000000" w:themeColor="text1"/>
            <w:sz w:val="16"/>
            <w:szCs w:val="16"/>
          </w:rPr>
          <w:t>“Informe sobre el progreso y las brechas en la implementación de derechos, salud y justicia sexual y reproductiva en el 10 aniversario del Consenso de Montevideo en Perú”</w:t>
        </w:r>
      </w:hyperlink>
      <w:r w:rsidRPr="001407FF">
        <w:rPr>
          <w:rStyle w:val="Hyperlink"/>
          <w:rFonts w:ascii="Cambria" w:eastAsia="Cambria" w:hAnsi="Cambria" w:cs="Cambria"/>
          <w:i/>
          <w:iCs/>
          <w:color w:val="000000" w:themeColor="text1"/>
          <w:sz w:val="16"/>
          <w:szCs w:val="16"/>
        </w:rPr>
        <w:t xml:space="preserve"> </w:t>
      </w:r>
      <w:r w:rsidRPr="001407FF">
        <w:rPr>
          <w:rFonts w:ascii="Cambria" w:hAnsi="Cambria"/>
          <w:color w:val="000000" w:themeColor="text1"/>
          <w:sz w:val="16"/>
          <w:szCs w:val="16"/>
        </w:rPr>
        <w:t>[</w:t>
      </w:r>
      <w:hyperlink r:id="rId67" w:tgtFrame="_blank" w:history="1">
        <w:r w:rsidRPr="001407FF">
          <w:rPr>
            <w:rStyle w:val="Hyperlink"/>
            <w:rFonts w:ascii="Cambria" w:eastAsia="Cambria" w:hAnsi="Cambria" w:cs="Cambria"/>
            <w:color w:val="000000" w:themeColor="text1"/>
            <w:sz w:val="16"/>
            <w:szCs w:val="16"/>
          </w:rPr>
          <w:t>Report on progress and gaps in the implementation of sexual and reproductive rights, health and justice on the 10th anniversary of the Montevideo Consensus in Peru</w:t>
        </w:r>
      </w:hyperlink>
      <w:r w:rsidRPr="001407FF">
        <w:rPr>
          <w:rFonts w:ascii="Cambria" w:hAnsi="Cambria"/>
          <w:color w:val="000000" w:themeColor="text1"/>
          <w:sz w:val="16"/>
          <w:szCs w:val="16"/>
        </w:rPr>
        <w:t>]. November 2023, p. 40.</w:t>
      </w:r>
    </w:p>
  </w:endnote>
  <w:endnote w:id="118">
    <w:p w14:paraId="1FEA3271" w14:textId="4452983B" w:rsidR="005928E0" w:rsidRDefault="005928E0" w:rsidP="00FD3B0C">
      <w:pPr>
        <w:pStyle w:val="EndnoteText"/>
        <w:ind w:left="630" w:hanging="630"/>
        <w:jc w:val="both"/>
      </w:pPr>
      <w:r>
        <w:rPr>
          <w:rStyle w:val="EndnoteReference"/>
        </w:rPr>
        <w:endnoteRef/>
      </w:r>
      <w:r>
        <w:t xml:space="preserve"> </w:t>
      </w:r>
      <w:r w:rsidRPr="001407FF">
        <w:rPr>
          <w:rFonts w:ascii="Cambria" w:hAnsi="Cambria"/>
          <w:color w:val="000000" w:themeColor="text1"/>
          <w:sz w:val="16"/>
          <w:szCs w:val="16"/>
        </w:rPr>
        <w:t xml:space="preserve">Ombudsman's Office. </w:t>
      </w:r>
      <w:hyperlink r:id="rId68">
        <w:r w:rsidRPr="001407FF">
          <w:rPr>
            <w:rFonts w:ascii="Cambria" w:hAnsi="Cambria"/>
            <w:i/>
            <w:iCs/>
            <w:color w:val="000000" w:themeColor="text1"/>
            <w:sz w:val="16"/>
            <w:szCs w:val="16"/>
            <w:u w:val="single"/>
          </w:rPr>
          <w:t>“Condiciones para garantizar el derecho a la educación, la salud y una vida libre de violencia de las niñas y adolescentes indígenas”</w:t>
        </w:r>
      </w:hyperlink>
      <w:r w:rsidRPr="001407FF">
        <w:rPr>
          <w:rFonts w:ascii="Cambria" w:hAnsi="Cambria"/>
          <w:color w:val="000000" w:themeColor="text1"/>
          <w:sz w:val="16"/>
          <w:szCs w:val="16"/>
        </w:rPr>
        <w:t xml:space="preserve"> [To guarantee the right to education, health and a life free of violence for Indigenous girls and adolescents.]. Lima. Report No. 002-2017-DP/AMASPPI/PPI, p. 25.</w:t>
      </w:r>
    </w:p>
  </w:endnote>
  <w:endnote w:id="119">
    <w:p w14:paraId="5488D58A" w14:textId="2E7CADE7" w:rsidR="005928E0" w:rsidRDefault="005928E0" w:rsidP="00FD3B0C">
      <w:pPr>
        <w:pStyle w:val="EndnoteText"/>
        <w:ind w:left="630" w:hanging="630"/>
        <w:jc w:val="both"/>
      </w:pPr>
      <w:r>
        <w:rPr>
          <w:rStyle w:val="EndnoteReference"/>
        </w:rPr>
        <w:endnoteRef/>
      </w:r>
      <w:r>
        <w:t xml:space="preserve"> </w:t>
      </w:r>
      <w:r w:rsidRPr="001407FF">
        <w:rPr>
          <w:rFonts w:ascii="Cambria" w:hAnsi="Cambria"/>
          <w:color w:val="000000" w:themeColor="text1"/>
          <w:sz w:val="16"/>
          <w:szCs w:val="16"/>
        </w:rPr>
        <w:t>Soberón, C. “</w:t>
      </w:r>
      <w:r w:rsidRPr="001407FF">
        <w:rPr>
          <w:rFonts w:ascii="Cambria" w:hAnsi="Cambria"/>
          <w:i/>
          <w:color w:val="000000" w:themeColor="text1"/>
          <w:sz w:val="16"/>
          <w:szCs w:val="16"/>
        </w:rPr>
        <w:t>“Educación sexual en un colegio público de Luricocha: Un diálogo entre alumnos, docentes y el contexto social</w:t>
      </w:r>
      <w:r w:rsidRPr="001407FF">
        <w:rPr>
          <w:rFonts w:ascii="Cambria" w:hAnsi="Cambria"/>
          <w:color w:val="000000" w:themeColor="text1"/>
          <w:sz w:val="16"/>
          <w:szCs w:val="16"/>
        </w:rPr>
        <w:t>” [Sexual education in a public school in Luricocha: A dialogue between students, teachers, and the social context]. Lima: Pontificia Universidad Católica del Perú, Facultad de Antropología, bachelor's thesis. 2015.</w:t>
      </w:r>
    </w:p>
  </w:endnote>
  <w:endnote w:id="120">
    <w:p w14:paraId="0310F2ED" w14:textId="1498F24E" w:rsidR="005928E0" w:rsidRDefault="005928E0" w:rsidP="00FD3B0C">
      <w:pPr>
        <w:pStyle w:val="EndnoteText"/>
        <w:ind w:left="630" w:hanging="630"/>
        <w:jc w:val="both"/>
      </w:pPr>
      <w:r>
        <w:rPr>
          <w:rStyle w:val="EndnoteReference"/>
        </w:rPr>
        <w:endnoteRef/>
      </w:r>
      <w:r>
        <w:t xml:space="preserve"> </w:t>
      </w:r>
      <w:r w:rsidRPr="00C57EBC">
        <w:rPr>
          <w:rFonts w:ascii="Cambria" w:hAnsi="Cambria"/>
          <w:color w:val="000000" w:themeColor="text1"/>
          <w:sz w:val="16"/>
          <w:szCs w:val="16"/>
        </w:rPr>
        <w:t>In</w:t>
      </w:r>
      <w:r w:rsidRPr="001407FF">
        <w:rPr>
          <w:rFonts w:ascii="Cambria" w:hAnsi="Cambria"/>
          <w:color w:val="000000" w:themeColor="text1"/>
          <w:sz w:val="16"/>
          <w:szCs w:val="16"/>
        </w:rPr>
        <w:t xml:space="preserve"> March 2023, the Ombudsman's Office monitored 180 educational institutions in 23 regions and found issues in the distribution.  It also found that 39 schools had not received educational materials, while 134 received incompleted learning materials. Press release. Office of the Ombudsman, </w:t>
      </w:r>
      <w:hyperlink r:id="rId69">
        <w:r w:rsidRPr="001407FF">
          <w:rPr>
            <w:rFonts w:ascii="Cambria" w:hAnsi="Cambria"/>
            <w:i/>
            <w:color w:val="000000" w:themeColor="text1"/>
            <w:sz w:val="16"/>
            <w:szCs w:val="16"/>
            <w:u w:val="single"/>
          </w:rPr>
          <w:t>“Minedu y las UGEL deben acelerar distribución de materiales y recursos educativos”</w:t>
        </w:r>
      </w:hyperlink>
      <w:r w:rsidRPr="001407FF">
        <w:rPr>
          <w:rFonts w:ascii="Cambria" w:hAnsi="Cambria"/>
          <w:color w:val="000000" w:themeColor="text1"/>
          <w:sz w:val="16"/>
          <w:szCs w:val="16"/>
        </w:rPr>
        <w:t xml:space="preserve"> [The Ministry of Education and the Local Education Management Unit (UGEL) must expedite the distribution of educational materials and resources], April 1, 2002. </w:t>
      </w:r>
    </w:p>
  </w:endnote>
  <w:endnote w:id="121">
    <w:p w14:paraId="44C738FA" w14:textId="62A5EE3E" w:rsidR="005928E0" w:rsidRDefault="005928E0" w:rsidP="00FD3B0C">
      <w:pPr>
        <w:pStyle w:val="EndnoteText"/>
        <w:ind w:left="630" w:hanging="630"/>
        <w:jc w:val="both"/>
      </w:pPr>
      <w:r>
        <w:rPr>
          <w:rStyle w:val="EndnoteReference"/>
        </w:rPr>
        <w:endnoteRef/>
      </w:r>
      <w:r>
        <w:t xml:space="preserve"> </w:t>
      </w:r>
      <w:r w:rsidRPr="001407FF">
        <w:rPr>
          <w:rFonts w:ascii="Cambria" w:hAnsi="Cambria"/>
          <w:color w:val="000000" w:themeColor="text1"/>
          <w:sz w:val="16"/>
          <w:szCs w:val="16"/>
        </w:rPr>
        <w:t>Mesa de Vigilancia Ciudadana en Derechos Sexuales y Reproductivos</w:t>
      </w:r>
      <w:r w:rsidRPr="001407FF">
        <w:rPr>
          <w:rFonts w:ascii="Cambria" w:hAnsi="Cambria"/>
          <w:i/>
          <w:iCs/>
          <w:color w:val="000000" w:themeColor="text1"/>
          <w:sz w:val="16"/>
          <w:szCs w:val="16"/>
        </w:rPr>
        <w:t>, </w:t>
      </w:r>
      <w:hyperlink r:id="rId70" w:tgtFrame="_blank" w:history="1">
        <w:r w:rsidRPr="001407FF">
          <w:rPr>
            <w:rStyle w:val="Hyperlink"/>
            <w:rFonts w:ascii="Cambria" w:eastAsia="Cambria" w:hAnsi="Cambria" w:cs="Cambria"/>
            <w:i/>
            <w:iCs/>
            <w:color w:val="000000" w:themeColor="text1"/>
            <w:sz w:val="16"/>
            <w:szCs w:val="16"/>
          </w:rPr>
          <w:t>“Informe sobre el progreso y las brechas en la implementación de derechos, salud y justicia sexual y reproductiva en el 10 aniversario del Consenso de Montevideo en Perú”</w:t>
        </w:r>
      </w:hyperlink>
      <w:r>
        <w:rPr>
          <w:rStyle w:val="Hyperlink"/>
          <w:rFonts w:ascii="Cambria" w:eastAsia="Cambria" w:hAnsi="Cambria" w:cs="Cambria"/>
          <w:i/>
          <w:iCs/>
          <w:color w:val="000000" w:themeColor="text1"/>
          <w:sz w:val="16"/>
          <w:szCs w:val="16"/>
        </w:rPr>
        <w:t xml:space="preserve"> </w:t>
      </w:r>
      <w:r w:rsidRPr="001407FF">
        <w:rPr>
          <w:rFonts w:ascii="Cambria" w:hAnsi="Cambria"/>
          <w:color w:val="000000" w:themeColor="text1"/>
          <w:sz w:val="16"/>
          <w:szCs w:val="16"/>
        </w:rPr>
        <w:t>[</w:t>
      </w:r>
      <w:hyperlink r:id="rId71" w:tgtFrame="_blank" w:history="1">
        <w:r w:rsidRPr="001407FF">
          <w:rPr>
            <w:rStyle w:val="Hyperlink"/>
            <w:rFonts w:ascii="Cambria" w:eastAsia="Cambria" w:hAnsi="Cambria" w:cs="Cambria"/>
            <w:color w:val="000000" w:themeColor="text1"/>
            <w:sz w:val="16"/>
            <w:szCs w:val="16"/>
          </w:rPr>
          <w:t>Report on progress and gaps in the implementation of sexual and reproductive rights, health and justice on the 10th anniversary of the Montevideo Consensus in Peru</w:t>
        </w:r>
      </w:hyperlink>
      <w:r w:rsidRPr="001407FF">
        <w:rPr>
          <w:rFonts w:ascii="Cambria" w:hAnsi="Cambria"/>
          <w:color w:val="000000" w:themeColor="text1"/>
          <w:sz w:val="16"/>
          <w:szCs w:val="16"/>
        </w:rPr>
        <w:t>]. November 2023.</w:t>
      </w:r>
    </w:p>
  </w:endnote>
  <w:endnote w:id="122">
    <w:p w14:paraId="3B04A732" w14:textId="3FE86EF5" w:rsidR="005928E0" w:rsidRDefault="005928E0" w:rsidP="00FD3B0C">
      <w:pPr>
        <w:pStyle w:val="EndnoteText"/>
        <w:ind w:left="630" w:hanging="630"/>
        <w:jc w:val="both"/>
      </w:pPr>
      <w:r>
        <w:rPr>
          <w:rStyle w:val="EndnoteReference"/>
        </w:rPr>
        <w:endnoteRef/>
      </w:r>
      <w:r>
        <w:t xml:space="preserve"> </w:t>
      </w:r>
      <w:r w:rsidRPr="001407FF">
        <w:rPr>
          <w:rFonts w:ascii="Cambria" w:hAnsi="Cambria"/>
          <w:color w:val="000000" w:themeColor="text1"/>
          <w:sz w:val="16"/>
          <w:szCs w:val="16"/>
        </w:rPr>
        <w:t xml:space="preserve">Manuela Ramos Movement website. </w:t>
      </w:r>
      <w:hyperlink r:id="rId72" w:history="1">
        <w:r w:rsidRPr="00C57EBC">
          <w:rPr>
            <w:rStyle w:val="Hyperlink"/>
            <w:rFonts w:ascii="Cambria" w:hAnsi="Cambria" w:cs="Cambria"/>
            <w:i/>
            <w:iCs/>
            <w:color w:val="000000" w:themeColor="text1"/>
            <w:sz w:val="16"/>
            <w:szCs w:val="16"/>
          </w:rPr>
          <w:t>“¿Cuánto se invierte en Educación Sexual Integral en el Perú?</w:t>
        </w:r>
      </w:hyperlink>
      <w:r w:rsidRPr="00C57EBC">
        <w:rPr>
          <w:rFonts w:ascii="Cambria" w:hAnsi="Cambria"/>
          <w:i/>
          <w:iCs/>
          <w:color w:val="000000" w:themeColor="text1"/>
          <w:sz w:val="16"/>
          <w:szCs w:val="16"/>
        </w:rPr>
        <w:t xml:space="preserve">” </w:t>
      </w:r>
      <w:r w:rsidRPr="001407FF">
        <w:rPr>
          <w:rFonts w:ascii="Cambria" w:hAnsi="Cambria"/>
          <w:color w:val="000000" w:themeColor="text1"/>
          <w:sz w:val="16"/>
          <w:szCs w:val="16"/>
        </w:rPr>
        <w:t>[How much is invested in Comprehensive Sexual Education in Peru?], September 11, 2023. </w:t>
      </w:r>
    </w:p>
  </w:endnote>
  <w:endnote w:id="123">
    <w:p w14:paraId="38BAC72F" w14:textId="085D6C97" w:rsidR="005928E0" w:rsidRDefault="005928E0" w:rsidP="00FD3B0C">
      <w:pPr>
        <w:pStyle w:val="EndnoteText"/>
        <w:ind w:left="630" w:hanging="630"/>
        <w:jc w:val="both"/>
      </w:pPr>
      <w:r>
        <w:rPr>
          <w:rStyle w:val="EndnoteReference"/>
        </w:rPr>
        <w:endnoteRef/>
      </w:r>
      <w:r>
        <w:t xml:space="preserve"> </w:t>
      </w:r>
      <w:r w:rsidRPr="001407FF">
        <w:rPr>
          <w:rFonts w:ascii="Cambria" w:hAnsi="Cambria"/>
          <w:color w:val="000000" w:themeColor="text1"/>
          <w:sz w:val="16"/>
          <w:szCs w:val="16"/>
        </w:rPr>
        <w:t xml:space="preserve">The toolbox contains materials that will help teachers understand comprehensive sexual education. It includes documents such as the model for mainstreaming CSE in educational institutions, the CSE's guide for teachers, and educational sessions on CSE that seek to strengthen skills for dialogue on CSE between fathers, mothers, daughters, and sons. It also distributes the "El Cuaderno que acompaña," a workbook on gender, sexuality, and violence for schoolchildren. Press release Manuela Ramos, </w:t>
      </w:r>
      <w:hyperlink r:id="rId73">
        <w:r w:rsidRPr="001407FF">
          <w:rPr>
            <w:rFonts w:ascii="Cambria" w:hAnsi="Cambria"/>
            <w:i/>
            <w:color w:val="000000" w:themeColor="text1"/>
            <w:sz w:val="16"/>
            <w:szCs w:val="16"/>
            <w:u w:val="single"/>
          </w:rPr>
          <w:t>“Manuela Ramos entrega de caja de herramientas sobre la Educación Sexual Integral a docentes de San Juan de Miraflores”</w:t>
        </w:r>
      </w:hyperlink>
      <w:r w:rsidRPr="001407FF">
        <w:rPr>
          <w:rFonts w:ascii="Cambria" w:hAnsi="Cambria"/>
          <w:color w:val="000000" w:themeColor="text1"/>
          <w:sz w:val="16"/>
          <w:szCs w:val="16"/>
        </w:rPr>
        <w:t xml:space="preserve"> [Manuela Ramos delivers toolkit on Comprehensive Sexual Education to teachers of San Juan de Miraflores], June 5, 2023.</w:t>
      </w:r>
    </w:p>
  </w:endnote>
  <w:endnote w:id="124">
    <w:p w14:paraId="23FFBAF4" w14:textId="4A119CFE" w:rsidR="005928E0" w:rsidRDefault="005928E0" w:rsidP="00FD3B0C">
      <w:pPr>
        <w:pStyle w:val="EndnoteText"/>
        <w:ind w:left="630" w:hanging="630"/>
        <w:jc w:val="both"/>
      </w:pPr>
      <w:r w:rsidRPr="004E70A1">
        <w:rPr>
          <w:rStyle w:val="EndnoteReference"/>
          <w:sz w:val="16"/>
          <w:szCs w:val="16"/>
        </w:rPr>
        <w:endnoteRef/>
      </w:r>
      <w:r w:rsidR="004E70A1" w:rsidRPr="004E70A1">
        <w:rPr>
          <w:rFonts w:ascii="Cambria" w:hAnsi="Cambria"/>
          <w:color w:val="000000" w:themeColor="text1"/>
          <w:sz w:val="16"/>
          <w:szCs w:val="16"/>
        </w:rPr>
        <w:t>In May 2023,</w:t>
      </w:r>
      <w:r w:rsidR="004E70A1">
        <w:rPr>
          <w:rFonts w:ascii="Cambria" w:hAnsi="Cambria"/>
          <w:color w:val="000000" w:themeColor="text1"/>
          <w:sz w:val="16"/>
          <w:szCs w:val="16"/>
        </w:rPr>
        <w:t xml:space="preserve"> Ma</w:t>
      </w:r>
      <w:r w:rsidRPr="001407FF">
        <w:rPr>
          <w:rFonts w:ascii="Cambria" w:hAnsi="Cambria"/>
          <w:color w:val="000000" w:themeColor="text1"/>
          <w:sz w:val="16"/>
          <w:szCs w:val="16"/>
        </w:rPr>
        <w:t xml:space="preserve">nuela Ramos distributed the toolkit for implementing Comprehensive Sexual Education to 21 directors of 10 educational institutions in the District of San Juan de Miraflores. Press release Manuela Ramos, </w:t>
      </w:r>
      <w:hyperlink r:id="rId74">
        <w:r w:rsidRPr="001407FF">
          <w:rPr>
            <w:rFonts w:ascii="Cambria" w:hAnsi="Cambria"/>
            <w:i/>
            <w:color w:val="000000" w:themeColor="text1"/>
            <w:sz w:val="16"/>
            <w:szCs w:val="16"/>
            <w:u w:val="single"/>
          </w:rPr>
          <w:t>“Manuela Ramos entrega de caja de herramientas sobre la Educación Sexual Integral a docentes de San Juan de Miraflores”</w:t>
        </w:r>
      </w:hyperlink>
      <w:r w:rsidRPr="001407FF">
        <w:rPr>
          <w:rFonts w:ascii="Cambria" w:hAnsi="Cambria"/>
          <w:color w:val="000000" w:themeColor="text1"/>
          <w:sz w:val="16"/>
          <w:szCs w:val="16"/>
        </w:rPr>
        <w:t xml:space="preserve"> [Manuela Ramos delivers toolkit on Comprehensive Sexual Education to teachers of San Juan de Miraflores], June 5, 2023.</w:t>
      </w:r>
    </w:p>
  </w:endnote>
  <w:endnote w:id="125">
    <w:p w14:paraId="76C022C6" w14:textId="49586326" w:rsidR="00C14D98" w:rsidRDefault="00C14D98">
      <w:pPr>
        <w:pStyle w:val="EndnoteText"/>
      </w:pPr>
      <w:r>
        <w:rPr>
          <w:rStyle w:val="EndnoteReference"/>
        </w:rPr>
        <w:endnoteRef/>
      </w:r>
      <w:r>
        <w:t xml:space="preserve"> </w:t>
      </w:r>
      <w:r w:rsidRPr="001407FF">
        <w:rPr>
          <w:rFonts w:ascii="Cambria" w:hAnsi="Cambria"/>
          <w:color w:val="000000" w:themeColor="text1"/>
          <w:sz w:val="16"/>
          <w:szCs w:val="16"/>
        </w:rPr>
        <w:t xml:space="preserve">CEDAW Committee, </w:t>
      </w:r>
      <w:r w:rsidRPr="00C57EBC">
        <w:rPr>
          <w:rFonts w:ascii="Cambria" w:hAnsi="Cambria"/>
          <w:i/>
          <w:iCs/>
          <w:color w:val="000000" w:themeColor="text1"/>
          <w:sz w:val="16"/>
          <w:szCs w:val="16"/>
        </w:rPr>
        <w:t>L.C. v. Peru</w:t>
      </w:r>
      <w:r w:rsidRPr="001407FF">
        <w:rPr>
          <w:rFonts w:ascii="Cambria" w:hAnsi="Cambria"/>
          <w:color w:val="000000" w:themeColor="text1"/>
          <w:sz w:val="16"/>
          <w:szCs w:val="16"/>
        </w:rPr>
        <w:t>, Communication No. 22/2009, U.N. Doc. CEDAW/C/50/D/22/2009 (2011), ¶8,15.</w:t>
      </w:r>
    </w:p>
  </w:endnote>
  <w:endnote w:id="126">
    <w:p w14:paraId="536708A6" w14:textId="4E940D7A" w:rsidR="00C14D98" w:rsidRDefault="00C14D98">
      <w:pPr>
        <w:pStyle w:val="EndnoteText"/>
      </w:pPr>
      <w:r>
        <w:rPr>
          <w:rStyle w:val="EndnoteReference"/>
        </w:rPr>
        <w:endnoteRef/>
      </w:r>
      <w:r>
        <w:t xml:space="preserve"> </w:t>
      </w:r>
      <w:r w:rsidRPr="001407FF">
        <w:rPr>
          <w:rFonts w:ascii="Cambria" w:hAnsi="Cambria"/>
          <w:color w:val="000000" w:themeColor="text1"/>
          <w:sz w:val="16"/>
          <w:szCs w:val="16"/>
        </w:rPr>
        <w:t xml:space="preserve">Human Rights Committee, </w:t>
      </w:r>
      <w:r w:rsidRPr="00C57EBC">
        <w:rPr>
          <w:rFonts w:ascii="Cambria" w:hAnsi="Cambria"/>
          <w:i/>
          <w:iCs/>
          <w:color w:val="000000" w:themeColor="text1"/>
          <w:sz w:val="16"/>
          <w:szCs w:val="16"/>
        </w:rPr>
        <w:t>K.L. v. Peru</w:t>
      </w:r>
      <w:r w:rsidRPr="001407FF">
        <w:rPr>
          <w:rFonts w:ascii="Cambria" w:hAnsi="Cambria"/>
          <w:color w:val="000000" w:themeColor="text1"/>
          <w:sz w:val="16"/>
          <w:szCs w:val="16"/>
        </w:rPr>
        <w:t>. Communication No. 1153/2003, U.N. Doc. CCPR/ C/85/D/1153/2003 (2005)</w:t>
      </w:r>
      <w:r>
        <w:rPr>
          <w:rFonts w:ascii="Cambria" w:hAnsi="Cambria"/>
          <w:color w:val="000000" w:themeColor="text1"/>
          <w:sz w:val="16"/>
          <w:szCs w:val="16"/>
        </w:rPr>
        <w:t>.</w:t>
      </w:r>
    </w:p>
  </w:endnote>
  <w:endnote w:id="127">
    <w:p w14:paraId="7A625EE6" w14:textId="2C6C1DB0" w:rsidR="00C14D98" w:rsidRDefault="00C14D98" w:rsidP="004E70A1">
      <w:pPr>
        <w:pStyle w:val="EndnoteText"/>
        <w:ind w:left="630" w:hanging="630"/>
        <w:jc w:val="both"/>
      </w:pPr>
      <w:r>
        <w:rPr>
          <w:rStyle w:val="EndnoteReference"/>
        </w:rPr>
        <w:endnoteRef/>
      </w:r>
      <w:r>
        <w:t xml:space="preserve"> </w:t>
      </w:r>
      <w:r w:rsidRPr="001407FF">
        <w:rPr>
          <w:rFonts w:ascii="Cambria" w:hAnsi="Cambria"/>
          <w:color w:val="000000" w:themeColor="text1"/>
          <w:sz w:val="16"/>
          <w:szCs w:val="16"/>
        </w:rPr>
        <w:t xml:space="preserve">The Committee urged the Peruvian State </w:t>
      </w:r>
      <w:r w:rsidRPr="00C57EBC">
        <w:rPr>
          <w:rFonts w:ascii="Cambria" w:hAnsi="Cambria"/>
          <w:i/>
          <w:iCs/>
          <w:color w:val="000000" w:themeColor="text1"/>
          <w:sz w:val="16"/>
          <w:szCs w:val="16"/>
        </w:rPr>
        <w:t>“provide all children with appropriate and accessible education on sexual and reproductive health”</w:t>
      </w:r>
      <w:r w:rsidRPr="001407FF">
        <w:rPr>
          <w:rFonts w:ascii="Cambria" w:hAnsi="Cambria"/>
          <w:color w:val="000000" w:themeColor="text1"/>
          <w:sz w:val="16"/>
          <w:szCs w:val="16"/>
        </w:rPr>
        <w:t>. Committee on the Rights of the Child (CRC), Concerning Communication No. 136/2021, U</w:t>
      </w:r>
      <w:hyperlink r:id="rId75" w:history="1">
        <w:r w:rsidRPr="001407FF">
          <w:rPr>
            <w:rStyle w:val="Hyperlink"/>
            <w:rFonts w:ascii="Cambria" w:hAnsi="Cambria"/>
            <w:color w:val="000000" w:themeColor="text1"/>
            <w:sz w:val="16"/>
            <w:szCs w:val="16"/>
          </w:rPr>
          <w:t>.N. Doc. CRC/C/93/D/136/2021</w:t>
        </w:r>
      </w:hyperlink>
      <w:r w:rsidRPr="001407FF">
        <w:rPr>
          <w:rFonts w:ascii="Cambria" w:hAnsi="Cambria"/>
          <w:color w:val="000000" w:themeColor="text1"/>
          <w:sz w:val="16"/>
          <w:szCs w:val="16"/>
        </w:rPr>
        <w:t>,¶ 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C5C42C01-BE63-49EB-8189-61DF501B1036}"/>
    <w:embedBold r:id="rId2" w:fontKey="{289067F1-F50C-4F53-AA52-2C064F72501F}"/>
    <w:embedItalic r:id="rId3" w:fontKey="{C8850A01-A9B4-450B-9412-FEAA2E1567F5}"/>
    <w:embedBoldItalic r:id="rId4" w:fontKey="{BB92BFC1-98BE-497B-A9F4-0AF83A612A2F}"/>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5" w:fontKey="{D1B5EC85-13C1-4002-9681-B26D054A82FB}"/>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6" w:fontKey="{75EA278D-3B39-4784-ACA4-3A3E9AD3682B}"/>
    <w:embedBold r:id="rId7" w:fontKey="{15889596-DF18-4167-9674-626CF52747F9}"/>
    <w:embedItalic r:id="rId8" w:fontKey="{25ECCF33-39F3-4ED7-92D0-F35FBA184CE8}"/>
    <w:embedBoldItalic r:id="rId9" w:fontKey="{2A48D82A-C491-4CB4-AC2E-8F19FFBFFFF8}"/>
  </w:font>
  <w:font w:name="Aptos Display">
    <w:charset w:val="00"/>
    <w:family w:val="swiss"/>
    <w:pitch w:val="variable"/>
    <w:sig w:usb0="20000287" w:usb1="00000003" w:usb2="00000000" w:usb3="00000000" w:csb0="0000019F" w:csb1="00000000"/>
    <w:embedRegular r:id="rId10" w:fontKey="{9229000F-E61D-472B-89A6-994182DB2EA4}"/>
  </w:font>
  <w:font w:name="Calibri">
    <w:panose1 w:val="020F0502020204030204"/>
    <w:charset w:val="00"/>
    <w:family w:val="swiss"/>
    <w:pitch w:val="variable"/>
    <w:sig w:usb0="E4002EFF" w:usb1="C000247B" w:usb2="00000009" w:usb3="00000000" w:csb0="000001FF" w:csb1="00000000"/>
    <w:embedRegular r:id="rId11" w:fontKey="{FE0BDDE3-2D98-4A13-A3C3-9488B38F21A1}"/>
    <w:embedBold r:id="rId12" w:fontKey="{9B99F4E5-6BF4-4E03-9FDF-0284B015F275}"/>
    <w:embedItalic r:id="rId13" w:fontKey="{C86F99A6-FE99-4673-921F-8AD0E6348026}"/>
  </w:font>
  <w:font w:name="Segoe UI">
    <w:panose1 w:val="020B0502040204020203"/>
    <w:charset w:val="00"/>
    <w:family w:val="swiss"/>
    <w:pitch w:val="variable"/>
    <w:sig w:usb0="E4002EFF" w:usb1="C000E47F" w:usb2="00000009" w:usb3="00000000" w:csb0="000001FF" w:csb1="00000000"/>
    <w:embedRegular r:id="rId14" w:fontKey="{46559BB0-A080-42EF-B5C9-60EE0945F1F9}"/>
    <w:embedBold r:id="rId15" w:fontKey="{F1358ADD-18D8-45B1-B528-B4BA6C2C1C0A}"/>
    <w:embedItalic r:id="rId16" w:fontKey="{3AA1252B-ABDD-460B-8C57-B5F8F630AD98}"/>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9D945" w14:textId="77777777" w:rsidR="00A57892" w:rsidRDefault="00A57892">
      <w:r>
        <w:separator/>
      </w:r>
    </w:p>
  </w:footnote>
  <w:footnote w:type="continuationSeparator" w:id="0">
    <w:p w14:paraId="37747FC9" w14:textId="77777777" w:rsidR="00A57892" w:rsidRDefault="00A578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224FE" w14:textId="77777777" w:rsidR="005861DD" w:rsidRDefault="005861DD" w:rsidP="005861DD">
    <w:pPr>
      <w:pStyle w:val="Header"/>
      <w:jc w:val="right"/>
    </w:pPr>
    <w:r w:rsidRPr="00B30335">
      <w:rPr>
        <w:rFonts w:ascii="Calibri" w:eastAsia="Calibri" w:hAnsi="Calibri"/>
        <w:noProof/>
        <w:lang w:val="es-PE"/>
      </w:rPr>
      <w:drawing>
        <wp:anchor distT="0" distB="0" distL="114300" distR="114300" simplePos="0" relativeHeight="251659264" behindDoc="0" locked="0" layoutInCell="1" allowOverlap="1" wp14:anchorId="49A218B6" wp14:editId="6A9AE24B">
          <wp:simplePos x="0" y="0"/>
          <wp:positionH relativeFrom="margin">
            <wp:posOffset>-7034</wp:posOffset>
          </wp:positionH>
          <wp:positionV relativeFrom="paragraph">
            <wp:posOffset>169789</wp:posOffset>
          </wp:positionV>
          <wp:extent cx="1495425" cy="466725"/>
          <wp:effectExtent l="0" t="0" r="9525" b="9525"/>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4667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2E851D4" wp14:editId="35981226">
          <wp:extent cx="2092569" cy="676221"/>
          <wp:effectExtent l="0" t="0" r="3175" b="0"/>
          <wp:docPr id="2" name="image1.jpg" descr="A yellow sign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jpg" descr="A yellow sign with black text&#10;&#10;Description automatically generated"/>
                  <pic:cNvPicPr preferRelativeResize="0"/>
                </pic:nvPicPr>
                <pic:blipFill>
                  <a:blip r:embed="rId2"/>
                  <a:srcRect/>
                  <a:stretch>
                    <a:fillRect/>
                  </a:stretch>
                </pic:blipFill>
                <pic:spPr>
                  <a:xfrm>
                    <a:off x="0" y="0"/>
                    <a:ext cx="2144614" cy="693039"/>
                  </a:xfrm>
                  <a:prstGeom prst="rect">
                    <a:avLst/>
                  </a:prstGeom>
                  <a:ln/>
                </pic:spPr>
              </pic:pic>
            </a:graphicData>
          </a:graphic>
        </wp:inline>
      </w:drawing>
    </w:r>
  </w:p>
  <w:p w14:paraId="432C03A9" w14:textId="30BD4879" w:rsidR="00087DB2" w:rsidRDefault="00087D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F11D4"/>
    <w:multiLevelType w:val="multilevel"/>
    <w:tmpl w:val="5F72EE3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1328A7"/>
    <w:multiLevelType w:val="multilevel"/>
    <w:tmpl w:val="814E0F7E"/>
    <w:lvl w:ilvl="0">
      <w:start w:val="1"/>
      <w:numFmt w:val="lowerLetter"/>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2" w15:restartNumberingAfterBreak="0">
    <w:nsid w:val="0A272F62"/>
    <w:multiLevelType w:val="multilevel"/>
    <w:tmpl w:val="FAD0ADD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AD82769"/>
    <w:multiLevelType w:val="multilevel"/>
    <w:tmpl w:val="2B3E40EC"/>
    <w:lvl w:ilvl="0">
      <w:start w:val="1"/>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3D2079"/>
    <w:multiLevelType w:val="multilevel"/>
    <w:tmpl w:val="E0F81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3A68CA"/>
    <w:multiLevelType w:val="multilevel"/>
    <w:tmpl w:val="9828AB5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BF0550"/>
    <w:multiLevelType w:val="multilevel"/>
    <w:tmpl w:val="0D3C38E4"/>
    <w:lvl w:ilvl="0">
      <w:start w:val="1"/>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6950B40"/>
    <w:multiLevelType w:val="hybridMultilevel"/>
    <w:tmpl w:val="77BABE08"/>
    <w:lvl w:ilvl="0" w:tplc="AFF24514">
      <w:numFmt w:val="bullet"/>
      <w:lvlText w:val="-"/>
      <w:lvlJc w:val="left"/>
      <w:pPr>
        <w:ind w:left="1440" w:hanging="360"/>
      </w:pPr>
      <w:rPr>
        <w:rFonts w:ascii="Cambria" w:eastAsia="Cambria" w:hAnsi="Cambria" w:cs="Cambria"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90D2FF0"/>
    <w:multiLevelType w:val="multilevel"/>
    <w:tmpl w:val="704C98F0"/>
    <w:lvl w:ilvl="0">
      <w:start w:val="29"/>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B5C4AC0"/>
    <w:multiLevelType w:val="multilevel"/>
    <w:tmpl w:val="E0F81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F3B4AC9"/>
    <w:multiLevelType w:val="multilevel"/>
    <w:tmpl w:val="7B0E41B4"/>
    <w:lvl w:ilvl="0">
      <w:start w:val="3"/>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11D1EEC"/>
    <w:multiLevelType w:val="multilevel"/>
    <w:tmpl w:val="F89CFD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36C1DDD"/>
    <w:multiLevelType w:val="multilevel"/>
    <w:tmpl w:val="CFF812B6"/>
    <w:lvl w:ilvl="0">
      <w:start w:val="1"/>
      <w:numFmt w:val="lowerLetter"/>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3" w15:restartNumberingAfterBreak="0">
    <w:nsid w:val="23774E64"/>
    <w:multiLevelType w:val="multilevel"/>
    <w:tmpl w:val="3A6C8E04"/>
    <w:lvl w:ilvl="0">
      <w:start w:val="29"/>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56F3EEB"/>
    <w:multiLevelType w:val="multilevel"/>
    <w:tmpl w:val="22741FA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2A2D36D4"/>
    <w:multiLevelType w:val="multilevel"/>
    <w:tmpl w:val="69B81A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FAA4A35"/>
    <w:multiLevelType w:val="multilevel"/>
    <w:tmpl w:val="43EE61AA"/>
    <w:lvl w:ilvl="0">
      <w:start w:val="1"/>
      <w:numFmt w:val="upperRoman"/>
      <w:lvlText w:val="%1."/>
      <w:lvlJc w:val="left"/>
      <w:pPr>
        <w:ind w:left="1080" w:hanging="720"/>
      </w:pPr>
    </w:lvl>
    <w:lvl w:ilvl="1">
      <w:start w:val="1"/>
      <w:numFmt w:val="decimal"/>
      <w:lvlText w:val="%1.%2."/>
      <w:lvlJc w:val="left"/>
      <w:pPr>
        <w:ind w:left="1080" w:hanging="720"/>
      </w:pPr>
    </w:lvl>
    <w:lvl w:ilvl="2">
      <w:start w:val="1"/>
      <w:numFmt w:val="upperLetter"/>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7" w15:restartNumberingAfterBreak="0">
    <w:nsid w:val="37352CB5"/>
    <w:multiLevelType w:val="multilevel"/>
    <w:tmpl w:val="B680FAE2"/>
    <w:lvl w:ilvl="0">
      <w:start w:val="1"/>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84D168C"/>
    <w:multiLevelType w:val="hybridMultilevel"/>
    <w:tmpl w:val="39361DB4"/>
    <w:lvl w:ilvl="0" w:tplc="0152E760">
      <w:start w:val="1"/>
      <w:numFmt w:val="decimal"/>
      <w:lvlText w:val="%1."/>
      <w:lvlJc w:val="lef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EF7AB1"/>
    <w:multiLevelType w:val="multilevel"/>
    <w:tmpl w:val="8018ADE6"/>
    <w:lvl w:ilvl="0">
      <w:start w:val="1"/>
      <w:numFmt w:val="lowerLetter"/>
      <w:lvlText w:val="%1)"/>
      <w:lvlJc w:val="left"/>
      <w:pPr>
        <w:ind w:left="1440" w:hanging="360"/>
      </w:pPr>
      <w:rPr>
        <w:strike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3E811E8B"/>
    <w:multiLevelType w:val="multilevel"/>
    <w:tmpl w:val="FD76623A"/>
    <w:lvl w:ilvl="0">
      <w:start w:val="1"/>
      <w:numFmt w:val="decimal"/>
      <w:lvlText w:val="%1."/>
      <w:lvlJc w:val="left"/>
      <w:pPr>
        <w:ind w:left="720" w:hanging="360"/>
      </w:pPr>
      <w:rPr>
        <w:b w:val="0"/>
        <w:i w:val="0"/>
        <w:color w:val="000000"/>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3FE20965"/>
    <w:multiLevelType w:val="hybridMultilevel"/>
    <w:tmpl w:val="4E2EBD8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02F03A9"/>
    <w:multiLevelType w:val="multilevel"/>
    <w:tmpl w:val="158ABE96"/>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04A13AA"/>
    <w:multiLevelType w:val="multilevel"/>
    <w:tmpl w:val="0930E5E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15:restartNumberingAfterBreak="0">
    <w:nsid w:val="41970531"/>
    <w:multiLevelType w:val="multilevel"/>
    <w:tmpl w:val="8FA8A898"/>
    <w:lvl w:ilvl="0">
      <w:start w:val="1"/>
      <w:numFmt w:val="upperRoman"/>
      <w:lvlText w:val="%1."/>
      <w:lvlJc w:val="left"/>
      <w:pPr>
        <w:ind w:left="1080" w:hanging="720"/>
      </w:pPr>
    </w:lvl>
    <w:lvl w:ilvl="1">
      <w:start w:val="1"/>
      <w:numFmt w:val="decimal"/>
      <w:lvlText w:val="%1.%2."/>
      <w:lvlJc w:val="left"/>
      <w:pPr>
        <w:ind w:left="1080" w:hanging="720"/>
      </w:pPr>
    </w:lvl>
    <w:lvl w:ilvl="2">
      <w:start w:val="1"/>
      <w:numFmt w:val="upperLetter"/>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5" w15:restartNumberingAfterBreak="0">
    <w:nsid w:val="4D8B0B96"/>
    <w:multiLevelType w:val="multilevel"/>
    <w:tmpl w:val="3064DD88"/>
    <w:lvl w:ilvl="0">
      <w:start w:val="1"/>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935118E"/>
    <w:multiLevelType w:val="hybridMultilevel"/>
    <w:tmpl w:val="721E5A78"/>
    <w:lvl w:ilvl="0" w:tplc="7604D8AA">
      <w:start w:val="2"/>
      <w:numFmt w:val="bullet"/>
      <w:lvlText w:val="-"/>
      <w:lvlJc w:val="left"/>
      <w:pPr>
        <w:ind w:left="720" w:hanging="360"/>
      </w:pPr>
      <w:rPr>
        <w:rFonts w:ascii="Cambria" w:eastAsia="Aptos" w:hAnsi="Cambria" w:cs="Apto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1916FF"/>
    <w:multiLevelType w:val="hybridMultilevel"/>
    <w:tmpl w:val="B6F674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3D25B4"/>
    <w:multiLevelType w:val="multilevel"/>
    <w:tmpl w:val="5424707E"/>
    <w:lvl w:ilvl="0">
      <w:start w:val="3"/>
      <w:numFmt w:val="bullet"/>
      <w:lvlText w:val="-"/>
      <w:lvlJc w:val="left"/>
      <w:pPr>
        <w:ind w:left="720" w:hanging="360"/>
      </w:pPr>
      <w:rPr>
        <w:rFonts w:ascii="Cambria" w:eastAsia="Cambria" w:hAnsi="Cambria" w:cs="Cambri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5995C80"/>
    <w:multiLevelType w:val="multilevel"/>
    <w:tmpl w:val="C3B483F4"/>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30" w15:restartNumberingAfterBreak="0">
    <w:nsid w:val="69C86106"/>
    <w:multiLevelType w:val="multilevel"/>
    <w:tmpl w:val="DC3EBFE6"/>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3CD6160"/>
    <w:multiLevelType w:val="multilevel"/>
    <w:tmpl w:val="B4941C2E"/>
    <w:lvl w:ilvl="0">
      <w:start w:val="3"/>
      <w:numFmt w:val="bullet"/>
      <w:lvlText w:val="-"/>
      <w:lvlJc w:val="left"/>
      <w:pPr>
        <w:ind w:left="720" w:hanging="360"/>
      </w:pPr>
      <w:rPr>
        <w:rFonts w:ascii="Cambria" w:eastAsia="Cambria" w:hAnsi="Cambria" w:cs="Cambri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46941215">
    <w:abstractNumId w:val="24"/>
  </w:num>
  <w:num w:numId="2" w16cid:durableId="1254584873">
    <w:abstractNumId w:val="25"/>
  </w:num>
  <w:num w:numId="3" w16cid:durableId="1803964881">
    <w:abstractNumId w:val="13"/>
  </w:num>
  <w:num w:numId="4" w16cid:durableId="145979993">
    <w:abstractNumId w:val="1"/>
  </w:num>
  <w:num w:numId="5" w16cid:durableId="1758206115">
    <w:abstractNumId w:val="17"/>
  </w:num>
  <w:num w:numId="6" w16cid:durableId="675225616">
    <w:abstractNumId w:val="29"/>
  </w:num>
  <w:num w:numId="7" w16cid:durableId="399207948">
    <w:abstractNumId w:val="23"/>
  </w:num>
  <w:num w:numId="8" w16cid:durableId="1588228423">
    <w:abstractNumId w:val="2"/>
  </w:num>
  <w:num w:numId="9" w16cid:durableId="1510678976">
    <w:abstractNumId w:val="4"/>
  </w:num>
  <w:num w:numId="10" w16cid:durableId="1080054385">
    <w:abstractNumId w:val="15"/>
  </w:num>
  <w:num w:numId="11" w16cid:durableId="1592818086">
    <w:abstractNumId w:val="22"/>
  </w:num>
  <w:num w:numId="12" w16cid:durableId="154154084">
    <w:abstractNumId w:val="0"/>
  </w:num>
  <w:num w:numId="13" w16cid:durableId="431247426">
    <w:abstractNumId w:val="18"/>
  </w:num>
  <w:num w:numId="14" w16cid:durableId="1608852498">
    <w:abstractNumId w:val="16"/>
  </w:num>
  <w:num w:numId="15" w16cid:durableId="1934390276">
    <w:abstractNumId w:val="3"/>
  </w:num>
  <w:num w:numId="16" w16cid:durableId="126314187">
    <w:abstractNumId w:val="8"/>
  </w:num>
  <w:num w:numId="17" w16cid:durableId="175852926">
    <w:abstractNumId w:val="12"/>
  </w:num>
  <w:num w:numId="18" w16cid:durableId="1262105765">
    <w:abstractNumId w:val="6"/>
  </w:num>
  <w:num w:numId="19" w16cid:durableId="64689747">
    <w:abstractNumId w:val="19"/>
  </w:num>
  <w:num w:numId="20" w16cid:durableId="1960063569">
    <w:abstractNumId w:val="14"/>
  </w:num>
  <w:num w:numId="21" w16cid:durableId="1829127066">
    <w:abstractNumId w:val="11"/>
  </w:num>
  <w:num w:numId="22" w16cid:durableId="974603719">
    <w:abstractNumId w:val="5"/>
  </w:num>
  <w:num w:numId="23" w16cid:durableId="706493229">
    <w:abstractNumId w:val="20"/>
  </w:num>
  <w:num w:numId="24" w16cid:durableId="1111048385">
    <w:abstractNumId w:val="31"/>
  </w:num>
  <w:num w:numId="25" w16cid:durableId="1811366402">
    <w:abstractNumId w:val="30"/>
  </w:num>
  <w:num w:numId="26" w16cid:durableId="170145678">
    <w:abstractNumId w:val="28"/>
  </w:num>
  <w:num w:numId="27" w16cid:durableId="1612518748">
    <w:abstractNumId w:val="7"/>
  </w:num>
  <w:num w:numId="28" w16cid:durableId="1775783699">
    <w:abstractNumId w:val="27"/>
  </w:num>
  <w:num w:numId="29" w16cid:durableId="548153863">
    <w:abstractNumId w:val="10"/>
  </w:num>
  <w:num w:numId="30" w16cid:durableId="1960650338">
    <w:abstractNumId w:val="9"/>
  </w:num>
  <w:num w:numId="31" w16cid:durableId="382367466">
    <w:abstractNumId w:val="21"/>
  </w:num>
  <w:num w:numId="32" w16cid:durableId="3387763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420"/>
    <w:rsid w:val="000129E6"/>
    <w:rsid w:val="00040141"/>
    <w:rsid w:val="00040978"/>
    <w:rsid w:val="000534B5"/>
    <w:rsid w:val="00087DB2"/>
    <w:rsid w:val="00090677"/>
    <w:rsid w:val="000941A7"/>
    <w:rsid w:val="000C0984"/>
    <w:rsid w:val="000C1886"/>
    <w:rsid w:val="000C30D6"/>
    <w:rsid w:val="000D0C02"/>
    <w:rsid w:val="000E37E8"/>
    <w:rsid w:val="001407FF"/>
    <w:rsid w:val="0015217C"/>
    <w:rsid w:val="00164D5F"/>
    <w:rsid w:val="001843B6"/>
    <w:rsid w:val="00191DE9"/>
    <w:rsid w:val="00194A49"/>
    <w:rsid w:val="001A393F"/>
    <w:rsid w:val="001B30A2"/>
    <w:rsid w:val="001E5320"/>
    <w:rsid w:val="00201B71"/>
    <w:rsid w:val="00210ADA"/>
    <w:rsid w:val="00217CC0"/>
    <w:rsid w:val="0022553B"/>
    <w:rsid w:val="00234274"/>
    <w:rsid w:val="00235B49"/>
    <w:rsid w:val="00253BEA"/>
    <w:rsid w:val="00263B1A"/>
    <w:rsid w:val="00286FE7"/>
    <w:rsid w:val="00294CCD"/>
    <w:rsid w:val="00297965"/>
    <w:rsid w:val="002A55A8"/>
    <w:rsid w:val="002D6FC9"/>
    <w:rsid w:val="002E4F77"/>
    <w:rsid w:val="0030049D"/>
    <w:rsid w:val="00304C9B"/>
    <w:rsid w:val="003173A5"/>
    <w:rsid w:val="00331E5D"/>
    <w:rsid w:val="00333AC0"/>
    <w:rsid w:val="00347790"/>
    <w:rsid w:val="003501E1"/>
    <w:rsid w:val="003739BF"/>
    <w:rsid w:val="00390B06"/>
    <w:rsid w:val="00393729"/>
    <w:rsid w:val="003B3AC1"/>
    <w:rsid w:val="003D4632"/>
    <w:rsid w:val="003E3F7E"/>
    <w:rsid w:val="0040202F"/>
    <w:rsid w:val="004133C7"/>
    <w:rsid w:val="00430BA9"/>
    <w:rsid w:val="00460EE2"/>
    <w:rsid w:val="004A02EA"/>
    <w:rsid w:val="004D6A59"/>
    <w:rsid w:val="004E70A1"/>
    <w:rsid w:val="004F1F95"/>
    <w:rsid w:val="004F54AA"/>
    <w:rsid w:val="00505E5A"/>
    <w:rsid w:val="005138DF"/>
    <w:rsid w:val="00546420"/>
    <w:rsid w:val="005506C9"/>
    <w:rsid w:val="00571B5C"/>
    <w:rsid w:val="00574805"/>
    <w:rsid w:val="005861DD"/>
    <w:rsid w:val="005928E0"/>
    <w:rsid w:val="005B6AAE"/>
    <w:rsid w:val="005C3323"/>
    <w:rsid w:val="005C3CF8"/>
    <w:rsid w:val="005E5DA5"/>
    <w:rsid w:val="005F2A75"/>
    <w:rsid w:val="006350EB"/>
    <w:rsid w:val="006430C7"/>
    <w:rsid w:val="00672892"/>
    <w:rsid w:val="00673DC5"/>
    <w:rsid w:val="00687206"/>
    <w:rsid w:val="006B1DE2"/>
    <w:rsid w:val="006B32F8"/>
    <w:rsid w:val="006B53DA"/>
    <w:rsid w:val="006C0507"/>
    <w:rsid w:val="006D3058"/>
    <w:rsid w:val="006E4002"/>
    <w:rsid w:val="006F0759"/>
    <w:rsid w:val="00732EE4"/>
    <w:rsid w:val="0076577F"/>
    <w:rsid w:val="007768A9"/>
    <w:rsid w:val="007771A1"/>
    <w:rsid w:val="00777A35"/>
    <w:rsid w:val="00791D2F"/>
    <w:rsid w:val="007A61BA"/>
    <w:rsid w:val="007D35F0"/>
    <w:rsid w:val="007E68BC"/>
    <w:rsid w:val="007F3B43"/>
    <w:rsid w:val="008039D0"/>
    <w:rsid w:val="00813732"/>
    <w:rsid w:val="00850554"/>
    <w:rsid w:val="008711C1"/>
    <w:rsid w:val="0087148F"/>
    <w:rsid w:val="00875BB3"/>
    <w:rsid w:val="008B7A6D"/>
    <w:rsid w:val="008C46EC"/>
    <w:rsid w:val="008C762C"/>
    <w:rsid w:val="008D44A5"/>
    <w:rsid w:val="008E0A70"/>
    <w:rsid w:val="00920DFE"/>
    <w:rsid w:val="00925BE0"/>
    <w:rsid w:val="009315FB"/>
    <w:rsid w:val="00941014"/>
    <w:rsid w:val="009434AB"/>
    <w:rsid w:val="00954DDC"/>
    <w:rsid w:val="00997747"/>
    <w:rsid w:val="009A59CB"/>
    <w:rsid w:val="009B673A"/>
    <w:rsid w:val="009C11F9"/>
    <w:rsid w:val="009C1499"/>
    <w:rsid w:val="009D7527"/>
    <w:rsid w:val="00A128B1"/>
    <w:rsid w:val="00A57892"/>
    <w:rsid w:val="00A6787C"/>
    <w:rsid w:val="00A7252D"/>
    <w:rsid w:val="00A9194E"/>
    <w:rsid w:val="00AB238F"/>
    <w:rsid w:val="00AB56B5"/>
    <w:rsid w:val="00AE2B76"/>
    <w:rsid w:val="00B02378"/>
    <w:rsid w:val="00B1199E"/>
    <w:rsid w:val="00B61D4B"/>
    <w:rsid w:val="00B712C8"/>
    <w:rsid w:val="00B83247"/>
    <w:rsid w:val="00B83E9C"/>
    <w:rsid w:val="00BA6CC8"/>
    <w:rsid w:val="00C11B51"/>
    <w:rsid w:val="00C14D98"/>
    <w:rsid w:val="00C17A87"/>
    <w:rsid w:val="00C27BC0"/>
    <w:rsid w:val="00C57EBC"/>
    <w:rsid w:val="00C7180F"/>
    <w:rsid w:val="00C90213"/>
    <w:rsid w:val="00C93E48"/>
    <w:rsid w:val="00CC78F6"/>
    <w:rsid w:val="00CE24FA"/>
    <w:rsid w:val="00CF53E8"/>
    <w:rsid w:val="00D42D33"/>
    <w:rsid w:val="00D55207"/>
    <w:rsid w:val="00D70615"/>
    <w:rsid w:val="00D77B19"/>
    <w:rsid w:val="00D838E3"/>
    <w:rsid w:val="00DA3330"/>
    <w:rsid w:val="00DB0061"/>
    <w:rsid w:val="00DB4F16"/>
    <w:rsid w:val="00DC15EC"/>
    <w:rsid w:val="00DC451F"/>
    <w:rsid w:val="00DF5862"/>
    <w:rsid w:val="00E019B3"/>
    <w:rsid w:val="00E21A0C"/>
    <w:rsid w:val="00E34588"/>
    <w:rsid w:val="00E767F4"/>
    <w:rsid w:val="00E86CA7"/>
    <w:rsid w:val="00EA42B4"/>
    <w:rsid w:val="00EC70ED"/>
    <w:rsid w:val="00EE2CAC"/>
    <w:rsid w:val="00F100FD"/>
    <w:rsid w:val="00F164C9"/>
    <w:rsid w:val="00F3785B"/>
    <w:rsid w:val="00F50617"/>
    <w:rsid w:val="00F5220E"/>
    <w:rsid w:val="00F607D8"/>
    <w:rsid w:val="00F938E6"/>
    <w:rsid w:val="00F94C4D"/>
    <w:rsid w:val="00FA0864"/>
    <w:rsid w:val="00FA08F4"/>
    <w:rsid w:val="00FA3824"/>
    <w:rsid w:val="00FA6E10"/>
    <w:rsid w:val="00FB0761"/>
    <w:rsid w:val="00FB3EC5"/>
    <w:rsid w:val="00FB6E1A"/>
    <w:rsid w:val="00FD27D1"/>
    <w:rsid w:val="00FD3B0C"/>
    <w:rsid w:val="00FE4D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334F0"/>
  <w15:docId w15:val="{31DC383C-F333-774B-9277-FFE0B3A7F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s-P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DDC"/>
    <w:rPr>
      <w:rFonts w:ascii="Times New Roman" w:eastAsia="Times New Roman" w:hAnsi="Times New Roman" w:cs="Times New Roman"/>
      <w:lang w:val="en-US"/>
    </w:rPr>
  </w:style>
  <w:style w:type="paragraph" w:styleId="Heading1">
    <w:name w:val="heading 1"/>
    <w:basedOn w:val="Normal"/>
    <w:next w:val="Normal"/>
    <w:link w:val="Heading1Char"/>
    <w:uiPriority w:val="9"/>
    <w:qFormat/>
    <w:rsid w:val="00CF1F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1F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F1F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1F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1F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1F1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1F1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F1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F1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F1F19"/>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F1F19"/>
    <w:rPr>
      <w:rFonts w:asciiTheme="majorHAnsi" w:eastAsiaTheme="majorEastAsia" w:hAnsiTheme="majorHAnsi" w:cstheme="majorBidi"/>
      <w:color w:val="0F4761" w:themeColor="accent1" w:themeShade="BF"/>
      <w:sz w:val="40"/>
      <w:szCs w:val="40"/>
      <w:lang w:val="es-ES"/>
    </w:rPr>
  </w:style>
  <w:style w:type="character" w:customStyle="1" w:styleId="Heading2Char">
    <w:name w:val="Heading 2 Char"/>
    <w:basedOn w:val="DefaultParagraphFont"/>
    <w:link w:val="Heading2"/>
    <w:uiPriority w:val="9"/>
    <w:semiHidden/>
    <w:rsid w:val="00CF1F19"/>
    <w:rPr>
      <w:rFonts w:asciiTheme="majorHAnsi" w:eastAsiaTheme="majorEastAsia" w:hAnsiTheme="majorHAnsi" w:cstheme="majorBidi"/>
      <w:color w:val="0F4761" w:themeColor="accent1" w:themeShade="BF"/>
      <w:sz w:val="32"/>
      <w:szCs w:val="32"/>
      <w:lang w:val="es-ES"/>
    </w:rPr>
  </w:style>
  <w:style w:type="character" w:customStyle="1" w:styleId="Heading3Char">
    <w:name w:val="Heading 3 Char"/>
    <w:basedOn w:val="DefaultParagraphFont"/>
    <w:link w:val="Heading3"/>
    <w:uiPriority w:val="9"/>
    <w:rsid w:val="00CF1F19"/>
    <w:rPr>
      <w:rFonts w:eastAsiaTheme="majorEastAsia" w:cstheme="majorBidi"/>
      <w:color w:val="0F4761" w:themeColor="accent1" w:themeShade="BF"/>
      <w:sz w:val="28"/>
      <w:szCs w:val="28"/>
      <w:lang w:val="es-ES"/>
    </w:rPr>
  </w:style>
  <w:style w:type="character" w:customStyle="1" w:styleId="Heading4Char">
    <w:name w:val="Heading 4 Char"/>
    <w:basedOn w:val="DefaultParagraphFont"/>
    <w:link w:val="Heading4"/>
    <w:uiPriority w:val="9"/>
    <w:semiHidden/>
    <w:rsid w:val="00CF1F19"/>
    <w:rPr>
      <w:rFonts w:eastAsiaTheme="majorEastAsia" w:cstheme="majorBidi"/>
      <w:i/>
      <w:iCs/>
      <w:color w:val="0F4761" w:themeColor="accent1" w:themeShade="BF"/>
      <w:lang w:val="es-ES"/>
    </w:rPr>
  </w:style>
  <w:style w:type="character" w:customStyle="1" w:styleId="Heading5Char">
    <w:name w:val="Heading 5 Char"/>
    <w:basedOn w:val="DefaultParagraphFont"/>
    <w:link w:val="Heading5"/>
    <w:uiPriority w:val="9"/>
    <w:semiHidden/>
    <w:rsid w:val="00CF1F19"/>
    <w:rPr>
      <w:rFonts w:eastAsiaTheme="majorEastAsia" w:cstheme="majorBidi"/>
      <w:color w:val="0F4761" w:themeColor="accent1" w:themeShade="BF"/>
      <w:lang w:val="es-ES"/>
    </w:rPr>
  </w:style>
  <w:style w:type="character" w:customStyle="1" w:styleId="Heading6Char">
    <w:name w:val="Heading 6 Char"/>
    <w:basedOn w:val="DefaultParagraphFont"/>
    <w:link w:val="Heading6"/>
    <w:uiPriority w:val="9"/>
    <w:semiHidden/>
    <w:rsid w:val="00CF1F19"/>
    <w:rPr>
      <w:rFonts w:eastAsiaTheme="majorEastAsia" w:cstheme="majorBidi"/>
      <w:i/>
      <w:iCs/>
      <w:color w:val="595959" w:themeColor="text1" w:themeTint="A6"/>
      <w:lang w:val="es-ES"/>
    </w:rPr>
  </w:style>
  <w:style w:type="character" w:customStyle="1" w:styleId="Heading7Char">
    <w:name w:val="Heading 7 Char"/>
    <w:basedOn w:val="DefaultParagraphFont"/>
    <w:link w:val="Heading7"/>
    <w:uiPriority w:val="9"/>
    <w:semiHidden/>
    <w:rsid w:val="00CF1F19"/>
    <w:rPr>
      <w:rFonts w:eastAsiaTheme="majorEastAsia" w:cstheme="majorBidi"/>
      <w:color w:val="595959" w:themeColor="text1" w:themeTint="A6"/>
      <w:lang w:val="es-ES"/>
    </w:rPr>
  </w:style>
  <w:style w:type="character" w:customStyle="1" w:styleId="Heading8Char">
    <w:name w:val="Heading 8 Char"/>
    <w:basedOn w:val="DefaultParagraphFont"/>
    <w:link w:val="Heading8"/>
    <w:uiPriority w:val="9"/>
    <w:semiHidden/>
    <w:rsid w:val="00CF1F19"/>
    <w:rPr>
      <w:rFonts w:eastAsiaTheme="majorEastAsia" w:cstheme="majorBidi"/>
      <w:i/>
      <w:iCs/>
      <w:color w:val="272727" w:themeColor="text1" w:themeTint="D8"/>
      <w:lang w:val="es-ES"/>
    </w:rPr>
  </w:style>
  <w:style w:type="character" w:customStyle="1" w:styleId="Heading9Char">
    <w:name w:val="Heading 9 Char"/>
    <w:basedOn w:val="DefaultParagraphFont"/>
    <w:link w:val="Heading9"/>
    <w:uiPriority w:val="9"/>
    <w:semiHidden/>
    <w:rsid w:val="00CF1F19"/>
    <w:rPr>
      <w:rFonts w:eastAsiaTheme="majorEastAsia" w:cstheme="majorBidi"/>
      <w:color w:val="272727" w:themeColor="text1" w:themeTint="D8"/>
      <w:lang w:val="es-ES"/>
    </w:rPr>
  </w:style>
  <w:style w:type="character" w:customStyle="1" w:styleId="TitleChar">
    <w:name w:val="Title Char"/>
    <w:basedOn w:val="DefaultParagraphFont"/>
    <w:link w:val="Title"/>
    <w:uiPriority w:val="10"/>
    <w:rsid w:val="00CF1F19"/>
    <w:rPr>
      <w:rFonts w:asciiTheme="majorHAnsi" w:eastAsiaTheme="majorEastAsia" w:hAnsiTheme="majorHAnsi" w:cstheme="majorBidi"/>
      <w:spacing w:val="-10"/>
      <w:kern w:val="28"/>
      <w:sz w:val="56"/>
      <w:szCs w:val="56"/>
      <w:lang w:val="es-ES"/>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CF1F19"/>
    <w:rPr>
      <w:rFonts w:eastAsiaTheme="majorEastAsia" w:cstheme="majorBidi"/>
      <w:color w:val="595959" w:themeColor="text1" w:themeTint="A6"/>
      <w:spacing w:val="15"/>
      <w:sz w:val="28"/>
      <w:szCs w:val="28"/>
      <w:lang w:val="es-ES"/>
    </w:rPr>
  </w:style>
  <w:style w:type="paragraph" w:styleId="Quote">
    <w:name w:val="Quote"/>
    <w:basedOn w:val="Normal"/>
    <w:next w:val="Normal"/>
    <w:link w:val="QuoteChar"/>
    <w:uiPriority w:val="29"/>
    <w:qFormat/>
    <w:rsid w:val="00CF1F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F1F19"/>
    <w:rPr>
      <w:i/>
      <w:iCs/>
      <w:color w:val="404040" w:themeColor="text1" w:themeTint="BF"/>
      <w:lang w:val="es-ES"/>
    </w:rPr>
  </w:style>
  <w:style w:type="paragraph" w:styleId="ListParagraph">
    <w:name w:val="List Paragraph"/>
    <w:aliases w:val="Párrafo de lista1,List Paragraph2,Lista vistosa - Énfasis 11,List Paragraph1,List Paragraph11,List 100s,Fundamentacion,paul2,Bulleted List,Lista 123,Viñeta normal,Cuadro 2-1,Párrafo de lista2,NIVEL ONE,Párrafo de lista3,Titulo 1,Dot pt"/>
    <w:basedOn w:val="Normal"/>
    <w:link w:val="ListParagraphChar"/>
    <w:uiPriority w:val="34"/>
    <w:qFormat/>
    <w:rsid w:val="00CF1F19"/>
    <w:pPr>
      <w:ind w:left="720"/>
      <w:contextualSpacing/>
    </w:pPr>
  </w:style>
  <w:style w:type="character" w:styleId="IntenseEmphasis">
    <w:name w:val="Intense Emphasis"/>
    <w:basedOn w:val="DefaultParagraphFont"/>
    <w:uiPriority w:val="21"/>
    <w:qFormat/>
    <w:rsid w:val="00CF1F19"/>
    <w:rPr>
      <w:i/>
      <w:iCs/>
      <w:color w:val="0F4761" w:themeColor="accent1" w:themeShade="BF"/>
    </w:rPr>
  </w:style>
  <w:style w:type="paragraph" w:styleId="IntenseQuote">
    <w:name w:val="Intense Quote"/>
    <w:basedOn w:val="Normal"/>
    <w:next w:val="Normal"/>
    <w:link w:val="IntenseQuoteChar"/>
    <w:uiPriority w:val="30"/>
    <w:qFormat/>
    <w:rsid w:val="00CF1F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1F19"/>
    <w:rPr>
      <w:i/>
      <w:iCs/>
      <w:color w:val="0F4761" w:themeColor="accent1" w:themeShade="BF"/>
      <w:lang w:val="es-ES"/>
    </w:rPr>
  </w:style>
  <w:style w:type="character" w:styleId="IntenseReference">
    <w:name w:val="Intense Reference"/>
    <w:basedOn w:val="DefaultParagraphFont"/>
    <w:uiPriority w:val="32"/>
    <w:qFormat/>
    <w:rsid w:val="00CF1F19"/>
    <w:rPr>
      <w:b/>
      <w:bCs/>
      <w:smallCaps/>
      <w:color w:val="0F4761" w:themeColor="accent1" w:themeShade="BF"/>
      <w:spacing w:val="5"/>
    </w:rPr>
  </w:style>
  <w:style w:type="character" w:styleId="FootnoteReference">
    <w:name w:val="footnote reference"/>
    <w:aliases w:val="4_G,Footnotes refss,Footnote Refernece,Appel note de bas de p.,Footnote Ref,16 Point,Superscript 6 Point,Ref,de nota al pie,Footnote number,ftref,BVI fnr,BVI fnr Car Car,BVI fnr Car,BVI fnr Car Car Car Car,Texto de nota al pie,f,f1,n"/>
    <w:basedOn w:val="DefaultParagraphFont"/>
    <w:link w:val="BVIfnrCar1CarCarCarCar"/>
    <w:uiPriority w:val="99"/>
    <w:unhideWhenUsed/>
    <w:qFormat/>
    <w:rsid w:val="00CF1F19"/>
    <w:rPr>
      <w:vertAlign w:val="superscript"/>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CF1F19"/>
    <w:pPr>
      <w:spacing w:before="200" w:after="160" w:line="240" w:lineRule="exact"/>
    </w:pPr>
    <w:rPr>
      <w:vertAlign w:val="superscript"/>
    </w:rPr>
  </w:style>
  <w:style w:type="character" w:customStyle="1" w:styleId="ListParagraphChar">
    <w:name w:val="List Paragraph Char"/>
    <w:aliases w:val="Párrafo de lista1 Char,List Paragraph2 Char,Lista vistosa - Énfasis 11 Char,List Paragraph1 Char,List Paragraph11 Char,List 100s Char,Fundamentacion Char,paul2 Char,Bulleted List Char,Lista 123 Char,Viñeta normal Char,Cuadro 2-1 Char"/>
    <w:link w:val="ListParagraph"/>
    <w:uiPriority w:val="34"/>
    <w:qFormat/>
    <w:locked/>
    <w:rsid w:val="00D1772E"/>
    <w:rPr>
      <w:lang w:val="es-MX"/>
    </w:rPr>
  </w:style>
  <w:style w:type="paragraph" w:styleId="EndnoteText">
    <w:name w:val="endnote text"/>
    <w:basedOn w:val="Normal"/>
    <w:link w:val="EndnoteTextChar"/>
    <w:uiPriority w:val="99"/>
    <w:unhideWhenUsed/>
    <w:rsid w:val="00D1772E"/>
    <w:pPr>
      <w:widowControl w:val="0"/>
    </w:pPr>
    <w:rPr>
      <w:rFonts w:ascii="Calibri" w:eastAsia="Calibri" w:hAnsi="Calibri" w:cs="Calibri"/>
      <w:sz w:val="20"/>
      <w:szCs w:val="20"/>
      <w:lang w:eastAsia="es-PE"/>
    </w:rPr>
  </w:style>
  <w:style w:type="character" w:customStyle="1" w:styleId="EndnoteTextChar">
    <w:name w:val="Endnote Text Char"/>
    <w:basedOn w:val="DefaultParagraphFont"/>
    <w:link w:val="EndnoteText"/>
    <w:uiPriority w:val="99"/>
    <w:rsid w:val="00D1772E"/>
    <w:rPr>
      <w:rFonts w:ascii="Calibri" w:eastAsia="Calibri" w:hAnsi="Calibri" w:cs="Calibri"/>
      <w:kern w:val="0"/>
      <w:sz w:val="20"/>
      <w:szCs w:val="20"/>
      <w:lang w:eastAsia="es-PE"/>
    </w:rPr>
  </w:style>
  <w:style w:type="character" w:styleId="EndnoteReference">
    <w:name w:val="endnote reference"/>
    <w:basedOn w:val="DefaultParagraphFont"/>
    <w:uiPriority w:val="99"/>
    <w:semiHidden/>
    <w:unhideWhenUsed/>
    <w:rsid w:val="00D1772E"/>
    <w:rPr>
      <w:vertAlign w:val="superscript"/>
    </w:rPr>
  </w:style>
  <w:style w:type="paragraph" w:styleId="FootnoteText">
    <w:name w:val="footnote text"/>
    <w:aliases w:val="5_G,Footnote Text Char Char Char Char Char,Footnote Text Char Char Char Char,Footnote reference,FA Fu,Footnote Text Char Char Char,Footnote Text Cha,FA Fußnotentext,FA Fuﬂnotentext,Footnote Text Char Char,FA Fu?notente,Ca,ft,Footnote Te,C"/>
    <w:basedOn w:val="Normal"/>
    <w:link w:val="FootnoteTextChar"/>
    <w:uiPriority w:val="99"/>
    <w:unhideWhenUsed/>
    <w:qFormat/>
    <w:rsid w:val="0014799E"/>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C Char"/>
    <w:basedOn w:val="DefaultParagraphFont"/>
    <w:link w:val="FootnoteText"/>
    <w:uiPriority w:val="99"/>
    <w:qFormat/>
    <w:rsid w:val="0014799E"/>
    <w:rPr>
      <w:sz w:val="20"/>
      <w:szCs w:val="20"/>
      <w:lang w:val="es-MX"/>
    </w:rPr>
  </w:style>
  <w:style w:type="character" w:styleId="Hyperlink">
    <w:name w:val="Hyperlink"/>
    <w:basedOn w:val="DefaultParagraphFont"/>
    <w:uiPriority w:val="99"/>
    <w:unhideWhenUsed/>
    <w:rsid w:val="0014799E"/>
    <w:rPr>
      <w:color w:val="467886" w:themeColor="hyperlink"/>
      <w:u w:val="single"/>
    </w:rPr>
  </w:style>
  <w:style w:type="character" w:styleId="UnresolvedMention">
    <w:name w:val="Unresolved Mention"/>
    <w:basedOn w:val="DefaultParagraphFont"/>
    <w:uiPriority w:val="99"/>
    <w:rsid w:val="0014799E"/>
    <w:rPr>
      <w:color w:val="605E5C"/>
      <w:shd w:val="clear" w:color="auto" w:fill="E1DFDD"/>
    </w:rPr>
  </w:style>
  <w:style w:type="character" w:styleId="FollowedHyperlink">
    <w:name w:val="FollowedHyperlink"/>
    <w:basedOn w:val="DefaultParagraphFont"/>
    <w:uiPriority w:val="99"/>
    <w:semiHidden/>
    <w:unhideWhenUsed/>
    <w:rsid w:val="00A73958"/>
    <w:rPr>
      <w:color w:val="96607D" w:themeColor="followedHyperlink"/>
      <w:u w:val="single"/>
    </w:rPr>
  </w:style>
  <w:style w:type="paragraph" w:styleId="NoSpacing">
    <w:name w:val="No Spacing"/>
    <w:uiPriority w:val="1"/>
    <w:qFormat/>
    <w:rsid w:val="00777CD3"/>
    <w:rPr>
      <w:sz w:val="22"/>
      <w:szCs w:val="22"/>
      <w:lang w:val="es-ES"/>
    </w:rPr>
  </w:style>
  <w:style w:type="paragraph" w:styleId="NormalWeb">
    <w:name w:val="Normal (Web)"/>
    <w:basedOn w:val="Normal"/>
    <w:uiPriority w:val="99"/>
    <w:unhideWhenUsed/>
    <w:rsid w:val="00B17CAF"/>
    <w:pPr>
      <w:spacing w:before="100" w:beforeAutospacing="1" w:after="100" w:afterAutospacing="1"/>
    </w:pPr>
    <w:rPr>
      <w:lang w:eastAsia="es-P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apple-converted-space">
    <w:name w:val="apple-converted-space"/>
    <w:basedOn w:val="DefaultParagraphFont"/>
    <w:rsid w:val="006350EB"/>
  </w:style>
  <w:style w:type="paragraph" w:styleId="Header">
    <w:name w:val="header"/>
    <w:basedOn w:val="Normal"/>
    <w:link w:val="HeaderChar"/>
    <w:uiPriority w:val="99"/>
    <w:unhideWhenUsed/>
    <w:rsid w:val="00087DB2"/>
    <w:pPr>
      <w:tabs>
        <w:tab w:val="center" w:pos="4680"/>
        <w:tab w:val="right" w:pos="9360"/>
      </w:tabs>
    </w:pPr>
  </w:style>
  <w:style w:type="character" w:customStyle="1" w:styleId="HeaderChar">
    <w:name w:val="Header Char"/>
    <w:basedOn w:val="DefaultParagraphFont"/>
    <w:link w:val="Header"/>
    <w:uiPriority w:val="99"/>
    <w:rsid w:val="00087DB2"/>
    <w:rPr>
      <w:rFonts w:ascii="Times New Roman" w:eastAsia="Times New Roman" w:hAnsi="Times New Roman" w:cs="Times New Roman"/>
      <w:lang w:val="en-US"/>
    </w:rPr>
  </w:style>
  <w:style w:type="paragraph" w:styleId="Footer">
    <w:name w:val="footer"/>
    <w:basedOn w:val="Normal"/>
    <w:link w:val="FooterChar"/>
    <w:uiPriority w:val="99"/>
    <w:unhideWhenUsed/>
    <w:rsid w:val="00087DB2"/>
    <w:pPr>
      <w:tabs>
        <w:tab w:val="center" w:pos="4680"/>
        <w:tab w:val="right" w:pos="9360"/>
      </w:tabs>
    </w:pPr>
  </w:style>
  <w:style w:type="character" w:customStyle="1" w:styleId="FooterChar">
    <w:name w:val="Footer Char"/>
    <w:basedOn w:val="DefaultParagraphFont"/>
    <w:link w:val="Footer"/>
    <w:uiPriority w:val="99"/>
    <w:rsid w:val="00087DB2"/>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400544">
      <w:bodyDiv w:val="1"/>
      <w:marLeft w:val="0"/>
      <w:marRight w:val="0"/>
      <w:marTop w:val="0"/>
      <w:marBottom w:val="0"/>
      <w:divBdr>
        <w:top w:val="none" w:sz="0" w:space="0" w:color="auto"/>
        <w:left w:val="none" w:sz="0" w:space="0" w:color="auto"/>
        <w:bottom w:val="none" w:sz="0" w:space="0" w:color="auto"/>
        <w:right w:val="none" w:sz="0" w:space="0" w:color="auto"/>
      </w:divBdr>
      <w:divsChild>
        <w:div w:id="1203462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63046453">
              <w:marLeft w:val="0"/>
              <w:marRight w:val="0"/>
              <w:marTop w:val="0"/>
              <w:marBottom w:val="0"/>
              <w:divBdr>
                <w:top w:val="none" w:sz="0" w:space="0" w:color="auto"/>
                <w:left w:val="none" w:sz="0" w:space="0" w:color="auto"/>
                <w:bottom w:val="none" w:sz="0" w:space="0" w:color="auto"/>
                <w:right w:val="none" w:sz="0" w:space="0" w:color="auto"/>
              </w:divBdr>
              <w:divsChild>
                <w:div w:id="1349990538">
                  <w:marLeft w:val="0"/>
                  <w:marRight w:val="0"/>
                  <w:marTop w:val="0"/>
                  <w:marBottom w:val="0"/>
                  <w:divBdr>
                    <w:top w:val="none" w:sz="0" w:space="0" w:color="auto"/>
                    <w:left w:val="none" w:sz="0" w:space="0" w:color="auto"/>
                    <w:bottom w:val="none" w:sz="0" w:space="0" w:color="auto"/>
                    <w:right w:val="none" w:sz="0" w:space="0" w:color="auto"/>
                  </w:divBdr>
                  <w:divsChild>
                    <w:div w:id="213540080">
                      <w:marLeft w:val="0"/>
                      <w:marRight w:val="0"/>
                      <w:marTop w:val="0"/>
                      <w:marBottom w:val="0"/>
                      <w:divBdr>
                        <w:top w:val="none" w:sz="0" w:space="0" w:color="auto"/>
                        <w:left w:val="none" w:sz="0" w:space="0" w:color="auto"/>
                        <w:bottom w:val="none" w:sz="0" w:space="0" w:color="auto"/>
                        <w:right w:val="none" w:sz="0" w:space="0" w:color="auto"/>
                      </w:divBdr>
                    </w:div>
                    <w:div w:id="209488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055021">
      <w:bodyDiv w:val="1"/>
      <w:marLeft w:val="0"/>
      <w:marRight w:val="0"/>
      <w:marTop w:val="0"/>
      <w:marBottom w:val="0"/>
      <w:divBdr>
        <w:top w:val="none" w:sz="0" w:space="0" w:color="auto"/>
        <w:left w:val="none" w:sz="0" w:space="0" w:color="auto"/>
        <w:bottom w:val="none" w:sz="0" w:space="0" w:color="auto"/>
        <w:right w:val="none" w:sz="0" w:space="0" w:color="auto"/>
      </w:divBdr>
      <w:divsChild>
        <w:div w:id="915747440">
          <w:marLeft w:val="0"/>
          <w:marRight w:val="0"/>
          <w:marTop w:val="0"/>
          <w:marBottom w:val="0"/>
          <w:divBdr>
            <w:top w:val="none" w:sz="0" w:space="0" w:color="auto"/>
            <w:left w:val="none" w:sz="0" w:space="0" w:color="auto"/>
            <w:bottom w:val="none" w:sz="0" w:space="0" w:color="auto"/>
            <w:right w:val="none" w:sz="0" w:space="0" w:color="auto"/>
          </w:divBdr>
        </w:div>
        <w:div w:id="2121028542">
          <w:marLeft w:val="0"/>
          <w:marRight w:val="0"/>
          <w:marTop w:val="0"/>
          <w:marBottom w:val="0"/>
          <w:divBdr>
            <w:top w:val="none" w:sz="0" w:space="0" w:color="auto"/>
            <w:left w:val="none" w:sz="0" w:space="0" w:color="auto"/>
            <w:bottom w:val="none" w:sz="0" w:space="0" w:color="auto"/>
            <w:right w:val="none" w:sz="0" w:space="0" w:color="auto"/>
          </w:divBdr>
        </w:div>
      </w:divsChild>
    </w:div>
    <w:div w:id="1054158779">
      <w:bodyDiv w:val="1"/>
      <w:marLeft w:val="0"/>
      <w:marRight w:val="0"/>
      <w:marTop w:val="0"/>
      <w:marBottom w:val="0"/>
      <w:divBdr>
        <w:top w:val="none" w:sz="0" w:space="0" w:color="auto"/>
        <w:left w:val="none" w:sz="0" w:space="0" w:color="auto"/>
        <w:bottom w:val="none" w:sz="0" w:space="0" w:color="auto"/>
        <w:right w:val="none" w:sz="0" w:space="0" w:color="auto"/>
      </w:divBdr>
      <w:divsChild>
        <w:div w:id="184634506">
          <w:marLeft w:val="0"/>
          <w:marRight w:val="0"/>
          <w:marTop w:val="0"/>
          <w:marBottom w:val="0"/>
          <w:divBdr>
            <w:top w:val="none" w:sz="0" w:space="0" w:color="auto"/>
            <w:left w:val="none" w:sz="0" w:space="0" w:color="auto"/>
            <w:bottom w:val="none" w:sz="0" w:space="0" w:color="auto"/>
            <w:right w:val="none" w:sz="0" w:space="0" w:color="auto"/>
          </w:divBdr>
        </w:div>
        <w:div w:id="1760447004">
          <w:marLeft w:val="0"/>
          <w:marRight w:val="0"/>
          <w:marTop w:val="0"/>
          <w:marBottom w:val="0"/>
          <w:divBdr>
            <w:top w:val="none" w:sz="0" w:space="0" w:color="auto"/>
            <w:left w:val="none" w:sz="0" w:space="0" w:color="auto"/>
            <w:bottom w:val="none" w:sz="0" w:space="0" w:color="auto"/>
            <w:right w:val="none" w:sz="0" w:space="0" w:color="auto"/>
          </w:divBdr>
        </w:div>
      </w:divsChild>
    </w:div>
    <w:div w:id="11808548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_rels/endnotes.xml.rels><?xml version="1.0" encoding="UTF-8" standalone="yes"?>
<Relationships xmlns="http://schemas.openxmlformats.org/package/2006/relationships"><Relationship Id="rId26" Type="http://schemas.openxmlformats.org/officeDocument/2006/relationships/hyperlink" Target="https://peru.unfpa.org/es/news/embarazoadolescenteperu2023" TargetMode="External"/><Relationship Id="rId21" Type="http://schemas.openxmlformats.org/officeDocument/2006/relationships/hyperlink" Target="http://chirapaq.org.pe/es/wp-content/uploads/sites/3/2021/04/reporte-nacional-violencia.pdf" TargetMode="External"/><Relationship Id="rId42" Type="http://schemas.openxmlformats.org/officeDocument/2006/relationships/hyperlink" Target="https://na01.safelinks.protection.outlook.com/?url=https%3A%2F%2Fwww.facebook.com%2Fstory.php%3FstoryE1J&amp;data=05%7C02%7C%7C523968c873d44e42487108dd1a5f0a5d%7C84df9e7fe9f640afb435aaaaaaaaaaaa%7C1%7C0%7C638695717678035911%7CUnknown%7CTWFpbGZsb3d8eyJFbXB0eU1hcGkiOnRydWUsIlYiOiIwLjAuMDAwMCIsIlAiOiJXaW4zMiIsIkFOIjoiTWFpbCIsIldUIjoyfQ%3D%3D%7C0%7C%7C%7C&amp;sdata=Nzh1Q%2FRU5BxPyj8uYg%2FYNtPgYu47vCXb6WNoERv%2B6o4%3D&amp;reserved=0" TargetMode="External"/><Relationship Id="rId47" Type="http://schemas.openxmlformats.org/officeDocument/2006/relationships/hyperlink" Target="https://www.guttmacher.org/sites/default/files/report_pdf/de-la-normativa-a-la-practica-educacion-sexual-peru.pdf" TargetMode="External"/><Relationship Id="rId63" Type="http://schemas.openxmlformats.org/officeDocument/2006/relationships/hyperlink" Target="https://busquedas.elperuano.pe/dispositivo/NL/2080217-1" TargetMode="External"/><Relationship Id="rId68" Type="http://schemas.openxmlformats.org/officeDocument/2006/relationships/hyperlink" Target="https://www.defensoria.gob.pe/wp-content/uploads/2018/05/Informe-de-Adjuntia-002-2017-DP-AMASPPI.PPI.pdf" TargetMode="External"/><Relationship Id="rId2" Type="http://schemas.openxmlformats.org/officeDocument/2006/relationships/hyperlink" Target="https://www.defensoria.gob.pe/wp-content/uploads/2021/05/Informe-Derechos-Sexuales-y-Reproductivos.pdf" TargetMode="External"/><Relationship Id="rId16" Type="http://schemas.openxmlformats.org/officeDocument/2006/relationships/hyperlink" Target="https://promsex.org/wp-content/uploads/2023/11/Progreso-y-Brechas-Cosenso-de-Montevideo.pdf" TargetMode="External"/><Relationship Id="rId29" Type="http://schemas.openxmlformats.org/officeDocument/2006/relationships/hyperlink" Target="https://webapp.minsa.gob.pe/dwcnv/dwmadrenew.aspx" TargetMode="External"/><Relationship Id="rId11" Type="http://schemas.openxmlformats.org/officeDocument/2006/relationships/hyperlink" Target="https://elperuano.pe/noticia/241246-ley-n-32000-protegen-embarazo-de-la-madre-gestante" TargetMode="External"/><Relationship Id="rId24" Type="http://schemas.openxmlformats.org/officeDocument/2006/relationships/hyperlink" Target="https://peru.unfpa.org/es/news/embarazoadolescenteperu2023" TargetMode="External"/><Relationship Id="rId32" Type="http://schemas.openxmlformats.org/officeDocument/2006/relationships/hyperlink" Target="https://peru.unfpa.org/es/news/embarazoadolescenteperu2023" TargetMode="External"/><Relationship Id="rId37" Type="http://schemas.openxmlformats.org/officeDocument/2006/relationships/hyperlink" Target="https://www.infobae.com/peru/2023/09/10/dia-mundial-para-la-prevencion-del-suicidio-un-tema-tabu-y-el-preocupante-aumento-de-suicidios-en-adolescentes/" TargetMode="External"/><Relationship Id="rId40" Type="http://schemas.openxmlformats.org/officeDocument/2006/relationships/hyperlink" Target="https://promsex.org/wp-content/uploads/2023/11/Progreso-y-Brechas-Cosenso-de-Montevideo.pdf" TargetMode="External"/><Relationship Id="rId45" Type="http://schemas.openxmlformats.org/officeDocument/2006/relationships/hyperlink" Target="https://saludconlupa.com/series/perseguidas-por-abortar/de-la-sala-de-emergencias-al-juzgado-por-un-aborto/" TargetMode="External"/><Relationship Id="rId53" Type="http://schemas.openxmlformats.org/officeDocument/2006/relationships/hyperlink" Target="https://wayka.pe/ninas-y-ninos-awajun-las-victimas-de-la-indiferencia-estatal-y-la-ausencia-de-recursos/" TargetMode="External"/><Relationship Id="rId58" Type="http://schemas.openxmlformats.org/officeDocument/2006/relationships/hyperlink" Target="https://repositorio.minedu.gob.pe/handle/20.500.12799/7640" TargetMode="External"/><Relationship Id="rId66" Type="http://schemas.openxmlformats.org/officeDocument/2006/relationships/hyperlink" Target="https://promsex.org/wp-content/uploads/2023/11/Progreso-y-Brechas-Cosenso-de-Montevideo.pdf" TargetMode="External"/><Relationship Id="rId74" Type="http://schemas.openxmlformats.org/officeDocument/2006/relationships/hyperlink" Target="https://www.manuela.org.pe/manuela-ramos-entrega-caja-de-herramientas-sobre-la-educacion-sexual" TargetMode="External"/><Relationship Id="rId5" Type="http://schemas.openxmlformats.org/officeDocument/2006/relationships/hyperlink" Target="https://www.elperuano.pe/noticia/227460-aprueban-por-insistencia-proyecto-de-ley-que-reconoce-derechos-al-concebido" TargetMode="External"/><Relationship Id="rId61" Type="http://schemas.openxmlformats.org/officeDocument/2006/relationships/hyperlink" Target="https://wb2server.congreso.gob.pe/spley-portal/" TargetMode="External"/><Relationship Id="rId19" Type="http://schemas.openxmlformats.org/officeDocument/2006/relationships/hyperlink" Target="https://www.defensoria.gob.pe/defensoria-del-pueblo-situacion-actual-de-embarazo-en-adolescentes-exige-un-mayor-acceso-a-salud-sexual-y-reproductiva-y-educacion-sexual-integral/" TargetMode="External"/><Relationship Id="rId14" Type="http://schemas.openxmlformats.org/officeDocument/2006/relationships/hyperlink" Target="https://cdn.www.gob.pe/uploads/document/file/297541/Resoluci%C3%B3n_Ministerial_N__227-2019-MINSA.PDF." TargetMode="External"/><Relationship Id="rId22" Type="http://schemas.openxmlformats.org/officeDocument/2006/relationships/hyperlink" Target="https://www.defensoria.gob.pe/wp-content/uploads/2019/12/Informe-de-adjuntia-002-2019-PPI-Digital.pdf" TargetMode="External"/><Relationship Id="rId27" Type="http://schemas.openxmlformats.org/officeDocument/2006/relationships/hyperlink" Target="https://webapp.minsa.gob.pe/dwcnv/dwmadrenew.aspx" TargetMode="External"/><Relationship Id="rId30" Type="http://schemas.openxmlformats.org/officeDocument/2006/relationships/hyperlink" Target="https://peru.unfpa.org/es/news/per%C3%BA-maternidad-en-ni%C3%B1as-entre-10-y-14-a%C3%B1os-creci%C3%B3-14-en-2022" TargetMode="External"/><Relationship Id="rId35" Type="http://schemas.openxmlformats.org/officeDocument/2006/relationships/hyperlink" Target="https://www.infobae.com/peru/2023/09/10/dia-mundial-para-la-prevencion-del-suicidio-un-tema-tabu-y-el-preocupante-aumento-de-suicidios-en-adolescentes/" TargetMode="External"/><Relationship Id="rId43" Type="http://schemas.openxmlformats.org/officeDocument/2006/relationships/hyperlink" Target="https://na01.safelinks.protection.outlook.com/?url=https%3A%2F%2Fwww.youtube.com%2Fwatch%3Fv%3D7fh05C65Mrg%26%26list%3DPLfVIxRaemgNqE7OKwsW15vIN0Ue47v8g5%26%26index%3D2&amp;data=05%7C02%7C%7C523968c873d44e42487108dd1a5f0a5d%7C84df9e7fe9f640afb435aaaaaaaaaaaa%7C1%7C0%7C638695717678065721%7CUnknown%7CTWFpbGZsb3d8eyJFbXB0eU1hcGkiOnRydWUsIlYiOiIwLjAuMDAwMCIsIlAiOiJXaW4zMiIsIkFOIjoiTWFpbCIsIldUIjoyfQ%3D%3D%7C0%7C%7C%7C&amp;sdata=Smo%2FroOzeIhrrIl2ygppQHKgFTJ6rFaq8TCZAp8rrXI%3D&amp;reserved=0" TargetMode="External"/><Relationship Id="rId48" Type="http://schemas.openxmlformats.org/officeDocument/2006/relationships/hyperlink" Target="https://www.guttmacher.org/sites/default/files/report_pdf/de-la-normativa-a-la-practica-educacion-sexual-peru.pdf" TargetMode="External"/><Relationship Id="rId56" Type="http://schemas.openxmlformats.org/officeDocument/2006/relationships/hyperlink" Target="https://wayka.pe/vih-tasa-de-casos-se-concentra-en-la-amazonia-peruana-y-pueblos-indigenas-son-los-mas-afectados/" TargetMode="External"/><Relationship Id="rId64" Type="http://schemas.openxmlformats.org/officeDocument/2006/relationships/hyperlink" Target="https://www.hrw.org/news/2023/01/24/peru-threatening-human-rights-education" TargetMode="External"/><Relationship Id="rId69" Type="http://schemas.openxmlformats.org/officeDocument/2006/relationships/hyperlink" Target="https://www.defensoria.gob.pe/defensoria-del-pueblo-minedu-y-las-ugel-deben-acelerar-distribucion-de-materiales-y-recursos-educativos-2/" TargetMode="External"/><Relationship Id="rId8" Type="http://schemas.openxmlformats.org/officeDocument/2006/relationships/hyperlink" Target="https://x.com/MimpPeru/status/1722808058374422791?mx=2%3eNovember" TargetMode="External"/><Relationship Id="rId51" Type="http://schemas.openxmlformats.org/officeDocument/2006/relationships/hyperlink" Target="https://www.infobae.com/peru/2024/06/09/medio-millar-de-profesores-abusaron-sexualmente-de-ninos-en-amazonas-y-reportan-contagios-de-vih/" TargetMode="External"/><Relationship Id="rId72" Type="http://schemas.openxmlformats.org/officeDocument/2006/relationships/hyperlink" Target="https://www.manuela.org.pe/educacion-sexual-integral-en-el-per" TargetMode="External"/><Relationship Id="rId3" Type="http://schemas.openxmlformats.org/officeDocument/2006/relationships/hyperlink" Target="https://x.com/CanadaenPeru/status/1800285498851864800" TargetMode="External"/><Relationship Id="rId12" Type="http://schemas.openxmlformats.org/officeDocument/2006/relationships/hyperlink" Target="https://www.manuela.org.pe/8m-el-96-de-peruanos-reconoce-que-la-violencia-sexual-hacia-las-mujeres-es" TargetMode="External"/><Relationship Id="rId17" Type="http://schemas.openxmlformats.org/officeDocument/2006/relationships/hyperlink" Target="https://promsex.org/wp-content/uploads/2023/11/Progreso-y-Brechas-Cosenso-de-Montevideo.pdf" TargetMode="External"/><Relationship Id="rId25" Type="http://schemas.openxmlformats.org/officeDocument/2006/relationships/hyperlink" Target="https://comunicaciones.congreso.gob.pe/noticias/ejecutivo-promulga-ley-que-pone-fin-al-matrimonio-infantil-aprobada-por-el-congreso/" TargetMode="External"/><Relationship Id="rId33" Type="http://schemas.openxmlformats.org/officeDocument/2006/relationships/hyperlink" Target="http://bvs.minsa.gob.pe/local/MINSA/2896.pdf." TargetMode="External"/><Relationship Id="rId38" Type="http://schemas.openxmlformats.org/officeDocument/2006/relationships/hyperlink" Target="http://bvs.minsa.gob.pe/local/MINSA/3795.pdf." TargetMode="External"/><Relationship Id="rId46" Type="http://schemas.openxmlformats.org/officeDocument/2006/relationships/hyperlink" Target="https://saludconlupa.com/series/perseguidas-por-abortar/de-la-sala-de-emergencias-al-juzgado-por-un-aborto/" TargetMode="External"/><Relationship Id="rId59" Type="http://schemas.openxmlformats.org/officeDocument/2006/relationships/hyperlink" Target="https://www.defensoria.gob.pe/informes/serie-informes-especiales-n-007-2021-dp/" TargetMode="External"/><Relationship Id="rId67" Type="http://schemas.openxmlformats.org/officeDocument/2006/relationships/hyperlink" Target="https://promsex.org/wp-content/uploads/2023/11/Progreso-y-Brechas-Cosenso-de-Montevideo.pdf" TargetMode="External"/><Relationship Id="rId20" Type="http://schemas.openxmlformats.org/officeDocument/2006/relationships/hyperlink" Target="http://chirapaq.org.pe/es/wp-content/uploads/sites/3/2021/04/reporte-nacional-violencia.pdf" TargetMode="External"/><Relationship Id="rId41" Type="http://schemas.openxmlformats.org/officeDocument/2006/relationships/hyperlink" Target="https://promsex.org/wp-content/uploads/2024/07/AbortosTerapeuticosRealizadosEnElPeruEntreEl2014y2023.pdf" TargetMode="External"/><Relationship Id="rId54" Type="http://schemas.openxmlformats.org/officeDocument/2006/relationships/hyperlink" Target="https://epicentro.tv/condorcanqui-fuego-de-impunidad/https:/epicentro.tv/condorcanqui-fuego-de-impunidad/" TargetMode="External"/><Relationship Id="rId62" Type="http://schemas.openxmlformats.org/officeDocument/2006/relationships/hyperlink" Target="https://wb2server.congreso.gob.pe/spley-portal-service/archivo/MTk4MTYz/pdf" TargetMode="External"/><Relationship Id="rId70" Type="http://schemas.openxmlformats.org/officeDocument/2006/relationships/hyperlink" Target="https://promsex.org/wp-content/uploads/2023/11/Progreso-y-Brechas-Cosenso-de-Montevideo.pdf" TargetMode="External"/><Relationship Id="rId75" Type="http://schemas.openxmlformats.org/officeDocument/2006/relationships/hyperlink" Target="https://cdn.www.gob.pe/uploads/document/file/4829546/Dictamen%20adoptado%20por%20el%20Comit&#233;%20de%20los%20Derechos%20del%20Ni&#241;o%20de%20de%20Naciones%20Unidas%20el%2015%20de%20mayo%20de%202023.pdf?v=1689118056" TargetMode="External"/><Relationship Id="rId1" Type="http://schemas.openxmlformats.org/officeDocument/2006/relationships/hyperlink" Target="https://tbinternet.ohchr.org/_layouts/15/treatybodyexternal/Download.aspx?symbolno=CRC%2FC%2FPER%2FQPR%2F6-7&amp;Lang=en" TargetMode="External"/><Relationship Id="rId6" Type="http://schemas.openxmlformats.org/officeDocument/2006/relationships/hyperlink" Target="https://wb2server.congreso.gob.pe/spley-portal-service/archivo/NjE2MQ==/pdf/PL-00785" TargetMode="External"/><Relationship Id="rId15" Type="http://schemas.openxmlformats.org/officeDocument/2006/relationships/hyperlink" Target="https://larepublica.pe/sociedad/2019/10/28/anticonceptivos-aun-hay-trabas-en-entrega-de-la-pildora-del-dia-siguiente-violencia-sexual/" TargetMode="External"/><Relationship Id="rId23" Type="http://schemas.openxmlformats.org/officeDocument/2006/relationships/hyperlink" Target="https://www.gob.pe/inei/" TargetMode="External"/><Relationship Id="rId28" Type="http://schemas.openxmlformats.org/officeDocument/2006/relationships/hyperlink" Target="https://webapp.minsa.gob.pe/dwcnv/dwmadrenew.aspx" TargetMode="External"/><Relationship Id="rId36" Type="http://schemas.openxmlformats.org/officeDocument/2006/relationships/hyperlink" Target="https://www.infobae.com/peru/2023/09/10/dia-mundial-para-la-prevencion-del-suicidio-un-tema-tabu-y-el-preocupante-aumento-de-suicidios-en-adolescentes/" TargetMode="External"/><Relationship Id="rId49" Type="http://schemas.openxmlformats.org/officeDocument/2006/relationships/hyperlink" Target="https://www.defensoria.gob.pe/defensoria-del-pueblo-situacion-actual-de-embarazo-en-adolescentes-exige-un-mayor-acceso-a-salud-sexual-y-reproductiva-y-educacion-sexual-integral/" TargetMode="External"/><Relationship Id="rId57" Type="http://schemas.openxmlformats.org/officeDocument/2006/relationships/hyperlink" Target="https://larepublica.pe/sociedad/2024/12/01/condorcanqui-22-nuevos-casos-de-abusos-sexual-solo-en-noviembre-ministerio-de-educacion-awajun-2999880" TargetMode="External"/><Relationship Id="rId10" Type="http://schemas.openxmlformats.org/officeDocument/2006/relationships/hyperlink" Target="https://www.manuela.org.pe/organizaciones-y-sociedad-civil-demuestran-rechazo-ante-proyecto-de-ley-que" TargetMode="External"/><Relationship Id="rId31" Type="http://schemas.openxmlformats.org/officeDocument/2006/relationships/hyperlink" Target="https://www.defensoria.gob.pe/defensoria-del-pueblo-estado-debe-fortalecer-servicios-de-salud-sexual-y-reproductiva/" TargetMode="External"/><Relationship Id="rId44" Type="http://schemas.openxmlformats.org/officeDocument/2006/relationships/hyperlink" Target="https://na01.safelinks.protection.outlook.com/?url=https%3A%2F%2Fwww.tc.gob.pe%2Fjurisprudencia%2F2005%2F03208-2004-AA.pdf&amp;data=05%7C02%7C%7C523968c873d44e42487108dd1a5f0a5d%7C84df9e7fe9f640afb435aaaaaaaaaaaa%7C1%7C0%7C638695717678080437%7CUnknown%7CTWFpbGZsb3d8eyJFbXB0eU1hcGkiOnRydWUsIlYiOiIwLjAuMDAwMCIsIlAiOiJXaW4zMiIsIkFOIjoiTWFpbCIsIldUIjoyfQ%3D%3D%7C0%7C%7C%7C&amp;sdata=FyN3PVx1Y0Y%2FZZTBnpl8Zy8oUBvAvqzcHKMR80NNzJg%3D&amp;reserved=0" TargetMode="External"/><Relationship Id="rId52" Type="http://schemas.openxmlformats.org/officeDocument/2006/relationships/hyperlink" Target="https://larepublica.pe/sociedad/2024/12/01/condorcanqui-22-nuevos-casos-de-abusos-sexual-solo-en-noviembre-ministerio-de-educacion-awajun-2999880" TargetMode="External"/><Relationship Id="rId60" Type="http://schemas.openxmlformats.org/officeDocument/2006/relationships/hyperlink" Target="https://www.defensoria.gob.pe/informes/serie-informes-especiales-n-007-2021-dp/" TargetMode="External"/><Relationship Id="rId65" Type="http://schemas.openxmlformats.org/officeDocument/2006/relationships/hyperlink" Target="https://educacionsinretroceso.com/" TargetMode="External"/><Relationship Id="rId73" Type="http://schemas.openxmlformats.org/officeDocument/2006/relationships/hyperlink" Target="https://www.manuela.org.pe/manuela-ramos-entrega-caja-de-herramientas-sobre-la-educacion-sexual" TargetMode="External"/><Relationship Id="rId4" Type="http://schemas.openxmlformats.org/officeDocument/2006/relationships/hyperlink" Target="https://spcommreports.ohchr.org/TMResultsBase/DownLoadPublicCommunicationFile?gId=29163" TargetMode="External"/><Relationship Id="rId9" Type="http://schemas.openxmlformats.org/officeDocument/2006/relationships/hyperlink" Target="https://busquedas.elperuano.pe/dispositivo/NL/2235408-1" TargetMode="External"/><Relationship Id="rId13" Type="http://schemas.openxmlformats.org/officeDocument/2006/relationships/hyperlink" Target="https://peru.unfpa.org/es/news/embarazoadolescenteperu2023" TargetMode="External"/><Relationship Id="rId18" Type="http://schemas.openxmlformats.org/officeDocument/2006/relationships/hyperlink" Target="https://www.defensoria.gob.pe/defensoria-del-pueblo-situacion-actual-de-embarazo-en-adolescentes-exige-un-mayor-acceso-a-salud-sexual-y-reproductiva-y-educacion-sexual-integral/" TargetMode="External"/><Relationship Id="rId39" Type="http://schemas.openxmlformats.org/officeDocument/2006/relationships/hyperlink" Target="https://promsex.org/wp-content/uploads/2023/11/Progreso-y-Brechas-Cosenso-de-Montevideo.pdf" TargetMode="External"/><Relationship Id="rId34" Type="http://schemas.openxmlformats.org/officeDocument/2006/relationships/hyperlink" Target="http://repositorio.minedu.gob.pe/bitstream/handle/123456789/869/504.%20Per%C3%BA%20Situaci%C3%B3n%20social%20de%20las%20madres%20adolescentes%2C%202007..pdf?sequence=1&amp;isAllowed=y." TargetMode="External"/><Relationship Id="rId50" Type="http://schemas.openxmlformats.org/officeDocument/2006/relationships/hyperlink" Target="https://www.manuela.org.pe/colegio-san-fernando-redujo-en-un-80-el-embarazo-adolescente" TargetMode="External"/><Relationship Id="rId55" Type="http://schemas.openxmlformats.org/officeDocument/2006/relationships/hyperlink" Target="https://www.infobae.com/peru/2024/06/13/ministro-de-educacion-desata-ola-de-repudio-al-sugerir-que-agresiones-sexuales-contra-ninas-awajun-pueden-ser-una-practica-cultural/" TargetMode="External"/><Relationship Id="rId7" Type="http://schemas.openxmlformats.org/officeDocument/2006/relationships/hyperlink" Target="https://www.defensoria.gob.pe/defensoria-del-pueblo-expresa-discrepancias-con-proyecto-de-ley-que-reconoce-derechos-al-concebido/" TargetMode="External"/><Relationship Id="rId71" Type="http://schemas.openxmlformats.org/officeDocument/2006/relationships/hyperlink" Target="https://promsex.org/wp-content/uploads/2023/11/Progreso-y-Brechas-Cosenso-de-Montevideo.pdf"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VfYBRCyhHgMxgWbdoO9Uhx+5kA==">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7740508-1DF7-EA4E-9285-4E644119F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6071</Words>
  <Characters>34609</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elida guerra V.</dc:creator>
  <cp:lastModifiedBy>James Boit</cp:lastModifiedBy>
  <cp:revision>2</cp:revision>
  <dcterms:created xsi:type="dcterms:W3CDTF">2025-01-03T09:52:00Z</dcterms:created>
  <dcterms:modified xsi:type="dcterms:W3CDTF">2025-01-03T09:52:00Z</dcterms:modified>
</cp:coreProperties>
</file>