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333333"/>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333333"/>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right"/>
        <w:rPr>
          <w:i w:val="0"/>
          <w:smallCaps w:val="0"/>
          <w:strike w:val="0"/>
          <w:color w:val="333333"/>
          <w:u w:val="none"/>
          <w:shd w:fill="auto" w:val="clear"/>
          <w:vertAlign w:val="baseline"/>
        </w:rPr>
      </w:pPr>
      <w:r w:rsidDel="00000000" w:rsidR="00000000" w:rsidRPr="00000000">
        <w:rPr>
          <w:i w:val="0"/>
          <w:smallCaps w:val="0"/>
          <w:strike w:val="0"/>
          <w:color w:val="333333"/>
          <w:u w:val="none"/>
          <w:shd w:fill="auto" w:val="clear"/>
          <w:vertAlign w:val="baseline"/>
          <w:rtl w:val="0"/>
        </w:rPr>
        <w:t xml:space="preserve">Uruguay, 10 de septiembre de 2023</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333333"/>
          <w:u w:val="none"/>
          <w:shd w:fill="auto" w:val="clear"/>
          <w:vertAlign w:val="baseline"/>
        </w:rPr>
      </w:pPr>
      <w:r w:rsidDel="00000000" w:rsidR="00000000" w:rsidRPr="00000000">
        <w:rPr>
          <w:i w:val="0"/>
          <w:smallCaps w:val="0"/>
          <w:strike w:val="0"/>
          <w:color w:val="333333"/>
          <w:u w:val="none"/>
          <w:shd w:fill="auto" w:val="clear"/>
          <w:vertAlign w:val="baseline"/>
          <w:rtl w:val="0"/>
        </w:rPr>
        <w:t xml:space="preserve">Secretaría del Comité CEDAW</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333333"/>
          <w:u w:val="none"/>
          <w:shd w:fill="auto" w:val="clear"/>
          <w:vertAlign w:val="baseline"/>
        </w:rPr>
      </w:pPr>
      <w:r w:rsidDel="00000000" w:rsidR="00000000" w:rsidRPr="00000000">
        <w:rPr>
          <w:i w:val="0"/>
          <w:smallCaps w:val="0"/>
          <w:strike w:val="0"/>
          <w:color w:val="333333"/>
          <w:u w:val="none"/>
          <w:shd w:fill="auto" w:val="clear"/>
          <w:vertAlign w:val="baseline"/>
          <w:rtl w:val="0"/>
        </w:rPr>
        <w:t xml:space="preserve">Pte.</w:t>
      </w:r>
    </w:p>
    <w:p w:rsidR="00000000" w:rsidDel="00000000" w:rsidP="00000000" w:rsidRDefault="00000000" w:rsidRPr="00000000" w14:paraId="000000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Desde el Colectivo Gestar Derechos, del Estado de Uruguay, enviamos el informe sombra relativo al 86° período de sesiones (9-27 de octubre de 2023).</w:t>
      </w:r>
    </w:p>
    <w:p w:rsidR="00000000" w:rsidDel="00000000" w:rsidP="00000000" w:rsidRDefault="00000000" w:rsidRPr="00000000" w14:paraId="0000000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Gestar Derechos es un colectivo de la sociedad civil, formado en junio de 2020 que nuclea a mujeres profesionales de diversas áreas: jurídica, obstetricia, salud mental, ciencias sociales y políticas, comunicación y artística, entre otras — con el cometido de proteger los derechos en el embarazo, parto y puerperio. Nuestro surgimiento se da en medio de la pandemia sanitaria por Covid-19, que recrudeció la violencia obstétrica y vulneración de derechos vinculados al embarazo y al parto en Uruguay.</w:t>
      </w:r>
    </w:p>
    <w:p w:rsidR="00000000" w:rsidDel="00000000" w:rsidP="00000000" w:rsidRDefault="00000000" w:rsidRPr="00000000" w14:paraId="0000000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Este informe, busca proporcionar al Comité información sobre la situación actual del Estado uruguayo, respecto al cumplimiento de la CEDAW, específicamente relacionado a la salud sexual y salud reproductiva de las mujeres, con el corte de la temática que nos ocupa, es decir, la violencia que sufren las mujeres basada en una discriminación por motivos del género, que se encuentran en situación de embarazo, trabajo de parto, parto/cesárea o puerperio. </w:t>
      </w:r>
    </w:p>
    <w:p w:rsidR="00000000" w:rsidDel="00000000" w:rsidP="00000000" w:rsidRDefault="00000000" w:rsidRPr="00000000" w14:paraId="000000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Entendemos que se hallan relacionados a este informe</w:t>
      </w:r>
      <w:r w:rsidDel="00000000" w:rsidR="00000000" w:rsidRPr="00000000">
        <w:rPr>
          <w:color w:val="333333"/>
          <w:rtl w:val="0"/>
        </w:rPr>
        <w:t xml:space="preserve">:</w:t>
      </w:r>
      <w:r w:rsidDel="00000000" w:rsidR="00000000" w:rsidRPr="00000000">
        <w:rPr>
          <w:i w:val="0"/>
          <w:smallCaps w:val="0"/>
          <w:strike w:val="0"/>
          <w:color w:val="333333"/>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los artículos 1, 2 lit. c y e, 12, 14 num. 1 y 2 lit. b, y 24 de la CEDAW. </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la Recomendación General No. 19 p</w:t>
      </w:r>
      <w:r w:rsidDel="00000000" w:rsidR="00000000" w:rsidRPr="00000000">
        <w:rPr>
          <w:color w:val="333333"/>
          <w:rtl w:val="0"/>
        </w:rPr>
        <w:t xml:space="preserve">árrafos 1, 6, 7 con especial énfasis en literales b, e, g y h, 9, 11, 17, 19, 20, 21, 24 con especial énfasis en los literales b, c, f, i, j, k, m, n, q, t, u, v;</w:t>
      </w:r>
    </w:p>
    <w:p w:rsidR="00000000" w:rsidDel="00000000" w:rsidP="00000000" w:rsidRDefault="00000000" w:rsidRPr="00000000" w14:paraId="0000000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i w:val="0"/>
          <w:smallCaps w:val="0"/>
          <w:strike w:val="0"/>
          <w:color w:val="333333"/>
          <w:shd w:fill="auto" w:val="clear"/>
          <w:vertAlign w:val="baseline"/>
        </w:rPr>
      </w:pPr>
      <w:r w:rsidDel="00000000" w:rsidR="00000000" w:rsidRPr="00000000">
        <w:rPr>
          <w:color w:val="333333"/>
          <w:rtl w:val="0"/>
        </w:rPr>
        <w:t xml:space="preserve">la Recomendación General </w:t>
      </w:r>
      <w:r w:rsidDel="00000000" w:rsidR="00000000" w:rsidRPr="00000000">
        <w:rPr>
          <w:i w:val="0"/>
          <w:smallCaps w:val="0"/>
          <w:strike w:val="0"/>
          <w:color w:val="333333"/>
          <w:u w:val="none"/>
          <w:shd w:fill="auto" w:val="clear"/>
          <w:vertAlign w:val="baseline"/>
          <w:rtl w:val="0"/>
        </w:rPr>
        <w:t xml:space="preserve">No. 24 párrafos 13, 15, 17, 21, 22, 26, 27, 29, 31 con especial énfasis en literales d, e y f; </w:t>
      </w:r>
    </w:p>
    <w:p w:rsidR="00000000" w:rsidDel="00000000" w:rsidP="00000000" w:rsidRDefault="00000000" w:rsidRPr="00000000" w14:paraId="0000000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la </w:t>
      </w:r>
      <w:r w:rsidDel="00000000" w:rsidR="00000000" w:rsidRPr="00000000">
        <w:rPr>
          <w:color w:val="333333"/>
          <w:rtl w:val="0"/>
        </w:rPr>
        <w:t xml:space="preserve">Recomendación General</w:t>
      </w:r>
      <w:r w:rsidDel="00000000" w:rsidR="00000000" w:rsidRPr="00000000">
        <w:rPr>
          <w:i w:val="0"/>
          <w:smallCaps w:val="0"/>
          <w:strike w:val="0"/>
          <w:color w:val="333333"/>
          <w:u w:val="none"/>
          <w:shd w:fill="auto" w:val="clear"/>
          <w:vertAlign w:val="baseline"/>
          <w:rtl w:val="0"/>
        </w:rPr>
        <w:t xml:space="preserve"> No. 33, párrafos 4, 6, 7, 8, 10, 13, 14 con énfasis en literales d y e, 15 con especial énfasis en literales g y h; </w:t>
      </w:r>
    </w:p>
    <w:p w:rsidR="00000000" w:rsidDel="00000000" w:rsidP="00000000" w:rsidRDefault="00000000" w:rsidRPr="00000000" w14:paraId="0000000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i w:val="0"/>
          <w:smallCaps w:val="0"/>
          <w:strike w:val="0"/>
          <w:color w:val="333333"/>
          <w:shd w:fill="auto" w:val="clear"/>
          <w:vertAlign w:val="baseline"/>
        </w:rPr>
      </w:pPr>
      <w:r w:rsidDel="00000000" w:rsidR="00000000" w:rsidRPr="00000000">
        <w:rPr>
          <w:color w:val="333333"/>
          <w:rtl w:val="0"/>
        </w:rPr>
        <w:t xml:space="preserve">la Recomendación General</w:t>
      </w:r>
      <w:r w:rsidDel="00000000" w:rsidR="00000000" w:rsidRPr="00000000">
        <w:rPr>
          <w:i w:val="0"/>
          <w:smallCaps w:val="0"/>
          <w:strike w:val="0"/>
          <w:color w:val="333333"/>
          <w:u w:val="none"/>
          <w:shd w:fill="auto" w:val="clear"/>
          <w:vertAlign w:val="baseline"/>
          <w:rtl w:val="0"/>
        </w:rPr>
        <w:t xml:space="preserve"> No. 35 p</w:t>
      </w:r>
      <w:r w:rsidDel="00000000" w:rsidR="00000000" w:rsidRPr="00000000">
        <w:rPr>
          <w:color w:val="333333"/>
          <w:rtl w:val="0"/>
        </w:rPr>
        <w:t xml:space="preserve">árrafos 15, 16, 18, 20, 21, 22, 23, 24.</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i w:val="0"/>
          <w:smallCaps w:val="0"/>
          <w:strike w:val="0"/>
          <w:color w:val="333333"/>
          <w:shd w:fill="auto" w:val="clear"/>
          <w:vertAlign w:val="baseline"/>
        </w:rPr>
      </w:pPr>
      <w:r w:rsidDel="00000000" w:rsidR="00000000" w:rsidRPr="00000000">
        <w:rPr>
          <w:color w:val="333333"/>
          <w:u w:val="single"/>
          <w:rtl w:val="0"/>
        </w:rPr>
        <w:t xml:space="preserve">Acceso a la justicia.</w:t>
      </w:r>
      <w:r w:rsidDel="00000000" w:rsidR="00000000" w:rsidRPr="00000000">
        <w:rPr>
          <w:color w:val="333333"/>
          <w:rtl w:val="0"/>
        </w:rPr>
        <w:t xml:space="preserve"> P</w:t>
      </w:r>
      <w:r w:rsidDel="00000000" w:rsidR="00000000" w:rsidRPr="00000000">
        <w:rPr>
          <w:i w:val="0"/>
          <w:smallCaps w:val="0"/>
          <w:strike w:val="0"/>
          <w:color w:val="333333"/>
          <w:u w:val="none"/>
          <w:shd w:fill="auto" w:val="clear"/>
          <w:vertAlign w:val="baseline"/>
          <w:rtl w:val="0"/>
        </w:rPr>
        <w:t xml:space="preserve">odemos manifestar que si bien el país cuenta con normativa que busca sancionar este tipo de violencia, que implica una discriminación hacia las mujeres, los mecanismos de denuncia no son ágiles, repercutiendo en una falta de acceso a la justicia para esas mujeres. De 12 denuncias presentadas ante el Ministerio de Salud Pública, desde el inicio del trabajo del colectivo Gestar Derechos (julio de 2020), solo tres de estas han tenido resolución, mientras que el resto se encuentra en espera de la misma, en estudio, o incluso en algún caso iniciado en el 2020, a la espera de aplicar una observación a la institución de salud. </w:t>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Los plazos de espera en relación a estos casos superan como mínimo los 2 años, en su mayoría. Esto conduce a un desgaste de las mujeres víctimas de este tipo de violencia, que deben enfrentarse a plazos que afectan en definitiva su derecho al acceso a la justicia administrativa. </w:t>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5"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De los casos resueltos en relación al la violencia obstétrica, así como de las decenas de denuncias presentadas en tiempos de Covid-19, se puede inferir una posición de la cartera de salud que implica una falta de perspectiva de género, así como falta de garantías para las víctimas, con razonamientos que las ubican en una posición de indefensión y que incrementa la vulnerabilidad en la que ya se encuentran, por ejemplo: </w:t>
      </w:r>
    </w:p>
    <w:p w:rsidR="00000000" w:rsidDel="00000000" w:rsidP="00000000" w:rsidRDefault="00000000" w:rsidRPr="00000000" w14:paraId="0000001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5"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manifestando en las resoluciones que los testimonios de denunciante y acompañante, son sospechosos, imparciales o carentes de credibilidad, no tomando esta postura ante los profesionales denunciados. </w:t>
      </w:r>
    </w:p>
    <w:p w:rsidR="00000000" w:rsidDel="00000000" w:rsidP="00000000" w:rsidRDefault="00000000" w:rsidRPr="00000000" w14:paraId="0000001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9"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en algunos casos, quienes informan en las resoluciones son profesionales que forman parte del MSP y se encuentran en relaciones laborales con las mismas instituciones denunciadas. </w:t>
      </w:r>
    </w:p>
    <w:p w:rsidR="00000000" w:rsidDel="00000000" w:rsidP="00000000" w:rsidRDefault="00000000" w:rsidRPr="00000000" w14:paraId="0000001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360" w:lineRule="auto"/>
        <w:ind w:left="1440" w:right="9"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manifestando en las resoluciones que no compete al Ministerio resolver ante el caso en cuestión, sino al Tribunal de Ética Médica, y el Tribunal de Ética manifestando que es competencia del MSP (en el mismo caso). </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5" w:hanging="360"/>
        <w:jc w:val="both"/>
        <w:rPr>
          <w:i w:val="0"/>
          <w:smallCaps w:val="0"/>
          <w:strike w:val="0"/>
          <w:color w:val="333333"/>
          <w:shd w:fill="auto" w:val="clear"/>
          <w:vertAlign w:val="baseline"/>
        </w:rPr>
      </w:pPr>
      <w:r w:rsidDel="00000000" w:rsidR="00000000" w:rsidRPr="00000000">
        <w:rPr>
          <w:i w:val="0"/>
          <w:smallCaps w:val="0"/>
          <w:strike w:val="0"/>
          <w:color w:val="333333"/>
          <w:u w:val="none"/>
          <w:shd w:fill="auto" w:val="clear"/>
          <w:vertAlign w:val="baseline"/>
          <w:rtl w:val="0"/>
        </w:rPr>
        <w:t xml:space="preserve">Ausencia de sanciones ante situaciones de violaciones constatadas, o de acciones por parte del Estado para prevenir este tipo de violencia en Uruguay como recomienda la Organización Mundial de la Salud en reiterados documentos</w:t>
      </w:r>
      <w:r w:rsidDel="00000000" w:rsidR="00000000" w:rsidRPr="00000000">
        <w:rPr>
          <w:i w:val="0"/>
          <w:smallCaps w:val="0"/>
          <w:strike w:val="0"/>
          <w:color w:val="333333"/>
          <w:u w:val="none"/>
          <w:shd w:fill="auto" w:val="clear"/>
          <w:vertAlign w:val="superscript"/>
        </w:rPr>
        <w:footnoteReference w:customMarkFollows="0" w:id="0"/>
      </w:r>
      <w:r w:rsidDel="00000000" w:rsidR="00000000" w:rsidRPr="00000000">
        <w:rPr>
          <w:i w:val="0"/>
          <w:smallCaps w:val="0"/>
          <w:strike w:val="0"/>
          <w:color w:val="333333"/>
          <w:u w:val="none"/>
          <w:shd w:fill="auto" w:val="clear"/>
          <w:vertAlign w:val="superscript"/>
          <w:rtl w:val="0"/>
        </w:rPr>
        <w:t xml:space="preserve"> </w:t>
      </w:r>
      <w:r w:rsidDel="00000000" w:rsidR="00000000" w:rsidRPr="00000000">
        <w:rPr>
          <w:i w:val="0"/>
          <w:smallCaps w:val="0"/>
          <w:strike w:val="0"/>
          <w:color w:val="333333"/>
          <w:u w:val="none"/>
          <w:shd w:fill="auto" w:val="clear"/>
          <w:vertAlign w:val="baseline"/>
          <w:rtl w:val="0"/>
        </w:rPr>
        <w:t xml:space="preserve">o la ONU</w:t>
      </w:r>
      <w:r w:rsidDel="00000000" w:rsidR="00000000" w:rsidRPr="00000000">
        <w:rPr>
          <w:i w:val="0"/>
          <w:smallCaps w:val="0"/>
          <w:strike w:val="0"/>
          <w:color w:val="333333"/>
          <w:u w:val="none"/>
          <w:shd w:fill="auto" w:val="clear"/>
          <w:vertAlign w:val="superscript"/>
        </w:rPr>
        <w:footnoteReference w:customMarkFollows="0" w:id="1"/>
      </w:r>
      <w:r w:rsidDel="00000000" w:rsidR="00000000" w:rsidRPr="00000000">
        <w:rPr>
          <w:i w:val="0"/>
          <w:smallCaps w:val="0"/>
          <w:strike w:val="0"/>
          <w:color w:val="333333"/>
          <w:u w:val="none"/>
          <w:shd w:fill="auto" w:val="clear"/>
          <w:vertAlign w:val="baseline"/>
          <w:rtl w:val="0"/>
        </w:rPr>
        <w:t xml:space="preserve">, así como de servicios que brinden asesoramiento jurídico y psicológico a las usuarias afectadas. </w:t>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i w:val="0"/>
          <w:smallCaps w:val="0"/>
          <w:strike w:val="0"/>
          <w:color w:val="333333"/>
          <w:shd w:fill="auto" w:val="clear"/>
          <w:vertAlign w:val="baseline"/>
        </w:rPr>
      </w:pPr>
      <w:r w:rsidDel="00000000" w:rsidR="00000000" w:rsidRPr="00000000">
        <w:rPr>
          <w:color w:val="333333"/>
          <w:u w:val="single"/>
          <w:rtl w:val="0"/>
        </w:rPr>
        <w:t xml:space="preserve">Discriminación en el ámbito laboral.</w:t>
      </w:r>
      <w:r w:rsidDel="00000000" w:rsidR="00000000" w:rsidRPr="00000000">
        <w:rPr>
          <w:color w:val="333333"/>
          <w:rtl w:val="0"/>
        </w:rPr>
        <w:t xml:space="preserve"> </w:t>
      </w:r>
      <w:r w:rsidDel="00000000" w:rsidR="00000000" w:rsidRPr="00000000">
        <w:rPr>
          <w:i w:val="0"/>
          <w:smallCaps w:val="0"/>
          <w:strike w:val="0"/>
          <w:color w:val="333333"/>
          <w:u w:val="none"/>
          <w:shd w:fill="auto" w:val="clear"/>
          <w:vertAlign w:val="baseline"/>
          <w:rtl w:val="0"/>
        </w:rPr>
        <w:t xml:space="preserve">Respecto al tema, se ha con</w:t>
      </w:r>
      <w:r w:rsidDel="00000000" w:rsidR="00000000" w:rsidRPr="00000000">
        <w:rPr>
          <w:color w:val="333333"/>
          <w:rtl w:val="0"/>
        </w:rPr>
        <w:t xml:space="preserve">statado una violación</w:t>
      </w:r>
      <w:r w:rsidDel="00000000" w:rsidR="00000000" w:rsidRPr="00000000">
        <w:rPr>
          <w:i w:val="0"/>
          <w:smallCaps w:val="0"/>
          <w:strike w:val="0"/>
          <w:color w:val="333333"/>
          <w:u w:val="none"/>
          <w:shd w:fill="auto" w:val="clear"/>
          <w:vertAlign w:val="baseline"/>
          <w:rtl w:val="0"/>
        </w:rPr>
        <w:t xml:space="preserve"> de derechos en la lactancia y la extensión de la reducción del horario laboral por lactancia más allá del año de vida del bebé</w:t>
      </w:r>
      <w:r w:rsidDel="00000000" w:rsidR="00000000" w:rsidRPr="00000000">
        <w:rPr>
          <w:color w:val="333333"/>
          <w:rtl w:val="0"/>
        </w:rPr>
        <w:t xml:space="preserve">. S</w:t>
      </w:r>
      <w:r w:rsidDel="00000000" w:rsidR="00000000" w:rsidRPr="00000000">
        <w:rPr>
          <w:i w:val="0"/>
          <w:smallCaps w:val="0"/>
          <w:strike w:val="0"/>
          <w:color w:val="333333"/>
          <w:u w:val="none"/>
          <w:shd w:fill="auto" w:val="clear"/>
          <w:vertAlign w:val="baseline"/>
          <w:rtl w:val="0"/>
        </w:rPr>
        <w:t xml:space="preserve">egún lo establecido en nuestra normativa, y que se adecúa a estándares internacionales, las mujeres que se </w:t>
      </w:r>
      <w:r w:rsidDel="00000000" w:rsidR="00000000" w:rsidRPr="00000000">
        <w:rPr>
          <w:color w:val="333333"/>
          <w:rtl w:val="0"/>
        </w:rPr>
        <w:t xml:space="preserve">encuentran</w:t>
      </w:r>
      <w:r w:rsidDel="00000000" w:rsidR="00000000" w:rsidRPr="00000000">
        <w:rPr>
          <w:i w:val="0"/>
          <w:smallCaps w:val="0"/>
          <w:strike w:val="0"/>
          <w:color w:val="333333"/>
          <w:u w:val="none"/>
          <w:shd w:fill="auto" w:val="clear"/>
          <w:vertAlign w:val="baseline"/>
          <w:rtl w:val="0"/>
        </w:rPr>
        <w:t xml:space="preserve"> en per</w:t>
      </w:r>
      <w:r w:rsidDel="00000000" w:rsidR="00000000" w:rsidRPr="00000000">
        <w:rPr>
          <w:color w:val="333333"/>
          <w:rtl w:val="0"/>
        </w:rPr>
        <w:t xml:space="preserve">íodo de lactancia, y son funcionarias de determinados organismos del Estado, cuentan con el beneficio del medio horario laboral, hasta los 9 meses del bebé en algunos casos, y en otros, hasta por lo menos los dos años. Hay muchas mujeres en situación de poder gozar de ese medio horario más allá de los 6 meses del bebé (como sucede en el ámbito privado) pero se han visto retaceadas, decidiendo los organismos estatales por reglamentación interna, limitar dicho derecho, en algunos casos al año de vida del bebé, lo cual es contradictorio con la normativa vigente. </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i w:val="0"/>
          <w:smallCaps w:val="0"/>
          <w:strike w:val="0"/>
          <w:color w:val="333333"/>
          <w:shd w:fill="auto" w:val="clear"/>
          <w:vertAlign w:val="baseline"/>
        </w:rPr>
      </w:pPr>
      <w:r w:rsidDel="00000000" w:rsidR="00000000" w:rsidRPr="00000000">
        <w:rPr>
          <w:color w:val="333333"/>
          <w:rtl w:val="0"/>
        </w:rPr>
        <w:t xml:space="preserve">Por este motivo </w:t>
      </w:r>
      <w:r w:rsidDel="00000000" w:rsidR="00000000" w:rsidRPr="00000000">
        <w:rPr>
          <w:i w:val="0"/>
          <w:smallCaps w:val="0"/>
          <w:strike w:val="0"/>
          <w:color w:val="333333"/>
          <w:u w:val="none"/>
          <w:shd w:fill="auto" w:val="clear"/>
          <w:vertAlign w:val="baseline"/>
          <w:rtl w:val="0"/>
        </w:rPr>
        <w:t xml:space="preserve">se presentó una denuncia colectiva ante la Institución Nacional de Derechos Humanos y Defensoría del Pueblo, ya que múltiples organismos estatales y entes autónomos y descentralizados del Estado, no estaban cumpliendo con la normativa, implicando así una discriminación hacia la mujer, quien en muchos casos deb</w:t>
      </w:r>
      <w:r w:rsidDel="00000000" w:rsidR="00000000" w:rsidRPr="00000000">
        <w:rPr>
          <w:color w:val="333333"/>
          <w:rtl w:val="0"/>
        </w:rPr>
        <w:t xml:space="preserve">e</w:t>
      </w:r>
      <w:r w:rsidDel="00000000" w:rsidR="00000000" w:rsidRPr="00000000">
        <w:rPr>
          <w:i w:val="0"/>
          <w:smallCaps w:val="0"/>
          <w:strike w:val="0"/>
          <w:color w:val="333333"/>
          <w:u w:val="none"/>
          <w:shd w:fill="auto" w:val="clear"/>
          <w:vertAlign w:val="baseline"/>
          <w:rtl w:val="0"/>
        </w:rPr>
        <w:t xml:space="preserve"> elegir entre su derecho a trabajar, o su derecho a mantener la lactancia o los cuidados de sus bebés de pocos meses de edad. De esta manera, la INDDHH, emitió una resolución solicitando que los organismos adecuaran sus reglamentos internos a la normativa nacional. Sin embargo, solo la Intendencia de Montevideo y el Ministerio de Defensa han aplicado las recomendaciones, mientras el resto de los organismos no ha dado respuesta. </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Asimismo es válido aclarar que nuestra normativa estipula que para el caso de las mujeres que trabajan en el ámbito privado, solo cuentan con 3 meses de licencia maternal y pueden gozar de medio horario laboral hasta que el/la bebé cumpla los 6 meses de vida. Es una clara contradicción y discriminación que se hace entre mujeres, no existiendo fundamento para ello.</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i w:val="0"/>
          <w:smallCaps w:val="0"/>
          <w:strike w:val="0"/>
          <w:color w:val="333333"/>
          <w:shd w:fill="auto" w:val="clear"/>
          <w:vertAlign w:val="baseline"/>
        </w:rPr>
      </w:pPr>
      <w:r w:rsidDel="00000000" w:rsidR="00000000" w:rsidRPr="00000000">
        <w:rPr>
          <w:color w:val="333333"/>
          <w:u w:val="single"/>
          <w:rtl w:val="0"/>
        </w:rPr>
        <w:t xml:space="preserve">Violencia obstétrica por intervenciones innecesarias.</w:t>
      </w:r>
      <w:r w:rsidDel="00000000" w:rsidR="00000000" w:rsidRPr="00000000">
        <w:rPr>
          <w:color w:val="333333"/>
          <w:rtl w:val="0"/>
        </w:rPr>
        <w:t xml:space="preserve"> </w:t>
      </w:r>
      <w:r w:rsidDel="00000000" w:rsidR="00000000" w:rsidRPr="00000000">
        <w:rPr>
          <w:i w:val="0"/>
          <w:smallCaps w:val="0"/>
          <w:strike w:val="0"/>
          <w:color w:val="333333"/>
          <w:u w:val="none"/>
          <w:shd w:fill="auto" w:val="clear"/>
          <w:vertAlign w:val="baseline"/>
          <w:rtl w:val="0"/>
        </w:rPr>
        <w:t xml:space="preserve">Se viene dando un fenómeno de crecimiento de las tasas de cesáreas, largamente por encima de lo recomendado por la OMS. Según datos de las estadísticas vitales del MSP, la tasa de cesárea del país (en toda la salud, pública y privada) se encuentra en 49,1%. En algunas instituciones de salud privada, se encuentran porcentajes de parto por cesárea que oscilan entre las irrisorias cifras de entre un 70% y 75%.</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Las instituciones de salud han hecho caso omiso a los cuestionamientos por parte de las propias mujeres, y de la sociedad civil. Continúan manifestando que puede ser por múltiples factores, e incluyen entre esos factores, que la propia mujer pide la cesárea en determinadas circunstancias.</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Por nuestra parte, podemos manifestar que muchas mujeres que llegan a nuestra consulta, manifiestan haberse sentido forzadas a terminar el parto por cesárea, a través de violencia psicológica, como pueden ser la ocurrencia de una cascada de intervenciones innecesarias (por ejemplo rotura de membranas, inducción al parto cuando aún no había iniciado el trabajo de parto), que culminan en la cesárea porque la mujer ya no aguanta más el dolor por tanta intervención, o porque la violencia psicológica ejercida ha sido tal, que la mujer teme por la vida de su bebé, y accede a la intervención. También se nos han presentado casos donde el maltrato ha sido explícito, generando un trauma en la mujer, que en muchos casos deciden no tener más bebés, o quedan sumidas en una gran angustia, dando paso al TEPT a causa de la violencia obstétrica sufrida.</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En muchos casos además, las intervenciones se realizan sin llevar adelante el consentimiento informado, lo cual también es una violación a los derechos de la mujer, o no se registran todas las intervenciones en las historias clínicas, lo cual repercute en una falta de acceso a la justicia, dejando a la mujer nuevamente en indefensión.</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i w:val="0"/>
          <w:smallCaps w:val="0"/>
          <w:strike w:val="0"/>
          <w:color w:val="333333"/>
          <w:shd w:fill="auto" w:val="clear"/>
          <w:vertAlign w:val="baseline"/>
        </w:rPr>
      </w:pPr>
      <w:r w:rsidDel="00000000" w:rsidR="00000000" w:rsidRPr="00000000">
        <w:rPr>
          <w:color w:val="333333"/>
          <w:u w:val="single"/>
          <w:rtl w:val="0"/>
        </w:rPr>
        <w:t xml:space="preserve">Situación de mujeres en zonas alejadas de la capital.</w:t>
      </w:r>
      <w:r w:rsidDel="00000000" w:rsidR="00000000" w:rsidRPr="00000000">
        <w:rPr>
          <w:color w:val="333333"/>
          <w:rtl w:val="0"/>
        </w:rPr>
        <w:t xml:space="preserve"> </w:t>
      </w:r>
      <w:r w:rsidDel="00000000" w:rsidR="00000000" w:rsidRPr="00000000">
        <w:rPr>
          <w:i w:val="0"/>
          <w:smallCaps w:val="0"/>
          <w:strike w:val="0"/>
          <w:color w:val="333333"/>
          <w:u w:val="none"/>
          <w:shd w:fill="auto" w:val="clear"/>
          <w:vertAlign w:val="baseline"/>
          <w:rtl w:val="0"/>
        </w:rPr>
        <w:t xml:space="preserve">Es necesario destacar la penosa situación que viven mujeres de ciudades, pueblos, villas alejadas de la capital del país, donde no cuentan con centros de salud con maternidad, o si tienen maternidad, el equipo de salud necesario según el MSP para la atención de mujeres en trabajo de parto, no se encuentra completo más que un día a la semana. En esos casos se puede notar un aumento en la programación de cesáreas, por la simple razón de que buscan asegurarse de que el equipo esté completo. Pero si la mujer inicia su trabajo de parto y el equipo no está completo, o no se cuenta con una maternidad en las zonas aledañas, deben realizarse traslados de distancias mayores a 30 kilómetros, con las consecuencias contraproducentes que esto tiene para el bienestar de la mujer en dicha situación.</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i w:val="0"/>
          <w:smallCaps w:val="0"/>
          <w:strike w:val="0"/>
          <w:color w:val="333333"/>
          <w:shd w:fill="auto" w:val="clear"/>
          <w:vertAlign w:val="baseline"/>
        </w:rPr>
      </w:pPr>
      <w:r w:rsidDel="00000000" w:rsidR="00000000" w:rsidRPr="00000000">
        <w:rPr>
          <w:color w:val="333333"/>
          <w:u w:val="single"/>
          <w:rtl w:val="0"/>
        </w:rPr>
        <w:t xml:space="preserve">Situación durante la pandemia por Covid-19.</w:t>
      </w:r>
      <w:r w:rsidDel="00000000" w:rsidR="00000000" w:rsidRPr="00000000">
        <w:rPr>
          <w:color w:val="333333"/>
          <w:rtl w:val="0"/>
        </w:rPr>
        <w:t xml:space="preserve"> </w:t>
      </w:r>
      <w:r w:rsidDel="00000000" w:rsidR="00000000" w:rsidRPr="00000000">
        <w:rPr>
          <w:i w:val="0"/>
          <w:smallCaps w:val="0"/>
          <w:strike w:val="0"/>
          <w:color w:val="333333"/>
          <w:u w:val="none"/>
          <w:shd w:fill="auto" w:val="clear"/>
          <w:vertAlign w:val="baseline"/>
          <w:rtl w:val="0"/>
        </w:rPr>
        <w:t xml:space="preserve">Cabe destacar que durante la pandemia por covid-19, la situación de violencia obstétrica tomó ribetes particulares, donde la violación de derechos humanos tomó altos grados de naturalización, muy superiores a los habituales, con poca respuesta estatal concreta frente a ello. Las situaciones eran las siguientes: prohibición de acompañantes durante controles de rutina, ecografías, trabajo de parto y parto, violando la ley 17.386, llegando al punto de solicitar que un guardia de seguridad estuviera en la sala de espera de las maternidades, para asegurarse que las mujeres estuvieran sin sus acompañantes; incremento en los malos tratos y tratos humillantes por parte del personal de salud, durante todo el proceso de gestación, trabajo de parto y nacimiento, sobre todo si la mujer era diagnosticada con covid; separación de mujer y bebé al nacer, por precaución, o ante un diagnóstico de covid de la mujer, en contra de las recomendaciones de la OMS y la OPS; forzar a la programación de cesáreas ante un diagnóstico de covid de la mujer; exigir a mujeres y sus acompañantes, una vez que se permitió estar acompañadas, medidas de seguridad más exigentes que las solicitadas a otras personas pacientes o acompañantes, siendo ésto una clara discriminación hacia este sector de la población.</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u w:val="single"/>
          <w:rtl w:val="0"/>
        </w:rPr>
        <w:t xml:space="preserve">Conclusiones.</w:t>
      </w:r>
      <w:r w:rsidDel="00000000" w:rsidR="00000000" w:rsidRPr="00000000">
        <w:rPr>
          <w:color w:val="333333"/>
          <w:rtl w:val="0"/>
        </w:rPr>
        <w:t xml:space="preserve"> Desde Gestar Derechos consideramos de relevancia que el Comité, reciba la información antes detallada, y pueda realizar recomendaciones al Estado uruguayo, para que la situación de violencia obstétrica que sufren las mujeres, aún con leyes vigentes que las amparan, comience a desnaturalizarse. </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Entendemos importante que todo profesional o técnico de la salud que trabaje con mujeres en situación de embarazo, debe estar actualizado y sensibilizado en la temática, con perspectiva de género y de derechos humanos. El Estado es responsable de velar porque estas obligaciones, que ya se encuentran vigentes en disposiciones internacionales, así como nacionales, se cumplan.</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También es necesario que el Estado a través del Ministerio de Salud Pública, ejerza un control real de las situaciones denunciadas, aplicando sanciones cuando se constata el incumplimiento de la normativa vigente, debiendo tener presente que debe hacerse una lectura del caso, con la necesaria perspectiva de género, que hará entre otras cosas, comprender que no se debe valorar de igual forma la prueba producida por las instituciones de salud, que la producida por la mujer, ya que esta última se encuentra en clara desventaja, siendo la parte vulnerable dentro de la relación de poder que aún se ejerce en la salud en nuestro país.</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Asimismo consideramos importante destacar, que el Estado debe velar por la seguridad de las personas que denuncian y las personas técnicas que acompañan a las mismas, para evitar todo tipo de discriminación y violencia luego de que se realice la denuncia.</w:t>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7" w:hanging="360"/>
        <w:jc w:val="both"/>
        <w:rPr>
          <w:color w:val="333333"/>
        </w:rPr>
      </w:pPr>
      <w:r w:rsidDel="00000000" w:rsidR="00000000" w:rsidRPr="00000000">
        <w:rPr>
          <w:color w:val="333333"/>
          <w:rtl w:val="0"/>
        </w:rPr>
        <w:t xml:space="preserve">Es necesario que todos los organismos denunciados ante la INDDHH, adecuen sus reglamentaciones internas a lo solicitado por la misma, pero además consideramos también relevante, que el Poder Legislativo tome en consideración la discriminación jurídica que viven las mujeres que trabajan en el ámbito privado, implicando una diferencia sustantiva violatoria del principio de igualdad ante la ley.</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7" w:firstLine="0"/>
        <w:jc w:val="both"/>
        <w:rPr>
          <w:color w:val="333333"/>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7" w:firstLine="0"/>
        <w:jc w:val="both"/>
        <w:rPr>
          <w:color w:val="333333"/>
        </w:rPr>
      </w:pPr>
      <w:r w:rsidDel="00000000" w:rsidR="00000000" w:rsidRPr="00000000">
        <w:rPr>
          <w:color w:val="333333"/>
          <w:rtl w:val="0"/>
        </w:rPr>
        <w:t xml:space="preserve">Sin más que agregar, saluda cordialmente,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7" w:firstLine="0"/>
        <w:jc w:val="both"/>
        <w:rPr>
          <w:i w:val="1"/>
          <w:color w:val="333333"/>
        </w:rPr>
      </w:pPr>
      <w:r w:rsidDel="00000000" w:rsidR="00000000" w:rsidRPr="00000000">
        <w:rPr>
          <w:i w:val="1"/>
          <w:color w:val="333333"/>
          <w:rtl w:val="0"/>
        </w:rPr>
        <w:t xml:space="preserve">Gestar Derechos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7" w:firstLine="0"/>
        <w:jc w:val="both"/>
        <w:rPr>
          <w:i w:val="1"/>
          <w:color w:val="333333"/>
        </w:rPr>
      </w:pPr>
      <w:r w:rsidDel="00000000" w:rsidR="00000000" w:rsidRPr="00000000">
        <w:rPr>
          <w:i w:val="1"/>
          <w:color w:val="333333"/>
          <w:rtl w:val="0"/>
        </w:rPr>
        <w:t xml:space="preserve">gestarderechos.uy@gmail.com</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7" w:firstLine="0"/>
        <w:jc w:val="both"/>
        <w:rPr>
          <w:i w:val="1"/>
          <w:color w:val="333333"/>
        </w:rPr>
      </w:pPr>
      <w:r w:rsidDel="00000000" w:rsidR="00000000" w:rsidRPr="00000000">
        <w:rPr>
          <w:i w:val="1"/>
          <w:color w:val="333333"/>
          <w:rtl w:val="0"/>
        </w:rPr>
        <w:t xml:space="preserve">+598 99 582 442</w:t>
      </w:r>
    </w:p>
    <w:sectPr>
      <w:headerReference r:id="rId8" w:type="default"/>
      <w:footerReference r:id="rId9" w:type="default"/>
      <w:pgSz w:h="16840" w:w="11920" w:orient="portrait"/>
      <w:pgMar w:bottom="1484" w:top="1426" w:left="1441" w:right="1413"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Declaración del año 2014 sobre Prevención y erradicación de la falta de respeto y el maltrato durante la atención del parto en centros de salud; nuevo estudio sobre maltrato en el parto </w:t>
      </w:r>
      <w:hyperlink r:id="rId1">
        <w:r w:rsidDel="00000000" w:rsidR="00000000" w:rsidRPr="00000000">
          <w:rPr>
            <w:rFonts w:ascii="Arial" w:cs="Arial" w:eastAsia="Arial" w:hAnsi="Arial"/>
            <w:b w:val="0"/>
            <w:i w:val="0"/>
            <w:smallCaps w:val="0"/>
            <w:strike w:val="0"/>
            <w:color w:val="1155cc"/>
            <w:sz w:val="20"/>
            <w:szCs w:val="20"/>
            <w:u w:val="single"/>
            <w:shd w:fill="auto" w:val="clear"/>
            <w:vertAlign w:val="baseline"/>
            <w:rtl w:val="0"/>
          </w:rPr>
          <w:t xml:space="preserve">https://news.un.org/es/story/2022/03/1506052</w:t>
        </w:r>
      </w:hyperlink>
      <w:r w:rsidDel="00000000" w:rsidR="00000000" w:rsidRPr="00000000">
        <w:rPr>
          <w:rtl w:val="0"/>
        </w:rPr>
      </w:r>
    </w:p>
  </w:footnote>
  <w:footnote w:id="1">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sobre un enfoque basado en los derechos humanos del maltrato y la violencia obstétrica durante la atención del parto de la Relatora</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 Especial sobre la violencia contra la mujer, sus causas 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consecuencias.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tabs>
        <w:tab w:val="right" w:leader="none" w:pos="9020"/>
      </w:tabs>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2291720</wp:posOffset>
          </wp:positionH>
          <wp:positionV relativeFrom="paragraph">
            <wp:posOffset>114300</wp:posOffset>
          </wp:positionV>
          <wp:extent cx="1223010" cy="801282"/>
          <wp:effectExtent b="0" l="0" r="0" t="0"/>
          <wp:wrapNone/>
          <wp:docPr id="1" name="image1.png"/>
          <a:graphic>
            <a:graphicData uri="http://schemas.openxmlformats.org/drawingml/2006/picture">
              <pic:pic>
                <pic:nvPicPr>
                  <pic:cNvPr id="0" name="image1.png"/>
                  <pic:cNvPicPr preferRelativeResize="0"/>
                </pic:nvPicPr>
                <pic:blipFill>
                  <a:blip r:embed="rId1"/>
                  <a:srcRect b="14983" l="0" r="0" t="19515"/>
                  <a:stretch>
                    <a:fillRect/>
                  </a:stretch>
                </pic:blipFill>
                <pic:spPr>
                  <a:xfrm>
                    <a:off x="0" y="0"/>
                    <a:ext cx="1223010" cy="80128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smallCaps w:val="0"/>
        <w:strike w:val="0"/>
        <w:shd w:fill="auto" w:val="clear"/>
        <w:vertAlign w:val="baseline"/>
      </w:rPr>
    </w:lvl>
    <w:lvl w:ilvl="1">
      <w:start w:val="1"/>
      <w:numFmt w:val="lowerLetter"/>
      <w:lvlText w:val="%2."/>
      <w:lvlJc w:val="left"/>
      <w:pPr>
        <w:ind w:left="1440" w:hanging="360"/>
      </w:pPr>
      <w:rPr>
        <w:smallCaps w:val="0"/>
        <w:strike w:val="0"/>
        <w:shd w:fill="auto" w:val="clear"/>
        <w:vertAlign w:val="baseline"/>
      </w:rPr>
    </w:lvl>
    <w:lvl w:ilvl="2">
      <w:start w:val="1"/>
      <w:numFmt w:val="lowerRoman"/>
      <w:lvlText w:val="%3."/>
      <w:lvlJc w:val="left"/>
      <w:pPr>
        <w:ind w:left="2160" w:hanging="480"/>
      </w:pPr>
      <w:rPr>
        <w:smallCaps w:val="0"/>
        <w:strike w:val="0"/>
        <w:shd w:fill="auto" w:val="clear"/>
        <w:vertAlign w:val="baseline"/>
      </w:rPr>
    </w:lvl>
    <w:lvl w:ilvl="3">
      <w:start w:val="1"/>
      <w:numFmt w:val="decimal"/>
      <w:lvlText w:val="%4."/>
      <w:lvlJc w:val="left"/>
      <w:pPr>
        <w:ind w:left="2880" w:hanging="360"/>
      </w:pPr>
      <w:rPr>
        <w:smallCaps w:val="0"/>
        <w:strike w:val="0"/>
        <w:shd w:fill="auto" w:val="clear"/>
        <w:vertAlign w:val="baseline"/>
      </w:rPr>
    </w:lvl>
    <w:lvl w:ilvl="4">
      <w:start w:val="1"/>
      <w:numFmt w:val="lowerLetter"/>
      <w:lvlText w:val="%5."/>
      <w:lvlJc w:val="left"/>
      <w:pPr>
        <w:ind w:left="3600" w:hanging="360"/>
      </w:pPr>
      <w:rPr>
        <w:smallCaps w:val="0"/>
        <w:strike w:val="0"/>
        <w:shd w:fill="auto" w:val="clear"/>
        <w:vertAlign w:val="baseline"/>
      </w:rPr>
    </w:lvl>
    <w:lvl w:ilvl="5">
      <w:start w:val="1"/>
      <w:numFmt w:val="lowerRoman"/>
      <w:lvlText w:val="%6."/>
      <w:lvlJc w:val="left"/>
      <w:pPr>
        <w:ind w:left="4320" w:hanging="480"/>
      </w:pPr>
      <w:rPr>
        <w:smallCaps w:val="0"/>
        <w:strike w:val="0"/>
        <w:shd w:fill="auto" w:val="clear"/>
        <w:vertAlign w:val="baseline"/>
      </w:rPr>
    </w:lvl>
    <w:lvl w:ilvl="6">
      <w:start w:val="1"/>
      <w:numFmt w:val="decimal"/>
      <w:lvlText w:val="%7."/>
      <w:lvlJc w:val="left"/>
      <w:pPr>
        <w:ind w:left="5040" w:hanging="360"/>
      </w:pPr>
      <w:rPr>
        <w:smallCaps w:val="0"/>
        <w:strike w:val="0"/>
        <w:shd w:fill="auto" w:val="clear"/>
        <w:vertAlign w:val="baseline"/>
      </w:rPr>
    </w:lvl>
    <w:lvl w:ilvl="7">
      <w:start w:val="1"/>
      <w:numFmt w:val="lowerLetter"/>
      <w:lvlText w:val="%8."/>
      <w:lvlJc w:val="left"/>
      <w:pPr>
        <w:ind w:left="5760" w:hanging="360"/>
      </w:pPr>
      <w:rPr>
        <w:smallCaps w:val="0"/>
        <w:strike w:val="0"/>
        <w:shd w:fill="auto" w:val="clear"/>
        <w:vertAlign w:val="baseline"/>
      </w:rPr>
    </w:lvl>
    <w:lvl w:ilvl="8">
      <w:start w:val="1"/>
      <w:numFmt w:val="lowerRoman"/>
      <w:lvlText w:val="%9."/>
      <w:lvlJc w:val="left"/>
      <w:pPr>
        <w:ind w:left="6480" w:hanging="480"/>
      </w:pPr>
      <w:rPr>
        <w:smallCaps w:val="0"/>
        <w:strike w:val="0"/>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Encabezado y pie">
    <w:name w:val="Encabezado y pie"/>
    <w:next w:val="Encabezado y pie"/>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paragraph" w:styleId="Cuerpo">
    <w:name w:val="Cuerpo"/>
    <w:next w:val="Cuerpo"/>
    <w:pPr>
      <w:keepNext w:val="0"/>
      <w:keepLines w:val="0"/>
      <w:pageBreakBefore w:val="0"/>
      <w:widowControl w:val="1"/>
      <w:shd w:color="auto" w:fill="auto" w:val="clear"/>
      <w:suppressAutoHyphens w:val="0"/>
      <w:bidi w:val="0"/>
      <w:spacing w:after="0" w:before="0" w:line="276" w:lineRule="auto"/>
      <w:ind w:left="0" w:right="0" w:firstLine="0"/>
      <w:jc w:val="left"/>
      <w:outlineLvl w:val="9"/>
    </w:pPr>
    <w:rPr>
      <w:rFonts w:ascii="Arial" w:cs="Arial Unicode MS" w:eastAsia="Arial Unicode MS" w:hAnsi="Arial"/>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14:textFill>
        <w14:solidFill>
          <w14:srgbClr w14:val="000000"/>
        </w14:solidFill>
      </w14:textFill>
      <w14:textOutline>
        <w14:noFill/>
      </w14:textOutline>
    </w:rPr>
  </w:style>
  <w:style w:type="character" w:styleId="Ninguno">
    <w:name w:val="Ninguno"/>
  </w:style>
  <w:style w:type="numbering" w:styleId="Estilo importado 1">
    <w:name w:val="Estilo importado 1"/>
    <w:pPr>
      <w:numPr>
        <w:numId w:val="1"/>
      </w:numPr>
    </w:pPr>
  </w:style>
  <w:style w:type="character" w:styleId="Hyperlink.0">
    <w:name w:val="Hyperlink.0"/>
    <w:basedOn w:val="Ninguno"/>
    <w:next w:val="Hyperlink.0"/>
    <w:rPr>
      <w:outline w:val="0"/>
      <w:color w:val="1155cc"/>
      <w:sz w:val="20"/>
      <w:szCs w:val="20"/>
      <w:u w:color="1155cc" w:val="single"/>
      <w14:textFill>
        <w14:solidFill>
          <w14:srgbClr w14:val="1155CC"/>
        </w14:solidFill>
      </w14:textFil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news.un.org/es/story/2022/03/15060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121LFI6wTqfSPke03GOvXIK2OA==">CgMxLjA4AHIhMTFoRkFHcFZacHZGV1NfWHQ2OVlkNFhCUlFBei1lN20y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