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6F1" w:rsidRPr="00BB56F1" w:rsidRDefault="00BB56F1" w:rsidP="00BB56F1">
      <w:pPr>
        <w:jc w:val="center"/>
        <w:rPr>
          <w:rFonts w:ascii="Times New Roman" w:hAnsi="Times New Roman" w:cs="Times New Roman"/>
          <w:b/>
          <w:sz w:val="28"/>
          <w:szCs w:val="28"/>
          <w:u w:val="single"/>
        </w:rPr>
      </w:pPr>
      <w:r w:rsidRPr="00BB56F1">
        <w:rPr>
          <w:rFonts w:ascii="Times New Roman" w:hAnsi="Times New Roman" w:cs="Times New Roman"/>
          <w:b/>
          <w:sz w:val="28"/>
          <w:szCs w:val="28"/>
          <w:u w:val="single"/>
        </w:rPr>
        <w:t>Información complementaria V y VI Informe Periódico de la República Argentina ante el Comité de los Derechos del Niño</w:t>
      </w:r>
    </w:p>
    <w:p w:rsidR="00BB56F1" w:rsidRDefault="00BB56F1" w:rsidP="009A5C79">
      <w:pPr>
        <w:jc w:val="both"/>
        <w:rPr>
          <w:rFonts w:ascii="Times New Roman" w:hAnsi="Times New Roman" w:cs="Times New Roman"/>
          <w:b/>
          <w:sz w:val="24"/>
          <w:szCs w:val="24"/>
        </w:rPr>
      </w:pPr>
    </w:p>
    <w:p w:rsidR="009A5C79" w:rsidRPr="002D6E3C" w:rsidRDefault="009A5C79" w:rsidP="009A5C79">
      <w:pPr>
        <w:jc w:val="both"/>
        <w:rPr>
          <w:rFonts w:ascii="Times New Roman" w:hAnsi="Times New Roman" w:cs="Times New Roman"/>
          <w:b/>
          <w:sz w:val="24"/>
          <w:szCs w:val="24"/>
        </w:rPr>
      </w:pPr>
      <w:r w:rsidRPr="002D6E3C">
        <w:rPr>
          <w:rFonts w:ascii="Times New Roman" w:hAnsi="Times New Roman" w:cs="Times New Roman"/>
          <w:b/>
          <w:sz w:val="24"/>
          <w:szCs w:val="24"/>
        </w:rPr>
        <w:t>Consejo Federa</w:t>
      </w:r>
      <w:r w:rsidR="00E70008">
        <w:rPr>
          <w:rFonts w:ascii="Times New Roman" w:hAnsi="Times New Roman" w:cs="Times New Roman"/>
          <w:b/>
          <w:sz w:val="24"/>
          <w:szCs w:val="24"/>
        </w:rPr>
        <w:t>l</w:t>
      </w:r>
      <w:r w:rsidRPr="002D6E3C">
        <w:rPr>
          <w:rFonts w:ascii="Times New Roman" w:hAnsi="Times New Roman" w:cs="Times New Roman"/>
          <w:b/>
          <w:sz w:val="24"/>
          <w:szCs w:val="24"/>
        </w:rPr>
        <w:t xml:space="preserve"> de Niñez, Adolescencia y familia - COFENAF</w:t>
      </w:r>
    </w:p>
    <w:p w:rsidR="00DB1DEB" w:rsidRPr="002D6E3C" w:rsidRDefault="009A5C79" w:rsidP="00424ECD">
      <w:pPr>
        <w:spacing w:after="0" w:line="240" w:lineRule="auto"/>
        <w:ind w:firstLine="709"/>
        <w:jc w:val="both"/>
        <w:rPr>
          <w:rFonts w:ascii="Times New Roman" w:hAnsi="Times New Roman" w:cs="Times New Roman"/>
          <w:sz w:val="24"/>
          <w:szCs w:val="24"/>
        </w:rPr>
      </w:pPr>
      <w:r w:rsidRPr="002D6E3C">
        <w:rPr>
          <w:rFonts w:ascii="Times New Roman" w:hAnsi="Times New Roman" w:cs="Times New Roman"/>
          <w:sz w:val="24"/>
          <w:szCs w:val="24"/>
        </w:rPr>
        <w:t xml:space="preserve">El </w:t>
      </w:r>
      <w:r w:rsidR="00DB1DEB" w:rsidRPr="002D6E3C">
        <w:rPr>
          <w:rFonts w:ascii="Times New Roman" w:hAnsi="Times New Roman" w:cs="Times New Roman"/>
          <w:sz w:val="24"/>
          <w:szCs w:val="24"/>
        </w:rPr>
        <w:t xml:space="preserve">COFENAF </w:t>
      </w:r>
      <w:r w:rsidRPr="002D6E3C">
        <w:rPr>
          <w:rFonts w:ascii="Times New Roman" w:hAnsi="Times New Roman" w:cs="Times New Roman"/>
          <w:sz w:val="24"/>
          <w:szCs w:val="24"/>
        </w:rPr>
        <w:t xml:space="preserve">desarrolla </w:t>
      </w:r>
      <w:r w:rsidR="00DB1DEB" w:rsidRPr="002D6E3C">
        <w:rPr>
          <w:rFonts w:ascii="Times New Roman" w:hAnsi="Times New Roman" w:cs="Times New Roman"/>
          <w:sz w:val="24"/>
          <w:szCs w:val="24"/>
        </w:rPr>
        <w:t xml:space="preserve">relacionamientos permanentes </w:t>
      </w:r>
      <w:r w:rsidRPr="002D6E3C">
        <w:rPr>
          <w:rFonts w:ascii="Times New Roman" w:hAnsi="Times New Roman" w:cs="Times New Roman"/>
          <w:sz w:val="24"/>
          <w:szCs w:val="24"/>
        </w:rPr>
        <w:t xml:space="preserve">con otros organismos e instancias </w:t>
      </w:r>
      <w:r w:rsidR="0005347B" w:rsidRPr="002D6E3C">
        <w:rPr>
          <w:rFonts w:ascii="Times New Roman" w:hAnsi="Times New Roman" w:cs="Times New Roman"/>
          <w:sz w:val="24"/>
          <w:szCs w:val="24"/>
        </w:rPr>
        <w:t xml:space="preserve">en dos sentidos, pronunciamientos del CONFENAF como órgano federal rector de política pública hacia otros organismos, como el llamado a pronunciamientos dentro del COFENAF de los expertos y/o responsables primarios de las temáticas identificadas en la agenda pública. Ejemplos del primer ejemplo son la Nota COFENAF elevada al presidente de la cámara de senadores solicitando la derogación del régimen penal de Minoridad o el nombramiento del Defensor de los derechos del Niño; y ejemplos del segundo son las continuas intervenciones en su seno de organismos nacionales como ANSES, SEDRONAR, Misterio de Educación, </w:t>
      </w:r>
      <w:r w:rsidR="004C4102" w:rsidRPr="002D6E3C">
        <w:rPr>
          <w:rFonts w:ascii="Times New Roman" w:hAnsi="Times New Roman" w:cs="Times New Roman"/>
          <w:sz w:val="24"/>
          <w:szCs w:val="24"/>
        </w:rPr>
        <w:t xml:space="preserve">Ministerio de Salud, </w:t>
      </w:r>
      <w:r w:rsidR="0005347B" w:rsidRPr="002D6E3C">
        <w:rPr>
          <w:rFonts w:ascii="Times New Roman" w:hAnsi="Times New Roman" w:cs="Times New Roman"/>
          <w:sz w:val="24"/>
          <w:szCs w:val="24"/>
        </w:rPr>
        <w:t xml:space="preserve">etc.  </w:t>
      </w:r>
      <w:r w:rsidR="004C4102" w:rsidRPr="002D6E3C">
        <w:rPr>
          <w:rFonts w:ascii="Times New Roman" w:hAnsi="Times New Roman" w:cs="Times New Roman"/>
          <w:sz w:val="24"/>
          <w:szCs w:val="24"/>
        </w:rPr>
        <w:t xml:space="preserve">Asimismo en el PNA 2016-2016, se identificó la meta “2.8.1 Establecer la articulación entre el Consejo Federal de Niñez, Adolescencia y familia y los Consejos Federales que se relacionen con las niñas, niños y adolescentes del país, como el Consejo Federal de Salud, Educación, drogas, etc.” como forma de fortalecer los sistemas de protección. </w:t>
      </w:r>
    </w:p>
    <w:p w:rsidR="00424ECD" w:rsidRDefault="00424ECD" w:rsidP="00424ECD">
      <w:pPr>
        <w:spacing w:after="0" w:line="240" w:lineRule="auto"/>
        <w:jc w:val="both"/>
        <w:rPr>
          <w:rFonts w:ascii="Times New Roman" w:hAnsi="Times New Roman" w:cs="Times New Roman"/>
          <w:b/>
          <w:sz w:val="24"/>
          <w:szCs w:val="24"/>
        </w:rPr>
      </w:pPr>
    </w:p>
    <w:p w:rsidR="009A5C79" w:rsidRPr="002D6E3C" w:rsidRDefault="009A5C79" w:rsidP="00424ECD">
      <w:pPr>
        <w:spacing w:after="0" w:line="240" w:lineRule="auto"/>
        <w:jc w:val="both"/>
        <w:rPr>
          <w:rFonts w:ascii="Times New Roman" w:hAnsi="Times New Roman" w:cs="Times New Roman"/>
          <w:b/>
          <w:sz w:val="24"/>
          <w:szCs w:val="24"/>
        </w:rPr>
      </w:pPr>
      <w:r w:rsidRPr="002D6E3C">
        <w:rPr>
          <w:rFonts w:ascii="Times New Roman" w:hAnsi="Times New Roman" w:cs="Times New Roman"/>
          <w:b/>
          <w:sz w:val="24"/>
          <w:szCs w:val="24"/>
        </w:rPr>
        <w:t>Plan Nacional de Acción para la Protección integral de Niñas, Niños y Adolescentes 2016-2019</w:t>
      </w:r>
      <w:r w:rsidR="00AF02FA" w:rsidRPr="002D6E3C">
        <w:rPr>
          <w:rFonts w:ascii="Times New Roman" w:hAnsi="Times New Roman" w:cs="Times New Roman"/>
          <w:b/>
          <w:sz w:val="24"/>
          <w:szCs w:val="24"/>
        </w:rPr>
        <w:t xml:space="preserve"> – PNA </w:t>
      </w:r>
    </w:p>
    <w:p w:rsidR="004C4102" w:rsidRPr="002D6E3C" w:rsidRDefault="004C4102" w:rsidP="00424ECD">
      <w:pPr>
        <w:spacing w:after="0" w:line="240" w:lineRule="auto"/>
        <w:ind w:firstLine="709"/>
        <w:jc w:val="both"/>
        <w:rPr>
          <w:rFonts w:ascii="Times New Roman" w:hAnsi="Times New Roman" w:cs="Times New Roman"/>
          <w:sz w:val="24"/>
          <w:szCs w:val="24"/>
        </w:rPr>
      </w:pPr>
      <w:r w:rsidRPr="002D6E3C">
        <w:rPr>
          <w:rFonts w:ascii="Times New Roman" w:hAnsi="Times New Roman" w:cs="Times New Roman"/>
          <w:sz w:val="24"/>
          <w:szCs w:val="24"/>
        </w:rPr>
        <w:t>Si se hizo la evaluación del plan 2008-2015 y se aprobó todo lo actuado en el COFENAF. Las metas incumplidas se encuentran en el PNA 2016-2019 y fueron consensuadas en el interior del COFENAF con la participación de adolescentes de todas las provincias. El presupuesto asignado es el de todo el sistema de protección de la Nación y las provincias</w:t>
      </w:r>
      <w:r w:rsidR="009A5C79" w:rsidRPr="002D6E3C">
        <w:rPr>
          <w:rFonts w:ascii="Times New Roman" w:hAnsi="Times New Roman" w:cs="Times New Roman"/>
          <w:sz w:val="24"/>
          <w:szCs w:val="24"/>
        </w:rPr>
        <w:t xml:space="preserve"> y s</w:t>
      </w:r>
      <w:r w:rsidRPr="002D6E3C">
        <w:rPr>
          <w:rFonts w:ascii="Times New Roman" w:hAnsi="Times New Roman" w:cs="Times New Roman"/>
          <w:sz w:val="24"/>
          <w:szCs w:val="24"/>
        </w:rPr>
        <w:t xml:space="preserve">e prevé evaluaciones permanentes tal como lo indica la metodología implementada.  </w:t>
      </w:r>
    </w:p>
    <w:p w:rsidR="00424ECD" w:rsidRDefault="00424ECD" w:rsidP="00424ECD">
      <w:pPr>
        <w:spacing w:after="0" w:line="240" w:lineRule="auto"/>
        <w:jc w:val="both"/>
        <w:rPr>
          <w:rFonts w:ascii="Times New Roman" w:hAnsi="Times New Roman" w:cs="Times New Roman"/>
          <w:b/>
          <w:sz w:val="24"/>
          <w:szCs w:val="24"/>
        </w:rPr>
      </w:pPr>
    </w:p>
    <w:p w:rsidR="009A5C79" w:rsidRPr="002D6E3C" w:rsidRDefault="009A5C79" w:rsidP="00424ECD">
      <w:pPr>
        <w:spacing w:after="0" w:line="240" w:lineRule="auto"/>
        <w:jc w:val="both"/>
        <w:rPr>
          <w:rFonts w:ascii="Times New Roman" w:hAnsi="Times New Roman" w:cs="Times New Roman"/>
          <w:b/>
          <w:sz w:val="24"/>
          <w:szCs w:val="24"/>
        </w:rPr>
      </w:pPr>
      <w:r w:rsidRPr="002D6E3C">
        <w:rPr>
          <w:rFonts w:ascii="Times New Roman" w:hAnsi="Times New Roman" w:cs="Times New Roman"/>
          <w:b/>
          <w:sz w:val="24"/>
          <w:szCs w:val="24"/>
        </w:rPr>
        <w:t xml:space="preserve">Plan Nacional de Primera Infancia </w:t>
      </w:r>
    </w:p>
    <w:p w:rsidR="004C4102" w:rsidRPr="002D6E3C" w:rsidRDefault="009A5C79" w:rsidP="00424ECD">
      <w:pPr>
        <w:spacing w:after="0" w:line="240" w:lineRule="auto"/>
        <w:ind w:firstLine="709"/>
        <w:jc w:val="both"/>
        <w:rPr>
          <w:rFonts w:ascii="Times New Roman" w:hAnsi="Times New Roman" w:cs="Times New Roman"/>
          <w:sz w:val="24"/>
          <w:szCs w:val="24"/>
        </w:rPr>
      </w:pPr>
      <w:r w:rsidRPr="002D6E3C">
        <w:rPr>
          <w:rFonts w:ascii="Times New Roman" w:hAnsi="Times New Roman" w:cs="Times New Roman"/>
          <w:sz w:val="24"/>
          <w:szCs w:val="24"/>
        </w:rPr>
        <w:t xml:space="preserve">El Plan no realizó consultas previas con organizaciones no gubernamentales </w:t>
      </w:r>
      <w:r w:rsidR="004C4102" w:rsidRPr="002D6E3C">
        <w:rPr>
          <w:rFonts w:ascii="Times New Roman" w:hAnsi="Times New Roman" w:cs="Times New Roman"/>
          <w:sz w:val="24"/>
          <w:szCs w:val="24"/>
        </w:rPr>
        <w:t xml:space="preserve">pero estas </w:t>
      </w:r>
      <w:r w:rsidRPr="002D6E3C">
        <w:rPr>
          <w:rFonts w:ascii="Times New Roman" w:hAnsi="Times New Roman" w:cs="Times New Roman"/>
          <w:sz w:val="24"/>
          <w:szCs w:val="24"/>
        </w:rPr>
        <w:t xml:space="preserve">si </w:t>
      </w:r>
      <w:r w:rsidR="004C4102" w:rsidRPr="002D6E3C">
        <w:rPr>
          <w:rFonts w:ascii="Times New Roman" w:hAnsi="Times New Roman" w:cs="Times New Roman"/>
          <w:sz w:val="24"/>
          <w:szCs w:val="24"/>
        </w:rPr>
        <w:t>validaron el proceso y son capacitadoras en los E</w:t>
      </w:r>
      <w:r w:rsidR="003A23B4" w:rsidRPr="002D6E3C">
        <w:rPr>
          <w:rFonts w:ascii="Times New Roman" w:hAnsi="Times New Roman" w:cs="Times New Roman"/>
          <w:sz w:val="24"/>
          <w:szCs w:val="24"/>
        </w:rPr>
        <w:t>spacios de Primera Infancia - EPIS</w:t>
      </w:r>
      <w:r w:rsidR="004C4102" w:rsidRPr="002D6E3C">
        <w:rPr>
          <w:rFonts w:ascii="Times New Roman" w:hAnsi="Times New Roman" w:cs="Times New Roman"/>
          <w:sz w:val="24"/>
          <w:szCs w:val="24"/>
        </w:rPr>
        <w:t>.</w:t>
      </w:r>
    </w:p>
    <w:p w:rsidR="00424ECD" w:rsidRDefault="00424ECD" w:rsidP="00424ECD">
      <w:pPr>
        <w:spacing w:after="0" w:line="240" w:lineRule="auto"/>
        <w:jc w:val="both"/>
        <w:rPr>
          <w:rFonts w:ascii="Times New Roman" w:hAnsi="Times New Roman" w:cs="Times New Roman"/>
          <w:b/>
          <w:sz w:val="24"/>
          <w:szCs w:val="24"/>
        </w:rPr>
      </w:pPr>
    </w:p>
    <w:p w:rsidR="009A5C79" w:rsidRPr="002D6E3C" w:rsidRDefault="009A5C79" w:rsidP="00424ECD">
      <w:pPr>
        <w:spacing w:after="0" w:line="240" w:lineRule="auto"/>
        <w:jc w:val="both"/>
        <w:rPr>
          <w:rFonts w:ascii="Times New Roman" w:hAnsi="Times New Roman" w:cs="Times New Roman"/>
          <w:b/>
          <w:sz w:val="24"/>
          <w:szCs w:val="24"/>
        </w:rPr>
      </w:pPr>
      <w:r w:rsidRPr="002D6E3C">
        <w:rPr>
          <w:rFonts w:ascii="Times New Roman" w:hAnsi="Times New Roman" w:cs="Times New Roman"/>
          <w:b/>
          <w:sz w:val="24"/>
          <w:szCs w:val="24"/>
        </w:rPr>
        <w:t xml:space="preserve">Obligatoriedad de las empresas y los derechos del niño </w:t>
      </w:r>
    </w:p>
    <w:p w:rsidR="004C4102" w:rsidRPr="002D6E3C" w:rsidRDefault="004C4102" w:rsidP="00424ECD">
      <w:pPr>
        <w:spacing w:after="0" w:line="240" w:lineRule="auto"/>
        <w:ind w:firstLine="709"/>
        <w:jc w:val="both"/>
        <w:rPr>
          <w:rFonts w:ascii="Times New Roman" w:hAnsi="Times New Roman" w:cs="Times New Roman"/>
          <w:sz w:val="24"/>
          <w:szCs w:val="24"/>
        </w:rPr>
      </w:pPr>
      <w:r w:rsidRPr="002D6E3C">
        <w:rPr>
          <w:rFonts w:ascii="Times New Roman" w:hAnsi="Times New Roman" w:cs="Times New Roman"/>
          <w:sz w:val="24"/>
          <w:szCs w:val="24"/>
        </w:rPr>
        <w:t>Todas las empresas se encuentran obligadas a respetar todo el plexo normativo que protege a todos las niñas, niños y adolescentes y todos sus derechos. El Código de conducta nacional para la Protección de los Derechos de Niñas, Niños y Adolescentes en viajes y turismo, es un instrumento auto regulatorio que reside en la responsabilidad social corporativa y requiere un alto grado de compromiso e implicancia de todos los niveles directivos y operativos de la compañía; y promociona que las empresas desarrollen prácticas respetuosas de derechos.  Las tabacaleras: En el 2017 se firmaron diez convenios contra el trabajo infantil entre SENAF y las Cámaras Tabacaleras de Salta y Misiones, los Gobiernos de Corrientes y Misiones y distintos Municipios, siendo beneficiados 1.850 NNyA y 150 empleadores.</w:t>
      </w:r>
    </w:p>
    <w:p w:rsidR="00424ECD" w:rsidRDefault="00424ECD" w:rsidP="00424ECD">
      <w:pPr>
        <w:spacing w:after="0" w:line="240" w:lineRule="auto"/>
        <w:jc w:val="both"/>
        <w:rPr>
          <w:rFonts w:ascii="Times New Roman" w:hAnsi="Times New Roman" w:cs="Times New Roman"/>
          <w:b/>
          <w:sz w:val="24"/>
          <w:szCs w:val="24"/>
        </w:rPr>
      </w:pPr>
    </w:p>
    <w:p w:rsidR="009A5C79" w:rsidRPr="002D6E3C" w:rsidRDefault="009A5C79" w:rsidP="00424ECD">
      <w:pPr>
        <w:spacing w:after="0" w:line="240" w:lineRule="auto"/>
        <w:jc w:val="both"/>
        <w:rPr>
          <w:rFonts w:ascii="Times New Roman" w:hAnsi="Times New Roman" w:cs="Times New Roman"/>
          <w:b/>
          <w:sz w:val="24"/>
          <w:szCs w:val="24"/>
        </w:rPr>
      </w:pPr>
      <w:r w:rsidRPr="002D6E3C">
        <w:rPr>
          <w:rFonts w:ascii="Times New Roman" w:hAnsi="Times New Roman" w:cs="Times New Roman"/>
          <w:b/>
          <w:sz w:val="24"/>
          <w:szCs w:val="24"/>
        </w:rPr>
        <w:t xml:space="preserve">Edad del Matrimonio y excepciones </w:t>
      </w:r>
    </w:p>
    <w:p w:rsidR="004C4102" w:rsidRPr="002D6E3C" w:rsidRDefault="004C4102" w:rsidP="00424ECD">
      <w:pPr>
        <w:spacing w:after="0" w:line="240" w:lineRule="auto"/>
        <w:ind w:firstLine="709"/>
        <w:jc w:val="both"/>
        <w:rPr>
          <w:rFonts w:ascii="Times New Roman" w:hAnsi="Times New Roman" w:cs="Times New Roman"/>
          <w:sz w:val="24"/>
          <w:szCs w:val="24"/>
        </w:rPr>
      </w:pPr>
      <w:r w:rsidRPr="002D6E3C">
        <w:rPr>
          <w:rFonts w:ascii="Times New Roman" w:hAnsi="Times New Roman" w:cs="Times New Roman"/>
          <w:sz w:val="24"/>
          <w:szCs w:val="24"/>
        </w:rPr>
        <w:t xml:space="preserve">La edad mínima para casarse para nuestra legislación es de 18 años. Con la mayoría de edad. La ley 26.579 también ha unificado la edad mínima para contraer matrimonio, al establecer, en el artículo </w:t>
      </w:r>
      <w:r w:rsidR="00AF02FA" w:rsidRPr="002D6E3C">
        <w:rPr>
          <w:rFonts w:ascii="Times New Roman" w:hAnsi="Times New Roman" w:cs="Times New Roman"/>
          <w:sz w:val="24"/>
          <w:szCs w:val="24"/>
        </w:rPr>
        <w:t>403</w:t>
      </w:r>
      <w:r w:rsidRPr="002D6E3C">
        <w:rPr>
          <w:rFonts w:ascii="Times New Roman" w:hAnsi="Times New Roman" w:cs="Times New Roman"/>
          <w:sz w:val="24"/>
          <w:szCs w:val="24"/>
        </w:rPr>
        <w:t xml:space="preserve">, inciso </w:t>
      </w:r>
      <w:r w:rsidR="00AF02FA" w:rsidRPr="002D6E3C">
        <w:rPr>
          <w:rFonts w:ascii="Times New Roman" w:hAnsi="Times New Roman" w:cs="Times New Roman"/>
          <w:sz w:val="24"/>
          <w:szCs w:val="24"/>
        </w:rPr>
        <w:t>f</w:t>
      </w:r>
      <w:r w:rsidRPr="002D6E3C">
        <w:rPr>
          <w:rFonts w:ascii="Times New Roman" w:hAnsi="Times New Roman" w:cs="Times New Roman"/>
          <w:sz w:val="24"/>
          <w:szCs w:val="24"/>
        </w:rPr>
        <w:t xml:space="preserve"> del Código Civil</w:t>
      </w:r>
      <w:r w:rsidR="00AF02FA" w:rsidRPr="002D6E3C">
        <w:rPr>
          <w:rFonts w:ascii="Times New Roman" w:hAnsi="Times New Roman" w:cs="Times New Roman"/>
          <w:sz w:val="24"/>
          <w:szCs w:val="24"/>
        </w:rPr>
        <w:t xml:space="preserve"> y Comercial de la </w:t>
      </w:r>
      <w:r w:rsidR="00AF02FA" w:rsidRPr="002D6E3C">
        <w:rPr>
          <w:rFonts w:ascii="Times New Roman" w:hAnsi="Times New Roman" w:cs="Times New Roman"/>
          <w:sz w:val="24"/>
          <w:szCs w:val="24"/>
        </w:rPr>
        <w:lastRenderedPageBreak/>
        <w:t>Nación</w:t>
      </w:r>
      <w:r w:rsidRPr="002D6E3C">
        <w:rPr>
          <w:rFonts w:ascii="Times New Roman" w:hAnsi="Times New Roman" w:cs="Times New Roman"/>
          <w:sz w:val="24"/>
          <w:szCs w:val="24"/>
        </w:rPr>
        <w:t>: “Son impedimentos para contraer matrimonio: (…) 5°) Tener menos de dieciocho (18) años”. Es decir, como principio general, sólo pueden contraer matrimonio los mayores de edad. Ahora bien, existen situaciones excepcionales, donde los jóvenes son plenamente conscientes de lo que implica un matrimonio y desean casarse. Sólo a partir de los 16 años, con la autorización de sus progenitores y mediante Dispensa Judicial. En estos casos excepcionales se debe evaluar el principio de autonomía de la persona humana, uno de los ejes del sistema de derechos individuales y por lo tanto de los sistemas  democráticos de gobierno que tienen como fin esencial al ser humano y lo que los jóvenes lo vinculan con “el denominado “proyecto de vida” que atiende a la realización integral de la persona, considerando su vocación, aptitudes, circunstancias, potencialidades y aspiraciones, que le permiten fijarse razonablemente determinadas expectativas y acceder a ellas”, consecuentemente y habiéndose analizado su autonomía progresiva nadie puede oponerse. Ahora bien, si la oposición está vinculada a cuestiones que rozan los ilícitos obviamente puede darse la figura del abuso sexual por aprovechamiento de la inmadurez de la víctima, antes conocida como “estupro” y serán puestas las actuaciones ante la justicia penal.</w:t>
      </w:r>
    </w:p>
    <w:p w:rsidR="00424ECD" w:rsidRDefault="00424ECD" w:rsidP="00424ECD">
      <w:pPr>
        <w:spacing w:after="0" w:line="240" w:lineRule="auto"/>
        <w:jc w:val="both"/>
        <w:rPr>
          <w:rFonts w:ascii="Times New Roman" w:hAnsi="Times New Roman" w:cs="Times New Roman"/>
          <w:b/>
          <w:sz w:val="24"/>
          <w:szCs w:val="24"/>
        </w:rPr>
      </w:pPr>
    </w:p>
    <w:p w:rsidR="00AF02FA" w:rsidRPr="002D6E3C" w:rsidRDefault="00AF02FA" w:rsidP="00424ECD">
      <w:pPr>
        <w:spacing w:after="0" w:line="240" w:lineRule="auto"/>
        <w:jc w:val="both"/>
        <w:rPr>
          <w:rFonts w:ascii="Times New Roman" w:hAnsi="Times New Roman" w:cs="Times New Roman"/>
          <w:b/>
          <w:sz w:val="24"/>
          <w:szCs w:val="24"/>
        </w:rPr>
      </w:pPr>
      <w:r w:rsidRPr="002D6E3C">
        <w:rPr>
          <w:rFonts w:ascii="Times New Roman" w:hAnsi="Times New Roman" w:cs="Times New Roman"/>
          <w:b/>
          <w:sz w:val="24"/>
          <w:szCs w:val="24"/>
        </w:rPr>
        <w:t>Estereotipos sobre la Adolescencia</w:t>
      </w:r>
    </w:p>
    <w:p w:rsidR="004C4102" w:rsidRPr="002D6E3C" w:rsidRDefault="00220E62" w:rsidP="00424ECD">
      <w:pPr>
        <w:spacing w:after="0" w:line="240" w:lineRule="auto"/>
        <w:ind w:firstLine="709"/>
        <w:jc w:val="both"/>
        <w:rPr>
          <w:rFonts w:ascii="Times New Roman" w:hAnsi="Times New Roman" w:cs="Times New Roman"/>
          <w:sz w:val="24"/>
          <w:szCs w:val="24"/>
        </w:rPr>
      </w:pPr>
      <w:r w:rsidRPr="002D6E3C">
        <w:rPr>
          <w:rFonts w:ascii="Times New Roman" w:hAnsi="Times New Roman" w:cs="Times New Roman"/>
          <w:sz w:val="24"/>
          <w:szCs w:val="24"/>
        </w:rPr>
        <w:t>El COFENAF advirtió esta preocupación y consensuó Acta</w:t>
      </w:r>
      <w:r w:rsidR="00AD7D74" w:rsidRPr="002D6E3C">
        <w:rPr>
          <w:rFonts w:ascii="Times New Roman" w:hAnsi="Times New Roman" w:cs="Times New Roman"/>
          <w:sz w:val="24"/>
          <w:szCs w:val="24"/>
        </w:rPr>
        <w:t>s</w:t>
      </w:r>
      <w:r w:rsidRPr="002D6E3C">
        <w:rPr>
          <w:rFonts w:ascii="Times New Roman" w:hAnsi="Times New Roman" w:cs="Times New Roman"/>
          <w:sz w:val="24"/>
          <w:szCs w:val="24"/>
        </w:rPr>
        <w:t xml:space="preserve"> </w:t>
      </w:r>
      <w:r w:rsidR="00AD7D74" w:rsidRPr="002D6E3C">
        <w:rPr>
          <w:rFonts w:ascii="Times New Roman" w:hAnsi="Times New Roman" w:cs="Times New Roman"/>
          <w:sz w:val="24"/>
          <w:szCs w:val="24"/>
        </w:rPr>
        <w:t xml:space="preserve">como las </w:t>
      </w:r>
      <w:r w:rsidRPr="002D6E3C">
        <w:rPr>
          <w:rFonts w:ascii="Times New Roman" w:hAnsi="Times New Roman" w:cs="Times New Roman"/>
          <w:sz w:val="24"/>
          <w:szCs w:val="24"/>
        </w:rPr>
        <w:t>denominada</w:t>
      </w:r>
      <w:r w:rsidR="00AD7D74" w:rsidRPr="002D6E3C">
        <w:rPr>
          <w:rFonts w:ascii="Times New Roman" w:hAnsi="Times New Roman" w:cs="Times New Roman"/>
          <w:sz w:val="24"/>
          <w:szCs w:val="24"/>
        </w:rPr>
        <w:t>s</w:t>
      </w:r>
      <w:r w:rsidRPr="002D6E3C">
        <w:rPr>
          <w:rFonts w:ascii="Times New Roman" w:hAnsi="Times New Roman" w:cs="Times New Roman"/>
          <w:sz w:val="24"/>
          <w:szCs w:val="24"/>
        </w:rPr>
        <w:t xml:space="preserve"> </w:t>
      </w:r>
      <w:r w:rsidR="00AD7D74" w:rsidRPr="002D6E3C">
        <w:rPr>
          <w:rFonts w:ascii="Times New Roman" w:hAnsi="Times New Roman" w:cs="Times New Roman"/>
          <w:sz w:val="24"/>
          <w:szCs w:val="24"/>
        </w:rPr>
        <w:t>“Adolescencia</w:t>
      </w:r>
      <w:r w:rsidRPr="002D6E3C">
        <w:rPr>
          <w:rFonts w:ascii="Times New Roman" w:hAnsi="Times New Roman" w:cs="Times New Roman"/>
          <w:sz w:val="24"/>
          <w:szCs w:val="24"/>
        </w:rPr>
        <w:t xml:space="preserve"> no es sinónimo de inseguridad” </w:t>
      </w:r>
      <w:r w:rsidR="00AD7D74" w:rsidRPr="002D6E3C">
        <w:rPr>
          <w:rFonts w:ascii="Times New Roman" w:hAnsi="Times New Roman" w:cs="Times New Roman"/>
          <w:sz w:val="24"/>
          <w:szCs w:val="24"/>
        </w:rPr>
        <w:t xml:space="preserve">y “Los medios Audiovisuales deben evitar vulnerar derechos de niñas y niños” </w:t>
      </w:r>
      <w:r w:rsidRPr="002D6E3C">
        <w:rPr>
          <w:rFonts w:ascii="Times New Roman" w:hAnsi="Times New Roman" w:cs="Times New Roman"/>
          <w:sz w:val="24"/>
          <w:szCs w:val="24"/>
        </w:rPr>
        <w:t xml:space="preserve">rechazando todo intento de estigmatizar a los </w:t>
      </w:r>
      <w:r w:rsidR="00AD7D74" w:rsidRPr="002D6E3C">
        <w:rPr>
          <w:rFonts w:ascii="Times New Roman" w:hAnsi="Times New Roman" w:cs="Times New Roman"/>
          <w:sz w:val="24"/>
          <w:szCs w:val="24"/>
        </w:rPr>
        <w:t>adolescentes. El I</w:t>
      </w:r>
      <w:r w:rsidR="00AF02FA" w:rsidRPr="002D6E3C">
        <w:rPr>
          <w:rFonts w:ascii="Times New Roman" w:hAnsi="Times New Roman" w:cs="Times New Roman"/>
          <w:sz w:val="24"/>
          <w:szCs w:val="24"/>
        </w:rPr>
        <w:t>nstituto Nacional contra la Discriminación, la Xenofobia, y el racismo por</w:t>
      </w:r>
      <w:r w:rsidR="00AD7D74" w:rsidRPr="002D6E3C">
        <w:rPr>
          <w:rFonts w:ascii="Times New Roman" w:hAnsi="Times New Roman" w:cs="Times New Roman"/>
          <w:sz w:val="24"/>
          <w:szCs w:val="24"/>
        </w:rPr>
        <w:t xml:space="preserve"> su parte ha desarrollado numerosas intervenciones para desarrollar la imagen positiva y no estereotipada de la adolescencia a través de la propia participación de adolescentes. </w:t>
      </w:r>
      <w:r w:rsidRPr="002D6E3C">
        <w:rPr>
          <w:rFonts w:ascii="Times New Roman" w:hAnsi="Times New Roman" w:cs="Times New Roman"/>
          <w:sz w:val="24"/>
          <w:szCs w:val="24"/>
        </w:rPr>
        <w:t>El PNA 2016-2019 ha identificado la siguiente Meta 3.22.2 Trabajar en conjunto con todas la instituciones, observatorios y ONG que monitorean y registran los contenidos nocivos para la niñez, a los fines de evitar estigmatizaciones, cosificaciones, situaciones o estereotipos erotizantes y/o no apropiadas para niñas,  niños y adolescentes. Asimismo a través de los foros de participación adolescente los adolescentes de Chubut,</w:t>
      </w:r>
      <w:r w:rsidR="00AD7D74" w:rsidRPr="002D6E3C">
        <w:rPr>
          <w:rFonts w:ascii="Times New Roman" w:hAnsi="Times New Roman" w:cs="Times New Roman"/>
          <w:sz w:val="24"/>
          <w:szCs w:val="24"/>
        </w:rPr>
        <w:t xml:space="preserve"> Córdoba la Pampa y San juan, ha</w:t>
      </w:r>
      <w:r w:rsidRPr="002D6E3C">
        <w:rPr>
          <w:rFonts w:ascii="Times New Roman" w:hAnsi="Times New Roman" w:cs="Times New Roman"/>
          <w:sz w:val="24"/>
          <w:szCs w:val="24"/>
        </w:rPr>
        <w:t xml:space="preserve">n </w:t>
      </w:r>
      <w:r w:rsidR="00AD7D74" w:rsidRPr="002D6E3C">
        <w:rPr>
          <w:rFonts w:ascii="Times New Roman" w:hAnsi="Times New Roman" w:cs="Times New Roman"/>
          <w:sz w:val="24"/>
          <w:szCs w:val="24"/>
        </w:rPr>
        <w:t>identificada</w:t>
      </w:r>
      <w:r w:rsidRPr="002D6E3C">
        <w:rPr>
          <w:rFonts w:ascii="Times New Roman" w:hAnsi="Times New Roman" w:cs="Times New Roman"/>
          <w:sz w:val="24"/>
          <w:szCs w:val="24"/>
        </w:rPr>
        <w:t xml:space="preserve"> esta preocupación sobre estereotipos. </w:t>
      </w:r>
      <w:r w:rsidR="00AD7D74" w:rsidRPr="002D6E3C">
        <w:rPr>
          <w:rFonts w:ascii="Times New Roman" w:hAnsi="Times New Roman" w:cs="Times New Roman"/>
          <w:sz w:val="24"/>
          <w:szCs w:val="24"/>
        </w:rPr>
        <w:t xml:space="preserve">En el marco de los medios de comunicación, el </w:t>
      </w:r>
      <w:r w:rsidR="00AF02FA" w:rsidRPr="002D6E3C">
        <w:rPr>
          <w:rFonts w:ascii="Times New Roman" w:hAnsi="Times New Roman" w:cs="Times New Roman"/>
          <w:sz w:val="24"/>
          <w:szCs w:val="24"/>
        </w:rPr>
        <w:t xml:space="preserve">Consejo Asesor de la Comunicación Audiovisual y la Infancia </w:t>
      </w:r>
      <w:r w:rsidR="001D78BB" w:rsidRPr="002D6E3C">
        <w:rPr>
          <w:rFonts w:ascii="Times New Roman" w:hAnsi="Times New Roman" w:cs="Times New Roman"/>
          <w:sz w:val="24"/>
          <w:szCs w:val="24"/>
        </w:rPr>
        <w:t xml:space="preserve">del </w:t>
      </w:r>
      <w:r w:rsidR="001D78BB" w:rsidRPr="002D6E3C">
        <w:rPr>
          <w:rFonts w:ascii="Times New Roman" w:hAnsi="Times New Roman" w:cs="Times New Roman"/>
          <w:bCs/>
          <w:sz w:val="24"/>
          <w:szCs w:val="24"/>
        </w:rPr>
        <w:t xml:space="preserve">Ente Nacional de Comunicaciones </w:t>
      </w:r>
      <w:r w:rsidR="00AF02FA" w:rsidRPr="002D6E3C">
        <w:rPr>
          <w:rFonts w:ascii="Times New Roman" w:hAnsi="Times New Roman" w:cs="Times New Roman"/>
          <w:sz w:val="24"/>
          <w:szCs w:val="24"/>
        </w:rPr>
        <w:t xml:space="preserve">(CONACAI - ENACOM) </w:t>
      </w:r>
      <w:r w:rsidR="00AD7D74" w:rsidRPr="002D6E3C">
        <w:rPr>
          <w:rFonts w:ascii="Times New Roman" w:hAnsi="Times New Roman" w:cs="Times New Roman"/>
          <w:sz w:val="24"/>
          <w:szCs w:val="24"/>
        </w:rPr>
        <w:t xml:space="preserve">trabaja activamente para fomentar prácticas respetuosas </w:t>
      </w:r>
      <w:r w:rsidR="003A23B4" w:rsidRPr="002D6E3C">
        <w:rPr>
          <w:rFonts w:ascii="Times New Roman" w:hAnsi="Times New Roman" w:cs="Times New Roman"/>
          <w:sz w:val="24"/>
          <w:szCs w:val="24"/>
        </w:rPr>
        <w:t xml:space="preserve">De Niñas, Niños Y Adolescentes.  </w:t>
      </w:r>
    </w:p>
    <w:p w:rsidR="00424ECD" w:rsidRDefault="00424ECD" w:rsidP="00424ECD">
      <w:pPr>
        <w:spacing w:after="0" w:line="240" w:lineRule="auto"/>
        <w:jc w:val="both"/>
        <w:rPr>
          <w:rFonts w:ascii="Times New Roman" w:hAnsi="Times New Roman" w:cs="Times New Roman"/>
          <w:b/>
          <w:sz w:val="24"/>
          <w:szCs w:val="24"/>
        </w:rPr>
      </w:pPr>
    </w:p>
    <w:p w:rsidR="00AF02FA" w:rsidRPr="002D6E3C" w:rsidRDefault="003A23B4" w:rsidP="00424ECD">
      <w:pPr>
        <w:spacing w:after="0" w:line="240" w:lineRule="auto"/>
        <w:jc w:val="both"/>
        <w:rPr>
          <w:rFonts w:ascii="Times New Roman" w:hAnsi="Times New Roman" w:cs="Times New Roman"/>
          <w:b/>
          <w:sz w:val="24"/>
          <w:szCs w:val="24"/>
        </w:rPr>
      </w:pPr>
      <w:r w:rsidRPr="002D6E3C">
        <w:rPr>
          <w:rFonts w:ascii="Times New Roman" w:hAnsi="Times New Roman" w:cs="Times New Roman"/>
          <w:b/>
          <w:sz w:val="24"/>
          <w:szCs w:val="24"/>
        </w:rPr>
        <w:t>Jóvenes en contexto de encierro y suicidio</w:t>
      </w:r>
    </w:p>
    <w:p w:rsidR="002A1DA1" w:rsidRPr="002D6E3C" w:rsidRDefault="00AF02FA" w:rsidP="00424ECD">
      <w:pPr>
        <w:spacing w:after="0" w:line="240" w:lineRule="auto"/>
        <w:ind w:firstLine="709"/>
        <w:jc w:val="both"/>
        <w:rPr>
          <w:rFonts w:ascii="Times New Roman" w:hAnsi="Times New Roman" w:cs="Times New Roman"/>
          <w:sz w:val="24"/>
          <w:szCs w:val="24"/>
        </w:rPr>
      </w:pPr>
      <w:r w:rsidRPr="002D6E3C">
        <w:rPr>
          <w:rFonts w:ascii="Times New Roman" w:hAnsi="Times New Roman" w:cs="Times New Roman"/>
          <w:sz w:val="24"/>
          <w:szCs w:val="24"/>
        </w:rPr>
        <w:t>Des</w:t>
      </w:r>
      <w:r w:rsidR="00200C2D">
        <w:rPr>
          <w:rFonts w:ascii="Times New Roman" w:hAnsi="Times New Roman" w:cs="Times New Roman"/>
          <w:sz w:val="24"/>
          <w:szCs w:val="24"/>
        </w:rPr>
        <w:t>de</w:t>
      </w:r>
      <w:r w:rsidRPr="002D6E3C">
        <w:rPr>
          <w:rFonts w:ascii="Times New Roman" w:hAnsi="Times New Roman" w:cs="Times New Roman"/>
          <w:sz w:val="24"/>
          <w:szCs w:val="24"/>
        </w:rPr>
        <w:t xml:space="preserve"> la</w:t>
      </w:r>
      <w:r w:rsidR="002A1DA1" w:rsidRPr="002D6E3C">
        <w:rPr>
          <w:rFonts w:ascii="Times New Roman" w:hAnsi="Times New Roman" w:cs="Times New Roman"/>
          <w:sz w:val="24"/>
          <w:szCs w:val="24"/>
        </w:rPr>
        <w:t xml:space="preserve"> Secretaría Nacional </w:t>
      </w:r>
      <w:r w:rsidRPr="002D6E3C">
        <w:rPr>
          <w:rFonts w:ascii="Times New Roman" w:hAnsi="Times New Roman" w:cs="Times New Roman"/>
          <w:sz w:val="24"/>
          <w:szCs w:val="24"/>
        </w:rPr>
        <w:t xml:space="preserve">de Niñez, Adolescencia y Familia (SENAF), </w:t>
      </w:r>
      <w:r w:rsidR="002A1DA1" w:rsidRPr="002D6E3C">
        <w:rPr>
          <w:rFonts w:ascii="Times New Roman" w:hAnsi="Times New Roman" w:cs="Times New Roman"/>
          <w:sz w:val="24"/>
          <w:szCs w:val="24"/>
        </w:rPr>
        <w:t xml:space="preserve">se ha conformado un Equipo de Acompañamiento Institucional, preparado para asistir a los adolescentes y adultos de los Centros de Privación de Libertad en el ámbito de la Ciudad de Buenos Aires, ante la eventual ocurrencia de un episodio de emergencia institucional. Su participación se centra en las siguientes acciones: a) Intervención inmediata. B) Contención individual a Adolescentes. c) Contención individual de Adultos., d) Planificación de estrategias de acción en el orden cotidiano para los días posteriores. F) Reuniones grupales con adolescentes y con adultos, para el reencuadre de la institucionalidad. G) Reuniones grupales semanales para la reflexión acerca del suceso. H) Seguimiento psicológico individual a jóvenes e I) Seguimiento psicológico individual a jóvenes.  </w:t>
      </w:r>
    </w:p>
    <w:p w:rsidR="00424ECD" w:rsidRDefault="00424ECD" w:rsidP="00424ECD">
      <w:pPr>
        <w:spacing w:after="0" w:line="240" w:lineRule="auto"/>
        <w:jc w:val="both"/>
        <w:rPr>
          <w:rFonts w:ascii="Times New Roman" w:hAnsi="Times New Roman" w:cs="Times New Roman"/>
          <w:b/>
          <w:sz w:val="24"/>
          <w:szCs w:val="24"/>
        </w:rPr>
      </w:pPr>
    </w:p>
    <w:p w:rsidR="00AF02FA" w:rsidRPr="002D6E3C" w:rsidRDefault="00AF02FA" w:rsidP="00424ECD">
      <w:pPr>
        <w:spacing w:after="0" w:line="240" w:lineRule="auto"/>
        <w:jc w:val="both"/>
        <w:rPr>
          <w:rFonts w:ascii="Times New Roman" w:hAnsi="Times New Roman" w:cs="Times New Roman"/>
          <w:b/>
          <w:sz w:val="24"/>
          <w:szCs w:val="24"/>
        </w:rPr>
      </w:pPr>
      <w:r w:rsidRPr="002D6E3C">
        <w:rPr>
          <w:rFonts w:ascii="Times New Roman" w:hAnsi="Times New Roman" w:cs="Times New Roman"/>
          <w:b/>
          <w:sz w:val="24"/>
          <w:szCs w:val="24"/>
        </w:rPr>
        <w:t>V</w:t>
      </w:r>
      <w:r w:rsidR="003A23B4" w:rsidRPr="002D6E3C">
        <w:rPr>
          <w:rFonts w:ascii="Times New Roman" w:hAnsi="Times New Roman" w:cs="Times New Roman"/>
          <w:b/>
          <w:sz w:val="24"/>
          <w:szCs w:val="24"/>
        </w:rPr>
        <w:t>iolencia</w:t>
      </w:r>
      <w:r w:rsidR="002A1DA1" w:rsidRPr="002D6E3C">
        <w:rPr>
          <w:rFonts w:ascii="Times New Roman" w:hAnsi="Times New Roman" w:cs="Times New Roman"/>
          <w:b/>
          <w:sz w:val="24"/>
          <w:szCs w:val="24"/>
        </w:rPr>
        <w:t xml:space="preserve"> </w:t>
      </w:r>
    </w:p>
    <w:p w:rsidR="00AF02FA" w:rsidRPr="002D6E3C" w:rsidRDefault="00AF02FA" w:rsidP="00424ECD">
      <w:pPr>
        <w:spacing w:after="0" w:line="240" w:lineRule="auto"/>
        <w:ind w:firstLine="709"/>
        <w:jc w:val="both"/>
        <w:rPr>
          <w:rFonts w:ascii="Times New Roman" w:hAnsi="Times New Roman" w:cs="Times New Roman"/>
          <w:sz w:val="24"/>
          <w:szCs w:val="24"/>
        </w:rPr>
      </w:pPr>
      <w:r w:rsidRPr="002D6E3C">
        <w:rPr>
          <w:rFonts w:ascii="Times New Roman" w:hAnsi="Times New Roman" w:cs="Times New Roman"/>
          <w:sz w:val="24"/>
          <w:szCs w:val="24"/>
        </w:rPr>
        <w:t>Sobre la a</w:t>
      </w:r>
      <w:r w:rsidR="002A1DA1" w:rsidRPr="002D6E3C">
        <w:rPr>
          <w:rFonts w:ascii="Times New Roman" w:hAnsi="Times New Roman" w:cs="Times New Roman"/>
          <w:sz w:val="24"/>
          <w:szCs w:val="24"/>
        </w:rPr>
        <w:t>tención al niño en casos de violencia, abusos y casos de violencia familiar</w:t>
      </w:r>
      <w:r w:rsidRPr="002D6E3C">
        <w:rPr>
          <w:rFonts w:ascii="Times New Roman" w:hAnsi="Times New Roman" w:cs="Times New Roman"/>
          <w:sz w:val="24"/>
          <w:szCs w:val="24"/>
        </w:rPr>
        <w:t xml:space="preserve"> y a</w:t>
      </w:r>
      <w:r w:rsidR="002A1DA1" w:rsidRPr="002D6E3C">
        <w:rPr>
          <w:rFonts w:ascii="Times New Roman" w:hAnsi="Times New Roman" w:cs="Times New Roman"/>
          <w:sz w:val="24"/>
          <w:szCs w:val="24"/>
        </w:rPr>
        <w:t xml:space="preserve"> los fines del abordaje en materia de restitución de derechos en las </w:t>
      </w:r>
      <w:r w:rsidR="002A1DA1" w:rsidRPr="002D6E3C">
        <w:rPr>
          <w:rFonts w:ascii="Times New Roman" w:hAnsi="Times New Roman" w:cs="Times New Roman"/>
          <w:sz w:val="24"/>
          <w:szCs w:val="24"/>
        </w:rPr>
        <w:lastRenderedPageBreak/>
        <w:t>situaciones de violencia, abuso y violencia familiar</w:t>
      </w:r>
      <w:r w:rsidRPr="002D6E3C">
        <w:rPr>
          <w:rFonts w:ascii="Times New Roman" w:hAnsi="Times New Roman" w:cs="Times New Roman"/>
          <w:sz w:val="24"/>
          <w:szCs w:val="24"/>
        </w:rPr>
        <w:t>,</w:t>
      </w:r>
      <w:r w:rsidR="002A1DA1" w:rsidRPr="002D6E3C">
        <w:rPr>
          <w:rFonts w:ascii="Times New Roman" w:hAnsi="Times New Roman" w:cs="Times New Roman"/>
          <w:sz w:val="24"/>
          <w:szCs w:val="24"/>
        </w:rPr>
        <w:t xml:space="preserve"> se activan los protocolos para situación de violencia y abuso sexual, se adoptan medidas de protección y/o excepcionales y se lleva adelante el acompañamiento del niño y/o la familia y la derivación al sistema de salud para la atención psicológica.  En el último relevamiento del año 2017 desde la SENNAF se informaron: Once Jurisdicciones ubican en primer lugar de frecuencia a la Violencia = 46 % y Tres Jurisdicciones ubican en primer lugar de frecuencia al Abuso sexual = 13 %.</w:t>
      </w:r>
    </w:p>
    <w:p w:rsidR="00AF02FA" w:rsidRPr="002D6E3C" w:rsidRDefault="00AF02FA" w:rsidP="00424ECD">
      <w:pPr>
        <w:spacing w:after="0" w:line="240" w:lineRule="auto"/>
        <w:ind w:firstLine="709"/>
        <w:jc w:val="both"/>
        <w:rPr>
          <w:rFonts w:ascii="Times New Roman" w:hAnsi="Times New Roman" w:cs="Times New Roman"/>
          <w:sz w:val="24"/>
          <w:szCs w:val="24"/>
        </w:rPr>
      </w:pPr>
      <w:r w:rsidRPr="002D6E3C">
        <w:rPr>
          <w:rFonts w:ascii="Times New Roman" w:hAnsi="Times New Roman" w:cs="Times New Roman"/>
          <w:sz w:val="24"/>
          <w:szCs w:val="24"/>
        </w:rPr>
        <w:t xml:space="preserve">Sobre la </w:t>
      </w:r>
      <w:r w:rsidR="002A1DA1" w:rsidRPr="002D6E3C">
        <w:rPr>
          <w:rFonts w:ascii="Times New Roman" w:hAnsi="Times New Roman" w:cs="Times New Roman"/>
          <w:sz w:val="24"/>
          <w:szCs w:val="24"/>
        </w:rPr>
        <w:t>Salvaguardias en materia de procedimientos para llevar a los niños a centros alternativos</w:t>
      </w:r>
      <w:r w:rsidRPr="002D6E3C">
        <w:rPr>
          <w:rFonts w:ascii="Times New Roman" w:hAnsi="Times New Roman" w:cs="Times New Roman"/>
          <w:sz w:val="24"/>
          <w:szCs w:val="24"/>
        </w:rPr>
        <w:t xml:space="preserve"> y en</w:t>
      </w:r>
      <w:r w:rsidR="002A1DA1" w:rsidRPr="002D6E3C">
        <w:rPr>
          <w:rFonts w:ascii="Times New Roman" w:hAnsi="Times New Roman" w:cs="Times New Roman"/>
          <w:sz w:val="24"/>
          <w:szCs w:val="24"/>
        </w:rPr>
        <w:t xml:space="preserve"> los casos de situaciones que ameritan el dictado de medidas excepcionales en los cuales no haya familia extensa que pudiera asumir los cuidados personales, crianza y desarrollo integral de los niños, se deriva a dispositivos de cuidados formal conforme el seguimiento y la implementación de dichas medidas establecidas en protocolos. </w:t>
      </w:r>
    </w:p>
    <w:p w:rsidR="00AF02FA" w:rsidRPr="002D6E3C" w:rsidRDefault="002A1DA1" w:rsidP="00424ECD">
      <w:pPr>
        <w:spacing w:after="0" w:line="240" w:lineRule="auto"/>
        <w:ind w:firstLine="709"/>
        <w:jc w:val="both"/>
        <w:rPr>
          <w:rFonts w:ascii="Times New Roman" w:hAnsi="Times New Roman" w:cs="Times New Roman"/>
          <w:sz w:val="24"/>
          <w:szCs w:val="24"/>
        </w:rPr>
      </w:pPr>
      <w:r w:rsidRPr="002D6E3C">
        <w:rPr>
          <w:rFonts w:ascii="Times New Roman" w:hAnsi="Times New Roman" w:cs="Times New Roman"/>
          <w:sz w:val="24"/>
          <w:szCs w:val="24"/>
        </w:rPr>
        <w:t>Hay leyes para proteger</w:t>
      </w:r>
      <w:r w:rsidR="00AF02FA" w:rsidRPr="002D6E3C">
        <w:rPr>
          <w:rFonts w:ascii="Times New Roman" w:hAnsi="Times New Roman" w:cs="Times New Roman"/>
          <w:sz w:val="24"/>
          <w:szCs w:val="24"/>
        </w:rPr>
        <w:t xml:space="preserve"> a </w:t>
      </w:r>
      <w:r w:rsidRPr="002D6E3C">
        <w:rPr>
          <w:rFonts w:ascii="Times New Roman" w:hAnsi="Times New Roman" w:cs="Times New Roman"/>
          <w:sz w:val="24"/>
          <w:szCs w:val="24"/>
        </w:rPr>
        <w:t xml:space="preserve">los </w:t>
      </w:r>
      <w:r w:rsidR="00AF02FA" w:rsidRPr="002D6E3C">
        <w:rPr>
          <w:rFonts w:ascii="Times New Roman" w:hAnsi="Times New Roman" w:cs="Times New Roman"/>
          <w:sz w:val="24"/>
          <w:szCs w:val="24"/>
        </w:rPr>
        <w:t xml:space="preserve">niños que abandonan estos centros al llegar a la mayoría de edad </w:t>
      </w:r>
      <w:r w:rsidRPr="002D6E3C">
        <w:rPr>
          <w:rFonts w:ascii="Times New Roman" w:hAnsi="Times New Roman" w:cs="Times New Roman"/>
          <w:sz w:val="24"/>
          <w:szCs w:val="24"/>
        </w:rPr>
        <w:t>en este sentido</w:t>
      </w:r>
      <w:r w:rsidR="00AF02FA" w:rsidRPr="002D6E3C">
        <w:rPr>
          <w:rFonts w:ascii="Times New Roman" w:hAnsi="Times New Roman" w:cs="Times New Roman"/>
          <w:sz w:val="24"/>
          <w:szCs w:val="24"/>
        </w:rPr>
        <w:t xml:space="preserve"> y a</w:t>
      </w:r>
      <w:r w:rsidRPr="002D6E3C">
        <w:rPr>
          <w:rFonts w:ascii="Times New Roman" w:hAnsi="Times New Roman" w:cs="Times New Roman"/>
          <w:sz w:val="24"/>
          <w:szCs w:val="24"/>
        </w:rPr>
        <w:t xml:space="preserve"> partir de la sanción de la ley 27.364, el Programa de acompañamiento para el egreso de adolescentes y jóvenes sin cuidados parentales, se realiza un acompañamiento integral con un referente a los adolescentes que se encuentren residiendo en dispositivos de cuidados en el armado de un proyecto de vida autónomo, capacitación e inclusión laboral.</w:t>
      </w:r>
    </w:p>
    <w:p w:rsidR="00424ECD" w:rsidRDefault="00424ECD" w:rsidP="00424ECD">
      <w:pPr>
        <w:spacing w:after="0" w:line="240" w:lineRule="auto"/>
        <w:jc w:val="both"/>
        <w:rPr>
          <w:rFonts w:ascii="Times New Roman" w:hAnsi="Times New Roman" w:cs="Times New Roman"/>
          <w:b/>
          <w:sz w:val="24"/>
          <w:szCs w:val="24"/>
        </w:rPr>
      </w:pPr>
    </w:p>
    <w:p w:rsidR="00AF02FA" w:rsidRPr="002D6E3C" w:rsidRDefault="00885932" w:rsidP="00424ECD">
      <w:pPr>
        <w:spacing w:after="0" w:line="240" w:lineRule="auto"/>
        <w:jc w:val="both"/>
        <w:rPr>
          <w:rFonts w:ascii="Times New Roman" w:hAnsi="Times New Roman" w:cs="Times New Roman"/>
          <w:b/>
          <w:sz w:val="24"/>
          <w:szCs w:val="24"/>
        </w:rPr>
      </w:pPr>
      <w:r w:rsidRPr="002D6E3C">
        <w:rPr>
          <w:rFonts w:ascii="Times New Roman" w:hAnsi="Times New Roman" w:cs="Times New Roman"/>
          <w:b/>
          <w:sz w:val="24"/>
          <w:szCs w:val="24"/>
        </w:rPr>
        <w:t>Violencia en la toma de Colegios</w:t>
      </w:r>
      <w:r w:rsidR="00AF02FA" w:rsidRPr="002D6E3C">
        <w:rPr>
          <w:rFonts w:ascii="Times New Roman" w:hAnsi="Times New Roman" w:cs="Times New Roman"/>
          <w:b/>
          <w:sz w:val="24"/>
          <w:szCs w:val="24"/>
        </w:rPr>
        <w:t xml:space="preserve"> Secundarios</w:t>
      </w:r>
    </w:p>
    <w:p w:rsidR="00AF02FA" w:rsidRPr="002D6E3C" w:rsidRDefault="00AF02FA" w:rsidP="00424ECD">
      <w:pPr>
        <w:spacing w:after="0" w:line="240" w:lineRule="auto"/>
        <w:ind w:firstLine="709"/>
        <w:jc w:val="both"/>
        <w:rPr>
          <w:rFonts w:ascii="Times New Roman" w:hAnsi="Times New Roman" w:cs="Times New Roman"/>
          <w:sz w:val="24"/>
          <w:szCs w:val="24"/>
        </w:rPr>
      </w:pPr>
      <w:r w:rsidRPr="002D6E3C">
        <w:rPr>
          <w:rFonts w:ascii="Times New Roman" w:hAnsi="Times New Roman" w:cs="Times New Roman"/>
          <w:sz w:val="24"/>
          <w:szCs w:val="24"/>
        </w:rPr>
        <w:t>Sobre el</w:t>
      </w:r>
      <w:r w:rsidR="00885932" w:rsidRPr="002D6E3C">
        <w:rPr>
          <w:rFonts w:ascii="Times New Roman" w:hAnsi="Times New Roman" w:cs="Times New Roman"/>
          <w:sz w:val="24"/>
          <w:szCs w:val="24"/>
        </w:rPr>
        <w:t xml:space="preserve"> instructivo </w:t>
      </w:r>
      <w:r w:rsidRPr="002D6E3C">
        <w:rPr>
          <w:rFonts w:ascii="Times New Roman" w:hAnsi="Times New Roman" w:cs="Times New Roman"/>
          <w:sz w:val="24"/>
          <w:szCs w:val="24"/>
        </w:rPr>
        <w:t xml:space="preserve">para tomas de colegios, se informa que </w:t>
      </w:r>
      <w:r w:rsidR="00885932" w:rsidRPr="002D6E3C">
        <w:rPr>
          <w:rFonts w:ascii="Times New Roman" w:hAnsi="Times New Roman" w:cs="Times New Roman"/>
          <w:sz w:val="24"/>
          <w:szCs w:val="24"/>
        </w:rPr>
        <w:t>fue una propuesta de una jurisdicción particular que es la Ciudad Autónoma de Buenos Aires. La justicia suspendió la aplicación del instructivo a partir de una acción de amparo el 13 de septiembre de 2017.</w:t>
      </w:r>
    </w:p>
    <w:p w:rsidR="00424ECD" w:rsidRDefault="00424ECD" w:rsidP="00424ECD">
      <w:pPr>
        <w:spacing w:after="0" w:line="240" w:lineRule="auto"/>
        <w:jc w:val="both"/>
        <w:rPr>
          <w:rFonts w:ascii="Times New Roman" w:hAnsi="Times New Roman" w:cs="Times New Roman"/>
          <w:b/>
          <w:sz w:val="24"/>
          <w:szCs w:val="24"/>
        </w:rPr>
      </w:pPr>
    </w:p>
    <w:p w:rsidR="00AF02FA" w:rsidRPr="002D6E3C" w:rsidRDefault="00AF02FA" w:rsidP="00424ECD">
      <w:pPr>
        <w:spacing w:after="0" w:line="240" w:lineRule="auto"/>
        <w:jc w:val="both"/>
        <w:rPr>
          <w:rFonts w:ascii="Times New Roman" w:hAnsi="Times New Roman" w:cs="Times New Roman"/>
          <w:b/>
          <w:sz w:val="24"/>
          <w:szCs w:val="24"/>
        </w:rPr>
      </w:pPr>
      <w:r w:rsidRPr="002D6E3C">
        <w:rPr>
          <w:rFonts w:ascii="Times New Roman" w:hAnsi="Times New Roman" w:cs="Times New Roman"/>
          <w:b/>
          <w:sz w:val="24"/>
          <w:szCs w:val="24"/>
        </w:rPr>
        <w:t xml:space="preserve">Síndrome de Alienación Parental </w:t>
      </w:r>
    </w:p>
    <w:p w:rsidR="00B3642A" w:rsidRPr="002D6E3C" w:rsidRDefault="00B3642A" w:rsidP="00424ECD">
      <w:pPr>
        <w:spacing w:after="0" w:line="240" w:lineRule="auto"/>
        <w:ind w:firstLine="709"/>
        <w:jc w:val="both"/>
        <w:rPr>
          <w:rFonts w:ascii="Times New Roman" w:hAnsi="Times New Roman" w:cs="Times New Roman"/>
          <w:sz w:val="24"/>
          <w:szCs w:val="24"/>
        </w:rPr>
      </w:pPr>
      <w:r w:rsidRPr="002D6E3C">
        <w:rPr>
          <w:rFonts w:ascii="Times New Roman" w:hAnsi="Times New Roman" w:cs="Times New Roman"/>
          <w:sz w:val="24"/>
          <w:szCs w:val="24"/>
        </w:rPr>
        <w:t>Se presentó en el COFENAF en 2016, la declaración de SAP elaborada en MERCOSUR a propuesta de Argentina y apoyada por unanimidad y se instó a que todas las autoridades realicen la promoción de la prohibición de su utilización en todo el territorio</w:t>
      </w:r>
      <w:r w:rsidR="001D78BB" w:rsidRPr="002D6E3C">
        <w:rPr>
          <w:rFonts w:ascii="Times New Roman" w:hAnsi="Times New Roman" w:cs="Times New Roman"/>
          <w:sz w:val="24"/>
          <w:szCs w:val="24"/>
        </w:rPr>
        <w:t xml:space="preserve">, por ser no ser considerado un síndrome por la Organización Mundial de la Salud, y por lo tanto no es válida su utilización para anular los derechos de niñas, niños y adolescentes en cualquier ámbito. </w:t>
      </w:r>
    </w:p>
    <w:p w:rsidR="00424ECD" w:rsidRDefault="00424ECD" w:rsidP="00424ECD">
      <w:pPr>
        <w:spacing w:after="0" w:line="240" w:lineRule="auto"/>
        <w:jc w:val="both"/>
        <w:rPr>
          <w:rFonts w:ascii="Times New Roman" w:hAnsi="Times New Roman" w:cs="Times New Roman"/>
          <w:b/>
          <w:sz w:val="24"/>
          <w:szCs w:val="24"/>
        </w:rPr>
      </w:pPr>
    </w:p>
    <w:p w:rsidR="001D78BB" w:rsidRPr="002D6E3C" w:rsidRDefault="00B3642A" w:rsidP="00424ECD">
      <w:pPr>
        <w:spacing w:after="0" w:line="240" w:lineRule="auto"/>
        <w:jc w:val="both"/>
        <w:rPr>
          <w:rFonts w:ascii="Times New Roman" w:hAnsi="Times New Roman" w:cs="Times New Roman"/>
          <w:b/>
          <w:sz w:val="24"/>
          <w:szCs w:val="24"/>
        </w:rPr>
      </w:pPr>
      <w:r w:rsidRPr="002D6E3C">
        <w:rPr>
          <w:rFonts w:ascii="Times New Roman" w:hAnsi="Times New Roman" w:cs="Times New Roman"/>
          <w:b/>
          <w:sz w:val="24"/>
          <w:szCs w:val="24"/>
        </w:rPr>
        <w:t>Corrupción</w:t>
      </w:r>
      <w:r w:rsidR="001D78BB" w:rsidRPr="002D6E3C">
        <w:rPr>
          <w:rFonts w:ascii="Times New Roman" w:hAnsi="Times New Roman" w:cs="Times New Roman"/>
          <w:b/>
          <w:sz w:val="24"/>
          <w:szCs w:val="24"/>
        </w:rPr>
        <w:t xml:space="preserve"> y derechos del niño</w:t>
      </w:r>
    </w:p>
    <w:p w:rsidR="001D78BB" w:rsidRPr="002D6E3C" w:rsidRDefault="001D78BB" w:rsidP="00424ECD">
      <w:pPr>
        <w:spacing w:after="0" w:line="240" w:lineRule="auto"/>
        <w:ind w:firstLine="709"/>
        <w:jc w:val="both"/>
        <w:rPr>
          <w:rFonts w:ascii="Times New Roman" w:hAnsi="Times New Roman" w:cs="Times New Roman"/>
          <w:sz w:val="24"/>
          <w:szCs w:val="24"/>
        </w:rPr>
      </w:pPr>
      <w:r w:rsidRPr="002D6E3C">
        <w:rPr>
          <w:rFonts w:ascii="Times New Roman" w:hAnsi="Times New Roman" w:cs="Times New Roman"/>
          <w:sz w:val="24"/>
          <w:szCs w:val="24"/>
        </w:rPr>
        <w:t>En el año 2016 el Gobierno Nacional implementó un sistema de Compra electrónica para toda la administración pública que asegura absoluta y total transparencia en el sistema de presentación de ofertas. Todos los proveedores inscriptos, única forma de participar en el proceso, reciben notificaciones sobre las licitación a llevarse a cabo y pueden a su vez verificar la cantidad de ofertas presentadas por todo los ofertantes .De esta forma se ha eliminado la discrecionalidad y se ha logrado un proceso abierto y competitivo para todos.</w:t>
      </w:r>
    </w:p>
    <w:p w:rsidR="00424ECD" w:rsidRDefault="00424ECD" w:rsidP="00424ECD">
      <w:pPr>
        <w:spacing w:after="0" w:line="240" w:lineRule="auto"/>
        <w:jc w:val="both"/>
        <w:rPr>
          <w:rFonts w:ascii="Times New Roman" w:hAnsi="Times New Roman" w:cs="Times New Roman"/>
          <w:b/>
          <w:bCs/>
          <w:sz w:val="24"/>
          <w:szCs w:val="24"/>
        </w:rPr>
      </w:pPr>
    </w:p>
    <w:p w:rsidR="001D78BB" w:rsidRPr="002D6E3C" w:rsidRDefault="001D78BB" w:rsidP="00424ECD">
      <w:pPr>
        <w:spacing w:after="0" w:line="240" w:lineRule="auto"/>
        <w:jc w:val="both"/>
        <w:rPr>
          <w:rFonts w:ascii="Times New Roman" w:hAnsi="Times New Roman" w:cs="Times New Roman"/>
          <w:b/>
          <w:bCs/>
          <w:sz w:val="24"/>
          <w:szCs w:val="24"/>
        </w:rPr>
      </w:pPr>
      <w:r w:rsidRPr="002D6E3C">
        <w:rPr>
          <w:rFonts w:ascii="Times New Roman" w:hAnsi="Times New Roman" w:cs="Times New Roman"/>
          <w:b/>
          <w:bCs/>
          <w:sz w:val="24"/>
          <w:szCs w:val="24"/>
        </w:rPr>
        <w:t>Representación de Niñas, Niños y Adolescentes en medios de Comunicación</w:t>
      </w:r>
    </w:p>
    <w:p w:rsidR="001D78BB" w:rsidRPr="002D6E3C" w:rsidRDefault="00A74D0E" w:rsidP="00424ECD">
      <w:pPr>
        <w:spacing w:after="0" w:line="240" w:lineRule="auto"/>
        <w:ind w:firstLine="709"/>
        <w:jc w:val="both"/>
        <w:rPr>
          <w:rFonts w:ascii="Times New Roman" w:hAnsi="Times New Roman" w:cs="Times New Roman"/>
          <w:bCs/>
          <w:sz w:val="24"/>
          <w:szCs w:val="24"/>
        </w:rPr>
      </w:pPr>
      <w:r w:rsidRPr="002D6E3C">
        <w:rPr>
          <w:rFonts w:ascii="Times New Roman" w:hAnsi="Times New Roman" w:cs="Times New Roman"/>
          <w:bCs/>
          <w:sz w:val="24"/>
          <w:szCs w:val="24"/>
        </w:rPr>
        <w:t>En el 2016, se modificó la Ley 26522 y se anunció el inicio de un proceso de elaboración de un nuevo marco normativo que tenga en cuenta la convergencia mediática. El organismo a cargo de redactar un nuevo proyecto de ley es el E</w:t>
      </w:r>
      <w:r w:rsidR="001D78BB" w:rsidRPr="002D6E3C">
        <w:rPr>
          <w:rFonts w:ascii="Times New Roman" w:hAnsi="Times New Roman" w:cs="Times New Roman"/>
          <w:bCs/>
          <w:sz w:val="24"/>
          <w:szCs w:val="24"/>
        </w:rPr>
        <w:t>nte Nacional de Comunicaciones -ENACOM)</w:t>
      </w:r>
      <w:r w:rsidRPr="002D6E3C">
        <w:rPr>
          <w:rFonts w:ascii="Times New Roman" w:hAnsi="Times New Roman" w:cs="Times New Roman"/>
          <w:bCs/>
          <w:sz w:val="24"/>
          <w:szCs w:val="24"/>
        </w:rPr>
        <w:t xml:space="preserve">. En ese marco institucional se puso en marcha una Comisión Redactora para la Nueva Ley de Comunicaciones que durante todo el 2016 realizó reuniones participativas que contaron con la participación de diversos organismos y organizaciones. De esas reuniones participaron UNICEF y la </w:t>
      </w:r>
      <w:r w:rsidRPr="002D6E3C">
        <w:rPr>
          <w:rFonts w:ascii="Times New Roman" w:hAnsi="Times New Roman" w:cs="Times New Roman"/>
          <w:bCs/>
          <w:sz w:val="24"/>
          <w:szCs w:val="24"/>
        </w:rPr>
        <w:lastRenderedPageBreak/>
        <w:t xml:space="preserve">Defensoría del Público. Como resultado de las mismas se sintetizaron “17 Principios para la redacción de una nueva Ley de Comunicaciones”, estando dedicado el </w:t>
      </w:r>
      <w:r w:rsidR="001D78BB" w:rsidRPr="002D6E3C">
        <w:rPr>
          <w:rFonts w:ascii="Times New Roman" w:hAnsi="Times New Roman" w:cs="Times New Roman"/>
          <w:bCs/>
          <w:sz w:val="24"/>
          <w:szCs w:val="24"/>
        </w:rPr>
        <w:t>Nro.</w:t>
      </w:r>
      <w:r w:rsidRPr="002D6E3C">
        <w:rPr>
          <w:rFonts w:ascii="Times New Roman" w:hAnsi="Times New Roman" w:cs="Times New Roman"/>
          <w:bCs/>
          <w:sz w:val="24"/>
          <w:szCs w:val="24"/>
        </w:rPr>
        <w:t xml:space="preserve"> 3 a la niñez y la adolescencia. Sobre Derechos Reunión, se encuentra plenamente respetado. </w:t>
      </w:r>
    </w:p>
    <w:p w:rsidR="00424ECD" w:rsidRDefault="00424ECD" w:rsidP="00424ECD">
      <w:pPr>
        <w:spacing w:after="0" w:line="240" w:lineRule="auto"/>
        <w:jc w:val="both"/>
        <w:rPr>
          <w:rFonts w:ascii="Times New Roman" w:hAnsi="Times New Roman" w:cs="Times New Roman"/>
          <w:b/>
          <w:bCs/>
          <w:sz w:val="24"/>
          <w:szCs w:val="24"/>
        </w:rPr>
      </w:pPr>
    </w:p>
    <w:p w:rsidR="001D78BB" w:rsidRPr="002D6E3C" w:rsidRDefault="001D78BB" w:rsidP="00424ECD">
      <w:pPr>
        <w:spacing w:after="0" w:line="240" w:lineRule="auto"/>
        <w:jc w:val="both"/>
        <w:rPr>
          <w:rFonts w:ascii="Times New Roman" w:hAnsi="Times New Roman" w:cs="Times New Roman"/>
          <w:b/>
          <w:bCs/>
          <w:sz w:val="24"/>
          <w:szCs w:val="24"/>
        </w:rPr>
      </w:pPr>
      <w:r w:rsidRPr="002D6E3C">
        <w:rPr>
          <w:rFonts w:ascii="Times New Roman" w:hAnsi="Times New Roman" w:cs="Times New Roman"/>
          <w:b/>
          <w:bCs/>
          <w:sz w:val="24"/>
          <w:szCs w:val="24"/>
        </w:rPr>
        <w:t xml:space="preserve">Población de Calle </w:t>
      </w:r>
    </w:p>
    <w:p w:rsidR="00B3642A" w:rsidRPr="002D6E3C" w:rsidRDefault="00A74D0E" w:rsidP="00424ECD">
      <w:pPr>
        <w:spacing w:after="0" w:line="240" w:lineRule="auto"/>
        <w:ind w:firstLine="709"/>
        <w:jc w:val="both"/>
        <w:rPr>
          <w:rFonts w:ascii="Times New Roman" w:hAnsi="Times New Roman" w:cs="Times New Roman"/>
          <w:bCs/>
          <w:sz w:val="24"/>
          <w:szCs w:val="24"/>
        </w:rPr>
      </w:pPr>
      <w:r w:rsidRPr="002D6E3C">
        <w:rPr>
          <w:rFonts w:ascii="Times New Roman" w:hAnsi="Times New Roman" w:cs="Times New Roman"/>
          <w:bCs/>
          <w:sz w:val="24"/>
          <w:szCs w:val="24"/>
        </w:rPr>
        <w:t xml:space="preserve">La población en situación de calle es considerada de “difícil acceso” debido a la fluctuación, dispersión y alta complejidad de su abordaje. Atento a ello, no existen cifras oficiales nacionales de Niñas, niños y adolescentes en esa situación. Sin embargo cada jurisdicción provincial y de la Ciudad de Buenos Aires aborda la problemática con planes y programas específicos y según sus propias particularidades territoriales.    </w:t>
      </w:r>
    </w:p>
    <w:p w:rsidR="00424ECD" w:rsidRDefault="00424ECD" w:rsidP="00424ECD">
      <w:pPr>
        <w:spacing w:after="0" w:line="240" w:lineRule="auto"/>
        <w:jc w:val="both"/>
        <w:rPr>
          <w:rFonts w:ascii="Times New Roman" w:hAnsi="Times New Roman" w:cs="Times New Roman"/>
          <w:b/>
          <w:sz w:val="24"/>
          <w:szCs w:val="24"/>
        </w:rPr>
      </w:pPr>
    </w:p>
    <w:p w:rsidR="002D6E3C" w:rsidRPr="003B29DA" w:rsidRDefault="002D6E3C" w:rsidP="00424ECD">
      <w:pPr>
        <w:spacing w:after="0" w:line="240" w:lineRule="auto"/>
        <w:jc w:val="both"/>
        <w:rPr>
          <w:rFonts w:ascii="Times New Roman" w:hAnsi="Times New Roman" w:cs="Times New Roman"/>
          <w:b/>
          <w:sz w:val="24"/>
          <w:szCs w:val="24"/>
        </w:rPr>
      </w:pPr>
      <w:r w:rsidRPr="003B29DA">
        <w:rPr>
          <w:rFonts w:ascii="Times New Roman" w:hAnsi="Times New Roman" w:cs="Times New Roman"/>
          <w:b/>
          <w:sz w:val="24"/>
          <w:szCs w:val="24"/>
        </w:rPr>
        <w:t>Educación para la Paz</w:t>
      </w:r>
    </w:p>
    <w:p w:rsidR="002D6E3C" w:rsidRDefault="002D6E3C" w:rsidP="00424ECD">
      <w:pPr>
        <w:spacing w:after="0" w:line="240" w:lineRule="auto"/>
        <w:ind w:firstLine="709"/>
        <w:jc w:val="both"/>
        <w:rPr>
          <w:rFonts w:ascii="Times New Roman" w:hAnsi="Times New Roman" w:cs="Times New Roman"/>
          <w:sz w:val="24"/>
          <w:szCs w:val="24"/>
        </w:rPr>
      </w:pPr>
      <w:r w:rsidRPr="00465D64">
        <w:rPr>
          <w:rFonts w:ascii="Times New Roman" w:hAnsi="Times New Roman" w:cs="Times New Roman"/>
          <w:sz w:val="24"/>
          <w:szCs w:val="24"/>
        </w:rPr>
        <w:t>En el sistema educativo Argentino, Educación para la paz, se encuentra incluida en los contenidos curriculares comunes establecidos como NAP  (Núcleos de aprendizajes prioritarios), en el área de Ciencias Sociales y en Formación ética y Ciudadana, a partir de los cuales cada provincia y la Ciudad Autónoma de Buenos Airea ha desarrollado sus diseños curriculares para contextualizarlo a sus características locales y culturales.</w:t>
      </w:r>
    </w:p>
    <w:p w:rsidR="002D6E3C" w:rsidRPr="00465D64" w:rsidRDefault="002D6E3C" w:rsidP="00424ECD">
      <w:pPr>
        <w:spacing w:after="0" w:line="240" w:lineRule="auto"/>
        <w:ind w:firstLine="709"/>
        <w:jc w:val="both"/>
        <w:rPr>
          <w:rFonts w:ascii="Times New Roman" w:hAnsi="Times New Roman" w:cs="Times New Roman"/>
          <w:b/>
          <w:sz w:val="24"/>
          <w:szCs w:val="24"/>
        </w:rPr>
      </w:pPr>
    </w:p>
    <w:p w:rsidR="002D6E3C" w:rsidRPr="00465D64" w:rsidRDefault="002D6E3C" w:rsidP="00424ECD">
      <w:pPr>
        <w:spacing w:after="0" w:line="240" w:lineRule="auto"/>
        <w:ind w:firstLine="709"/>
        <w:jc w:val="both"/>
        <w:rPr>
          <w:rFonts w:ascii="Times New Roman" w:hAnsi="Times New Roman" w:cs="Times New Roman"/>
          <w:sz w:val="24"/>
          <w:szCs w:val="24"/>
        </w:rPr>
      </w:pPr>
      <w:r w:rsidRPr="00465D64">
        <w:rPr>
          <w:rFonts w:ascii="Times New Roman" w:hAnsi="Times New Roman" w:cs="Times New Roman"/>
          <w:sz w:val="24"/>
          <w:szCs w:val="24"/>
        </w:rPr>
        <w:t>Asimismo, el Ministerio de Educación de la Nación a través de la Red Federal de Educación, trabaja en Programas socio-educativos transversales con convenios y/o acuerdos con organizaciones nacionales e internacionales:</w:t>
      </w:r>
    </w:p>
    <w:p w:rsidR="00424ECD" w:rsidRDefault="00424ECD" w:rsidP="00424ECD">
      <w:pPr>
        <w:spacing w:after="0" w:line="240" w:lineRule="auto"/>
        <w:ind w:firstLine="709"/>
        <w:jc w:val="both"/>
        <w:rPr>
          <w:rFonts w:ascii="Times New Roman" w:hAnsi="Times New Roman" w:cs="Times New Roman"/>
          <w:sz w:val="24"/>
          <w:szCs w:val="24"/>
          <w:u w:val="single"/>
        </w:rPr>
      </w:pPr>
    </w:p>
    <w:p w:rsidR="002D6E3C" w:rsidRPr="00465D64" w:rsidRDefault="002D6E3C" w:rsidP="00424ECD">
      <w:pPr>
        <w:spacing w:after="0" w:line="240" w:lineRule="auto"/>
        <w:ind w:firstLine="709"/>
        <w:jc w:val="both"/>
        <w:rPr>
          <w:rFonts w:ascii="Times New Roman" w:hAnsi="Times New Roman" w:cs="Times New Roman"/>
          <w:sz w:val="24"/>
          <w:szCs w:val="24"/>
          <w:u w:val="single"/>
        </w:rPr>
      </w:pPr>
      <w:r w:rsidRPr="00465D64">
        <w:rPr>
          <w:rFonts w:ascii="Times New Roman" w:hAnsi="Times New Roman" w:cs="Times New Roman"/>
          <w:sz w:val="24"/>
          <w:szCs w:val="24"/>
          <w:u w:val="single"/>
        </w:rPr>
        <w:t>Parlamento Juvenil del Mercosur:</w:t>
      </w:r>
    </w:p>
    <w:p w:rsidR="002D6E3C" w:rsidRPr="00465D64" w:rsidRDefault="002D6E3C" w:rsidP="00424ECD">
      <w:pPr>
        <w:spacing w:after="0" w:line="240" w:lineRule="auto"/>
        <w:ind w:firstLine="709"/>
        <w:jc w:val="both"/>
        <w:rPr>
          <w:rFonts w:ascii="Times New Roman" w:hAnsi="Times New Roman" w:cs="Times New Roman"/>
          <w:sz w:val="24"/>
          <w:szCs w:val="24"/>
        </w:rPr>
      </w:pPr>
      <w:r w:rsidRPr="00465D64">
        <w:rPr>
          <w:rFonts w:ascii="Times New Roman" w:hAnsi="Times New Roman" w:cs="Times New Roman"/>
          <w:sz w:val="24"/>
          <w:szCs w:val="24"/>
        </w:rPr>
        <w:t>Cuyo propósito es fomentar el debate como forma de construcción del conocimiento y la participación como herramienta de transformación, Se alienta un espacio de diálogo institucionalizado entre los jóvenes de la región  a través de diferentes instancias de debate y participación: escolar, provincial, nacional e internacional. En cada una de ellas los estudiantes del Nivel Secundario elaboran propuestas que quedan plasmadas en documentos o declaraciones.</w:t>
      </w:r>
    </w:p>
    <w:p w:rsidR="00424ECD" w:rsidRDefault="00424ECD" w:rsidP="00424ECD">
      <w:pPr>
        <w:spacing w:after="0" w:line="240" w:lineRule="auto"/>
        <w:ind w:firstLine="709"/>
        <w:jc w:val="both"/>
        <w:rPr>
          <w:rFonts w:ascii="Times New Roman" w:hAnsi="Times New Roman" w:cs="Times New Roman"/>
          <w:sz w:val="24"/>
          <w:szCs w:val="24"/>
          <w:u w:val="single"/>
        </w:rPr>
      </w:pPr>
    </w:p>
    <w:p w:rsidR="002D6E3C" w:rsidRPr="00465D64" w:rsidRDefault="002D6E3C" w:rsidP="00424ECD">
      <w:pPr>
        <w:spacing w:after="0" w:line="240" w:lineRule="auto"/>
        <w:ind w:firstLine="709"/>
        <w:jc w:val="both"/>
        <w:rPr>
          <w:rFonts w:ascii="Times New Roman" w:hAnsi="Times New Roman" w:cs="Times New Roman"/>
          <w:sz w:val="24"/>
          <w:szCs w:val="24"/>
          <w:u w:val="single"/>
        </w:rPr>
      </w:pPr>
      <w:r w:rsidRPr="00465D64">
        <w:rPr>
          <w:rFonts w:ascii="Times New Roman" w:hAnsi="Times New Roman" w:cs="Times New Roman"/>
          <w:sz w:val="24"/>
          <w:szCs w:val="24"/>
          <w:u w:val="single"/>
        </w:rPr>
        <w:t>Scollas ciudadanas:</w:t>
      </w:r>
    </w:p>
    <w:p w:rsidR="002D6E3C" w:rsidRPr="00465D64" w:rsidRDefault="002D6E3C" w:rsidP="00424ECD">
      <w:pPr>
        <w:spacing w:after="0" w:line="240" w:lineRule="auto"/>
        <w:ind w:firstLine="709"/>
        <w:jc w:val="both"/>
        <w:rPr>
          <w:rFonts w:ascii="Times New Roman" w:hAnsi="Times New Roman" w:cs="Times New Roman"/>
          <w:sz w:val="24"/>
          <w:szCs w:val="24"/>
          <w:u w:val="single"/>
        </w:rPr>
      </w:pPr>
      <w:r w:rsidRPr="00465D64">
        <w:rPr>
          <w:rFonts w:ascii="Times New Roman" w:hAnsi="Times New Roman" w:cs="Times New Roman"/>
          <w:sz w:val="24"/>
          <w:szCs w:val="24"/>
        </w:rPr>
        <w:t>El propósito es desarrollar acciones conjuntas que establezcan lazos de cooperación, colaboración y apoyo para el impulso de la pedagogía del encuentro, en el que se vinculen escuelas y redes educativas, en todo el territorio y en la región</w:t>
      </w:r>
    </w:p>
    <w:p w:rsidR="002D6E3C" w:rsidRPr="00465D64" w:rsidRDefault="002D6E3C" w:rsidP="00424ECD">
      <w:pPr>
        <w:spacing w:after="0" w:line="240" w:lineRule="auto"/>
        <w:ind w:left="708" w:firstLine="1"/>
        <w:jc w:val="both"/>
        <w:rPr>
          <w:rFonts w:ascii="Times New Roman" w:hAnsi="Times New Roman" w:cs="Times New Roman"/>
          <w:sz w:val="24"/>
          <w:szCs w:val="24"/>
          <w:u w:val="single"/>
        </w:rPr>
      </w:pPr>
      <w:r w:rsidRPr="00465D64">
        <w:rPr>
          <w:rFonts w:ascii="Times New Roman" w:hAnsi="Times New Roman" w:cs="Times New Roman"/>
          <w:sz w:val="24"/>
          <w:szCs w:val="24"/>
        </w:rPr>
        <w:br/>
      </w:r>
      <w:r w:rsidRPr="00465D64">
        <w:rPr>
          <w:rFonts w:ascii="Times New Roman" w:hAnsi="Times New Roman" w:cs="Times New Roman"/>
          <w:sz w:val="24"/>
          <w:szCs w:val="24"/>
          <w:u w:val="single"/>
        </w:rPr>
        <w:t>Educación solidaria:</w:t>
      </w:r>
    </w:p>
    <w:p w:rsidR="002D6E3C" w:rsidRDefault="002D6E3C" w:rsidP="00424ECD">
      <w:pPr>
        <w:spacing w:after="0" w:line="240" w:lineRule="auto"/>
        <w:ind w:firstLine="709"/>
        <w:jc w:val="both"/>
        <w:rPr>
          <w:rFonts w:ascii="Times New Roman" w:hAnsi="Times New Roman" w:cs="Times New Roman"/>
          <w:sz w:val="24"/>
          <w:szCs w:val="24"/>
        </w:rPr>
      </w:pPr>
      <w:r w:rsidRPr="00465D64">
        <w:rPr>
          <w:rFonts w:ascii="Times New Roman" w:hAnsi="Times New Roman" w:cs="Times New Roman"/>
          <w:sz w:val="24"/>
          <w:szCs w:val="24"/>
        </w:rPr>
        <w:t>Busca formar a los estudiantes para una ciudadanía activa y en valores solidarios, a partir de promover la realización de proyectos educativos solidarios y de acciones que combinen aprendizaje y servicio. Impulsa el trabajo conjunto de las escuelas con los destinatarios de las acciones y establece alianzas con otros programas, instituciones y organizaciones locales.</w:t>
      </w:r>
    </w:p>
    <w:p w:rsidR="00424ECD" w:rsidRDefault="00424ECD" w:rsidP="00424ECD">
      <w:pPr>
        <w:spacing w:after="0" w:line="240" w:lineRule="auto"/>
        <w:jc w:val="both"/>
        <w:rPr>
          <w:rFonts w:cstheme="minorHAnsi"/>
          <w:b/>
          <w:sz w:val="28"/>
          <w:szCs w:val="28"/>
        </w:rPr>
      </w:pPr>
    </w:p>
    <w:p w:rsidR="002D6E3C" w:rsidRPr="003B29DA" w:rsidRDefault="002D6E3C" w:rsidP="00424ECD">
      <w:pPr>
        <w:spacing w:after="0" w:line="240" w:lineRule="auto"/>
        <w:jc w:val="both"/>
        <w:rPr>
          <w:rFonts w:ascii="Times New Roman" w:hAnsi="Times New Roman" w:cs="Times New Roman"/>
          <w:b/>
          <w:sz w:val="24"/>
          <w:szCs w:val="24"/>
        </w:rPr>
      </w:pPr>
      <w:r w:rsidRPr="003B29DA">
        <w:rPr>
          <w:rFonts w:ascii="Times New Roman" w:hAnsi="Times New Roman" w:cs="Times New Roman"/>
          <w:b/>
          <w:sz w:val="24"/>
          <w:szCs w:val="24"/>
        </w:rPr>
        <w:t>Tuberculosis</w:t>
      </w:r>
    </w:p>
    <w:p w:rsidR="002D6E3C" w:rsidRPr="003B29DA" w:rsidRDefault="002D6E3C" w:rsidP="00424ECD">
      <w:pPr>
        <w:spacing w:after="0" w:line="240" w:lineRule="auto"/>
        <w:ind w:firstLine="709"/>
        <w:jc w:val="both"/>
        <w:rPr>
          <w:rFonts w:ascii="Times New Roman" w:hAnsi="Times New Roman" w:cs="Times New Roman"/>
          <w:sz w:val="24"/>
          <w:szCs w:val="24"/>
        </w:rPr>
      </w:pPr>
      <w:r w:rsidRPr="003B29DA">
        <w:rPr>
          <w:rFonts w:ascii="Times New Roman" w:hAnsi="Times New Roman" w:cs="Times New Roman"/>
          <w:sz w:val="24"/>
          <w:szCs w:val="24"/>
        </w:rPr>
        <w:t>En 2016 se notificaron 11.560 casos de Tuberculosis (TBC)</w:t>
      </w:r>
      <w:r>
        <w:rPr>
          <w:rFonts w:ascii="Times New Roman" w:hAnsi="Times New Roman" w:cs="Times New Roman"/>
          <w:sz w:val="24"/>
          <w:szCs w:val="24"/>
        </w:rPr>
        <w:t xml:space="preserve">, de los cuales el 50% </w:t>
      </w:r>
      <w:r w:rsidRPr="003B29DA">
        <w:rPr>
          <w:rFonts w:ascii="Times New Roman" w:hAnsi="Times New Roman" w:cs="Times New Roman"/>
          <w:sz w:val="24"/>
          <w:szCs w:val="24"/>
        </w:rPr>
        <w:t xml:space="preserve">se registra en edad reproductiva, de 20 a 44 años. El boletín epidemiológico de TBC del Ministerio de Salud indica que la tasa de notificación de casos de tuberculosis aumentó en 2016 en relación a 2015 al pasar de 22,8 a 23,9 por cada 100.000 habitantes, con importantes diferencias entre jurisdicciones. La mortalidad por esta infección alcanzó a 757 personas durante 2016. Por otro lado, los casos de tuberculosis en </w:t>
      </w:r>
      <w:r w:rsidRPr="003B29DA">
        <w:rPr>
          <w:rFonts w:ascii="Times New Roman" w:hAnsi="Times New Roman" w:cs="Times New Roman"/>
          <w:sz w:val="24"/>
          <w:szCs w:val="24"/>
        </w:rPr>
        <w:lastRenderedPageBreak/>
        <w:t>menores de 20 años fueron 1.932, lo cual representó una reducción del 4,5% respecto al año anterior.</w:t>
      </w:r>
    </w:p>
    <w:p w:rsidR="00424ECD" w:rsidRPr="00BB56F1" w:rsidRDefault="00424ECD" w:rsidP="00424ECD">
      <w:pPr>
        <w:pStyle w:val="NormalWeb"/>
        <w:shd w:val="clear" w:color="auto" w:fill="FFFFFF"/>
        <w:spacing w:before="0" w:beforeAutospacing="0" w:after="300" w:afterAutospacing="0"/>
        <w:rPr>
          <w:b/>
          <w:color w:val="333333"/>
        </w:rPr>
      </w:pPr>
    </w:p>
    <w:p w:rsidR="00424ECD" w:rsidRPr="00BB56F1" w:rsidRDefault="00424ECD" w:rsidP="001873BA">
      <w:pPr>
        <w:pStyle w:val="NormalWeb"/>
        <w:shd w:val="clear" w:color="auto" w:fill="FFFFFF"/>
        <w:spacing w:before="0" w:beforeAutospacing="0" w:after="0" w:afterAutospacing="0"/>
        <w:rPr>
          <w:rFonts w:eastAsiaTheme="minorHAnsi"/>
          <w:b/>
          <w:bCs/>
          <w:lang w:eastAsia="en-US"/>
        </w:rPr>
      </w:pPr>
      <w:r w:rsidRPr="00BB56F1">
        <w:rPr>
          <w:rFonts w:eastAsiaTheme="minorHAnsi"/>
          <w:b/>
          <w:bCs/>
          <w:lang w:eastAsia="en-US"/>
        </w:rPr>
        <w:t>Esterilización en personas con discapacidad</w:t>
      </w:r>
    </w:p>
    <w:p w:rsidR="00424ECD" w:rsidRPr="00BB56F1" w:rsidRDefault="00424ECD" w:rsidP="001873BA">
      <w:pPr>
        <w:pStyle w:val="NormalWeb"/>
        <w:shd w:val="clear" w:color="auto" w:fill="FFFFFF"/>
        <w:spacing w:before="0" w:beforeAutospacing="0" w:after="0" w:afterAutospacing="0"/>
        <w:ind w:firstLine="709"/>
        <w:jc w:val="both"/>
        <w:rPr>
          <w:rFonts w:eastAsiaTheme="minorHAnsi"/>
          <w:bCs/>
          <w:lang w:eastAsia="en-US"/>
        </w:rPr>
      </w:pPr>
      <w:r w:rsidRPr="00BB56F1">
        <w:rPr>
          <w:rFonts w:eastAsiaTheme="minorHAnsi"/>
          <w:bCs/>
          <w:lang w:eastAsia="en-US"/>
        </w:rPr>
        <w:t>Esta práctica es contraria al nuevo Código Civil de la Nación.</w:t>
      </w:r>
    </w:p>
    <w:p w:rsidR="00BB56F1" w:rsidRDefault="00424ECD" w:rsidP="001873BA">
      <w:pPr>
        <w:pStyle w:val="NormalWeb"/>
        <w:shd w:val="clear" w:color="auto" w:fill="FFFFFF"/>
        <w:spacing w:before="0" w:beforeAutospacing="0" w:after="0" w:afterAutospacing="0"/>
        <w:ind w:firstLine="709"/>
        <w:jc w:val="both"/>
        <w:rPr>
          <w:rFonts w:eastAsiaTheme="minorHAnsi"/>
          <w:bCs/>
          <w:lang w:eastAsia="en-US"/>
        </w:rPr>
      </w:pPr>
      <w:r w:rsidRPr="00BB56F1">
        <w:rPr>
          <w:rFonts w:eastAsiaTheme="minorHAnsi"/>
          <w:bCs/>
          <w:lang w:eastAsia="en-US"/>
        </w:rPr>
        <w:t>Los esfuerzos para hacer cumplir el código civil están direccionados para que  las personas con discapacidad puedan ejercer sus derechos de manera autónoma y recibir la atención sanitaria en los términos que les resulten más accesibles, aceptables y con la mejor calidad disponible. Las/os profesionales de la salud están en la obligación de tomar medidas necesarias para garantizar la accesibilidad, no solo física sino también en relación con el ejercicio de otros derechos como la privacidad, confidencialidad, dignidad, igualdad, entre otros.</w:t>
      </w:r>
      <w:r w:rsidR="00BB56F1">
        <w:rPr>
          <w:rFonts w:eastAsiaTheme="minorHAnsi"/>
          <w:bCs/>
          <w:lang w:eastAsia="en-US"/>
        </w:rPr>
        <w:t xml:space="preserve"> </w:t>
      </w:r>
    </w:p>
    <w:p w:rsidR="00424ECD" w:rsidRPr="00BB56F1" w:rsidRDefault="00424ECD" w:rsidP="001873BA">
      <w:pPr>
        <w:pStyle w:val="NormalWeb"/>
        <w:shd w:val="clear" w:color="auto" w:fill="FFFFFF"/>
        <w:spacing w:before="0" w:beforeAutospacing="0" w:after="0" w:afterAutospacing="0"/>
        <w:ind w:firstLine="709"/>
        <w:jc w:val="both"/>
        <w:rPr>
          <w:rFonts w:eastAsiaTheme="minorHAnsi"/>
          <w:bCs/>
          <w:lang w:eastAsia="en-US"/>
        </w:rPr>
      </w:pPr>
      <w:r w:rsidRPr="00BB56F1">
        <w:rPr>
          <w:rFonts w:eastAsiaTheme="minorHAnsi"/>
          <w:bCs/>
          <w:lang w:eastAsia="en-US"/>
        </w:rPr>
        <w:t>El método anticonceptivos sugerido para evitar un embarazo no deseado en personas con discapacidad son los anticonceptivos de larga duración.</w:t>
      </w:r>
    </w:p>
    <w:p w:rsidR="00424ECD" w:rsidRPr="00BB56F1" w:rsidRDefault="00424ECD" w:rsidP="001873BA">
      <w:pPr>
        <w:pStyle w:val="NormalWeb"/>
        <w:shd w:val="clear" w:color="auto" w:fill="FFFFFF"/>
        <w:spacing w:before="0" w:beforeAutospacing="0" w:after="0" w:afterAutospacing="0"/>
        <w:ind w:firstLine="709"/>
        <w:jc w:val="both"/>
        <w:rPr>
          <w:rFonts w:eastAsiaTheme="minorHAnsi"/>
          <w:bCs/>
          <w:lang w:eastAsia="en-US"/>
        </w:rPr>
      </w:pPr>
      <w:r w:rsidRPr="00BB56F1">
        <w:rPr>
          <w:rFonts w:eastAsiaTheme="minorHAnsi"/>
          <w:bCs/>
          <w:lang w:eastAsia="en-US"/>
        </w:rPr>
        <w:t>Para erradicar la discriminación y la vulneración de derechos que viven las personas con discapacidad, la C</w:t>
      </w:r>
      <w:r w:rsidR="00BB56F1">
        <w:rPr>
          <w:rFonts w:eastAsiaTheme="minorHAnsi"/>
          <w:bCs/>
          <w:lang w:eastAsia="en-US"/>
        </w:rPr>
        <w:t>onvención de los derechos de las personas con discapacidad (que adquirió jerarquía constitucional en 2014), ha</w:t>
      </w:r>
      <w:r w:rsidRPr="00BB56F1">
        <w:rPr>
          <w:rFonts w:eastAsiaTheme="minorHAnsi"/>
          <w:bCs/>
          <w:lang w:eastAsia="en-US"/>
        </w:rPr>
        <w:t xml:space="preserve"> establecido obligaciones para que los Estados tomen medidas tendientes a garantizar el ejercicio autónomo de los derechos por parte de las personas con discapacidad. Entre otras medidas, se encuentran la adaptación de los bienes y servicios públicos para que sean realmente accesibles a toda la</w:t>
      </w:r>
      <w:r w:rsidR="00BB56F1">
        <w:rPr>
          <w:rFonts w:eastAsiaTheme="minorHAnsi"/>
          <w:bCs/>
          <w:lang w:eastAsia="en-US"/>
        </w:rPr>
        <w:t xml:space="preserve"> población, incluyendo a las Personas con discapacidad</w:t>
      </w:r>
      <w:r w:rsidRPr="00BB56F1">
        <w:rPr>
          <w:rFonts w:eastAsiaTheme="minorHAnsi"/>
          <w:bCs/>
          <w:lang w:eastAsia="en-US"/>
        </w:rPr>
        <w:t xml:space="preserve"> de cualquier tipo, por medio de los “ajustes razonables”; de la misma forma, estableció la obligación de desarrollar mecanismos flexibles e individuales para asistir a las personas en la toma de decisiones y el ejercicio de derechos que se han denominado “sistemas de apoyo”</w:t>
      </w:r>
      <w:r w:rsidR="00BB56F1">
        <w:rPr>
          <w:rFonts w:eastAsiaTheme="minorHAnsi"/>
          <w:bCs/>
          <w:lang w:eastAsia="en-US"/>
        </w:rPr>
        <w:t xml:space="preserve">. </w:t>
      </w:r>
      <w:r w:rsidRPr="00BB56F1">
        <w:rPr>
          <w:rFonts w:eastAsiaTheme="minorHAnsi"/>
          <w:bCs/>
          <w:lang w:eastAsia="en-US"/>
        </w:rPr>
        <w:t>Las terceras personas deben acompañar la decisión de la persona. En ningún caso existe la sustitución de voluntad con consentimiento</w:t>
      </w:r>
    </w:p>
    <w:p w:rsidR="00424ECD" w:rsidRDefault="00424ECD" w:rsidP="00424ECD">
      <w:pPr>
        <w:spacing w:after="0" w:line="240" w:lineRule="auto"/>
        <w:jc w:val="both"/>
      </w:pPr>
    </w:p>
    <w:p w:rsidR="00424ECD" w:rsidRPr="00424ECD" w:rsidRDefault="00424ECD" w:rsidP="00424ECD">
      <w:pPr>
        <w:spacing w:after="0" w:line="240" w:lineRule="auto"/>
        <w:jc w:val="both"/>
        <w:rPr>
          <w:rFonts w:ascii="Times New Roman" w:hAnsi="Times New Roman" w:cs="Times New Roman"/>
          <w:b/>
          <w:sz w:val="24"/>
          <w:szCs w:val="24"/>
        </w:rPr>
      </w:pPr>
      <w:r w:rsidRPr="002944BD">
        <w:rPr>
          <w:rFonts w:ascii="Times New Roman" w:hAnsi="Times New Roman" w:cs="Times New Roman"/>
          <w:b/>
          <w:sz w:val="24"/>
          <w:szCs w:val="24"/>
        </w:rPr>
        <w:t>Medidas adoptadas por el Estado para erradicar el trabajo infantil</w:t>
      </w:r>
    </w:p>
    <w:p w:rsidR="00424ECD" w:rsidRPr="002944BD" w:rsidRDefault="00424ECD" w:rsidP="00424ECD">
      <w:pPr>
        <w:spacing w:after="0" w:line="240" w:lineRule="auto"/>
        <w:ind w:firstLine="709"/>
        <w:jc w:val="both"/>
        <w:rPr>
          <w:rFonts w:ascii="Times New Roman" w:hAnsi="Times New Roman" w:cs="Times New Roman"/>
          <w:sz w:val="24"/>
          <w:szCs w:val="24"/>
        </w:rPr>
      </w:pPr>
      <w:r w:rsidRPr="002944BD">
        <w:rPr>
          <w:rFonts w:ascii="Times New Roman" w:hAnsi="Times New Roman" w:cs="Times New Roman"/>
          <w:sz w:val="24"/>
          <w:szCs w:val="24"/>
        </w:rPr>
        <w:t>Desde el año 2006</w:t>
      </w:r>
      <w:r w:rsidR="00C77CE5">
        <w:rPr>
          <w:rFonts w:ascii="Times New Roman" w:hAnsi="Times New Roman" w:cs="Times New Roman"/>
          <w:sz w:val="24"/>
          <w:szCs w:val="24"/>
        </w:rPr>
        <w:t xml:space="preserve"> hasta la actualidad,</w:t>
      </w:r>
      <w:r w:rsidRPr="002944BD">
        <w:rPr>
          <w:rFonts w:ascii="Times New Roman" w:hAnsi="Times New Roman" w:cs="Times New Roman"/>
          <w:sz w:val="24"/>
          <w:szCs w:val="24"/>
        </w:rPr>
        <w:t xml:space="preserve"> la Comisión Nacional para la Erradicación del Trabajo Infantil (CONAETI)</w:t>
      </w:r>
      <w:r w:rsidR="00C77CE5">
        <w:rPr>
          <w:rFonts w:ascii="Times New Roman" w:hAnsi="Times New Roman" w:cs="Times New Roman"/>
          <w:sz w:val="24"/>
          <w:szCs w:val="24"/>
        </w:rPr>
        <w:t>,</w:t>
      </w:r>
      <w:r w:rsidRPr="002944BD">
        <w:rPr>
          <w:rFonts w:ascii="Times New Roman" w:hAnsi="Times New Roman" w:cs="Times New Roman"/>
          <w:sz w:val="24"/>
          <w:szCs w:val="24"/>
        </w:rPr>
        <w:t xml:space="preserve"> </w:t>
      </w:r>
      <w:r w:rsidR="00C77CE5">
        <w:rPr>
          <w:rFonts w:ascii="Times New Roman" w:hAnsi="Times New Roman" w:cs="Times New Roman"/>
          <w:sz w:val="24"/>
          <w:szCs w:val="24"/>
        </w:rPr>
        <w:t>ha</w:t>
      </w:r>
      <w:r w:rsidRPr="002944BD">
        <w:rPr>
          <w:rFonts w:ascii="Times New Roman" w:hAnsi="Times New Roman" w:cs="Times New Roman"/>
          <w:sz w:val="24"/>
          <w:szCs w:val="24"/>
        </w:rPr>
        <w:t xml:space="preserve"> implementado deferentes planes nacionales con el objetivo de prevenir y erradicar el trabajo infantil: Plan Nacional para la Prevención y Erradicación del Trabajo Infantil (2006-2010); Plan Nacional para la Prevención y Erradicación del Trabajo Infantil y la protección del Trabajo Adolescente (2011-2015); y el Plan Nacional para la Prevención y Erradicación del Trabajo Infantil y la protección del Trabajo Adolescente (2018-2022). </w:t>
      </w:r>
    </w:p>
    <w:p w:rsidR="00424ECD" w:rsidRPr="002944BD" w:rsidRDefault="00424ECD" w:rsidP="00424ECD">
      <w:pPr>
        <w:spacing w:after="0" w:line="240" w:lineRule="auto"/>
        <w:ind w:firstLine="709"/>
        <w:jc w:val="both"/>
        <w:rPr>
          <w:rFonts w:ascii="Times New Roman" w:hAnsi="Times New Roman" w:cs="Times New Roman"/>
          <w:sz w:val="24"/>
          <w:szCs w:val="24"/>
        </w:rPr>
      </w:pPr>
      <w:r w:rsidRPr="002944BD">
        <w:rPr>
          <w:rFonts w:ascii="Times New Roman" w:hAnsi="Times New Roman" w:cs="Times New Roman"/>
          <w:sz w:val="24"/>
          <w:szCs w:val="24"/>
        </w:rPr>
        <w:t>Las dos primeras ediciones fueron evaluadas por la Organización Internacional del Trabajo y del fruto de este trabajo se desarrolló el plan que se encuentra en ejecución. Este Plan lleva por objetivo general “Garantizar la prevención y erradicación del trabajo infantil en todas sus formas y la protección del trabajo adolescente</w:t>
      </w:r>
    </w:p>
    <w:p w:rsidR="00424ECD" w:rsidRPr="002944BD" w:rsidRDefault="00424ECD" w:rsidP="00424ECD">
      <w:pPr>
        <w:spacing w:after="0" w:line="240" w:lineRule="auto"/>
        <w:ind w:firstLine="709"/>
        <w:jc w:val="both"/>
        <w:rPr>
          <w:rFonts w:ascii="Times New Roman" w:hAnsi="Times New Roman" w:cs="Times New Roman"/>
          <w:sz w:val="24"/>
          <w:szCs w:val="24"/>
        </w:rPr>
      </w:pPr>
      <w:r w:rsidRPr="002944BD">
        <w:rPr>
          <w:rFonts w:ascii="Times New Roman" w:hAnsi="Times New Roman" w:cs="Times New Roman"/>
          <w:sz w:val="24"/>
          <w:szCs w:val="24"/>
        </w:rPr>
        <w:t>Por otra parte y en el marco de la Secretaria de Empleo, con asistencia técnica de la CONAETI se crearon 130 centros de Buena Cosecha en la provincia de Mendoza y 34 en la provincia de San Juan. Estos espacios de atención y cuidado, a contra turno de la escuela, brindan a los hijos de los trabajadores la oportunidad de crecer en un ambiente que impide su incorporación temprana al mundo del trabajo previniendo el trabajo infantil. Una acción similar han desarrollado las cámaras del Tabaco de Salta y Jujuy apoyando la realización de los Jardines de Cosecha, en el marco de la RED de Empresas Contra el Trabajo Infantil.</w:t>
      </w:r>
    </w:p>
    <w:p w:rsidR="00424ECD" w:rsidRPr="002944BD" w:rsidRDefault="00424ECD" w:rsidP="00424ECD">
      <w:pPr>
        <w:spacing w:after="0" w:line="240" w:lineRule="auto"/>
        <w:ind w:firstLine="709"/>
        <w:jc w:val="both"/>
        <w:rPr>
          <w:rFonts w:ascii="Times New Roman" w:hAnsi="Times New Roman" w:cs="Times New Roman"/>
          <w:sz w:val="24"/>
          <w:szCs w:val="24"/>
        </w:rPr>
      </w:pPr>
      <w:r w:rsidRPr="002944BD">
        <w:rPr>
          <w:rFonts w:ascii="Times New Roman" w:hAnsi="Times New Roman" w:cs="Times New Roman"/>
          <w:sz w:val="24"/>
          <w:szCs w:val="24"/>
        </w:rPr>
        <w:t xml:space="preserve">En 2017 se firmaron 10 convenios contra el trabajo infantil entre la SENAF y las tabacaleras de Salta y Misiones, las provincias de Corrientes y Misiones y distintos municipios, siendo beneficiados 1850 niños, niñas, </w:t>
      </w:r>
      <w:r>
        <w:rPr>
          <w:rFonts w:ascii="Times New Roman" w:hAnsi="Times New Roman" w:cs="Times New Roman"/>
          <w:sz w:val="24"/>
          <w:szCs w:val="24"/>
        </w:rPr>
        <w:t>adolescentes y 150 empleadores.</w:t>
      </w:r>
    </w:p>
    <w:p w:rsidR="00424ECD" w:rsidRPr="00424ECD" w:rsidRDefault="00424ECD" w:rsidP="00424ECD">
      <w:pPr>
        <w:spacing w:after="0" w:line="240" w:lineRule="auto"/>
        <w:ind w:firstLine="709"/>
        <w:jc w:val="both"/>
        <w:rPr>
          <w:rFonts w:ascii="Times New Roman" w:hAnsi="Times New Roman" w:cs="Times New Roman"/>
          <w:sz w:val="24"/>
          <w:szCs w:val="24"/>
        </w:rPr>
      </w:pPr>
      <w:r w:rsidRPr="002944BD">
        <w:rPr>
          <w:rFonts w:ascii="Times New Roman" w:hAnsi="Times New Roman" w:cs="Times New Roman"/>
          <w:sz w:val="24"/>
          <w:szCs w:val="24"/>
        </w:rPr>
        <w:lastRenderedPageBreak/>
        <w:t xml:space="preserve">Se ha propiciado la creación de las 23 Comisiones Provinciales para la Prevención y Erradicación del Trabajo Infantil (COPRETI) quienes desarrollan un trabajo articulado con CONAETI en la ejecución de políticas públicas de prevención y erradicación del trabajo infantil.  </w:t>
      </w:r>
    </w:p>
    <w:p w:rsidR="00424ECD" w:rsidRPr="00424ECD" w:rsidRDefault="00424ECD" w:rsidP="00424ECD">
      <w:pPr>
        <w:spacing w:after="0" w:line="240" w:lineRule="auto"/>
        <w:ind w:firstLine="709"/>
        <w:jc w:val="both"/>
        <w:rPr>
          <w:rFonts w:ascii="Times New Roman" w:hAnsi="Times New Roman" w:cs="Times New Roman"/>
          <w:b/>
          <w:bCs/>
          <w:i/>
          <w:sz w:val="24"/>
          <w:szCs w:val="24"/>
        </w:rPr>
      </w:pPr>
      <w:r w:rsidRPr="002944BD">
        <w:rPr>
          <w:rFonts w:ascii="Times New Roman" w:hAnsi="Times New Roman" w:cs="Times New Roman"/>
          <w:bCs/>
          <w:sz w:val="24"/>
          <w:szCs w:val="24"/>
        </w:rPr>
        <w:t xml:space="preserve">En la Argentina, el </w:t>
      </w:r>
      <w:r w:rsidRPr="002944BD">
        <w:rPr>
          <w:rFonts w:ascii="Times New Roman" w:hAnsi="Times New Roman" w:cs="Times New Roman"/>
          <w:b/>
          <w:bCs/>
          <w:sz w:val="24"/>
          <w:szCs w:val="24"/>
        </w:rPr>
        <w:t>trabajo infantil</w:t>
      </w:r>
      <w:r w:rsidRPr="002944BD">
        <w:rPr>
          <w:rFonts w:ascii="Times New Roman" w:hAnsi="Times New Roman" w:cs="Times New Roman"/>
          <w:bCs/>
          <w:sz w:val="24"/>
          <w:szCs w:val="24"/>
        </w:rPr>
        <w:t xml:space="preserve"> </w:t>
      </w:r>
      <w:r w:rsidRPr="002944BD">
        <w:rPr>
          <w:rFonts w:ascii="Times New Roman" w:hAnsi="Times New Roman" w:cs="Times New Roman"/>
          <w:b/>
          <w:bCs/>
          <w:sz w:val="24"/>
          <w:szCs w:val="24"/>
        </w:rPr>
        <w:t xml:space="preserve">orientado al mercado </w:t>
      </w:r>
      <w:r w:rsidRPr="002944BD">
        <w:rPr>
          <w:rFonts w:ascii="Times New Roman" w:hAnsi="Times New Roman" w:cs="Times New Roman"/>
          <w:bCs/>
          <w:sz w:val="24"/>
          <w:szCs w:val="24"/>
        </w:rPr>
        <w:t xml:space="preserve">alcanza al 3,7% (285.441) de los niños y niñas de 5 a 15 años para el total nacional (urbano y rural). </w:t>
      </w:r>
    </w:p>
    <w:p w:rsidR="00424ECD" w:rsidRDefault="00424ECD" w:rsidP="00424ECD">
      <w:pPr>
        <w:spacing w:after="0" w:line="240" w:lineRule="auto"/>
        <w:ind w:firstLine="709"/>
        <w:jc w:val="both"/>
        <w:rPr>
          <w:rFonts w:ascii="Times New Roman" w:hAnsi="Times New Roman" w:cs="Times New Roman"/>
          <w:bCs/>
          <w:sz w:val="24"/>
          <w:szCs w:val="24"/>
        </w:rPr>
      </w:pPr>
      <w:r w:rsidRPr="002944BD">
        <w:rPr>
          <w:rFonts w:ascii="Times New Roman" w:hAnsi="Times New Roman" w:cs="Times New Roman"/>
          <w:bCs/>
          <w:sz w:val="24"/>
          <w:szCs w:val="24"/>
        </w:rPr>
        <w:t>Las actividades destinadas al autoconsumo del hogar las realizan un 2,8% de los niños y niñas y las actividades domésticas intensas afectan al 4,3% de ellos.</w:t>
      </w:r>
    </w:p>
    <w:p w:rsidR="00C77CE5" w:rsidRDefault="00424ECD" w:rsidP="00C77CE5">
      <w:pPr>
        <w:spacing w:after="0" w:line="240" w:lineRule="auto"/>
        <w:ind w:firstLine="709"/>
        <w:jc w:val="both"/>
      </w:pPr>
      <w:r w:rsidRPr="002944BD">
        <w:rPr>
          <w:rFonts w:ascii="Times New Roman" w:hAnsi="Times New Roman" w:cs="Times New Roman"/>
          <w:sz w:val="24"/>
          <w:szCs w:val="24"/>
        </w:rPr>
        <w:t>En los adolescentes de 16 a 17 años de edad, para los cuales está garantizado el derecho al trabajo, la incidencia de las actividades económicas alcanza al 17,8% (237.265) para el total nacional (urbano y rural)</w:t>
      </w:r>
      <w:r>
        <w:t>.</w:t>
      </w:r>
    </w:p>
    <w:p w:rsidR="00424ECD" w:rsidRPr="00C77CE5" w:rsidRDefault="00424ECD" w:rsidP="00C77CE5">
      <w:pPr>
        <w:spacing w:after="0" w:line="240" w:lineRule="auto"/>
        <w:ind w:firstLine="709"/>
        <w:jc w:val="both"/>
        <w:rPr>
          <w:rFonts w:ascii="Times New Roman" w:hAnsi="Times New Roman" w:cs="Times New Roman"/>
          <w:bCs/>
          <w:sz w:val="24"/>
          <w:szCs w:val="24"/>
        </w:rPr>
      </w:pPr>
      <w:bookmarkStart w:id="0" w:name="_GoBack"/>
      <w:bookmarkEnd w:id="0"/>
      <w:r w:rsidRPr="002944BD">
        <w:rPr>
          <w:rFonts w:ascii="Times New Roman" w:hAnsi="Times New Roman" w:cs="Times New Roman"/>
          <w:sz w:val="24"/>
          <w:szCs w:val="24"/>
        </w:rPr>
        <w:t>La Ley 26.390 de “Prohibición del Trabajo Infantil y Protección del Trabajo Adolescente” fue promulgada en el año 2008 y prohíbe el trabajo infantil por debajo de la edad mínima de admisión al empleo establecida en 16 años y establece el conjunto de protecciones para los adolescentes que trabajan.</w:t>
      </w:r>
    </w:p>
    <w:p w:rsidR="00424ECD" w:rsidRPr="002944BD" w:rsidRDefault="00424ECD" w:rsidP="00424ECD">
      <w:pPr>
        <w:pStyle w:val="Textonotapie"/>
        <w:ind w:firstLine="709"/>
        <w:rPr>
          <w:rFonts w:ascii="Times New Roman" w:hAnsi="Times New Roman" w:cs="Times New Roman"/>
          <w:sz w:val="24"/>
          <w:szCs w:val="24"/>
        </w:rPr>
      </w:pPr>
      <w:r w:rsidRPr="002944BD">
        <w:rPr>
          <w:rFonts w:ascii="Times New Roman" w:hAnsi="Times New Roman" w:cs="Times New Roman"/>
          <w:sz w:val="24"/>
          <w:szCs w:val="24"/>
        </w:rPr>
        <w:t xml:space="preserve">En el año 2016 se firmó el Decreto 1117/2016  que determina los tipos de trabajo que constituyen </w:t>
      </w:r>
      <w:r w:rsidR="001873BA">
        <w:rPr>
          <w:rFonts w:ascii="Times New Roman" w:hAnsi="Times New Roman" w:cs="Times New Roman"/>
          <w:sz w:val="24"/>
          <w:szCs w:val="24"/>
        </w:rPr>
        <w:t>trabajo peligroso para menores (se adjunta como anexo).</w:t>
      </w:r>
    </w:p>
    <w:p w:rsidR="00424ECD" w:rsidRPr="00B3642A" w:rsidRDefault="00424ECD" w:rsidP="00424ECD">
      <w:pPr>
        <w:spacing w:after="0" w:line="240" w:lineRule="auto"/>
        <w:jc w:val="both"/>
      </w:pPr>
    </w:p>
    <w:sectPr w:rsidR="00424ECD" w:rsidRPr="00B3642A" w:rsidSect="001D78BB">
      <w:headerReference w:type="default" r:id="rId9"/>
      <w:pgSz w:w="11906" w:h="16838" w:code="9"/>
      <w:pgMar w:top="993" w:right="1701" w:bottom="1276" w:left="1701" w:header="709" w:footer="1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24D" w:rsidRDefault="0091124D" w:rsidP="00EA371A">
      <w:pPr>
        <w:spacing w:after="0" w:line="240" w:lineRule="auto"/>
      </w:pPr>
      <w:r>
        <w:separator/>
      </w:r>
    </w:p>
  </w:endnote>
  <w:endnote w:type="continuationSeparator" w:id="0">
    <w:p w:rsidR="0091124D" w:rsidRDefault="0091124D" w:rsidP="00EA3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24D" w:rsidRDefault="0091124D" w:rsidP="00EA371A">
      <w:pPr>
        <w:spacing w:after="0" w:line="240" w:lineRule="auto"/>
      </w:pPr>
      <w:r>
        <w:separator/>
      </w:r>
    </w:p>
  </w:footnote>
  <w:footnote w:type="continuationSeparator" w:id="0">
    <w:p w:rsidR="0091124D" w:rsidRDefault="0091124D" w:rsidP="00EA37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71A" w:rsidRPr="004975FC" w:rsidRDefault="004975FC" w:rsidP="004975FC">
    <w:pPr>
      <w:pStyle w:val="Encabezado"/>
      <w:jc w:val="center"/>
      <w:rPr>
        <w:sz w:val="24"/>
        <w:szCs w:val="24"/>
      </w:rPr>
    </w:pPr>
    <w:r w:rsidRPr="004975FC">
      <w:rPr>
        <w:sz w:val="24"/>
        <w:szCs w:val="24"/>
      </w:rPr>
      <w:t>República Argentina</w:t>
    </w:r>
  </w:p>
  <w:p w:rsidR="00EA371A" w:rsidRDefault="00EA371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30189F"/>
    <w:multiLevelType w:val="hybridMultilevel"/>
    <w:tmpl w:val="3F8C533A"/>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71A"/>
    <w:rsid w:val="000452BD"/>
    <w:rsid w:val="0005347B"/>
    <w:rsid w:val="00112E29"/>
    <w:rsid w:val="001873BA"/>
    <w:rsid w:val="001B786F"/>
    <w:rsid w:val="001D78BB"/>
    <w:rsid w:val="001F618F"/>
    <w:rsid w:val="00200C2D"/>
    <w:rsid w:val="00203716"/>
    <w:rsid w:val="00220E62"/>
    <w:rsid w:val="002A1DA1"/>
    <w:rsid w:val="002D1C74"/>
    <w:rsid w:val="002D6E3C"/>
    <w:rsid w:val="003A23B4"/>
    <w:rsid w:val="00424ECD"/>
    <w:rsid w:val="004975FC"/>
    <w:rsid w:val="004A4AC7"/>
    <w:rsid w:val="004C4102"/>
    <w:rsid w:val="004C6071"/>
    <w:rsid w:val="006254A8"/>
    <w:rsid w:val="007170BE"/>
    <w:rsid w:val="00885932"/>
    <w:rsid w:val="008D63F2"/>
    <w:rsid w:val="0091124D"/>
    <w:rsid w:val="009A5C79"/>
    <w:rsid w:val="00A74D0E"/>
    <w:rsid w:val="00AD7D74"/>
    <w:rsid w:val="00AF02FA"/>
    <w:rsid w:val="00B3642A"/>
    <w:rsid w:val="00BB56F1"/>
    <w:rsid w:val="00C77CE5"/>
    <w:rsid w:val="00D422ED"/>
    <w:rsid w:val="00D96D25"/>
    <w:rsid w:val="00DB1DEB"/>
    <w:rsid w:val="00DE2154"/>
    <w:rsid w:val="00E5107E"/>
    <w:rsid w:val="00E70008"/>
    <w:rsid w:val="00EA371A"/>
    <w:rsid w:val="00F920F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1B78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1B78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1B78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B786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1B786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A371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A371A"/>
  </w:style>
  <w:style w:type="paragraph" w:styleId="Piedepgina">
    <w:name w:val="footer"/>
    <w:basedOn w:val="Normal"/>
    <w:link w:val="PiedepginaCar"/>
    <w:uiPriority w:val="99"/>
    <w:unhideWhenUsed/>
    <w:rsid w:val="00EA371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A371A"/>
  </w:style>
  <w:style w:type="character" w:customStyle="1" w:styleId="Ttulo1Car">
    <w:name w:val="Título 1 Car"/>
    <w:basedOn w:val="Fuentedeprrafopredeter"/>
    <w:link w:val="Ttulo1"/>
    <w:uiPriority w:val="9"/>
    <w:rsid w:val="001B786F"/>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1B786F"/>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1B786F"/>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1B786F"/>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rsid w:val="001B786F"/>
    <w:rPr>
      <w:rFonts w:asciiTheme="majorHAnsi" w:eastAsiaTheme="majorEastAsia" w:hAnsiTheme="majorHAnsi" w:cstheme="majorBidi"/>
      <w:color w:val="2E74B5" w:themeColor="accent1" w:themeShade="BF"/>
    </w:rPr>
  </w:style>
  <w:style w:type="paragraph" w:styleId="Prrafodelista">
    <w:name w:val="List Paragraph"/>
    <w:basedOn w:val="Normal"/>
    <w:uiPriority w:val="34"/>
    <w:qFormat/>
    <w:rsid w:val="00DB1DEB"/>
    <w:pPr>
      <w:ind w:left="720"/>
      <w:contextualSpacing/>
    </w:pPr>
  </w:style>
  <w:style w:type="character" w:styleId="Hipervnculo">
    <w:name w:val="Hyperlink"/>
    <w:basedOn w:val="Fuentedeprrafopredeter"/>
    <w:uiPriority w:val="99"/>
    <w:unhideWhenUsed/>
    <w:rsid w:val="00B3642A"/>
    <w:rPr>
      <w:color w:val="0563C1" w:themeColor="hyperlink"/>
      <w:u w:val="single"/>
    </w:rPr>
  </w:style>
  <w:style w:type="paragraph" w:styleId="Textonotapie">
    <w:name w:val="footnote text"/>
    <w:basedOn w:val="Normal"/>
    <w:link w:val="TextonotapieCar"/>
    <w:uiPriority w:val="99"/>
    <w:unhideWhenUsed/>
    <w:rsid w:val="00424ECD"/>
    <w:pPr>
      <w:spacing w:after="0" w:line="240" w:lineRule="auto"/>
    </w:pPr>
    <w:rPr>
      <w:sz w:val="20"/>
      <w:szCs w:val="20"/>
    </w:rPr>
  </w:style>
  <w:style w:type="character" w:customStyle="1" w:styleId="TextonotapieCar">
    <w:name w:val="Texto nota pie Car"/>
    <w:basedOn w:val="Fuentedeprrafopredeter"/>
    <w:link w:val="Textonotapie"/>
    <w:uiPriority w:val="99"/>
    <w:rsid w:val="00424ECD"/>
    <w:rPr>
      <w:sz w:val="20"/>
      <w:szCs w:val="20"/>
    </w:rPr>
  </w:style>
  <w:style w:type="paragraph" w:styleId="NormalWeb">
    <w:name w:val="Normal (Web)"/>
    <w:basedOn w:val="Normal"/>
    <w:uiPriority w:val="99"/>
    <w:semiHidden/>
    <w:unhideWhenUsed/>
    <w:rsid w:val="00424ECD"/>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1B78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1B78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1B78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B786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1B786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A371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A371A"/>
  </w:style>
  <w:style w:type="paragraph" w:styleId="Piedepgina">
    <w:name w:val="footer"/>
    <w:basedOn w:val="Normal"/>
    <w:link w:val="PiedepginaCar"/>
    <w:uiPriority w:val="99"/>
    <w:unhideWhenUsed/>
    <w:rsid w:val="00EA371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A371A"/>
  </w:style>
  <w:style w:type="character" w:customStyle="1" w:styleId="Ttulo1Car">
    <w:name w:val="Título 1 Car"/>
    <w:basedOn w:val="Fuentedeprrafopredeter"/>
    <w:link w:val="Ttulo1"/>
    <w:uiPriority w:val="9"/>
    <w:rsid w:val="001B786F"/>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1B786F"/>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1B786F"/>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1B786F"/>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rsid w:val="001B786F"/>
    <w:rPr>
      <w:rFonts w:asciiTheme="majorHAnsi" w:eastAsiaTheme="majorEastAsia" w:hAnsiTheme="majorHAnsi" w:cstheme="majorBidi"/>
      <w:color w:val="2E74B5" w:themeColor="accent1" w:themeShade="BF"/>
    </w:rPr>
  </w:style>
  <w:style w:type="paragraph" w:styleId="Prrafodelista">
    <w:name w:val="List Paragraph"/>
    <w:basedOn w:val="Normal"/>
    <w:uiPriority w:val="34"/>
    <w:qFormat/>
    <w:rsid w:val="00DB1DEB"/>
    <w:pPr>
      <w:ind w:left="720"/>
      <w:contextualSpacing/>
    </w:pPr>
  </w:style>
  <w:style w:type="character" w:styleId="Hipervnculo">
    <w:name w:val="Hyperlink"/>
    <w:basedOn w:val="Fuentedeprrafopredeter"/>
    <w:uiPriority w:val="99"/>
    <w:unhideWhenUsed/>
    <w:rsid w:val="00B3642A"/>
    <w:rPr>
      <w:color w:val="0563C1" w:themeColor="hyperlink"/>
      <w:u w:val="single"/>
    </w:rPr>
  </w:style>
  <w:style w:type="paragraph" w:styleId="Textonotapie">
    <w:name w:val="footnote text"/>
    <w:basedOn w:val="Normal"/>
    <w:link w:val="TextonotapieCar"/>
    <w:uiPriority w:val="99"/>
    <w:unhideWhenUsed/>
    <w:rsid w:val="00424ECD"/>
    <w:pPr>
      <w:spacing w:after="0" w:line="240" w:lineRule="auto"/>
    </w:pPr>
    <w:rPr>
      <w:sz w:val="20"/>
      <w:szCs w:val="20"/>
    </w:rPr>
  </w:style>
  <w:style w:type="character" w:customStyle="1" w:styleId="TextonotapieCar">
    <w:name w:val="Texto nota pie Car"/>
    <w:basedOn w:val="Fuentedeprrafopredeter"/>
    <w:link w:val="Textonotapie"/>
    <w:uiPriority w:val="99"/>
    <w:rsid w:val="00424ECD"/>
    <w:rPr>
      <w:sz w:val="20"/>
      <w:szCs w:val="20"/>
    </w:rPr>
  </w:style>
  <w:style w:type="paragraph" w:styleId="NormalWeb">
    <w:name w:val="Normal (Web)"/>
    <w:basedOn w:val="Normal"/>
    <w:uiPriority w:val="99"/>
    <w:semiHidden/>
    <w:unhideWhenUsed/>
    <w:rsid w:val="00424ECD"/>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753E62-9DFD-4015-99D4-6ECA8514513B}"/>
</file>

<file path=customXml/itemProps2.xml><?xml version="1.0" encoding="utf-8"?>
<ds:datastoreItem xmlns:ds="http://schemas.openxmlformats.org/officeDocument/2006/customXml" ds:itemID="{9320EB7B-1B2E-4720-88E8-345624BE1785}"/>
</file>

<file path=customXml/itemProps3.xml><?xml version="1.0" encoding="utf-8"?>
<ds:datastoreItem xmlns:ds="http://schemas.openxmlformats.org/officeDocument/2006/customXml" ds:itemID="{36C98B12-B0E9-4A23-839E-0686C82429D5}"/>
</file>

<file path=customXml/itemProps4.xml><?xml version="1.0" encoding="utf-8"?>
<ds:datastoreItem xmlns:ds="http://schemas.openxmlformats.org/officeDocument/2006/customXml" ds:itemID="{965C90AB-9F33-4245-8E26-EE30A7CFEFC8}"/>
</file>

<file path=docProps/app.xml><?xml version="1.0" encoding="utf-8"?>
<Properties xmlns="http://schemas.openxmlformats.org/officeDocument/2006/extended-properties" xmlns:vt="http://schemas.openxmlformats.org/officeDocument/2006/docPropsVTypes">
  <Template>Normal</Template>
  <TotalTime>6</TotalTime>
  <Pages>6</Pages>
  <Words>2809</Words>
  <Characters>15453</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MREC</Company>
  <LinksUpToDate>false</LinksUpToDate>
  <CharactersWithSpaces>18226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Federico Damian Lopez</dc:creator>
  <cp:lastModifiedBy>Luque, Agustina (DIGHU)</cp:lastModifiedBy>
  <cp:revision>6</cp:revision>
  <dcterms:created xsi:type="dcterms:W3CDTF">2018-05-16T20:22:00Z</dcterms:created>
  <dcterms:modified xsi:type="dcterms:W3CDTF">2018-05-16T21:05:00Z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