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3420" w:rsidRDefault="00E43420">
      <w:pPr>
        <w:rPr>
          <w:sz w:val="24"/>
          <w:szCs w:val="24"/>
        </w:rPr>
      </w:pPr>
    </w:p>
    <w:p w:rsidR="00E43420" w:rsidRPr="005C73BA" w:rsidRDefault="005C73BA">
      <w:pPr>
        <w:rPr>
          <w:sz w:val="24"/>
          <w:szCs w:val="24"/>
          <w:lang w:val="en-GB"/>
        </w:rPr>
      </w:pPr>
      <w:r w:rsidRPr="005C73BA">
        <w:rPr>
          <w:b/>
          <w:sz w:val="24"/>
          <w:szCs w:val="24"/>
          <w:lang w:val="en-GB"/>
        </w:rPr>
        <w:t>3</w:t>
      </w:r>
      <w:r w:rsidRPr="005C73BA">
        <w:rPr>
          <w:b/>
          <w:sz w:val="24"/>
          <w:szCs w:val="24"/>
          <w:vertAlign w:val="superscript"/>
          <w:lang w:val="en-GB"/>
        </w:rPr>
        <w:t>rd</w:t>
      </w:r>
      <w:r w:rsidRPr="005C73BA">
        <w:rPr>
          <w:b/>
          <w:sz w:val="24"/>
          <w:szCs w:val="24"/>
          <w:lang w:val="en-GB"/>
        </w:rPr>
        <w:t xml:space="preserve"> DEFENSE </w:t>
      </w:r>
      <w:r w:rsidRPr="005C73BA">
        <w:rPr>
          <w:b/>
          <w:sz w:val="24"/>
          <w:szCs w:val="24"/>
          <w:lang w:val="en-GB"/>
        </w:rPr>
        <w:br/>
      </w:r>
      <w:r w:rsidRPr="005C73BA">
        <w:rPr>
          <w:b/>
          <w:sz w:val="24"/>
          <w:szCs w:val="24"/>
          <w:lang w:val="en-GB"/>
        </w:rPr>
        <w:br/>
        <w:t>REPORT TO THE UN COMMITTEE ON ECONOMIC, SOCIAL AND CULTURAL RIGHTS</w:t>
      </w:r>
      <w:r w:rsidRPr="005C73BA">
        <w:rPr>
          <w:b/>
          <w:sz w:val="24"/>
          <w:szCs w:val="24"/>
          <w:lang w:val="en-GB"/>
        </w:rPr>
        <w:br/>
      </w:r>
      <w:r w:rsidRPr="005C73BA">
        <w:rPr>
          <w:sz w:val="24"/>
          <w:szCs w:val="24"/>
          <w:lang w:val="en-GB"/>
        </w:rPr>
        <w:br/>
      </w:r>
      <w:r w:rsidRPr="005C73BA">
        <w:rPr>
          <w:sz w:val="24"/>
          <w:szCs w:val="24"/>
          <w:lang w:val="en-GB"/>
        </w:rPr>
        <w:br/>
        <w:t xml:space="preserve">1. </w:t>
      </w:r>
      <w:bookmarkStart w:id="0" w:name="_GoBack"/>
      <w:r w:rsidRPr="005C73BA">
        <w:rPr>
          <w:sz w:val="24"/>
          <w:szCs w:val="24"/>
          <w:lang w:val="en-GB"/>
        </w:rPr>
        <w:t xml:space="preserve">Indigenous Front Cacique Waikae'puru </w:t>
      </w:r>
      <w:bookmarkEnd w:id="0"/>
      <w:r w:rsidRPr="005C73BA">
        <w:rPr>
          <w:sz w:val="24"/>
          <w:szCs w:val="24"/>
          <w:lang w:val="en-GB"/>
        </w:rPr>
        <w:t xml:space="preserve">is an organization legally established since 2008, has the active participation of 44 indigenous peoples, organizations, community </w:t>
      </w:r>
      <w:r w:rsidRPr="005C73BA">
        <w:rPr>
          <w:sz w:val="24"/>
          <w:szCs w:val="24"/>
          <w:lang w:val="en-GB"/>
        </w:rPr>
        <w:t>councils and indigenous social movements and territorial guides of Venezuela. By the massive participation of the entire indigenous component, there has been remarkable progress in relation to the recognition of subjective and native rights of indigenous p</w:t>
      </w:r>
      <w:r w:rsidRPr="005C73BA">
        <w:rPr>
          <w:sz w:val="24"/>
          <w:szCs w:val="24"/>
          <w:lang w:val="en-GB"/>
        </w:rPr>
        <w:t>eoples and respect for their physical and moral integrity, highlighting the legislative regulation and social inclusion.</w:t>
      </w:r>
      <w:r w:rsidRPr="005C73BA">
        <w:rPr>
          <w:sz w:val="24"/>
          <w:szCs w:val="24"/>
          <w:lang w:val="en-GB"/>
        </w:rPr>
        <w:br/>
      </w:r>
      <w:r w:rsidRPr="005C73BA">
        <w:rPr>
          <w:sz w:val="24"/>
          <w:szCs w:val="24"/>
          <w:lang w:val="en-GB"/>
        </w:rPr>
        <w:br/>
      </w:r>
      <w:r w:rsidRPr="005C73BA">
        <w:rPr>
          <w:sz w:val="24"/>
          <w:szCs w:val="24"/>
          <w:lang w:val="en-GB"/>
        </w:rPr>
        <w:br/>
        <w:t>2. This is an indigenous social organization dedicated to promote mechanisms for inspiring the participation of indigenous communitie</w:t>
      </w:r>
      <w:r w:rsidRPr="005C73BA">
        <w:rPr>
          <w:sz w:val="24"/>
          <w:szCs w:val="24"/>
          <w:lang w:val="en-GB"/>
        </w:rPr>
        <w:t>s in the plans, programs and projects implemented by the National Government, strengthening and promoting cultural and traditional values ​​of the peoples and integral development of indigenous communities.</w:t>
      </w:r>
      <w:r w:rsidRPr="005C73BA">
        <w:rPr>
          <w:sz w:val="24"/>
          <w:szCs w:val="24"/>
          <w:lang w:val="en-GB"/>
        </w:rPr>
        <w:br/>
      </w:r>
      <w:r w:rsidRPr="005C73BA">
        <w:rPr>
          <w:sz w:val="24"/>
          <w:szCs w:val="24"/>
          <w:lang w:val="en-GB"/>
        </w:rPr>
        <w:br/>
        <w:t>Contributes and participates in the transformati</w:t>
      </w:r>
      <w:r w:rsidRPr="005C73BA">
        <w:rPr>
          <w:sz w:val="24"/>
          <w:szCs w:val="24"/>
          <w:lang w:val="en-GB"/>
        </w:rPr>
        <w:t>on of the political platform from the ground, in the defense of the territorial integrity of the Bolivarian Republic of Venezuela, developing a management model based on lifelong learning, governed by its own principles of socialism framed in national legi</w:t>
      </w:r>
      <w:r w:rsidRPr="005C73BA">
        <w:rPr>
          <w:sz w:val="24"/>
          <w:szCs w:val="24"/>
          <w:lang w:val="en-GB"/>
        </w:rPr>
        <w:t>slation and in national and international agreements on indigenous issues.</w:t>
      </w:r>
      <w:r w:rsidRPr="005C73BA">
        <w:rPr>
          <w:sz w:val="24"/>
          <w:szCs w:val="24"/>
          <w:lang w:val="en-GB"/>
        </w:rPr>
        <w:br/>
      </w:r>
      <w:r w:rsidRPr="005C73BA">
        <w:rPr>
          <w:sz w:val="24"/>
          <w:szCs w:val="24"/>
          <w:lang w:val="en-GB"/>
        </w:rPr>
        <w:br/>
        <w:t xml:space="preserve">3. The fundamental vision of the Indigenous Front Cacique </w:t>
      </w:r>
      <w:proofErr w:type="gramStart"/>
      <w:r w:rsidRPr="005C73BA">
        <w:rPr>
          <w:sz w:val="24"/>
          <w:szCs w:val="24"/>
          <w:lang w:val="en-GB"/>
        </w:rPr>
        <w:t>Waikae'purú,</w:t>
      </w:r>
      <w:proofErr w:type="gramEnd"/>
      <w:r w:rsidRPr="005C73BA">
        <w:rPr>
          <w:sz w:val="24"/>
          <w:szCs w:val="24"/>
          <w:lang w:val="en-GB"/>
        </w:rPr>
        <w:t xml:space="preserve"> is to ensure and guarantee the political, social, economic, protagonist, multicultural and multilingual indig</w:t>
      </w:r>
      <w:r w:rsidRPr="005C73BA">
        <w:rPr>
          <w:sz w:val="24"/>
          <w:szCs w:val="24"/>
          <w:lang w:val="en-GB"/>
        </w:rPr>
        <w:t>enous peoples' participation and its various organizations. Thus defend the processes of change that brings the Bolivarian Revolution in Venezuela, based on collective principles and values ​​of solidarity, cooperation, complementarity, reciprocity, equity</w:t>
      </w:r>
      <w:r w:rsidRPr="005C73BA">
        <w:rPr>
          <w:sz w:val="24"/>
          <w:szCs w:val="24"/>
          <w:lang w:val="en-GB"/>
        </w:rPr>
        <w:t xml:space="preserve"> and sustainability of indigenous peoples and indigenous communities.</w:t>
      </w:r>
      <w:r w:rsidRPr="005C73BA">
        <w:rPr>
          <w:sz w:val="24"/>
          <w:szCs w:val="24"/>
          <w:lang w:val="en-GB"/>
        </w:rPr>
        <w:br/>
      </w:r>
      <w:r w:rsidRPr="005C73BA">
        <w:rPr>
          <w:sz w:val="24"/>
          <w:szCs w:val="24"/>
          <w:lang w:val="en-GB"/>
        </w:rPr>
        <w:lastRenderedPageBreak/>
        <w:br/>
        <w:t>4. Advances of our organization in Venezuela are well known, in promoting equal rights and respect for those, these are unquestionable and place us in a prime position in the defense of</w:t>
      </w:r>
      <w:r w:rsidRPr="005C73BA">
        <w:rPr>
          <w:sz w:val="24"/>
          <w:szCs w:val="24"/>
          <w:lang w:val="en-GB"/>
        </w:rPr>
        <w:t xml:space="preserve"> the diverse interests and needs resolution submitted by indigenous peoples. Also include the important and growing participation of these peoples in the social, economic and political life of the country in the design and implementation of public policies</w:t>
      </w:r>
      <w:r w:rsidRPr="005C73BA">
        <w:rPr>
          <w:sz w:val="24"/>
          <w:szCs w:val="24"/>
          <w:lang w:val="en-GB"/>
        </w:rPr>
        <w:t xml:space="preserve"> on indigenous rights with the support provided by the Indigenous Front.</w:t>
      </w:r>
      <w:r w:rsidRPr="005C73BA">
        <w:rPr>
          <w:sz w:val="24"/>
          <w:szCs w:val="24"/>
          <w:lang w:val="en-GB"/>
        </w:rPr>
        <w:br/>
      </w:r>
      <w:r w:rsidRPr="005C73BA">
        <w:rPr>
          <w:sz w:val="24"/>
          <w:szCs w:val="24"/>
          <w:lang w:val="en-GB"/>
        </w:rPr>
        <w:br/>
        <w:t>5. The discrimination has been the cause of many abuses of our indigenous and Afro-descendants peoples, which led us to the exclusion of Venezuelan society, even more of American soc</w:t>
      </w:r>
      <w:r w:rsidRPr="005C73BA">
        <w:rPr>
          <w:sz w:val="24"/>
          <w:szCs w:val="24"/>
          <w:lang w:val="en-GB"/>
        </w:rPr>
        <w:t>iety. In particular, racial discrimination is the root of injustice, intolerance, humiliation, xenophobia, among other scourges of our people, which the Venezuelan State is determined to eradicate, vindicating indigenous and Afro-Venezuelans peoples. Since</w:t>
      </w:r>
      <w:r w:rsidRPr="005C73BA">
        <w:rPr>
          <w:sz w:val="24"/>
          <w:szCs w:val="24"/>
          <w:lang w:val="en-GB"/>
        </w:rPr>
        <w:t xml:space="preserve"> the triumph of the Bolivarian Revolution in Venezuela and the constituent process in 1999, our social project has struggled against all forms of discrimination. In this area, as in others, indigenous peoples and the Bolivarian government act consistently </w:t>
      </w:r>
      <w:r w:rsidRPr="005C73BA">
        <w:rPr>
          <w:sz w:val="24"/>
          <w:szCs w:val="24"/>
          <w:lang w:val="en-GB"/>
        </w:rPr>
        <w:t>with the treaties, missions, conventions and other international instruments where Indigenous Peoples and Venezuela are part of. Compliance with this principle is guaranteed in all legal proceedings as appropriate.</w:t>
      </w:r>
      <w:r w:rsidRPr="005C73BA">
        <w:rPr>
          <w:sz w:val="24"/>
          <w:szCs w:val="24"/>
          <w:lang w:val="en-GB"/>
        </w:rPr>
        <w:br/>
      </w:r>
      <w:r w:rsidRPr="005C73BA">
        <w:rPr>
          <w:sz w:val="24"/>
          <w:szCs w:val="24"/>
          <w:lang w:val="en-GB"/>
        </w:rPr>
        <w:br/>
        <w:t>The Executive Secretary of our movement,</w:t>
      </w:r>
      <w:r w:rsidRPr="005C73BA">
        <w:rPr>
          <w:sz w:val="24"/>
          <w:szCs w:val="24"/>
          <w:lang w:val="en-GB"/>
        </w:rPr>
        <w:t xml:space="preserve"> the 12 national spokesmen, the 15 State spokesmen and two thousand eight hundred ninety (2,890) Regional spokespersons conduct training workshops across the country, focusing on issues of values ​​such as equality, land demarcation. Social-political issue</w:t>
      </w:r>
      <w:r w:rsidRPr="005C73BA">
        <w:rPr>
          <w:sz w:val="24"/>
          <w:szCs w:val="24"/>
          <w:lang w:val="en-GB"/>
        </w:rPr>
        <w:t>s, lectures, conferences, community debates, among others; this year we have achieved greater participation of community leaders from different peoples and mostly young people.</w:t>
      </w:r>
      <w:r w:rsidRPr="005C73BA">
        <w:rPr>
          <w:sz w:val="24"/>
          <w:szCs w:val="24"/>
          <w:lang w:val="en-GB"/>
        </w:rPr>
        <w:br/>
      </w:r>
      <w:r w:rsidRPr="005C73BA">
        <w:rPr>
          <w:sz w:val="24"/>
          <w:szCs w:val="24"/>
          <w:lang w:val="en-GB"/>
        </w:rPr>
        <w:br/>
        <w:t xml:space="preserve">6. The FICW currently works together with the competent authorities, based on </w:t>
      </w:r>
      <w:r w:rsidRPr="005C73BA">
        <w:rPr>
          <w:sz w:val="24"/>
          <w:szCs w:val="24"/>
          <w:lang w:val="en-GB"/>
        </w:rPr>
        <w:t>social programs aimed at the eradication of poverty, where the Executive accelerate housing construction, nutrition, social welfare, education and health programs, to raise the standard of life and indigenous.</w:t>
      </w:r>
      <w:r w:rsidRPr="005C73BA">
        <w:rPr>
          <w:sz w:val="24"/>
          <w:szCs w:val="24"/>
          <w:lang w:val="en-GB"/>
        </w:rPr>
        <w:br/>
      </w:r>
      <w:r w:rsidRPr="005C73BA">
        <w:rPr>
          <w:sz w:val="24"/>
          <w:szCs w:val="24"/>
          <w:lang w:val="en-GB"/>
        </w:rPr>
        <w:br/>
        <w:t>As for the attention of indigenous adults and</w:t>
      </w:r>
      <w:r w:rsidRPr="005C73BA">
        <w:rPr>
          <w:sz w:val="24"/>
          <w:szCs w:val="24"/>
          <w:lang w:val="en-GB"/>
        </w:rPr>
        <w:t xml:space="preserve"> older adults, it is contemplated in the </w:t>
      </w:r>
      <w:r w:rsidRPr="005C73BA">
        <w:rPr>
          <w:sz w:val="24"/>
          <w:szCs w:val="24"/>
          <w:lang w:val="en-GB"/>
        </w:rPr>
        <w:lastRenderedPageBreak/>
        <w:t xml:space="preserve">Organic Law of Indigenous Peoples and Communities, in Title V of the Social Rights, the pension enjoyment from a vision of life expectancy and particularities of each town, likewise, the right to form their family, </w:t>
      </w:r>
      <w:r w:rsidRPr="005C73BA">
        <w:rPr>
          <w:sz w:val="24"/>
          <w:szCs w:val="24"/>
          <w:lang w:val="en-GB"/>
        </w:rPr>
        <w:t>comprehensive protection of indigenous, especially children and adolescents; the rights of indigenous women for their integral development, and this social organization ensures full compliance with these rights.</w:t>
      </w:r>
      <w:r w:rsidRPr="005C73BA">
        <w:rPr>
          <w:sz w:val="24"/>
          <w:szCs w:val="24"/>
          <w:lang w:val="en-GB"/>
        </w:rPr>
        <w:br/>
      </w:r>
      <w:r w:rsidRPr="005C73BA">
        <w:rPr>
          <w:sz w:val="24"/>
          <w:szCs w:val="24"/>
          <w:lang w:val="en-GB"/>
        </w:rPr>
        <w:br/>
        <w:t>Housing construction in indigenous communit</w:t>
      </w:r>
      <w:r w:rsidRPr="005C73BA">
        <w:rPr>
          <w:sz w:val="24"/>
          <w:szCs w:val="24"/>
          <w:lang w:val="en-GB"/>
        </w:rPr>
        <w:t>ies has been a priority for the State, which has established the construction of homes for those indigenous communities that live in extreme poverty and are difficult to access, ensuring a better life for these communities, respecting their wishes, uses an</w:t>
      </w:r>
      <w:r w:rsidRPr="005C73BA">
        <w:rPr>
          <w:sz w:val="24"/>
          <w:szCs w:val="24"/>
          <w:lang w:val="en-GB"/>
        </w:rPr>
        <w:t>d customs in coordination and cooperation with the Indigenous Front.</w:t>
      </w:r>
      <w:r w:rsidRPr="005C73BA">
        <w:rPr>
          <w:sz w:val="24"/>
          <w:szCs w:val="24"/>
          <w:lang w:val="en-GB"/>
        </w:rPr>
        <w:br/>
      </w:r>
      <w:r w:rsidRPr="005C73BA">
        <w:rPr>
          <w:sz w:val="24"/>
          <w:szCs w:val="24"/>
          <w:lang w:val="en-GB"/>
        </w:rPr>
        <w:br/>
        <w:t>7. Indigenous Front Waikae'puru monitors that indigenous peoples and communities have the right to health, issued by the Venezuelan State, incorporating into the comprehensive care the r</w:t>
      </w:r>
      <w:r w:rsidRPr="005C73BA">
        <w:rPr>
          <w:sz w:val="24"/>
          <w:szCs w:val="24"/>
          <w:lang w:val="en-GB"/>
        </w:rPr>
        <w:t>ight to use their traditional medicine and ancient healing practices for protection, promotion, prevention and the restoration of the health of the indigenous population. Also, its participation in the programs of the National Health and Social Security an</w:t>
      </w:r>
      <w:r w:rsidRPr="005C73BA">
        <w:rPr>
          <w:sz w:val="24"/>
          <w:szCs w:val="24"/>
          <w:lang w:val="en-GB"/>
        </w:rPr>
        <w:t>d comprehensive care in geographic, economic, social and cultural conditions that require according to the uses and customs.</w:t>
      </w:r>
      <w:r w:rsidRPr="005C73BA">
        <w:rPr>
          <w:sz w:val="24"/>
          <w:szCs w:val="24"/>
          <w:lang w:val="en-GB"/>
        </w:rPr>
        <w:br/>
      </w:r>
      <w:r w:rsidRPr="005C73BA">
        <w:rPr>
          <w:sz w:val="24"/>
          <w:szCs w:val="24"/>
          <w:lang w:val="en-GB"/>
        </w:rPr>
        <w:br/>
        <w:t>According to the provisions of LOPCI, in the Latin American School of Medicine, Dr. Salvador Allende (ELAM), have been incorporate</w:t>
      </w:r>
      <w:r w:rsidRPr="005C73BA">
        <w:rPr>
          <w:sz w:val="24"/>
          <w:szCs w:val="24"/>
          <w:lang w:val="en-GB"/>
        </w:rPr>
        <w:t>d indigenous youth for education and training, in order to address and prevent diseases in each of its towns and Indigenous communities. Similarly, under the Cuba-Venezuela Agreement, indigenous professionals have participated in post-degree studies in Hav</w:t>
      </w:r>
      <w:r w:rsidRPr="005C73BA">
        <w:rPr>
          <w:sz w:val="24"/>
          <w:szCs w:val="24"/>
          <w:lang w:val="en-GB"/>
        </w:rPr>
        <w:t>ana.</w:t>
      </w:r>
      <w:r w:rsidRPr="005C73BA">
        <w:rPr>
          <w:sz w:val="24"/>
          <w:szCs w:val="24"/>
          <w:lang w:val="en-GB"/>
        </w:rPr>
        <w:br/>
      </w:r>
      <w:r w:rsidRPr="005C73BA">
        <w:rPr>
          <w:sz w:val="24"/>
          <w:szCs w:val="24"/>
          <w:lang w:val="en-GB"/>
        </w:rPr>
        <w:br/>
        <w:t>Indigenous peoples and communities have health programs such as Care and Counseling Services to the Indigenous (SAOI); Yanomami Health Plan, Apure Health Plan and Nigale Cacique Project; they also count on Barrio Adentro Program and Mission Miracle.</w:t>
      </w:r>
      <w:r w:rsidRPr="005C73BA">
        <w:rPr>
          <w:sz w:val="24"/>
          <w:szCs w:val="24"/>
          <w:lang w:val="en-GB"/>
        </w:rPr>
        <w:br/>
      </w:r>
      <w:r w:rsidRPr="005C73BA">
        <w:rPr>
          <w:sz w:val="24"/>
          <w:szCs w:val="24"/>
          <w:lang w:val="en-GB"/>
        </w:rPr>
        <w:br/>
        <w:t>8. All these achievements have only been given thanks to the arrival of the Revolution led by our leader and President of the Bolivarian Republic of Venezuela, Hugo Rafael Chávez Frías, with its policies of inclusion, because with the revolutionary proces</w:t>
      </w:r>
      <w:r w:rsidRPr="005C73BA">
        <w:rPr>
          <w:sz w:val="24"/>
          <w:szCs w:val="24"/>
          <w:lang w:val="en-GB"/>
        </w:rPr>
        <w:t xml:space="preserve">s there have </w:t>
      </w:r>
      <w:r w:rsidRPr="005C73BA">
        <w:rPr>
          <w:sz w:val="24"/>
          <w:szCs w:val="24"/>
          <w:lang w:val="en-GB"/>
        </w:rPr>
        <w:lastRenderedPageBreak/>
        <w:t>been dramatic changes in housing, health, education, culture, sports, food, and respect for native human rights.</w:t>
      </w:r>
    </w:p>
    <w:sectPr w:rsidR="00E43420" w:rsidRPr="005C73BA">
      <w:headerReference w:type="default" r:id="rId7"/>
      <w:pgSz w:w="12240" w:h="15840"/>
      <w:pgMar w:top="1417" w:right="1701" w:bottom="1417" w:left="1701" w:header="708" w:footer="0"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C73BA">
      <w:pPr>
        <w:spacing w:after="0" w:line="240" w:lineRule="auto"/>
      </w:pPr>
      <w:r>
        <w:separator/>
      </w:r>
    </w:p>
  </w:endnote>
  <w:endnote w:type="continuationSeparator" w:id="0">
    <w:p w:rsidR="00000000" w:rsidRDefault="005C73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DejaVu San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FreeSans">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C73BA">
      <w:pPr>
        <w:spacing w:after="0" w:line="240" w:lineRule="auto"/>
      </w:pPr>
      <w:r>
        <w:separator/>
      </w:r>
    </w:p>
  </w:footnote>
  <w:footnote w:type="continuationSeparator" w:id="0">
    <w:p w:rsidR="00000000" w:rsidRDefault="005C73B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3420" w:rsidRDefault="005C73BA">
    <w:pPr>
      <w:pStyle w:val="Encabezado"/>
    </w:pPr>
    <w:r>
      <w:rPr>
        <w:noProof/>
        <w:lang w:val="en-GB" w:eastAsia="en-GB"/>
      </w:rPr>
      <w:drawing>
        <wp:inline distT="0" distB="0" distL="0" distR="0">
          <wp:extent cx="5610860" cy="1075055"/>
          <wp:effectExtent l="0" t="0" r="0" b="0"/>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1"/>
                  <a:srcRect/>
                  <a:stretch>
                    <a:fillRect/>
                  </a:stretch>
                </pic:blipFill>
                <pic:spPr bwMode="auto">
                  <a:xfrm>
                    <a:off x="0" y="0"/>
                    <a:ext cx="5610860" cy="1075055"/>
                  </a:xfrm>
                  <a:prstGeom prst="rect">
                    <a:avLst/>
                  </a:prstGeom>
                  <a:noFill/>
                  <a:ln w="9525">
                    <a:noFill/>
                    <a:miter lim="800000"/>
                    <a:headEnd/>
                    <a:tailEnd/>
                  </a:ln>
                </pic:spPr>
              </pic:pic>
            </a:graphicData>
          </a:graphic>
        </wp:inline>
      </w:drawing>
    </w:r>
  </w:p>
  <w:p w:rsidR="00E43420" w:rsidRDefault="00E4342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3420"/>
    <w:rsid w:val="005C73BA"/>
    <w:rsid w:val="00E434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rPr>
      <w:rFonts w:ascii="Calibri" w:eastAsia="DejaVu Sans" w:hAnsi="Calibri" w:cs="Calibri"/>
      <w:lang w:val="es-VE"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ncabezadoCar">
    <w:name w:val="Encabezado Car"/>
    <w:basedOn w:val="DefaultParagraphFont"/>
  </w:style>
  <w:style w:type="character" w:customStyle="1" w:styleId="PiedepginaCar">
    <w:name w:val="Pie de página Car"/>
    <w:basedOn w:val="DefaultParagraphFont"/>
  </w:style>
  <w:style w:type="character" w:customStyle="1" w:styleId="TextodegloboCar">
    <w:name w:val="Texto de globo Car"/>
    <w:basedOn w:val="DefaultParagraphFont"/>
    <w:rPr>
      <w:rFonts w:ascii="Tahoma" w:hAnsi="Tahoma" w:cs="Tahoma"/>
      <w:sz w:val="16"/>
      <w:szCs w:val="16"/>
    </w:rPr>
  </w:style>
  <w:style w:type="paragraph" w:customStyle="1" w:styleId="Encabezado">
    <w:name w:val="Encabezado"/>
    <w:basedOn w:val="Normal"/>
    <w:next w:val="Cuerpodetexto"/>
    <w:pPr>
      <w:keepNext/>
      <w:tabs>
        <w:tab w:val="center" w:pos="4419"/>
        <w:tab w:val="right" w:pos="8838"/>
      </w:tabs>
      <w:spacing w:before="240" w:after="0" w:line="100" w:lineRule="atLeast"/>
    </w:pPr>
    <w:rPr>
      <w:rFonts w:ascii="Liberation Sans" w:hAnsi="Liberation Sans" w:cs="FreeSans"/>
      <w:sz w:val="28"/>
      <w:szCs w:val="28"/>
    </w:rPr>
  </w:style>
  <w:style w:type="paragraph" w:customStyle="1" w:styleId="Cuerpodetexto">
    <w:name w:val="Cuerpo de texto"/>
    <w:basedOn w:val="Normal"/>
    <w:pPr>
      <w:spacing w:after="120"/>
    </w:pPr>
  </w:style>
  <w:style w:type="paragraph" w:customStyle="1" w:styleId="Lista">
    <w:name w:val="Lista"/>
    <w:basedOn w:val="Cuerpodetexto"/>
    <w:rPr>
      <w:rFonts w:cs="FreeSans"/>
    </w:rPr>
  </w:style>
  <w:style w:type="paragraph" w:customStyle="1" w:styleId="Piedefoto">
    <w:name w:val="Pie de foto"/>
    <w:basedOn w:val="Normal"/>
    <w:pPr>
      <w:suppressLineNumbers/>
      <w:spacing w:before="120" w:after="120"/>
    </w:pPr>
    <w:rPr>
      <w:rFonts w:cs="FreeSans"/>
      <w:i/>
      <w:iCs/>
      <w:sz w:val="24"/>
      <w:szCs w:val="24"/>
    </w:rPr>
  </w:style>
  <w:style w:type="paragraph" w:customStyle="1" w:styleId="ndice">
    <w:name w:val="Índice"/>
    <w:basedOn w:val="Normal"/>
    <w:pPr>
      <w:suppressLineNumbers/>
    </w:pPr>
    <w:rPr>
      <w:rFonts w:cs="FreeSans"/>
    </w:rPr>
  </w:style>
  <w:style w:type="paragraph" w:customStyle="1" w:styleId="Piedepgina">
    <w:name w:val="Pie de página"/>
    <w:basedOn w:val="Normal"/>
    <w:pPr>
      <w:tabs>
        <w:tab w:val="center" w:pos="4419"/>
        <w:tab w:val="right" w:pos="8838"/>
      </w:tabs>
      <w:spacing w:after="0" w:line="100" w:lineRule="atLeast"/>
    </w:pPr>
  </w:style>
  <w:style w:type="paragraph" w:styleId="BalloonText">
    <w:name w:val="Balloon Text"/>
    <w:basedOn w:val="Normal"/>
    <w:pPr>
      <w:spacing w:after="0" w:line="100" w:lineRule="atLeast"/>
    </w:pPr>
    <w:rPr>
      <w:rFonts w:ascii="Tahoma" w:hAnsi="Tahoma" w:cs="Tahoma"/>
      <w:sz w:val="16"/>
      <w:szCs w:val="16"/>
    </w:rPr>
  </w:style>
  <w:style w:type="paragraph" w:customStyle="1" w:styleId="Encabezado0">
    <w:name w:val="Encabezado"/>
    <w:basedOn w:val="Normal"/>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rPr>
      <w:rFonts w:ascii="Calibri" w:eastAsia="DejaVu Sans" w:hAnsi="Calibri" w:cs="Calibri"/>
      <w:lang w:val="es-VE"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ncabezadoCar">
    <w:name w:val="Encabezado Car"/>
    <w:basedOn w:val="DefaultParagraphFont"/>
  </w:style>
  <w:style w:type="character" w:customStyle="1" w:styleId="PiedepginaCar">
    <w:name w:val="Pie de página Car"/>
    <w:basedOn w:val="DefaultParagraphFont"/>
  </w:style>
  <w:style w:type="character" w:customStyle="1" w:styleId="TextodegloboCar">
    <w:name w:val="Texto de globo Car"/>
    <w:basedOn w:val="DefaultParagraphFont"/>
    <w:rPr>
      <w:rFonts w:ascii="Tahoma" w:hAnsi="Tahoma" w:cs="Tahoma"/>
      <w:sz w:val="16"/>
      <w:szCs w:val="16"/>
    </w:rPr>
  </w:style>
  <w:style w:type="paragraph" w:customStyle="1" w:styleId="Encabezado">
    <w:name w:val="Encabezado"/>
    <w:basedOn w:val="Normal"/>
    <w:next w:val="Cuerpodetexto"/>
    <w:pPr>
      <w:keepNext/>
      <w:tabs>
        <w:tab w:val="center" w:pos="4419"/>
        <w:tab w:val="right" w:pos="8838"/>
      </w:tabs>
      <w:spacing w:before="240" w:after="0" w:line="100" w:lineRule="atLeast"/>
    </w:pPr>
    <w:rPr>
      <w:rFonts w:ascii="Liberation Sans" w:hAnsi="Liberation Sans" w:cs="FreeSans"/>
      <w:sz w:val="28"/>
      <w:szCs w:val="28"/>
    </w:rPr>
  </w:style>
  <w:style w:type="paragraph" w:customStyle="1" w:styleId="Cuerpodetexto">
    <w:name w:val="Cuerpo de texto"/>
    <w:basedOn w:val="Normal"/>
    <w:pPr>
      <w:spacing w:after="120"/>
    </w:pPr>
  </w:style>
  <w:style w:type="paragraph" w:customStyle="1" w:styleId="Lista">
    <w:name w:val="Lista"/>
    <w:basedOn w:val="Cuerpodetexto"/>
    <w:rPr>
      <w:rFonts w:cs="FreeSans"/>
    </w:rPr>
  </w:style>
  <w:style w:type="paragraph" w:customStyle="1" w:styleId="Piedefoto">
    <w:name w:val="Pie de foto"/>
    <w:basedOn w:val="Normal"/>
    <w:pPr>
      <w:suppressLineNumbers/>
      <w:spacing w:before="120" w:after="120"/>
    </w:pPr>
    <w:rPr>
      <w:rFonts w:cs="FreeSans"/>
      <w:i/>
      <w:iCs/>
      <w:sz w:val="24"/>
      <w:szCs w:val="24"/>
    </w:rPr>
  </w:style>
  <w:style w:type="paragraph" w:customStyle="1" w:styleId="ndice">
    <w:name w:val="Índice"/>
    <w:basedOn w:val="Normal"/>
    <w:pPr>
      <w:suppressLineNumbers/>
    </w:pPr>
    <w:rPr>
      <w:rFonts w:cs="FreeSans"/>
    </w:rPr>
  </w:style>
  <w:style w:type="paragraph" w:customStyle="1" w:styleId="Piedepgina">
    <w:name w:val="Pie de página"/>
    <w:basedOn w:val="Normal"/>
    <w:pPr>
      <w:tabs>
        <w:tab w:val="center" w:pos="4419"/>
        <w:tab w:val="right" w:pos="8838"/>
      </w:tabs>
      <w:spacing w:after="0" w:line="100" w:lineRule="atLeast"/>
    </w:pPr>
  </w:style>
  <w:style w:type="paragraph" w:styleId="BalloonText">
    <w:name w:val="Balloon Text"/>
    <w:basedOn w:val="Normal"/>
    <w:pPr>
      <w:spacing w:after="0" w:line="100" w:lineRule="atLeast"/>
    </w:pPr>
    <w:rPr>
      <w:rFonts w:ascii="Tahoma" w:hAnsi="Tahoma" w:cs="Tahoma"/>
      <w:sz w:val="16"/>
      <w:szCs w:val="16"/>
    </w:rPr>
  </w:style>
  <w:style w:type="paragraph" w:customStyle="1" w:styleId="Encabezado0">
    <w:name w:val="Encabezado"/>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41A778-F556-472E-B164-8EDEB31643FA}"/>
</file>

<file path=customXml/itemProps2.xml><?xml version="1.0" encoding="utf-8"?>
<ds:datastoreItem xmlns:ds="http://schemas.openxmlformats.org/officeDocument/2006/customXml" ds:itemID="{BE94B1B3-9C88-43BF-9C82-06662932AE84}"/>
</file>

<file path=customXml/itemProps3.xml><?xml version="1.0" encoding="utf-8"?>
<ds:datastoreItem xmlns:ds="http://schemas.openxmlformats.org/officeDocument/2006/customXml" ds:itemID="{1FAE71FB-16EC-47D7-8E66-259E711C5F2F}"/>
</file>

<file path=docProps/app.xml><?xml version="1.0" encoding="utf-8"?>
<Properties xmlns="http://schemas.openxmlformats.org/officeDocument/2006/extended-properties" xmlns:vt="http://schemas.openxmlformats.org/officeDocument/2006/docPropsVTypes">
  <Template>Normal</Template>
  <TotalTime>1</TotalTime>
  <Pages>4</Pages>
  <Words>973</Words>
  <Characters>5552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Atahualpa</dc:creator>
  <cp:lastModifiedBy>CESCR Intern2 OHCHR</cp:lastModifiedBy>
  <cp:revision>2</cp:revision>
  <dcterms:created xsi:type="dcterms:W3CDTF">2015-05-29T09:14:00Z</dcterms:created>
  <dcterms:modified xsi:type="dcterms:W3CDTF">2015-05-29T09:14:00Z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