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59A2D" w14:textId="77777777" w:rsidR="00370CAB" w:rsidRPr="00FE10E9" w:rsidRDefault="00370CAB" w:rsidP="00370CAB">
      <w:pPr>
        <w:spacing w:before="200" w:after="60" w:line="720" w:lineRule="auto"/>
        <w:jc w:val="center"/>
        <w:rPr>
          <w:rFonts w:ascii="Times New Roman" w:eastAsia="Times New Roman" w:hAnsi="Times New Roman" w:cs="Times New Roman"/>
          <w:lang w:val="en-GB" w:eastAsia="en-GB"/>
        </w:rPr>
      </w:pPr>
      <w:r w:rsidRPr="0062452C">
        <w:rPr>
          <w:rFonts w:cstheme="majorBidi"/>
          <w:b/>
          <w:bCs/>
          <w:noProof/>
          <w:sz w:val="30"/>
          <w:szCs w:val="30"/>
        </w:rPr>
        <w:drawing>
          <wp:inline distT="0" distB="0" distL="0" distR="0" wp14:anchorId="5F04A563" wp14:editId="5049A659">
            <wp:extent cx="2073105" cy="1858645"/>
            <wp:effectExtent l="0" t="0" r="3810" b="8255"/>
            <wp:docPr id="1" name="Picture 1" descr="C:\Users\ADHRB-M2\Dropbox (ADHRB)\ADHRB Shared Drive\Administrative\Logos, Stock Images, Other templates\Logos\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HRB-M2\Dropbox (ADHRB)\ADHRB Shared Drive\Administrative\Logos, Stock Images, Other templates\Logos\ADHRB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1159" cy="1865866"/>
                    </a:xfrm>
                    <a:prstGeom prst="rect">
                      <a:avLst/>
                    </a:prstGeom>
                    <a:noFill/>
                    <a:ln>
                      <a:noFill/>
                    </a:ln>
                  </pic:spPr>
                </pic:pic>
              </a:graphicData>
            </a:graphic>
          </wp:inline>
        </w:drawing>
      </w:r>
    </w:p>
    <w:p w14:paraId="4A48640C" w14:textId="77777777" w:rsidR="00370CAB" w:rsidRDefault="00370CAB" w:rsidP="00370CAB">
      <w:pPr>
        <w:jc w:val="center"/>
        <w:rPr>
          <w:rFonts w:ascii="Times New Roman" w:eastAsia="Times New Roman" w:hAnsi="Times New Roman" w:cs="Times New Roman"/>
          <w:b/>
        </w:rPr>
      </w:pPr>
    </w:p>
    <w:p w14:paraId="165D0CDF" w14:textId="7E07E840" w:rsidR="00370CAB" w:rsidRPr="00104120" w:rsidRDefault="00370CAB" w:rsidP="00370CAB">
      <w:pPr>
        <w:jc w:val="center"/>
        <w:rPr>
          <w:rFonts w:ascii="Times New Roman" w:hAnsi="Times New Roman" w:cs="Times New Roman"/>
          <w:bCs/>
          <w:sz w:val="28"/>
          <w:szCs w:val="28"/>
        </w:rPr>
      </w:pPr>
      <w:r w:rsidRPr="00104120">
        <w:rPr>
          <w:rFonts w:ascii="Times New Roman" w:hAnsi="Times New Roman" w:cs="Times New Roman"/>
          <w:b/>
          <w:bCs/>
          <w:sz w:val="28"/>
          <w:szCs w:val="28"/>
        </w:rPr>
        <w:t>Submission to the United Nations Human Rights Committee</w:t>
      </w:r>
      <w:r>
        <w:rPr>
          <w:rFonts w:ascii="Times New Roman" w:hAnsi="Times New Roman" w:cs="Times New Roman"/>
          <w:b/>
          <w:bCs/>
          <w:sz w:val="28"/>
          <w:szCs w:val="28"/>
        </w:rPr>
        <w:t xml:space="preserve"> for </w:t>
      </w:r>
      <w:r w:rsidR="00BA3BB4">
        <w:rPr>
          <w:rFonts w:ascii="Times New Roman" w:hAnsi="Times New Roman" w:cs="Times New Roman"/>
          <w:b/>
          <w:bCs/>
          <w:sz w:val="28"/>
          <w:szCs w:val="28"/>
        </w:rPr>
        <w:t>Bahrain’s Follow up</w:t>
      </w:r>
      <w:bookmarkStart w:id="0" w:name="_GoBack"/>
      <w:bookmarkEnd w:id="0"/>
      <w:r w:rsidRPr="00104120">
        <w:rPr>
          <w:rFonts w:ascii="Times New Roman" w:hAnsi="Times New Roman" w:cs="Times New Roman"/>
          <w:b/>
          <w:bCs/>
          <w:sz w:val="28"/>
          <w:szCs w:val="28"/>
        </w:rPr>
        <w:t xml:space="preserve"> under the International Covenant of Civil and Political Rights</w:t>
      </w:r>
    </w:p>
    <w:p w14:paraId="0AC395B1" w14:textId="77777777" w:rsidR="00370CAB" w:rsidRPr="00104120" w:rsidRDefault="00370CAB" w:rsidP="00370CAB">
      <w:pPr>
        <w:jc w:val="center"/>
        <w:rPr>
          <w:rFonts w:ascii="Times New Roman" w:hAnsi="Times New Roman" w:cs="Times New Roman"/>
          <w:bCs/>
          <w:sz w:val="28"/>
          <w:szCs w:val="28"/>
        </w:rPr>
      </w:pPr>
    </w:p>
    <w:p w14:paraId="0C525024" w14:textId="77777777" w:rsidR="00370CAB" w:rsidRPr="00104120" w:rsidRDefault="00370CAB" w:rsidP="00370CAB">
      <w:pPr>
        <w:jc w:val="center"/>
        <w:rPr>
          <w:rFonts w:ascii="Times New Roman" w:hAnsi="Times New Roman" w:cs="Times New Roman"/>
          <w:b/>
          <w:bCs/>
          <w:sz w:val="28"/>
          <w:szCs w:val="28"/>
        </w:rPr>
      </w:pPr>
      <w:r w:rsidRPr="00104120">
        <w:rPr>
          <w:rFonts w:ascii="Times New Roman" w:hAnsi="Times New Roman" w:cs="Times New Roman"/>
          <w:b/>
          <w:bCs/>
          <w:sz w:val="28"/>
          <w:szCs w:val="28"/>
        </w:rPr>
        <w:t>Prepared by:</w:t>
      </w:r>
    </w:p>
    <w:p w14:paraId="4CD92854" w14:textId="77777777" w:rsidR="00370CAB" w:rsidRPr="00104120" w:rsidRDefault="00370CAB" w:rsidP="00370CAB">
      <w:pPr>
        <w:jc w:val="center"/>
        <w:rPr>
          <w:rFonts w:ascii="Times New Roman" w:hAnsi="Times New Roman" w:cs="Times New Roman"/>
          <w:bCs/>
          <w:sz w:val="28"/>
          <w:szCs w:val="28"/>
        </w:rPr>
      </w:pPr>
      <w:r w:rsidRPr="00104120">
        <w:rPr>
          <w:rFonts w:ascii="Times New Roman" w:hAnsi="Times New Roman" w:cs="Times New Roman"/>
          <w:bCs/>
          <w:sz w:val="28"/>
          <w:szCs w:val="28"/>
        </w:rPr>
        <w:t>Americans for Democracy &amp; Human Rights in Bahrain (ADHRB)</w:t>
      </w:r>
    </w:p>
    <w:p w14:paraId="114EFBF0" w14:textId="77777777" w:rsidR="00370CAB" w:rsidRPr="00370CAB" w:rsidRDefault="00370CAB" w:rsidP="00370CAB">
      <w:pPr>
        <w:spacing w:after="240" w:line="240" w:lineRule="auto"/>
        <w:rPr>
          <w:rFonts w:ascii="Times New Roman" w:eastAsia="Times New Roman" w:hAnsi="Times New Roman" w:cs="Times New Roman"/>
          <w:lang w:eastAsia="en-GB"/>
        </w:rPr>
      </w:pPr>
    </w:p>
    <w:p w14:paraId="1E23E235" w14:textId="77777777" w:rsidR="00370CAB" w:rsidRPr="00FE10E9" w:rsidRDefault="00370CAB" w:rsidP="00370CAB">
      <w:pPr>
        <w:spacing w:line="240" w:lineRule="auto"/>
        <w:jc w:val="center"/>
        <w:rPr>
          <w:rFonts w:ascii="Times New Roman" w:eastAsia="Times New Roman" w:hAnsi="Times New Roman" w:cs="Times New Roman"/>
          <w:lang w:val="en-GB" w:eastAsia="en-GB"/>
        </w:rPr>
      </w:pPr>
      <w:r w:rsidRPr="00FE10E9">
        <w:rPr>
          <w:rFonts w:ascii="Times New Roman" w:eastAsia="Times New Roman" w:hAnsi="Times New Roman" w:cs="Times New Roman"/>
          <w:b/>
          <w:bCs/>
          <w:color w:val="000000"/>
          <w:lang w:val="en-GB" w:eastAsia="en-GB"/>
        </w:rPr>
        <w:t> </w:t>
      </w:r>
    </w:p>
    <w:p w14:paraId="61A9D1AF" w14:textId="0170D0BE" w:rsidR="00370CAB" w:rsidRPr="00FE10E9" w:rsidRDefault="00370CAB" w:rsidP="00370CAB">
      <w:pPr>
        <w:spacing w:before="200" w:line="240" w:lineRule="auto"/>
        <w:jc w:val="center"/>
        <w:rPr>
          <w:rFonts w:ascii="Times New Roman" w:eastAsia="Times New Roman" w:hAnsi="Times New Roman" w:cs="Times New Roman"/>
          <w:lang w:val="en-GB" w:eastAsia="en-GB"/>
        </w:rPr>
      </w:pPr>
      <w:r>
        <w:rPr>
          <w:rFonts w:ascii="Times New Roman" w:eastAsia="Times New Roman" w:hAnsi="Times New Roman" w:cs="Times New Roman"/>
          <w:b/>
          <w:bCs/>
          <w:color w:val="000000"/>
          <w:lang w:val="en-GB" w:eastAsia="en-GB"/>
        </w:rPr>
        <w:t> April</w:t>
      </w:r>
      <w:r w:rsidRPr="00FE10E9">
        <w:rPr>
          <w:rFonts w:ascii="Times New Roman" w:eastAsia="Times New Roman" w:hAnsi="Times New Roman" w:cs="Times New Roman"/>
          <w:b/>
          <w:bCs/>
          <w:color w:val="000000"/>
          <w:lang w:val="en-GB" w:eastAsia="en-GB"/>
        </w:rPr>
        <w:t xml:space="preserve"> 2022</w:t>
      </w:r>
    </w:p>
    <w:p w14:paraId="4ADE1CE3" w14:textId="77777777" w:rsidR="00370CAB" w:rsidRPr="00FE10E9" w:rsidRDefault="00370CAB" w:rsidP="00370CAB">
      <w:pPr>
        <w:spacing w:before="200" w:line="240" w:lineRule="auto"/>
        <w:jc w:val="center"/>
        <w:rPr>
          <w:rFonts w:ascii="Times New Roman" w:eastAsia="Times New Roman" w:hAnsi="Times New Roman" w:cs="Times New Roman"/>
          <w:lang w:val="en-GB" w:eastAsia="en-GB"/>
        </w:rPr>
      </w:pPr>
      <w:r w:rsidRPr="00FE10E9">
        <w:rPr>
          <w:rFonts w:ascii="Times New Roman" w:eastAsia="Times New Roman" w:hAnsi="Times New Roman" w:cs="Times New Roman"/>
          <w:b/>
          <w:bCs/>
          <w:color w:val="000000"/>
          <w:lang w:val="en-GB" w:eastAsia="en-GB"/>
        </w:rPr>
        <w:t> </w:t>
      </w:r>
    </w:p>
    <w:p w14:paraId="3DB94D29" w14:textId="77777777" w:rsidR="00370CAB" w:rsidRPr="00FE10E9" w:rsidRDefault="00370CAB" w:rsidP="00370CAB">
      <w:pPr>
        <w:spacing w:line="240" w:lineRule="auto"/>
        <w:jc w:val="center"/>
        <w:rPr>
          <w:rFonts w:ascii="Times New Roman" w:eastAsia="Times New Roman" w:hAnsi="Times New Roman" w:cs="Times New Roman"/>
          <w:lang w:val="en-GB" w:eastAsia="en-GB"/>
        </w:rPr>
      </w:pPr>
      <w:r w:rsidRPr="00FE10E9">
        <w:rPr>
          <w:rFonts w:ascii="Times New Roman" w:eastAsia="Times New Roman" w:hAnsi="Times New Roman" w:cs="Times New Roman"/>
          <w:b/>
          <w:bCs/>
          <w:color w:val="000000"/>
          <w:lang w:val="en-GB" w:eastAsia="en-GB"/>
        </w:rPr>
        <w:t> </w:t>
      </w:r>
    </w:p>
    <w:p w14:paraId="08D204C6" w14:textId="77777777" w:rsidR="00370CAB" w:rsidRPr="00FE10E9" w:rsidRDefault="00370CAB" w:rsidP="00370CAB">
      <w:pPr>
        <w:spacing w:line="240" w:lineRule="auto"/>
        <w:jc w:val="center"/>
        <w:rPr>
          <w:rFonts w:ascii="Times New Roman" w:eastAsia="Times New Roman" w:hAnsi="Times New Roman" w:cs="Times New Roman"/>
          <w:lang w:val="en-GB" w:eastAsia="en-GB"/>
        </w:rPr>
      </w:pPr>
      <w:r w:rsidRPr="00FE10E9">
        <w:rPr>
          <w:rFonts w:ascii="Times New Roman" w:eastAsia="Times New Roman" w:hAnsi="Times New Roman" w:cs="Times New Roman"/>
          <w:b/>
          <w:bCs/>
          <w:color w:val="000000"/>
          <w:lang w:val="en-GB" w:eastAsia="en-GB"/>
        </w:rPr>
        <w:t>Americans for Democracy &amp; Human Rights in Bahrain</w:t>
      </w:r>
    </w:p>
    <w:p w14:paraId="7C0DE276" w14:textId="77777777" w:rsidR="00370CAB" w:rsidRPr="00FE10E9" w:rsidRDefault="00370CAB" w:rsidP="00BA3BB4">
      <w:pPr>
        <w:spacing w:line="240" w:lineRule="auto"/>
        <w:jc w:val="center"/>
        <w:rPr>
          <w:rFonts w:ascii="Times New Roman" w:eastAsia="Times New Roman" w:hAnsi="Times New Roman" w:cs="Times New Roman"/>
          <w:lang w:val="en-GB" w:eastAsia="en-GB"/>
        </w:rPr>
      </w:pPr>
      <w:r w:rsidRPr="00FE10E9">
        <w:rPr>
          <w:rFonts w:ascii="Times New Roman" w:eastAsia="Times New Roman" w:hAnsi="Times New Roman" w:cs="Times New Roman"/>
          <w:color w:val="000000"/>
          <w:lang w:val="en-GB" w:eastAsia="en-GB"/>
        </w:rPr>
        <w:t>UPR lead, email:</w:t>
      </w:r>
    </w:p>
    <w:p w14:paraId="51AFE4AF" w14:textId="1CD3CE25" w:rsidR="00370CAB" w:rsidRPr="00FE10E9" w:rsidRDefault="00BA3BB4" w:rsidP="00BA3BB4">
      <w:pPr>
        <w:spacing w:line="240" w:lineRule="auto"/>
        <w:jc w:val="center"/>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info</w:t>
      </w:r>
      <w:r w:rsidR="00370CAB" w:rsidRPr="00FE10E9">
        <w:rPr>
          <w:rFonts w:ascii="Times New Roman" w:eastAsia="Times New Roman" w:hAnsi="Times New Roman" w:cs="Times New Roman"/>
          <w:color w:val="000000"/>
          <w:lang w:val="en-GB" w:eastAsia="en-GB"/>
        </w:rPr>
        <w:t>@adhrb.org</w:t>
      </w:r>
    </w:p>
    <w:p w14:paraId="63E4E3D1" w14:textId="7ECB896B" w:rsidR="00370CAB" w:rsidRDefault="00BA3BB4" w:rsidP="00BA3BB4">
      <w:pPr>
        <w:spacing w:line="240" w:lineRule="auto"/>
        <w:ind w:left="3600"/>
        <w:rPr>
          <w:rStyle w:val="Hyperlink"/>
          <w:rFonts w:ascii="Times New Roman" w:eastAsia="Times New Roman" w:hAnsi="Times New Roman" w:cs="Times New Roman"/>
          <w:lang w:val="en-GB" w:eastAsia="en-GB"/>
        </w:rPr>
      </w:pPr>
      <w:r>
        <w:t xml:space="preserve">         </w:t>
      </w:r>
      <w:hyperlink r:id="rId9" w:history="1">
        <w:r w:rsidR="00370CAB" w:rsidRPr="00FB6C01">
          <w:rPr>
            <w:rStyle w:val="Hyperlink"/>
            <w:rFonts w:ascii="Times New Roman" w:eastAsia="Times New Roman" w:hAnsi="Times New Roman" w:cs="Times New Roman"/>
            <w:lang w:val="en-GB" w:eastAsia="en-GB"/>
          </w:rPr>
          <w:t>www.adhrb.org</w:t>
        </w:r>
      </w:hyperlink>
    </w:p>
    <w:p w14:paraId="7E8443E8" w14:textId="332E1E2F" w:rsidR="00BA3BB4" w:rsidRDefault="00BA3BB4" w:rsidP="00BA3BB4">
      <w:pPr>
        <w:spacing w:line="240" w:lineRule="auto"/>
        <w:ind w:left="3600"/>
        <w:rPr>
          <w:rStyle w:val="Hyperlink"/>
          <w:rFonts w:ascii="Times New Roman" w:eastAsia="Times New Roman" w:hAnsi="Times New Roman" w:cs="Times New Roman"/>
          <w:lang w:val="en-GB" w:eastAsia="en-GB"/>
        </w:rPr>
      </w:pPr>
    </w:p>
    <w:p w14:paraId="0B48B124" w14:textId="7EC0712A" w:rsidR="00BA3BB4" w:rsidRDefault="00BA3BB4" w:rsidP="00BA3BB4">
      <w:pPr>
        <w:spacing w:line="240" w:lineRule="auto"/>
        <w:ind w:left="3600"/>
        <w:rPr>
          <w:rStyle w:val="Hyperlink"/>
          <w:rFonts w:ascii="Times New Roman" w:eastAsia="Times New Roman" w:hAnsi="Times New Roman" w:cs="Times New Roman"/>
          <w:lang w:val="en-GB" w:eastAsia="en-GB"/>
        </w:rPr>
      </w:pPr>
    </w:p>
    <w:p w14:paraId="37C25637" w14:textId="35723C7F" w:rsidR="00BA3BB4" w:rsidRDefault="00BA3BB4" w:rsidP="00BA3BB4">
      <w:pPr>
        <w:spacing w:line="240" w:lineRule="auto"/>
        <w:ind w:left="3600"/>
        <w:rPr>
          <w:rStyle w:val="Hyperlink"/>
          <w:rFonts w:ascii="Times New Roman" w:eastAsia="Times New Roman" w:hAnsi="Times New Roman" w:cs="Times New Roman"/>
          <w:lang w:val="en-GB" w:eastAsia="en-GB"/>
        </w:rPr>
      </w:pPr>
    </w:p>
    <w:p w14:paraId="7A8796AB" w14:textId="77777777" w:rsidR="00BA3BB4" w:rsidRDefault="00BA3BB4" w:rsidP="00BA3BB4">
      <w:pPr>
        <w:spacing w:line="240" w:lineRule="auto"/>
        <w:ind w:left="3600"/>
        <w:rPr>
          <w:rFonts w:ascii="Times New Roman" w:eastAsia="Times New Roman" w:hAnsi="Times New Roman" w:cs="Times New Roman"/>
          <w:color w:val="1155CC"/>
          <w:lang w:val="en-GB" w:eastAsia="en-GB"/>
        </w:rPr>
      </w:pPr>
    </w:p>
    <w:p w14:paraId="3CE32470" w14:textId="59F7DAE6" w:rsidR="00370CAB" w:rsidRPr="00370CAB" w:rsidRDefault="00FE5E8C" w:rsidP="00370CAB">
      <w:pPr>
        <w:shd w:val="clear" w:color="auto" w:fill="FFFFFF"/>
        <w:spacing w:before="240" w:after="240" w:line="360" w:lineRule="auto"/>
        <w:jc w:val="both"/>
        <w:textAlignment w:val="baseline"/>
        <w:rPr>
          <w:rFonts w:ascii="Times New Roman" w:eastAsia="Times New Roman" w:hAnsi="Times New Roman" w:cs="Times New Roman"/>
          <w:b/>
          <w:bCs/>
          <w:sz w:val="24"/>
          <w:szCs w:val="24"/>
        </w:rPr>
      </w:pPr>
      <w:r w:rsidRPr="000B1E38">
        <w:rPr>
          <w:rFonts w:ascii="Times New Roman" w:eastAsia="Times New Roman" w:hAnsi="Times New Roman" w:cs="Times New Roman"/>
          <w:sz w:val="24"/>
          <w:szCs w:val="24"/>
        </w:rPr>
        <w:t>          </w:t>
      </w:r>
    </w:p>
    <w:p w14:paraId="3503E15E" w14:textId="2687A574" w:rsidR="00FE5E8C" w:rsidRPr="000B1E38" w:rsidRDefault="00FE5E8C" w:rsidP="00EC173E">
      <w:pPr>
        <w:numPr>
          <w:ilvl w:val="0"/>
          <w:numId w:val="1"/>
        </w:numPr>
        <w:shd w:val="clear" w:color="auto" w:fill="FFFFFF"/>
        <w:spacing w:before="240" w:after="240" w:line="360" w:lineRule="auto"/>
        <w:jc w:val="both"/>
        <w:textAlignment w:val="baseline"/>
        <w:rPr>
          <w:rFonts w:ascii="Times New Roman" w:eastAsia="Times New Roman" w:hAnsi="Times New Roman" w:cs="Times New Roman"/>
          <w:b/>
          <w:bCs/>
          <w:sz w:val="24"/>
          <w:szCs w:val="24"/>
        </w:rPr>
      </w:pPr>
      <w:r w:rsidRPr="000B1E38">
        <w:rPr>
          <w:rFonts w:ascii="Times New Roman" w:eastAsia="Times New Roman" w:hAnsi="Times New Roman" w:cs="Times New Roman"/>
          <w:sz w:val="24"/>
          <w:szCs w:val="24"/>
        </w:rPr>
        <w:lastRenderedPageBreak/>
        <w:t>   </w:t>
      </w:r>
      <w:r w:rsidRPr="000B1E38">
        <w:rPr>
          <w:rFonts w:ascii="Times New Roman" w:eastAsia="Times New Roman" w:hAnsi="Times New Roman" w:cs="Times New Roman"/>
          <w:b/>
          <w:bCs/>
          <w:sz w:val="24"/>
          <w:szCs w:val="24"/>
        </w:rPr>
        <w:t>Submitting Organization</w:t>
      </w:r>
    </w:p>
    <w:p w14:paraId="70E99263" w14:textId="65E7C891" w:rsidR="00FE5E8C" w:rsidRPr="000B1E38" w:rsidRDefault="00FE5E8C" w:rsidP="00EC173E">
      <w:pPr>
        <w:shd w:val="clear" w:color="auto" w:fill="FFFFFF"/>
        <w:spacing w:before="200"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   Formed in 2002, Americans for Democracy &amp; Human Rights in Bahrain (ADHRB) is a non-governmental organization that fosters awareness of, and support for, democracy and human rights in Bahrain and the Gulf region, by raising awareness in the international community of the violence perpetrated by the authorities.</w:t>
      </w:r>
    </w:p>
    <w:p w14:paraId="4BA1C57E" w14:textId="6987CBD3" w:rsidR="00FE5E8C" w:rsidRPr="000B1E38" w:rsidRDefault="00FE5E8C" w:rsidP="00EC173E">
      <w:pPr>
        <w:shd w:val="clear" w:color="auto" w:fill="FFFFFF"/>
        <w:spacing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w:t>
      </w:r>
      <w:r w:rsidR="000B1E38"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ADHRB has repeatedly requested permission to formally visit Bahrain to consult with official human rights bodies, such as the National Institute for Human Rights (NIHR) but has so far been denied access. The government of Bahrain has declined every opportunity to engage with ADHRB on any level.</w:t>
      </w:r>
    </w:p>
    <w:p w14:paraId="18225169" w14:textId="77777777" w:rsidR="00FE5E8C" w:rsidRPr="000B1E38" w:rsidRDefault="00FE5E8C" w:rsidP="00EC173E">
      <w:pPr>
        <w:numPr>
          <w:ilvl w:val="0"/>
          <w:numId w:val="2"/>
        </w:numPr>
        <w:shd w:val="clear" w:color="auto" w:fill="FFFFFF"/>
        <w:spacing w:before="200" w:line="360" w:lineRule="auto"/>
        <w:jc w:val="both"/>
        <w:textAlignment w:val="baseline"/>
        <w:rPr>
          <w:rFonts w:ascii="Times New Roman" w:eastAsia="Times New Roman" w:hAnsi="Times New Roman" w:cs="Times New Roman"/>
          <w:b/>
          <w:bCs/>
          <w:sz w:val="24"/>
          <w:szCs w:val="24"/>
        </w:rPr>
      </w:pPr>
      <w:r w:rsidRPr="000B1E38">
        <w:rPr>
          <w:rFonts w:ascii="Times New Roman" w:eastAsia="Times New Roman" w:hAnsi="Times New Roman" w:cs="Times New Roman"/>
          <w:sz w:val="24"/>
          <w:szCs w:val="24"/>
        </w:rPr>
        <w:t>                 </w:t>
      </w:r>
      <w:r w:rsidRPr="000B1E38">
        <w:rPr>
          <w:rFonts w:ascii="Times New Roman" w:eastAsia="Times New Roman" w:hAnsi="Times New Roman" w:cs="Times New Roman"/>
          <w:b/>
          <w:bCs/>
          <w:sz w:val="24"/>
          <w:szCs w:val="24"/>
        </w:rPr>
        <w:t>Background of Human Rights Situation in Bahrain</w:t>
      </w:r>
    </w:p>
    <w:p w14:paraId="7799EC6D" w14:textId="0B3DE8CD" w:rsidR="00FE5E8C" w:rsidRPr="000B1E38" w:rsidRDefault="00FE5E8C" w:rsidP="00EC173E">
      <w:pPr>
        <w:shd w:val="clear" w:color="auto" w:fill="FFFFFF"/>
        <w:spacing w:before="200"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3.</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In 2011, peaceful pro-democracy demonstrations erupted against the Al Khalifa family’s exclusive power, the lack of democratic political representation, and existent structural inequalities. The Government of Bahrain responded to the peaceful protests with unrestrained violence and brutality. Security forces, including the controversial Peninsula Shield Force, violently suppressed the civil unrest, resulting in numerous deaths, hundreds of injuries, and thousands of arrests.  </w:t>
      </w:r>
    </w:p>
    <w:p w14:paraId="67101625" w14:textId="5EF7B89E" w:rsidR="00FE5E8C" w:rsidRPr="000B1E38" w:rsidRDefault="00FE5E8C" w:rsidP="00EC173E">
      <w:pPr>
        <w:shd w:val="clear" w:color="auto" w:fill="FFFFFF"/>
        <w:spacing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4.</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In the eleven years since this violent repression, authorities have only escalated their efforts to dismantle Bahrain’s civil society through the systematic use of abuse to silence activists, journalists, religious officials, and political leaders, by means of arbitrary arrest and detention; the pervasive use of torture to extract false confessions; extrajudicial killings; and degrading and inhuman prison conditions.</w:t>
      </w:r>
    </w:p>
    <w:p w14:paraId="6F2E6FB7" w14:textId="77777777" w:rsidR="00FE5E8C" w:rsidRPr="000B1E38" w:rsidRDefault="00FE5E8C" w:rsidP="00EC173E">
      <w:pPr>
        <w:shd w:val="clear" w:color="auto" w:fill="FFFFFF"/>
        <w:spacing w:before="200" w:line="360" w:lineRule="auto"/>
        <w:jc w:val="both"/>
        <w:rPr>
          <w:rFonts w:ascii="Times New Roman" w:eastAsia="Times New Roman" w:hAnsi="Times New Roman" w:cs="Times New Roman"/>
          <w:sz w:val="24"/>
          <w:szCs w:val="24"/>
        </w:rPr>
      </w:pPr>
      <w:r w:rsidRPr="000B1E38">
        <w:rPr>
          <w:rFonts w:ascii="Times New Roman" w:eastAsia="Times New Roman" w:hAnsi="Times New Roman" w:cs="Times New Roman"/>
          <w:b/>
          <w:bCs/>
          <w:sz w:val="24"/>
          <w:szCs w:val="24"/>
        </w:rPr>
        <w:t>III.</w:t>
      </w:r>
      <w:r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b/>
          <w:bCs/>
          <w:sz w:val="24"/>
          <w:szCs w:val="24"/>
        </w:rPr>
        <w:t>Key Concerns</w:t>
      </w:r>
    </w:p>
    <w:p w14:paraId="6380BD5C" w14:textId="184A7F50" w:rsidR="00FE5E8C" w:rsidRPr="000B1E38" w:rsidRDefault="00FE5E8C" w:rsidP="00EC173E">
      <w:pPr>
        <w:shd w:val="clear" w:color="auto" w:fill="FFFFFF"/>
        <w:spacing w:before="200"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5.</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This submission documents the Bahraini government’s failure to implement the Priority Recommendations submitted by the United Nations Human Rights Committee as part of its 3516</w:t>
      </w:r>
      <w:r w:rsidRPr="000B1E38">
        <w:rPr>
          <w:rFonts w:ascii="Times New Roman" w:eastAsia="Times New Roman" w:hAnsi="Times New Roman" w:cs="Times New Roman"/>
          <w:sz w:val="24"/>
          <w:szCs w:val="24"/>
          <w:vertAlign w:val="superscript"/>
        </w:rPr>
        <w:t>th</w:t>
      </w:r>
      <w:r w:rsidRPr="000B1E38">
        <w:rPr>
          <w:rFonts w:ascii="Times New Roman" w:eastAsia="Times New Roman" w:hAnsi="Times New Roman" w:cs="Times New Roman"/>
          <w:sz w:val="24"/>
          <w:szCs w:val="24"/>
        </w:rPr>
        <w:t xml:space="preserve"> meeting in July 2018, with specific attention given to the recommendations pertaining to military courts, the death penalty, and freedom of expression.</w:t>
      </w:r>
    </w:p>
    <w:p w14:paraId="5CED5241" w14:textId="77777777"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xml:space="preserve">6. The Bahraini government has continued to use excessively ambiguous amendments to the constitution and Military Judiciary Law to try civilians in military court, in direct </w:t>
      </w:r>
      <w:r w:rsidRPr="000B1E38">
        <w:rPr>
          <w:rFonts w:ascii="Times New Roman" w:eastAsia="Times New Roman" w:hAnsi="Times New Roman" w:cs="Times New Roman"/>
          <w:sz w:val="24"/>
          <w:szCs w:val="24"/>
        </w:rPr>
        <w:lastRenderedPageBreak/>
        <w:t>violation of the Universal Declaration of Human Rights and other international standards pertaining to fair trials and due process.</w:t>
      </w:r>
    </w:p>
    <w:p w14:paraId="17796DAB" w14:textId="77777777"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7. The country’s decision to lift the moratorium on the death penalty in January 2017 has led to an increase in the number of death sentences, despite the concerning prevalence of torture and frequent reports that confessions were made under duress. Alarmingly, the death penalty continues to be imposed in cases where such punishment is not commensurate with the offense.</w:t>
      </w:r>
    </w:p>
    <w:p w14:paraId="2870FBBC" w14:textId="79B2F07D"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8.</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Further, the Bahraini regime continues to repress civil society and restrict activities related to the fundamental freedom of expression. Security forces regularly summon activists, use violence and intimidation to extract false confessions, extrajudicially punish detainees, and suppress dissent. Human rights defenders and political opposition activists continue to be imprisoned for offenses that are directly related to their freedom of expression.</w:t>
      </w:r>
    </w:p>
    <w:p w14:paraId="11762122" w14:textId="57B8DDBC" w:rsidR="00FE5E8C" w:rsidRPr="000B1E38" w:rsidRDefault="00FE5E8C" w:rsidP="00EC173E">
      <w:pPr>
        <w:shd w:val="clear" w:color="auto" w:fill="FFFFFF"/>
        <w:spacing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9.</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Such practices contravene the Kingdom’s international obligations and disregard its reform commitments, thereby demonstrating the government’s unwillingness to take the necessary actions to meaningfully improve the human rights situation in Bahrain.</w:t>
      </w:r>
    </w:p>
    <w:p w14:paraId="7BE1D3EA" w14:textId="77777777" w:rsidR="00FE5E8C" w:rsidRPr="000B1E38" w:rsidRDefault="00FE5E8C" w:rsidP="00EC173E">
      <w:pPr>
        <w:shd w:val="clear" w:color="auto" w:fill="FFFFFF"/>
        <w:spacing w:before="200" w:line="360" w:lineRule="auto"/>
        <w:jc w:val="both"/>
        <w:rPr>
          <w:rFonts w:ascii="Times New Roman" w:eastAsia="Times New Roman" w:hAnsi="Times New Roman" w:cs="Times New Roman"/>
          <w:sz w:val="24"/>
          <w:szCs w:val="24"/>
        </w:rPr>
      </w:pPr>
      <w:r w:rsidRPr="000B1E38">
        <w:rPr>
          <w:rFonts w:ascii="Times New Roman" w:eastAsia="Times New Roman" w:hAnsi="Times New Roman" w:cs="Times New Roman"/>
          <w:b/>
          <w:bCs/>
          <w:sz w:val="24"/>
          <w:szCs w:val="24"/>
        </w:rPr>
        <w:t>IV.</w:t>
      </w:r>
      <w:r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b/>
          <w:bCs/>
          <w:sz w:val="24"/>
          <w:szCs w:val="24"/>
        </w:rPr>
        <w:t>Bahrain’s International and National Legal Framework regarding Military Courts and the Death Penalty</w:t>
      </w:r>
    </w:p>
    <w:p w14:paraId="218BAB8D" w14:textId="3E599366" w:rsidR="00FE5E8C" w:rsidRPr="000B1E38" w:rsidRDefault="00FE5E8C" w:rsidP="00EC173E">
      <w:pPr>
        <w:shd w:val="clear" w:color="auto" w:fill="FFFFFF"/>
        <w:spacing w:before="200"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10</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 xml:space="preserve">As a State Party to various UN human rights treaties, Bahrain has international obligations to maintain protections for fair trial rights and ensure that the death penalty is imposed with extreme discretion pursuant to a final judgment rendered by a competent court. Article 14 of the International Covenant on Civil and Political Rights (ICCPR) establishes fundamental due process rights and ensures the right to a fair trial. Additionally, Article 6 of the ICCPR restricts the application of the death penalty only to those “most serious crimes”. Despite having been a State Party to the ICCPR since September 20, 2006, the Bahraini government has not taken any further actions to ratify the two Optional Protocols to the Covenant, even with sustained pressure exercised by the international community; the Second Optional Protocol commits its members to the abolition of the death penalty but allows parties to make a reservation to allow capital </w:t>
      </w:r>
      <w:r w:rsidRPr="000B1E38">
        <w:rPr>
          <w:rFonts w:ascii="Times New Roman" w:eastAsia="Times New Roman" w:hAnsi="Times New Roman" w:cs="Times New Roman"/>
          <w:sz w:val="24"/>
          <w:szCs w:val="24"/>
        </w:rPr>
        <w:lastRenderedPageBreak/>
        <w:t>punishment only for a “most serious crime of a military nature committed during wartime”.</w:t>
      </w:r>
      <w:r w:rsidRPr="000B1E38">
        <w:rPr>
          <w:rStyle w:val="FootnoteReference"/>
          <w:rFonts w:ascii="Times New Roman" w:eastAsia="Times New Roman" w:hAnsi="Times New Roman" w:cs="Times New Roman"/>
          <w:sz w:val="24"/>
          <w:szCs w:val="24"/>
        </w:rPr>
        <w:footnoteReference w:id="1"/>
      </w:r>
      <w:r w:rsidR="000B1E38" w:rsidRPr="000B1E38">
        <w:rPr>
          <w:rFonts w:ascii="Times New Roman" w:eastAsia="Times New Roman" w:hAnsi="Times New Roman" w:cs="Times New Roman"/>
          <w:sz w:val="24"/>
          <w:szCs w:val="24"/>
        </w:rPr>
        <w:t xml:space="preserve"> </w:t>
      </w:r>
      <w:r w:rsidRPr="000B1E38">
        <w:rPr>
          <w:rStyle w:val="FootnoteReference"/>
          <w:rFonts w:ascii="Times New Roman" w:eastAsia="Times New Roman" w:hAnsi="Times New Roman" w:cs="Times New Roman"/>
          <w:sz w:val="24"/>
          <w:szCs w:val="24"/>
        </w:rPr>
        <w:footnoteReference w:id="2"/>
      </w:r>
      <w:r w:rsidRPr="000B1E38">
        <w:rPr>
          <w:rFonts w:ascii="Times New Roman" w:eastAsia="Times New Roman" w:hAnsi="Times New Roman" w:cs="Times New Roman"/>
          <w:sz w:val="24"/>
          <w:szCs w:val="24"/>
        </w:rPr>
        <w:t> </w:t>
      </w:r>
    </w:p>
    <w:p w14:paraId="0640F74C" w14:textId="0FC56D96" w:rsidR="00FE5E8C" w:rsidRPr="000B1E38" w:rsidRDefault="00FE5E8C" w:rsidP="00EC173E">
      <w:pPr>
        <w:shd w:val="clear" w:color="auto" w:fill="FFFFFF"/>
        <w:spacing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11. Domestically, the original language of the Bahraini Constitution prevented military courts from trying civilians absent a declaration of martial law from the King. King Hamad Al Khalifa previously granted military courts wide powers to try civilians when he declared a State of National Safety in March 2011, facilitating the authorities’ suppression of pro-democracy protesters. The National Safety Courts (NSC), as they were named, prosecuted at least 300 protesters according to the Bahrain Independent Commission of Inquiry (BICI, para 1289). In 2017, however, the National Assembly promulgated a constitutional amendment that revised Article 105(b), effectively expanding the jurisdiction of the military judiciary to include trials of civilian defendants. Prior to January 2017, the Government of Bahrain had also observed a seven-year moratorium on the death penalty, and previous to the wave of executions that took place in July 2010, the Bahraini government had not carried out a death penalty sentence since 1996.</w:t>
      </w:r>
    </w:p>
    <w:p w14:paraId="055BE57F" w14:textId="77777777" w:rsidR="00FE5E8C" w:rsidRPr="000B1E38" w:rsidRDefault="00FE5E8C" w:rsidP="00EC173E">
      <w:pPr>
        <w:shd w:val="clear" w:color="auto" w:fill="FFFFFF"/>
        <w:spacing w:before="200" w:line="360" w:lineRule="auto"/>
        <w:jc w:val="both"/>
        <w:rPr>
          <w:rFonts w:ascii="Times New Roman" w:eastAsia="Times New Roman" w:hAnsi="Times New Roman" w:cs="Times New Roman"/>
          <w:sz w:val="24"/>
          <w:szCs w:val="24"/>
        </w:rPr>
      </w:pPr>
      <w:r w:rsidRPr="000B1E38">
        <w:rPr>
          <w:rFonts w:ascii="Times New Roman" w:eastAsia="Times New Roman" w:hAnsi="Times New Roman" w:cs="Times New Roman"/>
          <w:b/>
          <w:bCs/>
          <w:sz w:val="24"/>
          <w:szCs w:val="24"/>
        </w:rPr>
        <w:t>V.</w:t>
      </w:r>
      <w:r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b/>
          <w:bCs/>
          <w:sz w:val="24"/>
          <w:szCs w:val="24"/>
        </w:rPr>
        <w:t>Bahrain’s Expansion of the Military into Civilian Governance </w:t>
      </w:r>
    </w:p>
    <w:p w14:paraId="317FE62B" w14:textId="2978A35C" w:rsidR="00FE5E8C" w:rsidRPr="000B1E38" w:rsidRDefault="00FE5E8C" w:rsidP="00EC173E">
      <w:pPr>
        <w:shd w:val="clear" w:color="auto" w:fill="FFFFFF"/>
        <w:spacing w:before="20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12. Several years after the April 2017 amendment to the constitution, the Government of Bahrain has not engaged in any formal review process concerning the consequences of further incorporating the military into civilian governance, nor has Bahrain taken any actions to ensure that military courts are prevented from exercising jurisdiction over civilians.</w:t>
      </w:r>
    </w:p>
    <w:p w14:paraId="12ADDFD5" w14:textId="72DB3091" w:rsidR="00FE5E8C" w:rsidRPr="000B1E38" w:rsidRDefault="00FE5E8C" w:rsidP="00EC173E">
      <w:pPr>
        <w:shd w:val="clear" w:color="auto" w:fill="FFFFFF"/>
        <w:spacing w:before="200"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xml:space="preserve">13. During the </w:t>
      </w:r>
      <w:r w:rsidR="000B1E38" w:rsidRPr="000B1E38">
        <w:rPr>
          <w:rFonts w:ascii="Times New Roman" w:eastAsia="Times New Roman" w:hAnsi="Times New Roman" w:cs="Times New Roman"/>
          <w:sz w:val="24"/>
          <w:szCs w:val="24"/>
        </w:rPr>
        <w:t>2nd</w:t>
      </w:r>
      <w:r w:rsidRPr="000B1E38">
        <w:rPr>
          <w:rFonts w:ascii="Times New Roman" w:eastAsia="Times New Roman" w:hAnsi="Times New Roman" w:cs="Times New Roman"/>
          <w:sz w:val="24"/>
          <w:szCs w:val="24"/>
        </w:rPr>
        <w:t xml:space="preserve"> and </w:t>
      </w:r>
      <w:r w:rsidR="000B1E38" w:rsidRPr="000B1E38">
        <w:rPr>
          <w:rFonts w:ascii="Times New Roman" w:eastAsia="Times New Roman" w:hAnsi="Times New Roman" w:cs="Times New Roman"/>
          <w:sz w:val="24"/>
          <w:szCs w:val="24"/>
        </w:rPr>
        <w:t>3rd</w:t>
      </w:r>
      <w:r w:rsidRPr="000B1E38">
        <w:rPr>
          <w:rFonts w:ascii="Times New Roman" w:eastAsia="Times New Roman" w:hAnsi="Times New Roman" w:cs="Times New Roman"/>
          <w:sz w:val="24"/>
          <w:szCs w:val="24"/>
        </w:rPr>
        <w:t xml:space="preserve"> UPR cycle, Bahrain welcomed several recommendations related to due process rights and military courts.</w:t>
      </w:r>
      <w:r w:rsidRPr="000B1E38">
        <w:rPr>
          <w:rStyle w:val="FootnoteReference"/>
          <w:rFonts w:ascii="Times New Roman" w:eastAsia="Times New Roman" w:hAnsi="Times New Roman" w:cs="Times New Roman"/>
          <w:sz w:val="24"/>
          <w:szCs w:val="24"/>
        </w:rPr>
        <w:footnoteReference w:id="3"/>
      </w:r>
      <w:r w:rsidRPr="000B1E38">
        <w:rPr>
          <w:rFonts w:ascii="Times New Roman" w:eastAsia="Times New Roman" w:hAnsi="Times New Roman" w:cs="Times New Roman"/>
          <w:sz w:val="24"/>
          <w:szCs w:val="24"/>
        </w:rPr>
        <w:t xml:space="preserve"> For instance, Bahrain accepted recommendations aiming to preclude the trial of civilians in military courts and review those sentences which had already been handed down under military jurisdiction. In accepting these recommendations, Bahrain assured going forward that “[A]ll cases are </w:t>
      </w:r>
      <w:r w:rsidRPr="000B1E38">
        <w:rPr>
          <w:rFonts w:ascii="Times New Roman" w:eastAsia="Times New Roman" w:hAnsi="Times New Roman" w:cs="Times New Roman"/>
          <w:sz w:val="24"/>
          <w:szCs w:val="24"/>
        </w:rPr>
        <w:lastRenderedPageBreak/>
        <w:t>being reviewed in civilian courts”.</w:t>
      </w:r>
      <w:r w:rsidR="00EA4043" w:rsidRPr="000B1E38">
        <w:rPr>
          <w:rStyle w:val="FootnoteReference"/>
          <w:rFonts w:ascii="Times New Roman" w:eastAsia="Times New Roman" w:hAnsi="Times New Roman" w:cs="Times New Roman"/>
          <w:sz w:val="24"/>
          <w:szCs w:val="24"/>
        </w:rPr>
        <w:footnoteReference w:id="4"/>
      </w:r>
      <w:r w:rsidR="00EA4043"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However, not only has the Bahraini government failed to uphold its commitment to implementing the UPR recommendations, but it has also taken actions which further aggravate lack of transparency and judicial irregularities which characterize the Bahraini criminal justice system.</w:t>
      </w:r>
    </w:p>
    <w:p w14:paraId="3370AA8C" w14:textId="21272549"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14. In February 2018, Bahrain’s Military High Court of Appeal rejected the appeal of three civilians and one soldier convicted in a mass trial: Mubarak Adel Mubarak Mahanna, Sayed Fadhel Abbas Hassan Radhi, Sayed Alawi Husain, and Mohammed Abdulhasan Al Mutagahwi</w:t>
      </w:r>
      <w:r w:rsidR="00EA4043" w:rsidRPr="000B1E38">
        <w:rPr>
          <w:rFonts w:ascii="Times New Roman" w:eastAsia="Times New Roman" w:hAnsi="Times New Roman" w:cs="Times New Roman"/>
          <w:sz w:val="24"/>
          <w:szCs w:val="24"/>
        </w:rPr>
        <w:t>.</w:t>
      </w:r>
      <w:r w:rsidR="00EA4043" w:rsidRPr="000B1E38">
        <w:rPr>
          <w:rStyle w:val="FootnoteReference"/>
          <w:rFonts w:ascii="Times New Roman" w:eastAsia="Times New Roman" w:hAnsi="Times New Roman" w:cs="Times New Roman"/>
          <w:sz w:val="24"/>
          <w:szCs w:val="24"/>
        </w:rPr>
        <w:footnoteReference w:id="5"/>
      </w:r>
      <w:r w:rsidRPr="000B1E38">
        <w:rPr>
          <w:rFonts w:ascii="Times New Roman" w:eastAsia="Times New Roman" w:hAnsi="Times New Roman" w:cs="Times New Roman"/>
          <w:sz w:val="24"/>
          <w:szCs w:val="24"/>
        </w:rPr>
        <w:t xml:space="preserve"> The King subsequently commuted the death penalties in these cases to life imprisonment.</w:t>
      </w:r>
      <w:r w:rsidR="00EA4043" w:rsidRPr="000B1E38">
        <w:rPr>
          <w:rStyle w:val="FootnoteReference"/>
          <w:rFonts w:ascii="Times New Roman" w:eastAsia="Times New Roman" w:hAnsi="Times New Roman" w:cs="Times New Roman"/>
          <w:sz w:val="24"/>
          <w:szCs w:val="24"/>
        </w:rPr>
        <w:footnoteReference w:id="6"/>
      </w:r>
      <w:r w:rsidRPr="000B1E38">
        <w:rPr>
          <w:rFonts w:ascii="Times New Roman" w:eastAsia="Times New Roman" w:hAnsi="Times New Roman" w:cs="Times New Roman"/>
          <w:sz w:val="24"/>
          <w:szCs w:val="24"/>
        </w:rPr>
        <w:t xml:space="preserve"> While this reduced sentence is noted, the King’s decision to ratify the ruling of the military court signals an acceptance of the military court trial and refusal to acknowledge allegations of severe mistreatment at the hands of Bahraini authorities.</w:t>
      </w:r>
      <w:r w:rsidR="00EA4043" w:rsidRPr="000B1E38">
        <w:rPr>
          <w:rStyle w:val="FootnoteReference"/>
          <w:rFonts w:ascii="Times New Roman" w:eastAsia="Times New Roman" w:hAnsi="Times New Roman" w:cs="Times New Roman"/>
          <w:sz w:val="24"/>
          <w:szCs w:val="24"/>
        </w:rPr>
        <w:footnoteReference w:id="7"/>
      </w:r>
      <w:r w:rsidRPr="000B1E38">
        <w:rPr>
          <w:rFonts w:ascii="Times New Roman" w:eastAsia="Times New Roman" w:hAnsi="Times New Roman" w:cs="Times New Roman"/>
          <w:sz w:val="24"/>
          <w:szCs w:val="24"/>
        </w:rPr>
        <w:t xml:space="preserve"> The military courts have also stripped defendants of their citizenship as part of their sentence, rendering them stateless. </w:t>
      </w:r>
    </w:p>
    <w:p w14:paraId="044B913C" w14:textId="63B68EB7"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15.</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Numerous individuals tried in military courts have reported that Bahraini authorities utilized torture to extract false confessions, and some – namely, Sayed Alawi and Sayed Fadhel – have been subjected to enforced detention and incommunicado detention.</w:t>
      </w:r>
      <w:r w:rsidR="00EA4043" w:rsidRPr="000B1E38">
        <w:rPr>
          <w:rStyle w:val="FootnoteReference"/>
          <w:rFonts w:ascii="Times New Roman" w:eastAsia="Times New Roman" w:hAnsi="Times New Roman" w:cs="Times New Roman"/>
          <w:sz w:val="24"/>
          <w:szCs w:val="24"/>
        </w:rPr>
        <w:footnoteReference w:id="8"/>
      </w:r>
      <w:r w:rsidRPr="000B1E38">
        <w:rPr>
          <w:rFonts w:ascii="Times New Roman" w:eastAsia="Times New Roman" w:hAnsi="Times New Roman" w:cs="Times New Roman"/>
          <w:sz w:val="24"/>
          <w:szCs w:val="24"/>
        </w:rPr>
        <w:t xml:space="preserve"> Eight of the defendants convicted in a military court during the “Terror Case/2017/1” were convicted in absentia, and at least two were minors at the time of the alleged offense or arrest.</w:t>
      </w:r>
      <w:r w:rsidR="00EA4043" w:rsidRPr="000B1E38">
        <w:rPr>
          <w:rStyle w:val="FootnoteReference"/>
          <w:rFonts w:ascii="Times New Roman" w:eastAsia="Times New Roman" w:hAnsi="Times New Roman" w:cs="Times New Roman"/>
          <w:sz w:val="24"/>
          <w:szCs w:val="24"/>
        </w:rPr>
        <w:footnoteReference w:id="9"/>
      </w:r>
      <w:r w:rsidRPr="000B1E38">
        <w:rPr>
          <w:rFonts w:ascii="Times New Roman" w:eastAsia="Times New Roman" w:hAnsi="Times New Roman" w:cs="Times New Roman"/>
          <w:sz w:val="24"/>
          <w:szCs w:val="24"/>
        </w:rPr>
        <w:t xml:space="preserve"> At the 31 January appeal hearing for this case, credible reports indicated that defendants were prevented from speaking, despite prior assurances from the judge.</w:t>
      </w:r>
      <w:r w:rsidR="00EA4043" w:rsidRPr="000B1E38">
        <w:rPr>
          <w:rStyle w:val="FootnoteReference"/>
          <w:rFonts w:ascii="Times New Roman" w:eastAsia="Times New Roman" w:hAnsi="Times New Roman" w:cs="Times New Roman"/>
          <w:sz w:val="24"/>
          <w:szCs w:val="24"/>
        </w:rPr>
        <w:footnoteReference w:id="10"/>
      </w:r>
    </w:p>
    <w:p w14:paraId="620F4C23" w14:textId="77777777"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xml:space="preserve">16. By normalizing the emergency measure of NSC trials and empowering the Bahrain Defense Force (BDF) to try civilians under an overly broad mandate related to concerns of “national security”, Bahrain reveals its lack of commitment to accepted international recommendations. Despite international pressure to nullify the rulings, individuals </w:t>
      </w:r>
      <w:r w:rsidRPr="000B1E38">
        <w:rPr>
          <w:rFonts w:ascii="Times New Roman" w:eastAsia="Times New Roman" w:hAnsi="Times New Roman" w:cs="Times New Roman"/>
          <w:sz w:val="24"/>
          <w:szCs w:val="24"/>
        </w:rPr>
        <w:lastRenderedPageBreak/>
        <w:t>sentenced in military courts continue to serve long sentences in prison. Although there has not been news of civilians tried in military courts since 2018, the government has yet to offer an indication that it is actively working toward repealing the constitutional amendment allowing these proceedings and ensuring that any future trial is conducted in a civilian court adherent to international standards. </w:t>
      </w:r>
    </w:p>
    <w:p w14:paraId="7FE8D465" w14:textId="77777777" w:rsidR="00FE5E8C" w:rsidRPr="000B1E38" w:rsidRDefault="00FE5E8C" w:rsidP="00EC173E">
      <w:pPr>
        <w:shd w:val="clear" w:color="auto" w:fill="FFFFFF"/>
        <w:spacing w:after="0" w:line="360" w:lineRule="auto"/>
        <w:jc w:val="both"/>
        <w:rPr>
          <w:rFonts w:ascii="Times New Roman" w:eastAsia="Times New Roman" w:hAnsi="Times New Roman" w:cs="Times New Roman"/>
          <w:sz w:val="24"/>
          <w:szCs w:val="24"/>
        </w:rPr>
      </w:pPr>
      <w:r w:rsidRPr="000B1E38">
        <w:rPr>
          <w:rFonts w:ascii="Times New Roman" w:eastAsia="Times New Roman" w:hAnsi="Times New Roman" w:cs="Times New Roman"/>
          <w:b/>
          <w:bCs/>
          <w:sz w:val="24"/>
          <w:szCs w:val="24"/>
        </w:rPr>
        <w:t>VI. Bahrain’s Escalation of the Death Penalty</w:t>
      </w:r>
    </w:p>
    <w:p w14:paraId="2229264C" w14:textId="13B89CA5"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17.   In stark contrast to the rhetoric of public officials championing purported internal reforms, death sentences in Bahrain have risen over 600% in the last decade, and, correspondingly, execution rates have risen 20% during the same period.</w:t>
      </w:r>
      <w:r w:rsidR="007B7883" w:rsidRPr="000B1E38">
        <w:rPr>
          <w:rStyle w:val="FootnoteReference"/>
          <w:rFonts w:ascii="Times New Roman" w:eastAsia="Times New Roman" w:hAnsi="Times New Roman" w:cs="Times New Roman"/>
          <w:sz w:val="24"/>
          <w:szCs w:val="24"/>
        </w:rPr>
        <w:footnoteReference w:id="11"/>
      </w:r>
      <w:r w:rsidR="007B7883"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Despite the comments of Bahraini authorities that suggest the use of the death penalty is “rare”, Bahrain’s execution rate per capita remains exceptionally high, with a documented execution rate per capita in 2019 that was nearly two-thirds that of Iran.</w:t>
      </w:r>
      <w:r w:rsidR="007B7883" w:rsidRPr="000B1E38">
        <w:rPr>
          <w:rStyle w:val="FootnoteReference"/>
          <w:rFonts w:ascii="Times New Roman" w:eastAsia="Times New Roman" w:hAnsi="Times New Roman" w:cs="Times New Roman"/>
          <w:sz w:val="24"/>
          <w:szCs w:val="24"/>
        </w:rPr>
        <w:footnoteReference w:id="12"/>
      </w:r>
      <w:r w:rsidR="007B7883"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The number of people on death row facing imminent execution has increased by over 2,500% over the last decade; at the end of 2010 only one person faced imminent execution, while at least 26 individuals currently face this risk.</w:t>
      </w:r>
      <w:r w:rsidR="007B7883" w:rsidRPr="000B1E38">
        <w:rPr>
          <w:rStyle w:val="FootnoteReference"/>
          <w:rFonts w:ascii="Times New Roman" w:eastAsia="Times New Roman" w:hAnsi="Times New Roman" w:cs="Times New Roman"/>
          <w:sz w:val="24"/>
          <w:szCs w:val="24"/>
        </w:rPr>
        <w:footnoteReference w:id="13"/>
      </w:r>
      <w:r w:rsidRPr="000B1E38">
        <w:rPr>
          <w:rFonts w:ascii="Times New Roman" w:eastAsia="Times New Roman" w:hAnsi="Times New Roman" w:cs="Times New Roman"/>
          <w:sz w:val="24"/>
          <w:szCs w:val="24"/>
        </w:rPr>
        <w:t xml:space="preserve"> In direct violation of the Article 6 of the ICCPR, Bahrain has imposed the death penalty for offenses other than the “most serious crimes”, including non-lethal drug offenses.</w:t>
      </w:r>
      <w:r w:rsidR="007B7883" w:rsidRPr="000B1E38">
        <w:rPr>
          <w:rStyle w:val="FootnoteReference"/>
          <w:rFonts w:ascii="Times New Roman" w:eastAsia="Times New Roman" w:hAnsi="Times New Roman" w:cs="Times New Roman"/>
          <w:sz w:val="24"/>
          <w:szCs w:val="24"/>
        </w:rPr>
        <w:footnoteReference w:id="14"/>
      </w:r>
    </w:p>
    <w:p w14:paraId="1FAEF1FA" w14:textId="0BF94672"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18.</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Beyond its more pronounced deleterious effects, the insidious nature of the death penalty in Bahrain can be found in its inextricability from the Kingdom’s restriction on civil and political rights and the systemic use of torture to silence dissent. Evidence also shows that the death penalty has been imposed in Bahrain in a discriminatory manner against foreign nationals, specifically Bangladeshi nationals.</w:t>
      </w:r>
      <w:r w:rsidR="007B7883" w:rsidRPr="000B1E38">
        <w:rPr>
          <w:rStyle w:val="FootnoteReference"/>
          <w:rFonts w:ascii="Times New Roman" w:eastAsia="Times New Roman" w:hAnsi="Times New Roman" w:cs="Times New Roman"/>
          <w:sz w:val="24"/>
          <w:szCs w:val="24"/>
        </w:rPr>
        <w:footnoteReference w:id="15"/>
      </w:r>
    </w:p>
    <w:p w14:paraId="1585B86C" w14:textId="47817C46"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19.</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 xml:space="preserve">Further, the intensification of the death penalty in Bahrain can be seen as directly linked to the government’s promulgation of overly broad anti-terrorism legislation. Five of the six men executed in Bahrain since 2011 were convicted of terrorism </w:t>
      </w:r>
      <w:r w:rsidRPr="000B1E38">
        <w:rPr>
          <w:rFonts w:ascii="Times New Roman" w:eastAsia="Times New Roman" w:hAnsi="Times New Roman" w:cs="Times New Roman"/>
          <w:sz w:val="24"/>
          <w:szCs w:val="24"/>
        </w:rPr>
        <w:lastRenderedPageBreak/>
        <w:t>charges, and all of these individuals alleged the use of torture to extract a confession; of the 51 people sentenced to death in Bahrain since 2011, 65% allege torture.</w:t>
      </w:r>
      <w:r w:rsidR="007B7883" w:rsidRPr="000B1E38">
        <w:rPr>
          <w:rStyle w:val="FootnoteReference"/>
          <w:rFonts w:ascii="Times New Roman" w:eastAsia="Times New Roman" w:hAnsi="Times New Roman" w:cs="Times New Roman"/>
          <w:sz w:val="24"/>
          <w:szCs w:val="24"/>
        </w:rPr>
        <w:footnoteReference w:id="16"/>
      </w:r>
    </w:p>
    <w:p w14:paraId="4600CE57" w14:textId="6557E8C3"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20.</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There are currently 26 people on death row in Bahrain, all of whom are at imminent risk of execution having already exhausted their appeals process.</w:t>
      </w:r>
      <w:r w:rsidR="007B7883" w:rsidRPr="000B1E38">
        <w:rPr>
          <w:rStyle w:val="FootnoteReference"/>
          <w:rFonts w:ascii="Times New Roman" w:eastAsia="Times New Roman" w:hAnsi="Times New Roman" w:cs="Times New Roman"/>
          <w:sz w:val="24"/>
          <w:szCs w:val="24"/>
        </w:rPr>
        <w:footnoteReference w:id="17"/>
      </w:r>
      <w:r w:rsidRPr="000B1E38">
        <w:rPr>
          <w:rFonts w:ascii="Times New Roman" w:eastAsia="Times New Roman" w:hAnsi="Times New Roman" w:cs="Times New Roman"/>
          <w:sz w:val="24"/>
          <w:szCs w:val="24"/>
        </w:rPr>
        <w:t xml:space="preserve"> 12 of the 26 individuals were convicted on “terrorism-related” offenses, with all of these cases being connected to the political opposition that has been effectively banned in Bahrain.</w:t>
      </w:r>
      <w:r w:rsidR="007B7883" w:rsidRPr="000B1E38">
        <w:rPr>
          <w:rStyle w:val="FootnoteReference"/>
          <w:rFonts w:ascii="Times New Roman" w:eastAsia="Times New Roman" w:hAnsi="Times New Roman" w:cs="Times New Roman"/>
          <w:sz w:val="24"/>
          <w:szCs w:val="24"/>
        </w:rPr>
        <w:footnoteReference w:id="18"/>
      </w:r>
      <w:r w:rsidRPr="000B1E38">
        <w:rPr>
          <w:rFonts w:ascii="Times New Roman" w:eastAsia="Times New Roman" w:hAnsi="Times New Roman" w:cs="Times New Roman"/>
          <w:sz w:val="24"/>
          <w:szCs w:val="24"/>
        </w:rPr>
        <w:t xml:space="preserve"> Of those individuals facing imminent execution, 12% received a death penalty sentence for non-lethal drug offenses, and of those sentenced to death for “terrorism-related” offenses, 29% were convicted of charges related to non-lethal offenses.</w:t>
      </w:r>
      <w:r w:rsidR="007B7883" w:rsidRPr="000B1E38">
        <w:rPr>
          <w:rStyle w:val="FootnoteReference"/>
          <w:rFonts w:ascii="Times New Roman" w:eastAsia="Times New Roman" w:hAnsi="Times New Roman" w:cs="Times New Roman"/>
          <w:sz w:val="24"/>
          <w:szCs w:val="24"/>
        </w:rPr>
        <w:footnoteReference w:id="19"/>
      </w:r>
    </w:p>
    <w:p w14:paraId="27F8C7E8" w14:textId="6A336D0C"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21.</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On 26 July 2019, Bahrain executed Ali al-Arab, Ahmed al-Malali, and an unnamed Bangladeshi national, despite consistent credible reporting that both al-Arab and al-Malali were subjected to various forms of abuses and mistreatment throughout their arrest and detention process, and during the trial proceedings.</w:t>
      </w:r>
      <w:r w:rsidR="007B7883" w:rsidRPr="000B1E38">
        <w:rPr>
          <w:rStyle w:val="FootnoteReference"/>
          <w:rFonts w:ascii="Times New Roman" w:eastAsia="Times New Roman" w:hAnsi="Times New Roman" w:cs="Times New Roman"/>
          <w:sz w:val="24"/>
          <w:szCs w:val="24"/>
        </w:rPr>
        <w:footnoteReference w:id="20"/>
      </w:r>
      <w:r w:rsidRPr="000B1E38">
        <w:rPr>
          <w:rFonts w:ascii="Times New Roman" w:eastAsia="Times New Roman" w:hAnsi="Times New Roman" w:cs="Times New Roman"/>
          <w:sz w:val="24"/>
          <w:szCs w:val="24"/>
        </w:rPr>
        <w:t xml:space="preserve"> The executions were carried out in spite of concerns raised by the international community and prompted a response from the Office of the UN High Commissioner for Human Rights, wherein the executions were “strongly condemn[ned]”, and it was once again reiterated that credible evidence suggested that al-Arab and al-Malali were convicted for crimes they had not committed on the basis of confessions extracted through torture.</w:t>
      </w:r>
      <w:r w:rsidR="00295BAC" w:rsidRPr="000B1E38">
        <w:rPr>
          <w:rStyle w:val="FootnoteReference"/>
          <w:rFonts w:ascii="Times New Roman" w:eastAsia="Times New Roman" w:hAnsi="Times New Roman" w:cs="Times New Roman"/>
          <w:sz w:val="24"/>
          <w:szCs w:val="24"/>
        </w:rPr>
        <w:footnoteReference w:id="21"/>
      </w:r>
      <w:r w:rsidR="00295BAC"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Moreover, both al-Arab and al-Malali had connections to the political opposition, and it is widely believed that this association was the cause of their targeting and subsequent execution</w:t>
      </w:r>
      <w:r w:rsidR="00295BAC" w:rsidRPr="000B1E38">
        <w:rPr>
          <w:rFonts w:ascii="Times New Roman" w:eastAsia="Times New Roman" w:hAnsi="Times New Roman" w:cs="Times New Roman"/>
          <w:sz w:val="24"/>
          <w:szCs w:val="24"/>
        </w:rPr>
        <w:t>.</w:t>
      </w:r>
      <w:r w:rsidR="00295BAC" w:rsidRPr="000B1E38">
        <w:rPr>
          <w:rStyle w:val="FootnoteReference"/>
          <w:rFonts w:ascii="Times New Roman" w:eastAsia="Times New Roman" w:hAnsi="Times New Roman" w:cs="Times New Roman"/>
          <w:sz w:val="24"/>
          <w:szCs w:val="24"/>
        </w:rPr>
        <w:footnoteReference w:id="22"/>
      </w:r>
    </w:p>
    <w:p w14:paraId="0E19E321" w14:textId="40F49BF9"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22.</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Mohamed Ramadan and Husain Ali Moosa are two Bahraini citizens who were sentenced to death in 2014 for their alleged involvement in the Al-Dair bombing in February of that year.</w:t>
      </w:r>
      <w:r w:rsidR="00A613D5" w:rsidRPr="000B1E38">
        <w:rPr>
          <w:rStyle w:val="FootnoteReference"/>
          <w:rFonts w:ascii="Times New Roman" w:eastAsia="Times New Roman" w:hAnsi="Times New Roman" w:cs="Times New Roman"/>
          <w:sz w:val="24"/>
          <w:szCs w:val="24"/>
        </w:rPr>
        <w:footnoteReference w:id="23"/>
      </w:r>
      <w:r w:rsidRPr="000B1E38">
        <w:rPr>
          <w:rFonts w:ascii="Times New Roman" w:eastAsia="Times New Roman" w:hAnsi="Times New Roman" w:cs="Times New Roman"/>
          <w:sz w:val="24"/>
          <w:szCs w:val="24"/>
        </w:rPr>
        <w:t xml:space="preserve"> Both men were arrested by the Criminal Investigations </w:t>
      </w:r>
      <w:r w:rsidRPr="000B1E38">
        <w:rPr>
          <w:rFonts w:ascii="Times New Roman" w:eastAsia="Times New Roman" w:hAnsi="Times New Roman" w:cs="Times New Roman"/>
          <w:sz w:val="24"/>
          <w:szCs w:val="24"/>
        </w:rPr>
        <w:lastRenderedPageBreak/>
        <w:t>Directorate (CID) without a warrant, and while in custody, they were tortured and coerced into confessing to committing the bombing. Ramadan and Moosa were denied legal counsel and were convicted following an unfair trial on 29 Dec 2014.</w:t>
      </w:r>
      <w:r w:rsidR="00A613D5" w:rsidRPr="000B1E38">
        <w:rPr>
          <w:rStyle w:val="FootnoteReference"/>
          <w:rFonts w:ascii="Times New Roman" w:eastAsia="Times New Roman" w:hAnsi="Times New Roman" w:cs="Times New Roman"/>
          <w:sz w:val="24"/>
          <w:szCs w:val="24"/>
        </w:rPr>
        <w:footnoteReference w:id="24"/>
      </w:r>
      <w:r w:rsidRPr="000B1E38">
        <w:rPr>
          <w:rFonts w:ascii="Times New Roman" w:eastAsia="Times New Roman" w:hAnsi="Times New Roman" w:cs="Times New Roman"/>
          <w:sz w:val="24"/>
          <w:szCs w:val="24"/>
        </w:rPr>
        <w:t xml:space="preserve"> On 22 October 2018, the Court of Cassation overturned their verdict, on the basis of medical reports which corroborated allegations of tortur</w:t>
      </w:r>
      <w:r w:rsidR="00A613D5" w:rsidRPr="000B1E38">
        <w:rPr>
          <w:rFonts w:ascii="Times New Roman" w:eastAsia="Times New Roman" w:hAnsi="Times New Roman" w:cs="Times New Roman"/>
          <w:sz w:val="24"/>
          <w:szCs w:val="24"/>
        </w:rPr>
        <w:t>e</w:t>
      </w:r>
      <w:r w:rsidRPr="000B1E38">
        <w:rPr>
          <w:rFonts w:ascii="Times New Roman" w:eastAsia="Times New Roman" w:hAnsi="Times New Roman" w:cs="Times New Roman"/>
          <w:sz w:val="24"/>
          <w:szCs w:val="24"/>
        </w:rPr>
        <w:t>.</w:t>
      </w:r>
      <w:r w:rsidR="00A613D5" w:rsidRPr="000B1E38">
        <w:rPr>
          <w:rStyle w:val="FootnoteReference"/>
          <w:rFonts w:ascii="Times New Roman" w:eastAsia="Times New Roman" w:hAnsi="Times New Roman" w:cs="Times New Roman"/>
          <w:sz w:val="24"/>
          <w:szCs w:val="24"/>
        </w:rPr>
        <w:footnoteReference w:id="25"/>
      </w:r>
      <w:r w:rsidRPr="000B1E38">
        <w:rPr>
          <w:rFonts w:ascii="Times New Roman" w:eastAsia="Times New Roman" w:hAnsi="Times New Roman" w:cs="Times New Roman"/>
          <w:sz w:val="24"/>
          <w:szCs w:val="24"/>
        </w:rPr>
        <w:t xml:space="preserve"> Despite once again raising complaints during their retrial that they were falsely accused, tortured, and coerced to confess to a crime they did not commit, their death sentences were reimposed by the Court of Appeal and upheld by the Court of Cassation in July 2020.</w:t>
      </w:r>
      <w:r w:rsidR="00A613D5" w:rsidRPr="000B1E38">
        <w:rPr>
          <w:rStyle w:val="FootnoteReference"/>
          <w:rFonts w:ascii="Times New Roman" w:eastAsia="Times New Roman" w:hAnsi="Times New Roman" w:cs="Times New Roman"/>
          <w:sz w:val="24"/>
          <w:szCs w:val="24"/>
        </w:rPr>
        <w:footnoteReference w:id="26"/>
      </w:r>
      <w:r w:rsidRPr="000B1E38">
        <w:rPr>
          <w:rFonts w:ascii="Times New Roman" w:eastAsia="Times New Roman" w:hAnsi="Times New Roman" w:cs="Times New Roman"/>
          <w:sz w:val="24"/>
          <w:szCs w:val="24"/>
        </w:rPr>
        <w:t> </w:t>
      </w:r>
    </w:p>
    <w:p w14:paraId="122B2648" w14:textId="2344637C"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23. Maher al-Khabbaz was arrested in 2013 by officers in plain clothing and forcibly disappeared for over a week. During this time he was tortured and coerced into confessing to the murder of a police officer.</w:t>
      </w:r>
      <w:r w:rsidR="003A77BD" w:rsidRPr="000B1E38">
        <w:rPr>
          <w:rStyle w:val="FootnoteReference"/>
          <w:rFonts w:ascii="Times New Roman" w:eastAsia="Times New Roman" w:hAnsi="Times New Roman" w:cs="Times New Roman"/>
          <w:sz w:val="24"/>
          <w:szCs w:val="24"/>
        </w:rPr>
        <w:footnoteReference w:id="27"/>
      </w:r>
      <w:r w:rsidRPr="000B1E38">
        <w:rPr>
          <w:rFonts w:ascii="Times New Roman" w:eastAsia="Times New Roman" w:hAnsi="Times New Roman" w:cs="Times New Roman"/>
          <w:sz w:val="24"/>
          <w:szCs w:val="24"/>
        </w:rPr>
        <w:t xml:space="preserve"> Al-Khabbaz was forced to sign a written statement confessing his guilt, despite being unaware of the contents due to his illiteracy.</w:t>
      </w:r>
      <w:r w:rsidR="003A77BD" w:rsidRPr="000B1E38">
        <w:rPr>
          <w:rStyle w:val="FootnoteReference"/>
          <w:rFonts w:ascii="Times New Roman" w:eastAsia="Times New Roman" w:hAnsi="Times New Roman" w:cs="Times New Roman"/>
          <w:sz w:val="24"/>
          <w:szCs w:val="24"/>
        </w:rPr>
        <w:footnoteReference w:id="28"/>
      </w:r>
      <w:r w:rsidRPr="000B1E38">
        <w:rPr>
          <w:rFonts w:ascii="Times New Roman" w:eastAsia="Times New Roman" w:hAnsi="Times New Roman" w:cs="Times New Roman"/>
          <w:sz w:val="24"/>
          <w:szCs w:val="24"/>
        </w:rPr>
        <w:t xml:space="preserve"> His complaints of torture were submitted to the Special Investigation’s Unit, which found no evidence of torture.</w:t>
      </w:r>
      <w:r w:rsidR="003A77BD" w:rsidRPr="000B1E38">
        <w:rPr>
          <w:rStyle w:val="FootnoteReference"/>
          <w:rFonts w:ascii="Times New Roman" w:eastAsia="Times New Roman" w:hAnsi="Times New Roman" w:cs="Times New Roman"/>
          <w:sz w:val="24"/>
          <w:szCs w:val="24"/>
        </w:rPr>
        <w:footnoteReference w:id="29"/>
      </w:r>
      <w:r w:rsidRPr="000B1E38">
        <w:rPr>
          <w:rFonts w:ascii="Times New Roman" w:eastAsia="Times New Roman" w:hAnsi="Times New Roman" w:cs="Times New Roman"/>
          <w:sz w:val="24"/>
          <w:szCs w:val="24"/>
        </w:rPr>
        <w:t xml:space="preserve"> Notably, the SIU did not meet with Al-Khabbaz, nor did it allow for an independent medical examination.</w:t>
      </w:r>
      <w:r w:rsidR="003A77BD" w:rsidRPr="000B1E38">
        <w:rPr>
          <w:rStyle w:val="FootnoteReference"/>
          <w:rFonts w:ascii="Times New Roman" w:eastAsia="Times New Roman" w:hAnsi="Times New Roman" w:cs="Times New Roman"/>
          <w:sz w:val="24"/>
          <w:szCs w:val="24"/>
        </w:rPr>
        <w:footnoteReference w:id="30"/>
      </w:r>
      <w:r w:rsidRPr="000B1E38">
        <w:rPr>
          <w:rFonts w:ascii="Times New Roman" w:eastAsia="Times New Roman" w:hAnsi="Times New Roman" w:cs="Times New Roman"/>
          <w:sz w:val="24"/>
          <w:szCs w:val="24"/>
        </w:rPr>
        <w:t xml:space="preserve"> On 29 January 2018, following an appeals process, Bahrain’s Court of Cassation confirmed his death sentence. </w:t>
      </w:r>
    </w:p>
    <w:p w14:paraId="1C6861F7" w14:textId="6BA23BFA" w:rsidR="00FE5E8C" w:rsidRPr="000B1E38" w:rsidRDefault="00FE5E8C" w:rsidP="00EC173E">
      <w:pPr>
        <w:shd w:val="clear" w:color="auto" w:fill="FFFFFF"/>
        <w:spacing w:after="0"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24. Salman Isa Salman was arrested without a warrant in 2014 and brought to the CID where he was subjected to torture to coerce a confession; throughout his detention and interrogation he was further deprived of his rights due to his being denied access to legal counsel.</w:t>
      </w:r>
      <w:r w:rsidR="003A77BD" w:rsidRPr="000B1E38">
        <w:rPr>
          <w:rStyle w:val="FootnoteReference"/>
          <w:rFonts w:ascii="Times New Roman" w:eastAsia="Times New Roman" w:hAnsi="Times New Roman" w:cs="Times New Roman"/>
          <w:sz w:val="24"/>
          <w:szCs w:val="24"/>
        </w:rPr>
        <w:footnoteReference w:id="31"/>
      </w:r>
      <w:r w:rsidRPr="000B1E38">
        <w:rPr>
          <w:rFonts w:ascii="Times New Roman" w:eastAsia="Times New Roman" w:hAnsi="Times New Roman" w:cs="Times New Roman"/>
          <w:sz w:val="24"/>
          <w:szCs w:val="24"/>
        </w:rPr>
        <w:t xml:space="preserve"> The Court of Cassation upheld Salman’s death sentence on 4 June 2018. Both al-Khabbaz and Salman have exhausted all legal remedies and are at an imminent risk of execution. Given the numerous judicial irregularities and reports of fair trial violations in these cases, the Special Rapporteur </w:t>
      </w:r>
      <w:r w:rsidR="003A77BD" w:rsidRPr="000B1E38">
        <w:rPr>
          <w:rStyle w:val="FootnoteReference"/>
          <w:rFonts w:ascii="Times New Roman" w:eastAsia="Times New Roman" w:hAnsi="Times New Roman" w:cs="Times New Roman"/>
          <w:sz w:val="24"/>
          <w:szCs w:val="24"/>
        </w:rPr>
        <w:footnoteReference w:id="32"/>
      </w:r>
      <w:r w:rsidRPr="000B1E38">
        <w:rPr>
          <w:rFonts w:ascii="Times New Roman" w:eastAsia="Times New Roman" w:hAnsi="Times New Roman" w:cs="Times New Roman"/>
          <w:sz w:val="24"/>
          <w:szCs w:val="24"/>
        </w:rPr>
        <w:t xml:space="preserve">on extrajudicial, summary </w:t>
      </w:r>
      <w:r w:rsidRPr="000B1E38">
        <w:rPr>
          <w:rFonts w:ascii="Times New Roman" w:eastAsia="Times New Roman" w:hAnsi="Times New Roman" w:cs="Times New Roman"/>
          <w:sz w:val="24"/>
          <w:szCs w:val="24"/>
        </w:rPr>
        <w:lastRenderedPageBreak/>
        <w:t>or arbitrary execution, the SR on the promotion and protection of human rights and fundamental freedoms while countering terrorism; and the SR on torture have all publicly expressed concern. </w:t>
      </w:r>
    </w:p>
    <w:p w14:paraId="6B82F0FB" w14:textId="710E4B89" w:rsidR="00FE5E8C" w:rsidRPr="000B1E38" w:rsidRDefault="00FE5E8C" w:rsidP="00EC173E">
      <w:pPr>
        <w:shd w:val="clear" w:color="auto" w:fill="FFFFFF"/>
        <w:spacing w:line="360" w:lineRule="auto"/>
        <w:ind w:left="108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25.</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The aforementioned cases, while representing only a fraction of what has been documented and noted with extreme concern by the international community, are sufficient to prove the falsity of the Government of Bahrain’s claim that it imposes the death penalty “in accordance with international law and human rights standards including the United Nations Safeguards”.</w:t>
      </w:r>
      <w:r w:rsidR="003A77BD" w:rsidRPr="000B1E38">
        <w:rPr>
          <w:rStyle w:val="FootnoteReference"/>
          <w:rFonts w:ascii="Times New Roman" w:eastAsia="Times New Roman" w:hAnsi="Times New Roman" w:cs="Times New Roman"/>
          <w:sz w:val="24"/>
          <w:szCs w:val="24"/>
        </w:rPr>
        <w:footnoteReference w:id="33"/>
      </w:r>
      <w:r w:rsidRPr="000B1E38">
        <w:rPr>
          <w:rFonts w:ascii="Times New Roman" w:eastAsia="Times New Roman" w:hAnsi="Times New Roman" w:cs="Times New Roman"/>
          <w:sz w:val="24"/>
          <w:szCs w:val="24"/>
        </w:rPr>
        <w:t xml:space="preserve"> The heightened use of the death penalty for offenses not constituting</w:t>
      </w:r>
      <w:r w:rsidR="00036EFA"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“most serious crimes” and following trials marred by numerous fair trial violations represents an alarming and dangerous regression that must be confronted. </w:t>
      </w:r>
    </w:p>
    <w:p w14:paraId="1963CC7D" w14:textId="77777777" w:rsidR="00FE5E8C" w:rsidRPr="000B1E38" w:rsidRDefault="00FE5E8C" w:rsidP="00EC173E">
      <w:pPr>
        <w:shd w:val="clear" w:color="auto" w:fill="FFFFFF"/>
        <w:spacing w:after="200" w:line="360" w:lineRule="auto"/>
        <w:jc w:val="both"/>
        <w:rPr>
          <w:rFonts w:ascii="Times New Roman" w:eastAsia="Times New Roman" w:hAnsi="Times New Roman" w:cs="Times New Roman"/>
          <w:sz w:val="24"/>
          <w:szCs w:val="24"/>
        </w:rPr>
      </w:pPr>
      <w:r w:rsidRPr="000B1E38">
        <w:rPr>
          <w:rFonts w:ascii="Times New Roman" w:eastAsia="Times New Roman" w:hAnsi="Times New Roman" w:cs="Times New Roman"/>
          <w:b/>
          <w:bCs/>
          <w:sz w:val="24"/>
          <w:szCs w:val="24"/>
        </w:rPr>
        <w:t>VII. Freedom of Expression</w:t>
      </w:r>
    </w:p>
    <w:p w14:paraId="24A8A244" w14:textId="063ECD6C"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xml:space="preserve">24. </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Statements made by the King of Bahrain and some of his highest ranking officials such as directing “security agencies to put a decisive stop to” the “misuse of social media” clearly demonstrate that criticism of the government in any will not be tolerated.</w:t>
      </w:r>
      <w:r w:rsidR="00334D9A" w:rsidRPr="000B1E38">
        <w:rPr>
          <w:rStyle w:val="FootnoteReference"/>
          <w:rFonts w:ascii="Times New Roman" w:eastAsia="Times New Roman" w:hAnsi="Times New Roman" w:cs="Times New Roman"/>
          <w:sz w:val="24"/>
          <w:szCs w:val="24"/>
        </w:rPr>
        <w:footnoteReference w:id="34"/>
      </w:r>
      <w:r w:rsidRPr="000B1E38">
        <w:rPr>
          <w:rFonts w:ascii="Times New Roman" w:eastAsia="Times New Roman" w:hAnsi="Times New Roman" w:cs="Times New Roman"/>
          <w:sz w:val="24"/>
          <w:szCs w:val="24"/>
        </w:rPr>
        <w:t xml:space="preserve"> During the 2011 pro-democracy movement and afterward, online spaces were increasingly utilized by citizen protesters and activists. Subsequently, these spaces have been increasingly targeted by the government of Bahrain as it has intensified its efforts to limit the use of online spaces, public spaces, and silence critics and activists.  </w:t>
      </w:r>
    </w:p>
    <w:p w14:paraId="7465CFC9"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00E13DFF" w14:textId="5514C706"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25.</w:t>
      </w:r>
      <w:r w:rsidR="00EC173E">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Legislation passed by the government following the pro-democracy movement has allowed Bahraini authorities to legitimize the suppression of criticism of the government and monarchy. The vaguely worded language in these laws allow the government to suppress expression on the grounds that it harms the country and its unity or security. </w:t>
      </w:r>
    </w:p>
    <w:p w14:paraId="5C14095F"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07B86206" w14:textId="075200DD"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xml:space="preserve">26. The Information Technology Crimes Law of 2014 is but one example of the government granting itself the right to suppress dissent online and prosecute free speech in </w:t>
      </w:r>
      <w:r w:rsidRPr="000B1E38">
        <w:rPr>
          <w:rFonts w:ascii="Times New Roman" w:eastAsia="Times New Roman" w:hAnsi="Times New Roman" w:cs="Times New Roman"/>
          <w:sz w:val="24"/>
          <w:szCs w:val="24"/>
        </w:rPr>
        <w:lastRenderedPageBreak/>
        <w:t>this space.</w:t>
      </w:r>
      <w:r w:rsidR="00334D9A" w:rsidRPr="000B1E38">
        <w:rPr>
          <w:rStyle w:val="FootnoteReference"/>
          <w:rFonts w:ascii="Times New Roman" w:eastAsia="Times New Roman" w:hAnsi="Times New Roman" w:cs="Times New Roman"/>
          <w:sz w:val="24"/>
          <w:szCs w:val="24"/>
        </w:rPr>
        <w:footnoteReference w:id="35"/>
      </w:r>
      <w:r w:rsidRPr="000B1E38">
        <w:rPr>
          <w:rFonts w:ascii="Times New Roman" w:eastAsia="Times New Roman" w:hAnsi="Times New Roman" w:cs="Times New Roman"/>
          <w:sz w:val="24"/>
          <w:szCs w:val="24"/>
        </w:rPr>
        <w:t xml:space="preserve"> The Telecommunications Regulatory Authority surveils and heavily censors online content and requires internet service providers to assist it in suppression of freedom of expression.</w:t>
      </w:r>
    </w:p>
    <w:p w14:paraId="47953D52"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435E5505" w14:textId="6FA9452F"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27. The government has put the exercise of freedom of expression rights under greater threat through vague laws such as the 2006 Anti-terror Law, 2002 Press and Publication law and the Cybercrime law to criminalize civilians simply for exercising their right to freely express criticism. Article 169 of the Penal Code penalizes any publication authorities consider to be untrue, undermining public peace or State creditworthiness, insulting the king or the national flag or emblem. The 2006 Anti-terror law empowers authorities to penalize individuals as ‘terrorists’ for speech intending to harm security or national and international unity. In 2013 and 2014, this law was amended to give more powers of evading due process in such cases (Articles 29 and 30)</w:t>
      </w:r>
      <w:r w:rsidR="001F0BF6" w:rsidRPr="000B1E38">
        <w:rPr>
          <w:rFonts w:ascii="Times New Roman" w:eastAsia="Times New Roman" w:hAnsi="Times New Roman" w:cs="Times New Roman"/>
          <w:sz w:val="24"/>
          <w:szCs w:val="24"/>
        </w:rPr>
        <w:t>.</w:t>
      </w:r>
      <w:r w:rsidR="001F0BF6" w:rsidRPr="000B1E38">
        <w:rPr>
          <w:rStyle w:val="FootnoteReference"/>
          <w:rFonts w:ascii="Times New Roman" w:eastAsia="Times New Roman" w:hAnsi="Times New Roman" w:cs="Times New Roman"/>
          <w:sz w:val="24"/>
          <w:szCs w:val="24"/>
        </w:rPr>
        <w:footnoteReference w:id="36"/>
      </w:r>
      <w:r w:rsidRPr="000B1E38">
        <w:rPr>
          <w:rFonts w:ascii="Times New Roman" w:eastAsia="Times New Roman" w:hAnsi="Times New Roman" w:cs="Times New Roman"/>
          <w:sz w:val="24"/>
          <w:szCs w:val="24"/>
        </w:rPr>
        <w:t> </w:t>
      </w:r>
    </w:p>
    <w:p w14:paraId="14F07FAE"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695EE809" w14:textId="136D1A01"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The most recent amendment (April 2021) to the Press and Publication law extended government jurisdiction to include internet and digital content.</w:t>
      </w:r>
      <w:r w:rsidR="001F0BF6" w:rsidRPr="000B1E38">
        <w:rPr>
          <w:rStyle w:val="FootnoteReference"/>
          <w:rFonts w:ascii="Times New Roman" w:eastAsia="Times New Roman" w:hAnsi="Times New Roman" w:cs="Times New Roman"/>
          <w:sz w:val="24"/>
          <w:szCs w:val="24"/>
        </w:rPr>
        <w:footnoteReference w:id="37"/>
      </w:r>
      <w:r w:rsidRPr="000B1E38">
        <w:rPr>
          <w:rFonts w:ascii="Times New Roman" w:eastAsia="Times New Roman" w:hAnsi="Times New Roman" w:cs="Times New Roman"/>
          <w:sz w:val="24"/>
          <w:szCs w:val="24"/>
        </w:rPr>
        <w:t xml:space="preserve"> Electronic media outlets are required to receive approval to operate from a monarchy-appointed government ministry.</w:t>
      </w:r>
      <w:r w:rsidR="001D734D" w:rsidRPr="000B1E38">
        <w:rPr>
          <w:rStyle w:val="FootnoteReference"/>
          <w:rFonts w:ascii="Times New Roman" w:eastAsia="Times New Roman" w:hAnsi="Times New Roman" w:cs="Times New Roman"/>
          <w:sz w:val="24"/>
          <w:szCs w:val="24"/>
        </w:rPr>
        <w:footnoteReference w:id="38"/>
      </w:r>
      <w:r w:rsidRPr="000B1E38">
        <w:rPr>
          <w:rFonts w:ascii="Times New Roman" w:eastAsia="Times New Roman" w:hAnsi="Times New Roman" w:cs="Times New Roman"/>
          <w:sz w:val="24"/>
          <w:szCs w:val="24"/>
        </w:rPr>
        <w:t xml:space="preserve"> Alongside this amendment, the banning of the country’s last independent media outlet, Al Wasat</w:t>
      </w:r>
      <w:r w:rsidR="001F0BF6" w:rsidRPr="000B1E38">
        <w:rPr>
          <w:rFonts w:ascii="Times New Roman" w:eastAsia="Times New Roman" w:hAnsi="Times New Roman" w:cs="Times New Roman"/>
          <w:sz w:val="24"/>
          <w:szCs w:val="24"/>
        </w:rPr>
        <w:t>,</w:t>
      </w:r>
      <w:r w:rsidRPr="000B1E38">
        <w:rPr>
          <w:rFonts w:ascii="Times New Roman" w:eastAsia="Times New Roman" w:hAnsi="Times New Roman" w:cs="Times New Roman"/>
          <w:sz w:val="24"/>
          <w:szCs w:val="24"/>
        </w:rPr>
        <w:t xml:space="preserve"> in 2017 and the rare permissibility of  foreign journalists into the country has eliminated the existence of a print or digital media, independent from the monarchy and free to use media platforms as a tool of accountability for the country’s leaders. </w:t>
      </w:r>
    </w:p>
    <w:p w14:paraId="78F89974"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7423DE77" w14:textId="11C41644"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28. Articles 19, 20, 70 and 78 of the Press Law are used to intimidate, abuse, and prosecute journalists and activists working online or abroad for criticizing the government or advocating for change in the government</w:t>
      </w:r>
      <w:r w:rsidR="001F0BF6" w:rsidRPr="000B1E38">
        <w:rPr>
          <w:rFonts w:ascii="Times New Roman" w:eastAsia="Times New Roman" w:hAnsi="Times New Roman" w:cs="Times New Roman"/>
          <w:sz w:val="24"/>
          <w:szCs w:val="24"/>
        </w:rPr>
        <w:t>.</w:t>
      </w:r>
      <w:r w:rsidR="001F0BF6" w:rsidRPr="000B1E38">
        <w:rPr>
          <w:rStyle w:val="FootnoteReference"/>
          <w:rFonts w:ascii="Times New Roman" w:eastAsia="Times New Roman" w:hAnsi="Times New Roman" w:cs="Times New Roman"/>
          <w:sz w:val="24"/>
          <w:szCs w:val="24"/>
        </w:rPr>
        <w:footnoteReference w:id="39"/>
      </w:r>
      <w:r w:rsidRPr="000B1E38">
        <w:rPr>
          <w:rFonts w:ascii="Times New Roman" w:eastAsia="Times New Roman" w:hAnsi="Times New Roman" w:cs="Times New Roman"/>
          <w:sz w:val="24"/>
          <w:szCs w:val="24"/>
        </w:rPr>
        <w:t xml:space="preserve"> Authorities can block a website without court order on grounds it encroaches on State religion or jeopardizes public peace and security. </w:t>
      </w:r>
      <w:r w:rsidRPr="000B1E38">
        <w:rPr>
          <w:rFonts w:ascii="Times New Roman" w:eastAsia="Times New Roman" w:hAnsi="Times New Roman" w:cs="Times New Roman"/>
          <w:sz w:val="24"/>
          <w:szCs w:val="24"/>
        </w:rPr>
        <w:lastRenderedPageBreak/>
        <w:t>Article 88 of the law requires Bahraini journalists to obtain and renew license through the IAA (Bahrain’s Information Ministry), but the authority creates hurdles for journalists or media houses to work independently and free from government oversight. From 2020 to 2021, authorities arrested 58 people for their online activities.</w:t>
      </w:r>
      <w:r w:rsidR="001D734D" w:rsidRPr="000B1E38">
        <w:rPr>
          <w:rStyle w:val="FootnoteReference"/>
          <w:rFonts w:ascii="Times New Roman" w:eastAsia="Times New Roman" w:hAnsi="Times New Roman" w:cs="Times New Roman"/>
          <w:sz w:val="24"/>
          <w:szCs w:val="24"/>
        </w:rPr>
        <w:footnoteReference w:id="40"/>
      </w:r>
      <w:r w:rsidRPr="000B1E38">
        <w:rPr>
          <w:rFonts w:ascii="Times New Roman" w:eastAsia="Times New Roman" w:hAnsi="Times New Roman" w:cs="Times New Roman"/>
          <w:sz w:val="24"/>
          <w:szCs w:val="24"/>
        </w:rPr>
        <w:t xml:space="preserve"> The charges against them included “dissemination of false news” and “misuse of social media.”</w:t>
      </w:r>
      <w:r w:rsidR="00ED3F5D" w:rsidRPr="000B1E38">
        <w:rPr>
          <w:rFonts w:ascii="Times New Roman" w:eastAsia="Times New Roman" w:hAnsi="Times New Roman" w:cs="Times New Roman"/>
          <w:sz w:val="24"/>
          <w:szCs w:val="24"/>
        </w:rPr>
        <w:t xml:space="preserve"> </w:t>
      </w:r>
      <w:r w:rsidR="00ED3F5D" w:rsidRPr="000B1E38">
        <w:rPr>
          <w:rStyle w:val="FootnoteReference"/>
          <w:rFonts w:ascii="Times New Roman" w:eastAsia="Times New Roman" w:hAnsi="Times New Roman" w:cs="Times New Roman"/>
          <w:sz w:val="24"/>
          <w:szCs w:val="24"/>
        </w:rPr>
        <w:footnoteReference w:id="41"/>
      </w:r>
    </w:p>
    <w:p w14:paraId="1F1A67A7"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53074536" w14:textId="38E657E9"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29. Nazeeha Syee</w:t>
      </w:r>
      <w:r w:rsidR="00357D91" w:rsidRPr="000B1E38">
        <w:rPr>
          <w:rFonts w:ascii="Times New Roman" w:eastAsia="Times New Roman" w:hAnsi="Times New Roman" w:cs="Times New Roman"/>
          <w:sz w:val="24"/>
          <w:szCs w:val="24"/>
        </w:rPr>
        <w:t>d</w:t>
      </w:r>
      <w:r w:rsidR="00357D91" w:rsidRPr="000B1E38">
        <w:rPr>
          <w:rStyle w:val="FootnoteReference"/>
          <w:rFonts w:ascii="Times New Roman" w:eastAsia="Times New Roman" w:hAnsi="Times New Roman" w:cs="Times New Roman"/>
          <w:sz w:val="24"/>
          <w:szCs w:val="24"/>
        </w:rPr>
        <w:footnoteReference w:id="42"/>
      </w:r>
      <w:r w:rsidRPr="000B1E38">
        <w:rPr>
          <w:rFonts w:ascii="Times New Roman" w:eastAsia="Times New Roman" w:hAnsi="Times New Roman" w:cs="Times New Roman"/>
          <w:sz w:val="24"/>
          <w:szCs w:val="24"/>
        </w:rPr>
        <w:t xml:space="preserve"> and Moosa Abd-Al</w:t>
      </w:r>
      <w:r w:rsidR="00357D91" w:rsidRPr="000B1E38">
        <w:rPr>
          <w:rFonts w:ascii="Times New Roman" w:eastAsia="Times New Roman" w:hAnsi="Times New Roman" w:cs="Times New Roman"/>
          <w:sz w:val="24"/>
          <w:szCs w:val="24"/>
        </w:rPr>
        <w:t>i</w:t>
      </w:r>
      <w:r w:rsidR="00357D91" w:rsidRPr="000B1E38">
        <w:rPr>
          <w:rStyle w:val="FootnoteReference"/>
          <w:rFonts w:ascii="Times New Roman" w:eastAsia="Times New Roman" w:hAnsi="Times New Roman" w:cs="Times New Roman"/>
          <w:sz w:val="24"/>
          <w:szCs w:val="24"/>
        </w:rPr>
        <w:footnoteReference w:id="43"/>
      </w:r>
      <w:r w:rsidRPr="000B1E38">
        <w:rPr>
          <w:rFonts w:ascii="Times New Roman" w:eastAsia="Times New Roman" w:hAnsi="Times New Roman" w:cs="Times New Roman"/>
          <w:sz w:val="24"/>
          <w:szCs w:val="24"/>
        </w:rPr>
        <w:t xml:space="preserve"> have both faced severe torture and abuse at the hands of Bahraini authorities for their journalism that highlighted human rights violations in the country.</w:t>
      </w:r>
      <w:r w:rsidR="00357D91"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In 2017, Bahrain’s independent newspaper ‘Al Wasat’ was banned by the government for ‘violating the law and publishing information intended to sow division in society and affecting Bahrain’s relation with other states</w:t>
      </w:r>
      <w:r w:rsidR="00ED3F5D" w:rsidRPr="000B1E38">
        <w:rPr>
          <w:rFonts w:ascii="Times New Roman" w:eastAsia="Times New Roman" w:hAnsi="Times New Roman" w:cs="Times New Roman"/>
          <w:sz w:val="24"/>
          <w:szCs w:val="24"/>
        </w:rPr>
        <w:t>’.</w:t>
      </w:r>
      <w:r w:rsidR="00ED3F5D" w:rsidRPr="000B1E38">
        <w:rPr>
          <w:rStyle w:val="FootnoteReference"/>
          <w:rFonts w:ascii="Times New Roman" w:eastAsia="Times New Roman" w:hAnsi="Times New Roman" w:cs="Times New Roman"/>
          <w:sz w:val="24"/>
          <w:szCs w:val="24"/>
        </w:rPr>
        <w:footnoteReference w:id="44"/>
      </w:r>
    </w:p>
    <w:p w14:paraId="58F716C3"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1A311122" w14:textId="0640DE1F"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30. Expression on the internet by political activists, journalists, HRDs, and citizens is also punishable by the State through the Cybercrime law. This law empowers the IAA to filter content on the internet and social media and to block any website it perceives to be critical of the monarchy or country or promoting sectarianism.</w:t>
      </w:r>
      <w:r w:rsidR="00FA3697" w:rsidRPr="000B1E38">
        <w:rPr>
          <w:rStyle w:val="FootnoteReference"/>
          <w:rFonts w:ascii="Times New Roman" w:eastAsia="Times New Roman" w:hAnsi="Times New Roman" w:cs="Times New Roman"/>
          <w:sz w:val="24"/>
          <w:szCs w:val="24"/>
        </w:rPr>
        <w:footnoteReference w:id="45"/>
      </w:r>
      <w:r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shd w:val="clear" w:color="auto" w:fill="FFFFFF"/>
        </w:rPr>
        <w:t>In October 2020, Freedom House’s Freedom on Net periodic report assigned Bahrain a score of 29/100 (with 100 being most free)</w:t>
      </w:r>
      <w:r w:rsidR="00FA3697" w:rsidRPr="000B1E38">
        <w:rPr>
          <w:rFonts w:ascii="Times New Roman" w:eastAsia="Times New Roman" w:hAnsi="Times New Roman" w:cs="Times New Roman"/>
          <w:sz w:val="24"/>
          <w:szCs w:val="24"/>
          <w:shd w:val="clear" w:color="auto" w:fill="FFFFFF"/>
        </w:rPr>
        <w:t>.</w:t>
      </w:r>
      <w:r w:rsidR="00FA3697" w:rsidRPr="000B1E38">
        <w:rPr>
          <w:rStyle w:val="FootnoteReference"/>
          <w:rFonts w:ascii="Times New Roman" w:eastAsia="Times New Roman" w:hAnsi="Times New Roman" w:cs="Times New Roman"/>
          <w:sz w:val="24"/>
          <w:szCs w:val="24"/>
          <w:shd w:val="clear" w:color="auto" w:fill="FFFFFF"/>
        </w:rPr>
        <w:footnoteReference w:id="46"/>
      </w:r>
    </w:p>
    <w:p w14:paraId="676AF41B"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0D2396D7" w14:textId="57E23FD0"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xml:space="preserve">31. Authorities also blocked the Telegram app, which was used by independent media outlets, political opposition members, and even the websites of BCHR and Al-Quds al-Arabiya London-based newspaper. Bahrain Mirror, a popular news site, also remains </w:t>
      </w:r>
      <w:r w:rsidRPr="000B1E38">
        <w:rPr>
          <w:rFonts w:ascii="Times New Roman" w:eastAsia="Times New Roman" w:hAnsi="Times New Roman" w:cs="Times New Roman"/>
          <w:sz w:val="24"/>
          <w:szCs w:val="24"/>
        </w:rPr>
        <w:lastRenderedPageBreak/>
        <w:t>blocked.</w:t>
      </w:r>
      <w:r w:rsidR="00FA3697" w:rsidRPr="000B1E38">
        <w:rPr>
          <w:rStyle w:val="FootnoteReference"/>
          <w:rFonts w:ascii="Times New Roman" w:eastAsia="Times New Roman" w:hAnsi="Times New Roman" w:cs="Times New Roman"/>
          <w:sz w:val="24"/>
          <w:szCs w:val="24"/>
        </w:rPr>
        <w:footnoteReference w:id="47"/>
      </w:r>
      <w:r w:rsidRPr="000B1E38">
        <w:rPr>
          <w:rFonts w:ascii="Times New Roman" w:eastAsia="Times New Roman" w:hAnsi="Times New Roman" w:cs="Times New Roman"/>
          <w:sz w:val="24"/>
          <w:szCs w:val="24"/>
        </w:rPr>
        <w:t xml:space="preserve"> In 2018 an independent news outlet Awal Online was blocked a month after its launch for criticizing a long-term government minister.</w:t>
      </w:r>
      <w:r w:rsidR="00FA3697" w:rsidRPr="000B1E38">
        <w:rPr>
          <w:rStyle w:val="FootnoteReference"/>
          <w:rFonts w:ascii="Times New Roman" w:eastAsia="Times New Roman" w:hAnsi="Times New Roman" w:cs="Times New Roman"/>
          <w:sz w:val="24"/>
          <w:szCs w:val="24"/>
        </w:rPr>
        <w:footnoteReference w:id="48"/>
      </w:r>
      <w:r w:rsidRPr="000B1E38">
        <w:rPr>
          <w:rFonts w:ascii="Times New Roman" w:eastAsia="Times New Roman" w:hAnsi="Times New Roman" w:cs="Times New Roman"/>
          <w:sz w:val="24"/>
          <w:szCs w:val="24"/>
        </w:rPr>
        <w:t xml:space="preserve"> In 2019, Bahraini users posted over 800 comments urging the Government to release political prisoners but the government responded by blocking comments on the pos</w:t>
      </w:r>
      <w:r w:rsidR="00FA3697" w:rsidRPr="000B1E38">
        <w:rPr>
          <w:rFonts w:ascii="Times New Roman" w:eastAsia="Times New Roman" w:hAnsi="Times New Roman" w:cs="Times New Roman"/>
          <w:sz w:val="24"/>
          <w:szCs w:val="24"/>
        </w:rPr>
        <w:t>t</w:t>
      </w:r>
      <w:r w:rsidRPr="000B1E38">
        <w:rPr>
          <w:rFonts w:ascii="Times New Roman" w:eastAsia="Times New Roman" w:hAnsi="Times New Roman" w:cs="Times New Roman"/>
          <w:sz w:val="24"/>
          <w:szCs w:val="24"/>
        </w:rPr>
        <w:t>.</w:t>
      </w:r>
      <w:r w:rsidR="00FA3697" w:rsidRPr="000B1E38">
        <w:rPr>
          <w:rStyle w:val="FootnoteReference"/>
          <w:rFonts w:ascii="Times New Roman" w:eastAsia="Times New Roman" w:hAnsi="Times New Roman" w:cs="Times New Roman"/>
          <w:sz w:val="24"/>
          <w:szCs w:val="24"/>
        </w:rPr>
        <w:footnoteReference w:id="49"/>
      </w:r>
      <w:r w:rsidRPr="000B1E38">
        <w:rPr>
          <w:rFonts w:ascii="Times New Roman" w:eastAsia="Times New Roman" w:hAnsi="Times New Roman" w:cs="Times New Roman"/>
          <w:sz w:val="24"/>
          <w:szCs w:val="24"/>
        </w:rPr>
        <w:t> </w:t>
      </w:r>
    </w:p>
    <w:p w14:paraId="295E6038"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249DFAF8" w14:textId="6A474032"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xml:space="preserve">32. In 2020, Bahraini historian </w:t>
      </w:r>
      <w:r w:rsidRPr="000B1E38">
        <w:rPr>
          <w:rFonts w:ascii="Times New Roman" w:eastAsia="Times New Roman" w:hAnsi="Times New Roman" w:cs="Times New Roman"/>
          <w:sz w:val="24"/>
          <w:szCs w:val="24"/>
          <w:shd w:val="clear" w:color="auto" w:fill="FFFFFF"/>
        </w:rPr>
        <w:t>Jasim Al-Abbas posted about a historical mosque and mentioned a ruler of Bahrain before the Al-Khalifa ruling family. He was arrested and charged with publishing wrongful information</w:t>
      </w:r>
      <w:r w:rsidR="00FA3697" w:rsidRPr="000B1E38">
        <w:rPr>
          <w:rFonts w:ascii="Times New Roman" w:eastAsia="Times New Roman" w:hAnsi="Times New Roman" w:cs="Times New Roman"/>
          <w:sz w:val="24"/>
          <w:szCs w:val="24"/>
          <w:shd w:val="clear" w:color="auto" w:fill="FFFFFF"/>
        </w:rPr>
        <w:t>.</w:t>
      </w:r>
      <w:r w:rsidR="00FA3697" w:rsidRPr="000B1E38">
        <w:rPr>
          <w:rStyle w:val="FootnoteReference"/>
          <w:rFonts w:ascii="Times New Roman" w:eastAsia="Times New Roman" w:hAnsi="Times New Roman" w:cs="Times New Roman"/>
          <w:sz w:val="24"/>
          <w:szCs w:val="24"/>
          <w:shd w:val="clear" w:color="auto" w:fill="FFFFFF"/>
        </w:rPr>
        <w:footnoteReference w:id="50"/>
      </w:r>
    </w:p>
    <w:p w14:paraId="5BB1BF87"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shd w:val="clear" w:color="auto" w:fill="FFFFFF"/>
        </w:rPr>
        <w:t> </w:t>
      </w:r>
    </w:p>
    <w:p w14:paraId="4D0D8A2A" w14:textId="6EE6D840"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shd w:val="clear" w:color="auto" w:fill="FFFFFF"/>
        </w:rPr>
        <w:t>33. Nabeel Rajab, prominent HRD and President of BCHR also faced prosecution because of his work and tweets criticizing the governmen</w:t>
      </w:r>
      <w:r w:rsidR="009646D7" w:rsidRPr="000B1E38">
        <w:rPr>
          <w:rFonts w:ascii="Times New Roman" w:eastAsia="Times New Roman" w:hAnsi="Times New Roman" w:cs="Times New Roman"/>
          <w:sz w:val="24"/>
          <w:szCs w:val="24"/>
          <w:shd w:val="clear" w:color="auto" w:fill="FFFFFF"/>
        </w:rPr>
        <w:t>t</w:t>
      </w:r>
      <w:r w:rsidRPr="000B1E38">
        <w:rPr>
          <w:rFonts w:ascii="Times New Roman" w:eastAsia="Times New Roman" w:hAnsi="Times New Roman" w:cs="Times New Roman"/>
          <w:sz w:val="24"/>
          <w:szCs w:val="24"/>
          <w:shd w:val="clear" w:color="auto" w:fill="FFFFFF"/>
        </w:rPr>
        <w:t>.</w:t>
      </w:r>
      <w:r w:rsidR="009646D7" w:rsidRPr="000B1E38">
        <w:rPr>
          <w:rStyle w:val="FootnoteReference"/>
          <w:rFonts w:ascii="Times New Roman" w:eastAsia="Times New Roman" w:hAnsi="Times New Roman" w:cs="Times New Roman"/>
          <w:sz w:val="24"/>
          <w:szCs w:val="24"/>
          <w:shd w:val="clear" w:color="auto" w:fill="FFFFFF"/>
        </w:rPr>
        <w:footnoteReference w:id="51"/>
      </w:r>
      <w:r w:rsidRPr="000B1E38">
        <w:rPr>
          <w:rFonts w:ascii="Times New Roman" w:eastAsia="Times New Roman" w:hAnsi="Times New Roman" w:cs="Times New Roman"/>
          <w:sz w:val="24"/>
          <w:szCs w:val="24"/>
          <w:shd w:val="clear" w:color="auto" w:fill="FFFFFF"/>
        </w:rPr>
        <w:t xml:space="preserve"> He was conditionally released in June 2020 under the Alternative Sentencing program, banning him from involvement in human rights activities.</w:t>
      </w:r>
      <w:r w:rsidR="009646D7" w:rsidRPr="000B1E38">
        <w:rPr>
          <w:rStyle w:val="FootnoteReference"/>
          <w:rFonts w:ascii="Times New Roman" w:eastAsia="Times New Roman" w:hAnsi="Times New Roman" w:cs="Times New Roman"/>
          <w:sz w:val="24"/>
          <w:szCs w:val="24"/>
          <w:shd w:val="clear" w:color="auto" w:fill="FFFFFF"/>
        </w:rPr>
        <w:footnoteReference w:id="52"/>
      </w:r>
      <w:r w:rsidRPr="000B1E38">
        <w:rPr>
          <w:rFonts w:ascii="Times New Roman" w:eastAsia="Times New Roman" w:hAnsi="Times New Roman" w:cs="Times New Roman"/>
          <w:sz w:val="24"/>
          <w:szCs w:val="24"/>
          <w:shd w:val="clear" w:color="auto" w:fill="FFFFFF"/>
        </w:rPr>
        <w:t> </w:t>
      </w:r>
    </w:p>
    <w:p w14:paraId="1B7A4B38"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shd w:val="clear" w:color="auto" w:fill="FFFFFF"/>
        </w:rPr>
        <w:t> </w:t>
      </w:r>
    </w:p>
    <w:p w14:paraId="3DA474A4" w14:textId="5695BB2A"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shd w:val="clear" w:color="auto" w:fill="FFFFFF"/>
        </w:rPr>
        <w:t xml:space="preserve">34. </w:t>
      </w:r>
      <w:r w:rsidRPr="000B1E38">
        <w:rPr>
          <w:rFonts w:ascii="Times New Roman" w:eastAsia="Times New Roman" w:hAnsi="Times New Roman" w:cs="Times New Roman"/>
          <w:sz w:val="24"/>
          <w:szCs w:val="24"/>
        </w:rPr>
        <w:t xml:space="preserve">Over the last two years, the Government of Bahrain has taken increased measures to criminalize dissent expressed on social media by imposing strict censorship on online content. </w:t>
      </w:r>
      <w:r w:rsidRPr="000B1E38">
        <w:rPr>
          <w:rFonts w:ascii="Times New Roman" w:eastAsia="Times New Roman" w:hAnsi="Times New Roman" w:cs="Times New Roman"/>
          <w:sz w:val="24"/>
          <w:szCs w:val="24"/>
          <w:shd w:val="clear" w:color="auto" w:fill="FFFFFF"/>
        </w:rPr>
        <w:t>In 2019, the government amended the Press and Media Law of 2002 to introduce the concept of social media misuse and tougher penalties.</w:t>
      </w:r>
      <w:r w:rsidR="009646D7" w:rsidRPr="000B1E38">
        <w:rPr>
          <w:rStyle w:val="FootnoteReference"/>
          <w:rFonts w:ascii="Times New Roman" w:eastAsia="Times New Roman" w:hAnsi="Times New Roman" w:cs="Times New Roman"/>
          <w:sz w:val="24"/>
          <w:szCs w:val="24"/>
          <w:shd w:val="clear" w:color="auto" w:fill="FFFFFF"/>
        </w:rPr>
        <w:footnoteReference w:id="53"/>
      </w:r>
      <w:r w:rsidR="009646D7" w:rsidRPr="000B1E38">
        <w:rPr>
          <w:rFonts w:ascii="Times New Roman" w:eastAsia="Times New Roman" w:hAnsi="Times New Roman" w:cs="Times New Roman"/>
          <w:sz w:val="24"/>
          <w:szCs w:val="24"/>
          <w:shd w:val="clear" w:color="auto" w:fill="FFFFFF"/>
        </w:rPr>
        <w:t xml:space="preserve"> </w:t>
      </w:r>
      <w:r w:rsidRPr="000B1E38">
        <w:rPr>
          <w:rFonts w:ascii="Times New Roman" w:eastAsia="Times New Roman" w:hAnsi="Times New Roman" w:cs="Times New Roman"/>
          <w:sz w:val="24"/>
          <w:szCs w:val="24"/>
          <w:shd w:val="clear" w:color="auto" w:fill="FFFFFF"/>
        </w:rPr>
        <w:t>Social media misuse now includes anything which the government considers “to threaten community peace, cause division, and weaken national unity.”</w:t>
      </w:r>
      <w:r w:rsidR="009646D7" w:rsidRPr="000B1E38">
        <w:rPr>
          <w:rFonts w:ascii="Times New Roman" w:eastAsia="Times New Roman" w:hAnsi="Times New Roman" w:cs="Times New Roman"/>
          <w:sz w:val="24"/>
          <w:szCs w:val="24"/>
          <w:shd w:val="clear" w:color="auto" w:fill="FFFFFF"/>
        </w:rPr>
        <w:t xml:space="preserve"> </w:t>
      </w:r>
      <w:r w:rsidR="009646D7" w:rsidRPr="000B1E38">
        <w:rPr>
          <w:rStyle w:val="FootnoteReference"/>
          <w:rFonts w:ascii="Times New Roman" w:eastAsia="Times New Roman" w:hAnsi="Times New Roman" w:cs="Times New Roman"/>
          <w:sz w:val="24"/>
          <w:szCs w:val="24"/>
          <w:shd w:val="clear" w:color="auto" w:fill="FFFFFF"/>
        </w:rPr>
        <w:footnoteReference w:id="54"/>
      </w:r>
      <w:r w:rsidR="009646D7" w:rsidRPr="000B1E38">
        <w:rPr>
          <w:rFonts w:ascii="Times New Roman" w:eastAsia="Times New Roman" w:hAnsi="Times New Roman" w:cs="Times New Roman"/>
          <w:sz w:val="24"/>
          <w:szCs w:val="24"/>
          <w:shd w:val="clear" w:color="auto" w:fill="FFFFFF"/>
        </w:rPr>
        <w:t xml:space="preserve"> </w:t>
      </w:r>
      <w:r w:rsidR="009646D7" w:rsidRPr="000B1E38">
        <w:rPr>
          <w:rFonts w:ascii="Times New Roman" w:eastAsia="Times New Roman" w:hAnsi="Times New Roman" w:cs="Times New Roman"/>
          <w:sz w:val="24"/>
          <w:szCs w:val="24"/>
          <w:shd w:val="clear" w:color="auto" w:fill="FFFFFF"/>
          <w:vertAlign w:val="superscript"/>
        </w:rPr>
        <w:t xml:space="preserve"> </w:t>
      </w:r>
      <w:r w:rsidRPr="000B1E38">
        <w:rPr>
          <w:rFonts w:ascii="Times New Roman" w:eastAsia="Times New Roman" w:hAnsi="Times New Roman" w:cs="Times New Roman"/>
          <w:sz w:val="24"/>
          <w:szCs w:val="24"/>
          <w:shd w:val="clear" w:color="auto" w:fill="FFFFFF"/>
        </w:rPr>
        <w:t>For example, in May 2019, Bahraini authorities sent a text warning to every registered number under its territory not to follow accounts it had defined as “pro-terrorist, biased or inciting hatred.”</w:t>
      </w:r>
      <w:r w:rsidR="009646D7" w:rsidRPr="000B1E38">
        <w:rPr>
          <w:rFonts w:ascii="Times New Roman" w:eastAsia="Times New Roman" w:hAnsi="Times New Roman" w:cs="Times New Roman"/>
          <w:sz w:val="24"/>
          <w:szCs w:val="24"/>
          <w:shd w:val="clear" w:color="auto" w:fill="FFFFFF"/>
        </w:rPr>
        <w:t xml:space="preserve"> </w:t>
      </w:r>
      <w:r w:rsidR="009646D7" w:rsidRPr="000B1E38">
        <w:rPr>
          <w:rStyle w:val="FootnoteReference"/>
          <w:rFonts w:ascii="Times New Roman" w:eastAsia="Times New Roman" w:hAnsi="Times New Roman" w:cs="Times New Roman"/>
          <w:sz w:val="24"/>
          <w:szCs w:val="24"/>
          <w:shd w:val="clear" w:color="auto" w:fill="FFFFFF"/>
        </w:rPr>
        <w:footnoteReference w:id="55"/>
      </w:r>
    </w:p>
    <w:p w14:paraId="691B947D"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621C623D" w14:textId="160D3D8D"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lastRenderedPageBreak/>
        <w:t>35. Also in 2019, the Ministry of Interior declared that any person found to be interacting in any way with social media accounts that “incite sedition and threaten civil peace” can be prosecuted.</w:t>
      </w:r>
      <w:r w:rsidR="009646D7" w:rsidRPr="000B1E38">
        <w:rPr>
          <w:rStyle w:val="FootnoteReference"/>
          <w:rFonts w:ascii="Times New Roman" w:eastAsia="Times New Roman" w:hAnsi="Times New Roman" w:cs="Times New Roman"/>
          <w:sz w:val="24"/>
          <w:szCs w:val="24"/>
        </w:rPr>
        <w:footnoteReference w:id="56"/>
      </w:r>
      <w:r w:rsidR="009646D7" w:rsidRPr="000B1E38">
        <w:rPr>
          <w:rFonts w:ascii="Times New Roman" w:eastAsia="Times New Roman" w:hAnsi="Times New Roman" w:cs="Times New Roman"/>
          <w:sz w:val="24"/>
          <w:szCs w:val="24"/>
        </w:rPr>
        <w:t xml:space="preserve"> </w:t>
      </w:r>
      <w:r w:rsidRPr="000B1E38">
        <w:rPr>
          <w:rFonts w:ascii="Times New Roman" w:eastAsia="Times New Roman" w:hAnsi="Times New Roman" w:cs="Times New Roman"/>
          <w:sz w:val="24"/>
          <w:szCs w:val="24"/>
        </w:rPr>
        <w:t>The declaration included a warning to not share content which is “extremist” and found to “offend Bahrain and its people.”</w:t>
      </w:r>
      <w:r w:rsidR="008E1F86" w:rsidRPr="000B1E38">
        <w:rPr>
          <w:rFonts w:ascii="Times New Roman" w:eastAsia="Times New Roman" w:hAnsi="Times New Roman" w:cs="Times New Roman"/>
          <w:sz w:val="24"/>
          <w:szCs w:val="24"/>
        </w:rPr>
        <w:t xml:space="preserve"> </w:t>
      </w:r>
      <w:r w:rsidR="008E1F86" w:rsidRPr="000B1E38">
        <w:rPr>
          <w:rStyle w:val="FootnoteReference"/>
          <w:rFonts w:ascii="Times New Roman" w:eastAsia="Times New Roman" w:hAnsi="Times New Roman" w:cs="Times New Roman"/>
          <w:sz w:val="24"/>
          <w:szCs w:val="24"/>
        </w:rPr>
        <w:footnoteReference w:id="57"/>
      </w:r>
      <w:r w:rsidRPr="000B1E38">
        <w:rPr>
          <w:rFonts w:ascii="Times New Roman" w:eastAsia="Times New Roman" w:hAnsi="Times New Roman" w:cs="Times New Roman"/>
          <w:sz w:val="24"/>
          <w:szCs w:val="24"/>
        </w:rPr>
        <w:t xml:space="preserve"> As is consistent with other rules and laws that allow the government to tighten its grasp on the country and society, these vaguely worded and poorly defined terms have been used to target peaceful activists and human rights defenders for their online activities.</w:t>
      </w:r>
      <w:r w:rsidR="008E1F86" w:rsidRPr="000B1E38">
        <w:rPr>
          <w:rStyle w:val="FootnoteReference"/>
          <w:rFonts w:ascii="Times New Roman" w:eastAsia="Times New Roman" w:hAnsi="Times New Roman" w:cs="Times New Roman"/>
          <w:sz w:val="24"/>
          <w:szCs w:val="24"/>
        </w:rPr>
        <w:footnoteReference w:id="58"/>
      </w:r>
    </w:p>
    <w:p w14:paraId="75F1AE66"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53BC8301" w14:textId="05B48B1E"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37. Authorities have continued to target human rights defenders, journalists, bloggers, and activists, in particular, because of online dissent.</w:t>
      </w:r>
      <w:r w:rsidR="008E1F86" w:rsidRPr="000B1E38">
        <w:rPr>
          <w:rStyle w:val="FootnoteReference"/>
          <w:rFonts w:ascii="Times New Roman" w:eastAsia="Times New Roman" w:hAnsi="Times New Roman" w:cs="Times New Roman"/>
          <w:sz w:val="24"/>
          <w:szCs w:val="24"/>
        </w:rPr>
        <w:footnoteReference w:id="59"/>
      </w:r>
      <w:r w:rsidR="008E1F86" w:rsidRPr="000B1E38">
        <w:rPr>
          <w:rFonts w:ascii="Times New Roman" w:eastAsia="Times New Roman" w:hAnsi="Times New Roman" w:cs="Times New Roman"/>
          <w:sz w:val="24"/>
          <w:szCs w:val="24"/>
          <w:vertAlign w:val="superscript"/>
        </w:rPr>
        <w:t xml:space="preserve"> </w:t>
      </w:r>
      <w:r w:rsidRPr="000B1E38">
        <w:rPr>
          <w:rFonts w:ascii="Times New Roman" w:eastAsia="Times New Roman" w:hAnsi="Times New Roman" w:cs="Times New Roman"/>
          <w:sz w:val="24"/>
          <w:szCs w:val="24"/>
        </w:rPr>
        <w:t>An example of this is the case of Najah Yusuf. Ms. Yusuf was detained and subjected to physical and sexual abuse before being imprisoned in response to an online post where she criticized the Bahrain government for human rights abuses and questioned why the country was allowed to stage a Grand Prix event despite its human rights record.</w:t>
      </w:r>
      <w:r w:rsidR="008E1F86" w:rsidRPr="000B1E38">
        <w:rPr>
          <w:rStyle w:val="FootnoteReference"/>
          <w:rFonts w:ascii="Times New Roman" w:eastAsia="Times New Roman" w:hAnsi="Times New Roman" w:cs="Times New Roman"/>
          <w:sz w:val="24"/>
          <w:szCs w:val="24"/>
        </w:rPr>
        <w:footnoteReference w:id="60"/>
      </w:r>
    </w:p>
    <w:p w14:paraId="01FA9243" w14:textId="77777777" w:rsidR="00FE5E8C" w:rsidRPr="000B1E38" w:rsidRDefault="00FE5E8C" w:rsidP="00EC173E">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 </w:t>
      </w:r>
    </w:p>
    <w:p w14:paraId="5689732A" w14:textId="2836E97E" w:rsidR="00FE5E8C" w:rsidRPr="000B1E38" w:rsidRDefault="00FE5E8C" w:rsidP="00A60A05">
      <w:pPr>
        <w:shd w:val="clear" w:color="auto" w:fill="FFFFFF"/>
        <w:spacing w:after="0" w:line="360" w:lineRule="auto"/>
        <w:ind w:left="720"/>
        <w:jc w:val="both"/>
        <w:rPr>
          <w:rFonts w:ascii="Times New Roman" w:eastAsia="Times New Roman" w:hAnsi="Times New Roman" w:cs="Times New Roman"/>
          <w:sz w:val="24"/>
          <w:szCs w:val="24"/>
        </w:rPr>
      </w:pPr>
      <w:r w:rsidRPr="000B1E38">
        <w:rPr>
          <w:rFonts w:ascii="Times New Roman" w:eastAsia="Times New Roman" w:hAnsi="Times New Roman" w:cs="Times New Roman"/>
          <w:sz w:val="24"/>
          <w:szCs w:val="24"/>
        </w:rPr>
        <w:t>38. In August 2021, independent media discovered that nine Bahraini activists were targeted in 2020 and 2021 by spyware purchased by the Bahraini government.</w:t>
      </w:r>
      <w:r w:rsidR="00380DA2" w:rsidRPr="000B1E38">
        <w:rPr>
          <w:rStyle w:val="FootnoteReference"/>
          <w:rFonts w:ascii="Times New Roman" w:eastAsia="Times New Roman" w:hAnsi="Times New Roman" w:cs="Times New Roman"/>
          <w:sz w:val="24"/>
          <w:szCs w:val="24"/>
        </w:rPr>
        <w:footnoteReference w:id="61"/>
      </w:r>
      <w:r w:rsidRPr="000B1E38">
        <w:rPr>
          <w:rFonts w:ascii="Times New Roman" w:eastAsia="Times New Roman" w:hAnsi="Times New Roman" w:cs="Times New Roman"/>
          <w:sz w:val="24"/>
          <w:szCs w:val="24"/>
        </w:rPr>
        <w:t xml:space="preserve"> The victims of this government violation included three activists - one of whom is a journalist -, four members of political opposition groups, and two exiled Bahraini dissidents.</w:t>
      </w:r>
      <w:r w:rsidR="00C36DA1" w:rsidRPr="000B1E38">
        <w:rPr>
          <w:rStyle w:val="FootnoteReference"/>
          <w:rFonts w:ascii="Times New Roman" w:eastAsia="Times New Roman" w:hAnsi="Times New Roman" w:cs="Times New Roman"/>
          <w:sz w:val="24"/>
          <w:szCs w:val="24"/>
        </w:rPr>
        <w:footnoteReference w:id="62"/>
      </w:r>
      <w:r w:rsidRPr="000B1E38">
        <w:rPr>
          <w:rFonts w:ascii="Times New Roman" w:eastAsia="Times New Roman" w:hAnsi="Times New Roman" w:cs="Times New Roman"/>
          <w:sz w:val="24"/>
          <w:szCs w:val="24"/>
        </w:rPr>
        <w:t xml:space="preserve"> </w:t>
      </w:r>
      <w:r w:rsidR="00C36DA1" w:rsidRPr="000B1E38">
        <w:rPr>
          <w:rStyle w:val="FootnoteReference"/>
          <w:rFonts w:ascii="Times New Roman" w:eastAsia="Times New Roman" w:hAnsi="Times New Roman" w:cs="Times New Roman"/>
          <w:sz w:val="24"/>
          <w:szCs w:val="24"/>
        </w:rPr>
        <w:footnoteReference w:id="63"/>
      </w:r>
      <w:r w:rsidRPr="000B1E38">
        <w:rPr>
          <w:rFonts w:ascii="Times New Roman" w:eastAsia="Times New Roman" w:hAnsi="Times New Roman" w:cs="Times New Roman"/>
          <w:sz w:val="24"/>
          <w:szCs w:val="24"/>
        </w:rPr>
        <w:t xml:space="preserve"> As a result of these different forms of targeted harassment, activists and journalists practice self-censorship to protect themselves from government reprisal.</w:t>
      </w:r>
      <w:r w:rsidR="00C36DA1" w:rsidRPr="000B1E38">
        <w:rPr>
          <w:rStyle w:val="FootnoteReference"/>
          <w:rFonts w:ascii="Times New Roman" w:eastAsia="Times New Roman" w:hAnsi="Times New Roman" w:cs="Times New Roman"/>
          <w:sz w:val="24"/>
          <w:szCs w:val="24"/>
        </w:rPr>
        <w:footnoteReference w:id="64"/>
      </w:r>
    </w:p>
    <w:p w14:paraId="7359D5D0" w14:textId="77777777" w:rsidR="00A026C6" w:rsidRPr="000B1E38" w:rsidRDefault="00A026C6" w:rsidP="00EC173E">
      <w:pPr>
        <w:spacing w:line="360" w:lineRule="auto"/>
        <w:rPr>
          <w:rFonts w:ascii="Times New Roman" w:hAnsi="Times New Roman" w:cs="Times New Roman"/>
          <w:sz w:val="24"/>
          <w:szCs w:val="24"/>
        </w:rPr>
      </w:pPr>
    </w:p>
    <w:sectPr w:rsidR="00A026C6" w:rsidRPr="000B1E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24BC9" w14:textId="77777777" w:rsidR="00070F35" w:rsidRDefault="00070F35" w:rsidP="00FE5E8C">
      <w:pPr>
        <w:spacing w:after="0" w:line="240" w:lineRule="auto"/>
      </w:pPr>
      <w:r>
        <w:separator/>
      </w:r>
    </w:p>
  </w:endnote>
  <w:endnote w:type="continuationSeparator" w:id="0">
    <w:p w14:paraId="4DA46443" w14:textId="77777777" w:rsidR="00070F35" w:rsidRDefault="00070F35" w:rsidP="00FE5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8FB8B2" w14:textId="77777777" w:rsidR="00070F35" w:rsidRDefault="00070F35" w:rsidP="00FE5E8C">
      <w:pPr>
        <w:spacing w:after="0" w:line="240" w:lineRule="auto"/>
      </w:pPr>
      <w:r>
        <w:separator/>
      </w:r>
    </w:p>
  </w:footnote>
  <w:footnote w:type="continuationSeparator" w:id="0">
    <w:p w14:paraId="0ED6D42F" w14:textId="77777777" w:rsidR="00070F35" w:rsidRDefault="00070F35" w:rsidP="00FE5E8C">
      <w:pPr>
        <w:spacing w:after="0" w:line="240" w:lineRule="auto"/>
      </w:pPr>
      <w:r>
        <w:continuationSeparator/>
      </w:r>
    </w:p>
  </w:footnote>
  <w:footnote w:id="1">
    <w:p w14:paraId="24BD64C3" w14:textId="0273B8A0" w:rsidR="00FE5E8C" w:rsidRPr="00C36DA1" w:rsidRDefault="00FE5E8C">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UN Treaty Collection,</w:t>
      </w:r>
      <w:r w:rsidRPr="00FE5E8C">
        <w:rPr>
          <w:rFonts w:ascii="Times New Roman" w:eastAsia="Times New Roman" w:hAnsi="Times New Roman" w:cs="Times New Roman"/>
          <w:color w:val="000000"/>
          <w:sz w:val="18"/>
          <w:szCs w:val="18"/>
          <w:u w:val="single"/>
        </w:rPr>
        <w:t xml:space="preserve"> </w:t>
      </w:r>
      <w:r w:rsidRPr="00FE5E8C">
        <w:rPr>
          <w:rFonts w:ascii="Times New Roman" w:eastAsia="Times New Roman" w:hAnsi="Times New Roman" w:cs="Times New Roman"/>
          <w:color w:val="1155CC"/>
          <w:sz w:val="18"/>
          <w:szCs w:val="18"/>
          <w:u w:val="single"/>
        </w:rPr>
        <w:t>https://treaties.un.org/pages/ViewDetails.aspx?src=IND&amp;mtdsg_no=IV-4&amp;chapter=4&amp;clang=_en</w:t>
      </w:r>
    </w:p>
  </w:footnote>
  <w:footnote w:id="2">
    <w:p w14:paraId="48119C24" w14:textId="0D2B92DF" w:rsidR="00FE5E8C" w:rsidRPr="00C36DA1" w:rsidRDefault="00FE5E8C">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UN Treaty Collection,</w:t>
      </w:r>
      <w:r w:rsidRPr="00FE5E8C">
        <w:rPr>
          <w:rFonts w:ascii="Times New Roman" w:eastAsia="Times New Roman" w:hAnsi="Times New Roman" w:cs="Times New Roman"/>
          <w:color w:val="000000"/>
          <w:sz w:val="18"/>
          <w:szCs w:val="18"/>
          <w:u w:val="single"/>
        </w:rPr>
        <w:t xml:space="preserve"> </w:t>
      </w:r>
      <w:r w:rsidRPr="00FE5E8C">
        <w:rPr>
          <w:rFonts w:ascii="Times New Roman" w:eastAsia="Times New Roman" w:hAnsi="Times New Roman" w:cs="Times New Roman"/>
          <w:color w:val="1155CC"/>
          <w:sz w:val="18"/>
          <w:szCs w:val="18"/>
          <w:u w:val="single"/>
        </w:rPr>
        <w:t>https://treaties.un.org/pages/ViewDetails.aspx?src=IND&amp;mtdsg_no=IV-12&amp;chapter=4&amp;clang=_en</w:t>
      </w:r>
    </w:p>
  </w:footnote>
  <w:footnote w:id="3">
    <w:p w14:paraId="18BD32D1" w14:textId="460BB5C9" w:rsidR="00EA4043" w:rsidRPr="00FE5E8C" w:rsidRDefault="00FE5E8C" w:rsidP="00EA4043">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00EA4043" w:rsidRPr="00FE5E8C">
        <w:rPr>
          <w:rFonts w:ascii="Times New Roman" w:eastAsia="Times New Roman" w:hAnsi="Times New Roman" w:cs="Times New Roman"/>
          <w:color w:val="000000"/>
          <w:sz w:val="18"/>
          <w:szCs w:val="18"/>
        </w:rPr>
        <w:t>Bahrain’s Third Cycle UPR a record of repression. (n.d.). [online] Available at:</w:t>
      </w:r>
      <w:r w:rsidR="00EA4043" w:rsidRPr="00FE5E8C">
        <w:rPr>
          <w:rFonts w:ascii="Times New Roman" w:eastAsia="Times New Roman" w:hAnsi="Times New Roman" w:cs="Times New Roman"/>
          <w:color w:val="000000"/>
          <w:sz w:val="18"/>
          <w:szCs w:val="18"/>
          <w:u w:val="single"/>
        </w:rPr>
        <w:t xml:space="preserve"> </w:t>
      </w:r>
      <w:r w:rsidR="00EA4043" w:rsidRPr="00FE5E8C">
        <w:rPr>
          <w:rFonts w:ascii="Times New Roman" w:eastAsia="Times New Roman" w:hAnsi="Times New Roman" w:cs="Times New Roman"/>
          <w:color w:val="1155CC"/>
          <w:sz w:val="18"/>
          <w:szCs w:val="18"/>
          <w:u w:val="single"/>
        </w:rPr>
        <w:t>2017.2.28_Web-Version_ADHRB_BCHR_BIRD_Bahrain-3rd-Cycle-UPR-Assessment.pdf (usercontent.one)</w:t>
      </w:r>
    </w:p>
    <w:p w14:paraId="1646D509" w14:textId="2D532FDA" w:rsidR="00FE5E8C" w:rsidRPr="00C36DA1" w:rsidRDefault="00FE5E8C">
      <w:pPr>
        <w:pStyle w:val="FootnoteText"/>
        <w:rPr>
          <w:rFonts w:ascii="Times New Roman" w:hAnsi="Times New Roman" w:cs="Times New Roman"/>
          <w:sz w:val="18"/>
          <w:szCs w:val="18"/>
        </w:rPr>
      </w:pPr>
    </w:p>
  </w:footnote>
  <w:footnote w:id="4">
    <w:p w14:paraId="49C22A6F" w14:textId="26F15B08" w:rsidR="00EA4043" w:rsidRPr="00C36DA1" w:rsidRDefault="00EA404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Ibid.</w:t>
      </w:r>
    </w:p>
  </w:footnote>
  <w:footnote w:id="5">
    <w:p w14:paraId="300D8474" w14:textId="6A329C03" w:rsidR="00EA4043" w:rsidRPr="00C36DA1" w:rsidRDefault="00EA404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Bahrain’s Compliance with the International Covenant on Civil and Political Rights. (n.d.). [online] Available at: https://tbinternet.ohchr.org/Treaties/CCPR/Shared%20Documents/BHR/INT_CCPR_CSS_BHR_31381_E.pdf</w:t>
      </w:r>
    </w:p>
  </w:footnote>
  <w:footnote w:id="6">
    <w:p w14:paraId="0A1CD0CA" w14:textId="3D328478" w:rsidR="00EA4043" w:rsidRPr="00C36DA1" w:rsidRDefault="00EA4043" w:rsidP="00EA4043">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ADHRB, “Bahrain Military Court Death Sentences Ratified but Reduced to Life Imprisonment”, 2018, https://www.adhrb.org/2018/04/bahrain-military-court-death-sentences-ratified-but-reduced-to-life-imprisonment-2018/</w:t>
      </w:r>
    </w:p>
  </w:footnote>
  <w:footnote w:id="7">
    <w:p w14:paraId="75CE2F98" w14:textId="5EB734C2" w:rsidR="00EA4043" w:rsidRPr="00C36DA1" w:rsidRDefault="00EA404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Ibid. </w:t>
      </w:r>
    </w:p>
  </w:footnote>
  <w:footnote w:id="8">
    <w:p w14:paraId="61374B9A" w14:textId="29EFF4A2" w:rsidR="00EA4043" w:rsidRPr="00C36DA1" w:rsidRDefault="00EA4043" w:rsidP="00EA4043">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ADHRB, “Seven Years After the 2011 Uprising, Bahrain’s Military Courts Confirm Death Sentences for Civilians”, 2018, https://www.adhrb.org/2018/02/seven-years-after-the-2011-uprising-bahrains-military-courts-confirm-death-sentences-for-civilians/</w:t>
      </w:r>
    </w:p>
  </w:footnote>
  <w:footnote w:id="9">
    <w:p w14:paraId="5E758F85" w14:textId="6085D9F0" w:rsidR="00EA4043" w:rsidRPr="00C36DA1" w:rsidRDefault="00EA404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10">
    <w:p w14:paraId="4A334532" w14:textId="228042FC" w:rsidR="00EA4043" w:rsidRPr="00C36DA1" w:rsidRDefault="00EA404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11">
    <w:p w14:paraId="157F2454" w14:textId="0060DD02" w:rsidR="007B7883" w:rsidRPr="00C36DA1" w:rsidRDefault="007B7883" w:rsidP="007B7883">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From Uprising to Executions: The death penalty in Bahrain, ten years on from the Arab Spring. (2021). [online] Available at https://birdbh.org/wp-content/uploads/2021/07/Reprieve_BahrainDeathPenalty_23.07.2021_.pdf</w:t>
      </w:r>
    </w:p>
  </w:footnote>
  <w:footnote w:id="12">
    <w:p w14:paraId="71F22002" w14:textId="68B355B6" w:rsidR="007B7883" w:rsidRPr="00C36DA1" w:rsidRDefault="007B788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13">
    <w:p w14:paraId="750B047E" w14:textId="240C3F5E" w:rsidR="007B7883" w:rsidRPr="00C36DA1" w:rsidRDefault="007B788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14">
    <w:p w14:paraId="2C5E25B5" w14:textId="09607F1D" w:rsidR="007B7883" w:rsidRPr="00C36DA1" w:rsidRDefault="007B7883" w:rsidP="007B7883">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UN Treaty Collection,</w:t>
      </w:r>
      <w:r w:rsidRPr="00FE5E8C">
        <w:rPr>
          <w:rFonts w:ascii="Times New Roman" w:eastAsia="Times New Roman" w:hAnsi="Times New Roman" w:cs="Times New Roman"/>
          <w:color w:val="000000"/>
          <w:sz w:val="18"/>
          <w:szCs w:val="18"/>
          <w:u w:val="single"/>
        </w:rPr>
        <w:t xml:space="preserve"> </w:t>
      </w:r>
      <w:r w:rsidRPr="00FE5E8C">
        <w:rPr>
          <w:rFonts w:ascii="Times New Roman" w:eastAsia="Times New Roman" w:hAnsi="Times New Roman" w:cs="Times New Roman"/>
          <w:color w:val="1155CC"/>
          <w:sz w:val="18"/>
          <w:szCs w:val="18"/>
          <w:u w:val="single"/>
        </w:rPr>
        <w:t>https://treaties.un.org/pages/ViewDetails.aspx?src=IND&amp;mtdsg_no=IV-12&amp;chapter=4&amp;clang=_en</w:t>
      </w:r>
    </w:p>
  </w:footnote>
  <w:footnote w:id="15">
    <w:p w14:paraId="36D92F98" w14:textId="4F37B988" w:rsidR="007B7883" w:rsidRPr="00C36DA1" w:rsidRDefault="007B788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From Uprising to Executions: The death penalty in Bahrain, ten years on from the Arab Spring. (2021). [online] Available at https://birdbh.org/wp-content/uploads/2021/07/Reprieve_BahrainDeathPenalty_23.07.2021_.pdf</w:t>
      </w:r>
    </w:p>
  </w:footnote>
  <w:footnote w:id="16">
    <w:p w14:paraId="236DA186" w14:textId="55049371" w:rsidR="007B7883" w:rsidRPr="00C36DA1" w:rsidRDefault="007B788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17">
    <w:p w14:paraId="41C97866" w14:textId="6C48E486" w:rsidR="007B7883" w:rsidRPr="00C36DA1" w:rsidRDefault="007B788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18">
    <w:p w14:paraId="02F621C9" w14:textId="2827BDB0" w:rsidR="007B7883" w:rsidRPr="00C36DA1" w:rsidRDefault="007B788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19">
    <w:p w14:paraId="23FA2F3E" w14:textId="06F4F819" w:rsidR="007B7883" w:rsidRPr="00C36DA1" w:rsidRDefault="007B788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20">
    <w:p w14:paraId="05D3B0E3" w14:textId="518DEBD9" w:rsidR="007B7883" w:rsidRPr="00C36DA1" w:rsidRDefault="007B7883">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21">
    <w:p w14:paraId="088D9C01" w14:textId="3EC07DB7" w:rsidR="00295BAC" w:rsidRPr="00C36DA1" w:rsidRDefault="00295BAC">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22">
    <w:p w14:paraId="4DBDD60D" w14:textId="7EC14B30" w:rsidR="00295BAC" w:rsidRPr="00C36DA1" w:rsidRDefault="00295BAC">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23">
    <w:p w14:paraId="49D83122" w14:textId="261ADAE9" w:rsidR="00A613D5" w:rsidRPr="00FE5E8C" w:rsidRDefault="00A613D5" w:rsidP="00A613D5">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ADHRB, “HRC43 Written Statement: Bahrain’s Death Penalty”, 2020, https://www.adhrb.org/2020/02/hrc43-written-statement-bahrains-death-penalty/</w:t>
      </w:r>
    </w:p>
    <w:p w14:paraId="418C5790" w14:textId="05E1C6B0" w:rsidR="00A613D5" w:rsidRPr="00C36DA1" w:rsidRDefault="00A613D5">
      <w:pPr>
        <w:pStyle w:val="FootnoteText"/>
        <w:rPr>
          <w:rFonts w:ascii="Times New Roman" w:hAnsi="Times New Roman" w:cs="Times New Roman"/>
          <w:sz w:val="18"/>
          <w:szCs w:val="18"/>
        </w:rPr>
      </w:pPr>
    </w:p>
  </w:footnote>
  <w:footnote w:id="24">
    <w:p w14:paraId="09D66678" w14:textId="2EB02EE9" w:rsidR="00A613D5" w:rsidRPr="00C36DA1" w:rsidRDefault="00A613D5">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25">
    <w:p w14:paraId="140DBA5F" w14:textId="3104690D" w:rsidR="00A613D5" w:rsidRPr="00C36DA1" w:rsidRDefault="00A613D5">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007B588D" w:rsidRPr="00C36DA1">
        <w:rPr>
          <w:rFonts w:ascii="Times New Roman" w:hAnsi="Times New Roman" w:cs="Times New Roman"/>
          <w:sz w:val="18"/>
          <w:szCs w:val="18"/>
        </w:rPr>
        <w:t>Ibid.</w:t>
      </w:r>
    </w:p>
  </w:footnote>
  <w:footnote w:id="26">
    <w:p w14:paraId="7AE06C9E" w14:textId="5E904768" w:rsidR="00A613D5" w:rsidRPr="00C36DA1" w:rsidRDefault="00A613D5">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007B588D" w:rsidRPr="00C36DA1">
        <w:rPr>
          <w:rFonts w:ascii="Times New Roman" w:hAnsi="Times New Roman" w:cs="Times New Roman"/>
          <w:sz w:val="18"/>
          <w:szCs w:val="18"/>
        </w:rPr>
        <w:t>Ibid.</w:t>
      </w:r>
    </w:p>
  </w:footnote>
  <w:footnote w:id="27">
    <w:p w14:paraId="1B0890E8" w14:textId="3EF43DED" w:rsidR="003A77BD" w:rsidRPr="00C36DA1" w:rsidRDefault="003A77B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UN Special Communication, 2018, https://spcommreports.ohchr.org/TMResultsBase/DownLoadPublicCommunicationFile?gId=24236 </w:t>
      </w:r>
    </w:p>
  </w:footnote>
  <w:footnote w:id="28">
    <w:p w14:paraId="19177CFB" w14:textId="1EADF8A6" w:rsidR="003A77BD" w:rsidRPr="00C36DA1" w:rsidRDefault="003A77B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 xml:space="preserve">ADHRB, “Updated: Bahrain and the Death Penalty”, 2018, </w:t>
      </w:r>
      <w:hyperlink r:id="rId1" w:history="1">
        <w:r w:rsidRPr="00FE5E8C">
          <w:rPr>
            <w:rFonts w:ascii="Times New Roman" w:eastAsia="Times New Roman" w:hAnsi="Times New Roman" w:cs="Times New Roman"/>
            <w:color w:val="1155CC"/>
            <w:sz w:val="18"/>
            <w:szCs w:val="18"/>
            <w:u w:val="single"/>
          </w:rPr>
          <w:t>https://www.adhrb.org/2019/04/bahrain-and-the-death-penalty/</w:t>
        </w:r>
      </w:hyperlink>
    </w:p>
  </w:footnote>
  <w:footnote w:id="29">
    <w:p w14:paraId="498A0B35" w14:textId="77777777" w:rsidR="003A77BD" w:rsidRPr="00C36DA1" w:rsidRDefault="003A77BD" w:rsidP="003A77B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UN Special Communication, 2018, https://spcommreports.ohchr.org/TMResultsBase/DownLoadPublicCommunicationFile?gId=24236 </w:t>
      </w:r>
    </w:p>
    <w:p w14:paraId="5DB375B3" w14:textId="4FDCD914" w:rsidR="003A77BD" w:rsidRPr="00C36DA1" w:rsidRDefault="003A77BD">
      <w:pPr>
        <w:pStyle w:val="FootnoteText"/>
        <w:rPr>
          <w:rFonts w:ascii="Times New Roman" w:hAnsi="Times New Roman" w:cs="Times New Roman"/>
          <w:sz w:val="18"/>
          <w:szCs w:val="18"/>
        </w:rPr>
      </w:pPr>
    </w:p>
  </w:footnote>
  <w:footnote w:id="30">
    <w:p w14:paraId="11A94213" w14:textId="652FB3AD" w:rsidR="003A77BD" w:rsidRPr="00C36DA1" w:rsidRDefault="003A77B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31">
    <w:p w14:paraId="4A8DE8A3" w14:textId="082D21C9" w:rsidR="003A77BD" w:rsidRPr="00C36DA1" w:rsidRDefault="003A77B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32">
    <w:p w14:paraId="49E3E247" w14:textId="512B0B67" w:rsidR="003A77BD" w:rsidRPr="00C36DA1" w:rsidRDefault="003A77B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33">
    <w:p w14:paraId="6595F0D5" w14:textId="5BDFFD55" w:rsidR="003A77BD" w:rsidRPr="00C36DA1" w:rsidRDefault="003A77B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00036EFA" w:rsidRPr="00FE5E8C">
        <w:rPr>
          <w:rFonts w:ascii="Times New Roman" w:eastAsia="Times New Roman" w:hAnsi="Times New Roman" w:cs="Times New Roman"/>
          <w:color w:val="000000"/>
          <w:sz w:val="18"/>
          <w:szCs w:val="18"/>
        </w:rPr>
        <w:t>ADHRB, “HRC43 Written Statement: Bahrain’s Death Penalty”, 2020, https://www.adhrb.org/2020/02/hrc43-written-statement-bahrains-death-penalty</w:t>
      </w:r>
    </w:p>
  </w:footnote>
  <w:footnote w:id="34">
    <w:p w14:paraId="49B343AA" w14:textId="6DE76D5A" w:rsidR="00334D9A" w:rsidRPr="00FE5E8C" w:rsidRDefault="00334D9A" w:rsidP="00334D9A">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Amnesty International, 2019, Bahrain: General stifling of freedom of expression on social media, https://www.amnesty.org/en/documents/mde11/1564/2019/en/</w:t>
      </w:r>
    </w:p>
    <w:p w14:paraId="36B20BAE" w14:textId="7D379E61" w:rsidR="00334D9A" w:rsidRPr="00C36DA1" w:rsidRDefault="00334D9A">
      <w:pPr>
        <w:pStyle w:val="FootnoteText"/>
        <w:rPr>
          <w:rFonts w:ascii="Times New Roman" w:hAnsi="Times New Roman" w:cs="Times New Roman"/>
          <w:sz w:val="18"/>
          <w:szCs w:val="18"/>
        </w:rPr>
      </w:pPr>
    </w:p>
  </w:footnote>
  <w:footnote w:id="35">
    <w:p w14:paraId="6FF7D821" w14:textId="4299F027" w:rsidR="00334D9A" w:rsidRPr="00C36DA1" w:rsidRDefault="00334D9A">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ADHRB, 2021, Bahrain’s Repression of Online Dissent an Egregious Violation of Freedom of Expression, https://www.adhrb.org/2021/10/bahrains-repression-of-online-dissent-an-egregious-violation-of-freedom-of-expression/</w:t>
      </w:r>
    </w:p>
  </w:footnote>
  <w:footnote w:id="36">
    <w:p w14:paraId="4BD00FC3" w14:textId="6656A15C" w:rsidR="001F0BF6" w:rsidRPr="00C36DA1" w:rsidRDefault="001F0BF6">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 xml:space="preserve">Bfhr.org. 2020. </w:t>
      </w:r>
      <w:r w:rsidRPr="00FE5E8C">
        <w:rPr>
          <w:rFonts w:ascii="Times New Roman" w:eastAsia="Times New Roman" w:hAnsi="Times New Roman" w:cs="Times New Roman"/>
          <w:i/>
          <w:iCs/>
          <w:color w:val="000000"/>
          <w:sz w:val="18"/>
          <w:szCs w:val="18"/>
        </w:rPr>
        <w:t>Mid-term Universal Periodic Review (UPR) Assessment Report</w:t>
      </w:r>
      <w:r w:rsidRPr="00FE5E8C">
        <w:rPr>
          <w:rFonts w:ascii="Times New Roman" w:eastAsia="Times New Roman" w:hAnsi="Times New Roman" w:cs="Times New Roman"/>
          <w:color w:val="000000"/>
          <w:sz w:val="18"/>
          <w:szCs w:val="18"/>
        </w:rPr>
        <w:t>. [online] Available at: &lt;https://www.bfhr.org/english/uploaded/files/Midterm%20UPR%20-%20bahrain.pdf&gt; [Accessed 2 July 2021].</w:t>
      </w:r>
    </w:p>
  </w:footnote>
  <w:footnote w:id="37">
    <w:p w14:paraId="7B56DCC9" w14:textId="04553A9B" w:rsidR="001F0BF6" w:rsidRPr="00C36DA1" w:rsidRDefault="001F0BF6">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Human Rights Watch, Universal Periodic Review Submission on Bahrain Fourth Cycle of the Universal Periodic Review, 41st Session, 2022, https://www.hrw.org/news/2022/04/05/universal-periodic-review-submission-bahrain</w:t>
      </w:r>
    </w:p>
  </w:footnote>
  <w:footnote w:id="38">
    <w:p w14:paraId="5B8B52BB" w14:textId="2CE6E3F8" w:rsidR="001D734D" w:rsidRPr="00C36DA1" w:rsidRDefault="001D734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39">
    <w:p w14:paraId="56AA40CC" w14:textId="073E4B27" w:rsidR="001F0BF6" w:rsidRPr="00C36DA1" w:rsidRDefault="001F0BF6">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001D734D" w:rsidRPr="00FE5E8C">
        <w:rPr>
          <w:rFonts w:ascii="Times New Roman" w:eastAsia="Times New Roman" w:hAnsi="Times New Roman" w:cs="Times New Roman"/>
          <w:color w:val="000000"/>
          <w:sz w:val="18"/>
          <w:szCs w:val="18"/>
        </w:rPr>
        <w:t xml:space="preserve">Bfhr.org. 2020. </w:t>
      </w:r>
      <w:r w:rsidR="001D734D" w:rsidRPr="00FE5E8C">
        <w:rPr>
          <w:rFonts w:ascii="Times New Roman" w:eastAsia="Times New Roman" w:hAnsi="Times New Roman" w:cs="Times New Roman"/>
          <w:i/>
          <w:iCs/>
          <w:color w:val="000000"/>
          <w:sz w:val="18"/>
          <w:szCs w:val="18"/>
        </w:rPr>
        <w:t>Mid-term Universal Periodic Review (UPR) Assessment Report</w:t>
      </w:r>
      <w:r w:rsidR="001D734D" w:rsidRPr="00FE5E8C">
        <w:rPr>
          <w:rFonts w:ascii="Times New Roman" w:eastAsia="Times New Roman" w:hAnsi="Times New Roman" w:cs="Times New Roman"/>
          <w:color w:val="000000"/>
          <w:sz w:val="18"/>
          <w:szCs w:val="18"/>
        </w:rPr>
        <w:t>. [online] Available at: &lt;https://www.bfhr.org/english/uploaded/files/Midterm%20UPR%20-%20bahrain.pdf&gt; [Accessed 2 July 2021].</w:t>
      </w:r>
    </w:p>
  </w:footnote>
  <w:footnote w:id="40">
    <w:p w14:paraId="7BA48064" w14:textId="5394E28D" w:rsidR="001D734D" w:rsidRPr="00C36DA1" w:rsidRDefault="001D734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Human Rights Watch, Universal Periodic Review Submission on Bahrain Fourth Cycle of the Universal Periodic Review, 41st Session, 2022, https://www.hrw.org/news/2022/04/05/universal-periodic-review-submission-bahrain</w:t>
      </w:r>
    </w:p>
  </w:footnote>
  <w:footnote w:id="41">
    <w:p w14:paraId="005348C7" w14:textId="26DF068A" w:rsidR="00ED3F5D" w:rsidRPr="00C36DA1" w:rsidRDefault="00ED3F5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42">
    <w:p w14:paraId="4D73F122" w14:textId="2F4A4B57" w:rsidR="00357D91" w:rsidRPr="00C36DA1" w:rsidRDefault="00357D91">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Front Line Defenders. n.d. Case History: Nazeeha Saeed. [online] Available at: &lt;https://www.frontlinedefenders.org/en/case/case-history-nazeeha-saeed&gt; [Accessed 1 July 2021].</w:t>
      </w:r>
    </w:p>
  </w:footnote>
  <w:footnote w:id="43">
    <w:p w14:paraId="4B9626D7" w14:textId="77777777" w:rsidR="00357D91" w:rsidRPr="00FE5E8C" w:rsidRDefault="00357D91" w:rsidP="00357D91">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 xml:space="preserve">Americans for Democracy &amp; Human Rights in Bahrain. 2019. </w:t>
      </w:r>
      <w:r w:rsidRPr="00FE5E8C">
        <w:rPr>
          <w:rFonts w:ascii="Times New Roman" w:eastAsia="Times New Roman" w:hAnsi="Times New Roman" w:cs="Times New Roman"/>
          <w:i/>
          <w:iCs/>
          <w:color w:val="000000"/>
          <w:sz w:val="18"/>
          <w:szCs w:val="18"/>
        </w:rPr>
        <w:t>HRC42 Written Statement: ADHRB unequivocally condemns the attack on Photojournalist by Bahraini Embassy in London | Americans for Democracy &amp; Human Rights in Bahrain</w:t>
      </w:r>
      <w:r w:rsidRPr="00FE5E8C">
        <w:rPr>
          <w:rFonts w:ascii="Times New Roman" w:eastAsia="Times New Roman" w:hAnsi="Times New Roman" w:cs="Times New Roman"/>
          <w:color w:val="000000"/>
          <w:sz w:val="18"/>
          <w:szCs w:val="18"/>
        </w:rPr>
        <w:t>. [online] Available at: &lt;https://www.adhrb.org/2019/09/hrc42-written-statement-adhrb-unequivocally-condemns-the-attack-on-photojournalist-by-bahraini-embassy-in-london/&gt; [Accessed 1 July 2021].</w:t>
      </w:r>
    </w:p>
    <w:p w14:paraId="2B8FA45A" w14:textId="5A5CDFA5" w:rsidR="00357D91" w:rsidRPr="00C36DA1" w:rsidRDefault="00357D91">
      <w:pPr>
        <w:pStyle w:val="FootnoteText"/>
        <w:rPr>
          <w:rFonts w:ascii="Times New Roman" w:hAnsi="Times New Roman" w:cs="Times New Roman"/>
          <w:sz w:val="18"/>
          <w:szCs w:val="18"/>
        </w:rPr>
      </w:pPr>
    </w:p>
  </w:footnote>
  <w:footnote w:id="44">
    <w:p w14:paraId="300A23BE" w14:textId="358776A7" w:rsidR="00ED3F5D" w:rsidRPr="00C36DA1" w:rsidRDefault="00ED3F5D">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Aljazeera.com. 2017. Bahrain newspaper, shut down by government, fires staff. [online] Available at: &lt;https://www.aljazeera.com/news/2017/6/25/al-wasat-newspaper-shut-down-by-bahrain-fires-staff&gt; [Accessed 1 July 2021]</w:t>
      </w:r>
    </w:p>
  </w:footnote>
  <w:footnote w:id="45">
    <w:p w14:paraId="7C523548" w14:textId="57276FE2" w:rsidR="00FA3697" w:rsidRPr="00C36DA1" w:rsidRDefault="00FA3697">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 note 2</w:t>
      </w:r>
    </w:p>
  </w:footnote>
  <w:footnote w:id="46">
    <w:p w14:paraId="0195EC16" w14:textId="2079776A" w:rsidR="00FA3697" w:rsidRPr="00C36DA1" w:rsidRDefault="00FA3697" w:rsidP="009646D7">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 xml:space="preserve">Ecoi.net. 2020. </w:t>
      </w:r>
      <w:r w:rsidRPr="00FE5E8C">
        <w:rPr>
          <w:rFonts w:ascii="Times New Roman" w:eastAsia="Times New Roman" w:hAnsi="Times New Roman" w:cs="Times New Roman"/>
          <w:i/>
          <w:iCs/>
          <w:color w:val="000000"/>
          <w:sz w:val="18"/>
          <w:szCs w:val="18"/>
        </w:rPr>
        <w:t>Freedom House: “Freedom on the Net 2020 - Bahrain”, Document #2039053 - ecoi.net</w:t>
      </w:r>
      <w:r w:rsidRPr="00FE5E8C">
        <w:rPr>
          <w:rFonts w:ascii="Times New Roman" w:eastAsia="Times New Roman" w:hAnsi="Times New Roman" w:cs="Times New Roman"/>
          <w:color w:val="000000"/>
          <w:sz w:val="18"/>
          <w:szCs w:val="18"/>
        </w:rPr>
        <w:t>. [online] Available at: &lt;https://www.ecoi.net/en/document/2039053.html&gt; [Accessed 1 July 2021].</w:t>
      </w:r>
    </w:p>
  </w:footnote>
  <w:footnote w:id="47">
    <w:p w14:paraId="6860C8AE" w14:textId="49A6D47A" w:rsidR="00FA3697" w:rsidRPr="00C36DA1" w:rsidRDefault="00FA3697">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48">
    <w:p w14:paraId="6D96A9EE" w14:textId="257C87BD" w:rsidR="00FA3697" w:rsidRPr="00C36DA1" w:rsidRDefault="00FA3697">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49">
    <w:p w14:paraId="1DB6F7D7" w14:textId="6E202BE0" w:rsidR="00FA3697" w:rsidRPr="00C36DA1" w:rsidRDefault="00FA3697">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 note 10</w:t>
      </w:r>
    </w:p>
  </w:footnote>
  <w:footnote w:id="50">
    <w:p w14:paraId="5DF680E7" w14:textId="77C94577" w:rsidR="00FA3697" w:rsidRPr="00C36DA1" w:rsidRDefault="00FA3697">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51">
    <w:p w14:paraId="20C27853" w14:textId="3D1D4ED7" w:rsidR="009646D7" w:rsidRPr="00C36DA1" w:rsidRDefault="009646D7" w:rsidP="009646D7">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 xml:space="preserve">Front Line Defenders. n.d. </w:t>
      </w:r>
      <w:r w:rsidRPr="00FE5E8C">
        <w:rPr>
          <w:rFonts w:ascii="Times New Roman" w:eastAsia="Times New Roman" w:hAnsi="Times New Roman" w:cs="Times New Roman"/>
          <w:i/>
          <w:iCs/>
          <w:color w:val="000000"/>
          <w:sz w:val="18"/>
          <w:szCs w:val="18"/>
        </w:rPr>
        <w:t>Nabeel Rajab Re-Arrested Despite Court Order to Temporarily Release Him</w:t>
      </w:r>
      <w:r w:rsidRPr="00FE5E8C">
        <w:rPr>
          <w:rFonts w:ascii="Times New Roman" w:eastAsia="Times New Roman" w:hAnsi="Times New Roman" w:cs="Times New Roman"/>
          <w:color w:val="000000"/>
          <w:sz w:val="18"/>
          <w:szCs w:val="18"/>
        </w:rPr>
        <w:t>. [online] Available at: &lt;https://www.frontlinedefenders.org/en/case/case-history-nabeel-rajab&gt; [Accessed 1 July 2021].</w:t>
      </w:r>
    </w:p>
  </w:footnote>
  <w:footnote w:id="52">
    <w:p w14:paraId="2902F8AD" w14:textId="03DDE82D" w:rsidR="009646D7" w:rsidRPr="00C36DA1" w:rsidRDefault="009646D7">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Gulf Center for Human Rights, 2020, Bahrain: Nabeel Rajab freed from prison to serve rest of sentence at home, https://www.gc4hr.org/news/view/2410</w:t>
      </w:r>
    </w:p>
  </w:footnote>
  <w:footnote w:id="53">
    <w:p w14:paraId="36C08E65" w14:textId="31690BE1" w:rsidR="009646D7" w:rsidRPr="00C36DA1" w:rsidRDefault="009646D7" w:rsidP="009646D7">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vertAlign w:val="superscript"/>
        </w:rPr>
        <w:t>]</w:t>
      </w:r>
      <w:r w:rsidRPr="00FE5E8C">
        <w:rPr>
          <w:rFonts w:ascii="Times New Roman" w:eastAsia="Times New Roman" w:hAnsi="Times New Roman" w:cs="Times New Roman"/>
          <w:color w:val="000000"/>
          <w:sz w:val="18"/>
          <w:szCs w:val="18"/>
        </w:rPr>
        <w:t xml:space="preserve"> Americans for Democracy &amp; Human Rights in Bahrain. 2021. Bahrain: “Social Media Misuse” and Suppression of Dissent Violate ICCPR | </w:t>
      </w:r>
      <w:r w:rsidRPr="00FE5E8C">
        <w:rPr>
          <w:rFonts w:ascii="Times New Roman" w:eastAsia="Times New Roman" w:hAnsi="Times New Roman" w:cs="Times New Roman"/>
          <w:i/>
          <w:iCs/>
          <w:color w:val="000000"/>
          <w:sz w:val="18"/>
          <w:szCs w:val="18"/>
        </w:rPr>
        <w:t>Americans for Democracy &amp; Human Rights in Bahrain</w:t>
      </w:r>
      <w:r w:rsidRPr="00FE5E8C">
        <w:rPr>
          <w:rFonts w:ascii="Times New Roman" w:eastAsia="Times New Roman" w:hAnsi="Times New Roman" w:cs="Times New Roman"/>
          <w:color w:val="000000"/>
          <w:sz w:val="18"/>
          <w:szCs w:val="18"/>
        </w:rPr>
        <w:t>. [online] Available at: &lt;https://www.adhrb.org/2021/02/bahrain-social-media-misuse-and-suppression-of-dissent-violate-iccpr/&gt; [Accessed 2 July 2021].</w:t>
      </w:r>
    </w:p>
  </w:footnote>
  <w:footnote w:id="54">
    <w:p w14:paraId="50E5804D" w14:textId="1B48B399" w:rsidR="009646D7" w:rsidRPr="00C36DA1" w:rsidRDefault="009646D7">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55">
    <w:p w14:paraId="0691806C" w14:textId="3DC678D6" w:rsidR="009646D7" w:rsidRPr="00C36DA1" w:rsidRDefault="009646D7">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56">
    <w:p w14:paraId="7D986B1E" w14:textId="6AE4C0B1" w:rsidR="008E1F86" w:rsidRPr="00FE5E8C" w:rsidRDefault="009646D7" w:rsidP="008E1F86">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008E1F86" w:rsidRPr="00C36DA1">
        <w:rPr>
          <w:rFonts w:ascii="Times New Roman" w:hAnsi="Times New Roman" w:cs="Times New Roman"/>
          <w:sz w:val="18"/>
          <w:szCs w:val="18"/>
        </w:rPr>
        <w:t xml:space="preserve"> </w:t>
      </w:r>
      <w:r w:rsidR="008E1F86" w:rsidRPr="00FE5E8C">
        <w:rPr>
          <w:rFonts w:ascii="Times New Roman" w:eastAsia="Times New Roman" w:hAnsi="Times New Roman" w:cs="Times New Roman"/>
          <w:color w:val="000000"/>
          <w:sz w:val="18"/>
          <w:szCs w:val="18"/>
        </w:rPr>
        <w:t>Amnesty International, 2019, Bahrain: General stifling of freedom of expression on social media, https://www.amnesty.org/en/documents/mde11/1564/2019/en/</w:t>
      </w:r>
    </w:p>
    <w:p w14:paraId="0CB48728" w14:textId="5B525A21" w:rsidR="009646D7" w:rsidRPr="00C36DA1" w:rsidRDefault="009646D7">
      <w:pPr>
        <w:pStyle w:val="FootnoteText"/>
        <w:rPr>
          <w:rFonts w:ascii="Times New Roman" w:hAnsi="Times New Roman" w:cs="Times New Roman"/>
          <w:sz w:val="18"/>
          <w:szCs w:val="18"/>
        </w:rPr>
      </w:pPr>
    </w:p>
  </w:footnote>
  <w:footnote w:id="57">
    <w:p w14:paraId="129A36AB" w14:textId="3760C965" w:rsidR="008E1F86" w:rsidRPr="00C36DA1" w:rsidRDefault="008E1F86">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58">
    <w:p w14:paraId="14FF020C" w14:textId="3E12E3A0" w:rsidR="008E1F86" w:rsidRPr="00C36DA1" w:rsidRDefault="008E1F86" w:rsidP="008E1F86">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ADHRB, 2021, Bahrain’s Repression of Online Dissent an Egregious Violation of Freedom of Expression, https://www.adhrb.org/2021/10/bahrains-repression-of-online-dissent-an-egregious-violation-of-freedom-of-expression/</w:t>
      </w:r>
    </w:p>
  </w:footnote>
  <w:footnote w:id="59">
    <w:p w14:paraId="67DE280A" w14:textId="2199E05B" w:rsidR="008E1F86" w:rsidRPr="00C36DA1" w:rsidRDefault="008E1F86" w:rsidP="00380DA2">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Pr="00FE5E8C">
        <w:rPr>
          <w:rFonts w:ascii="Times New Roman" w:eastAsia="Times New Roman" w:hAnsi="Times New Roman" w:cs="Times New Roman"/>
          <w:color w:val="000000"/>
          <w:sz w:val="18"/>
          <w:szCs w:val="18"/>
        </w:rPr>
        <w:t>Americans for Democracy &amp; Human Rights in Bahrain (ADHRB), 2019. Mid-Term Assessment of the Universal Periodic Review - Bahrain.</w:t>
      </w:r>
    </w:p>
  </w:footnote>
  <w:footnote w:id="60">
    <w:p w14:paraId="7A49C168" w14:textId="303D4C2E" w:rsidR="008E1F86" w:rsidRPr="00C36DA1" w:rsidRDefault="008E1F86" w:rsidP="00380DA2">
      <w:pPr>
        <w:shd w:val="clear" w:color="auto" w:fill="FFFFFF"/>
        <w:spacing w:after="0" w:line="240" w:lineRule="auto"/>
        <w:jc w:val="both"/>
        <w:rPr>
          <w:rFonts w:ascii="Times New Roman" w:eastAsia="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w:t>
      </w:r>
      <w:r w:rsidR="00380DA2" w:rsidRPr="00FE5E8C">
        <w:rPr>
          <w:rFonts w:ascii="Times New Roman" w:eastAsia="Times New Roman" w:hAnsi="Times New Roman" w:cs="Times New Roman"/>
          <w:color w:val="000000"/>
          <w:sz w:val="18"/>
          <w:szCs w:val="18"/>
        </w:rPr>
        <w:t xml:space="preserve">Oppenheim, M., 2019. </w:t>
      </w:r>
      <w:r w:rsidR="00380DA2" w:rsidRPr="00FE5E8C">
        <w:rPr>
          <w:rFonts w:ascii="Times New Roman" w:eastAsia="Times New Roman" w:hAnsi="Times New Roman" w:cs="Times New Roman"/>
          <w:i/>
          <w:iCs/>
          <w:color w:val="000000"/>
          <w:sz w:val="18"/>
          <w:szCs w:val="18"/>
        </w:rPr>
        <w:t>Bahraini activist jailed after criticizing Formula One ‘considered suicide’ after rape and abuse by authorities</w:t>
      </w:r>
      <w:r w:rsidR="00380DA2" w:rsidRPr="00FE5E8C">
        <w:rPr>
          <w:rFonts w:ascii="Times New Roman" w:eastAsia="Times New Roman" w:hAnsi="Times New Roman" w:cs="Times New Roman"/>
          <w:color w:val="000000"/>
          <w:sz w:val="18"/>
          <w:szCs w:val="18"/>
        </w:rPr>
        <w:t>. [online] The Independent. Available at: &lt;https://www.independent.co.uk/news/world/middle-east/bahrain-formula-one-woman-jailed-prison-najah-yusuf-rape-abuse-a9170871.html&gt; [Accessed 2 July 2021].</w:t>
      </w:r>
    </w:p>
  </w:footnote>
  <w:footnote w:id="61">
    <w:p w14:paraId="60C80A5B" w14:textId="7D82E4A7" w:rsidR="00380DA2" w:rsidRPr="00C36DA1" w:rsidRDefault="00380DA2">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Amnesty International, Bahrain 2021 Report, https://www.amnesty.org/en/location/middle-east-and-north-africa/bahrain/report-bahrain/</w:t>
      </w:r>
    </w:p>
  </w:footnote>
  <w:footnote w:id="62">
    <w:p w14:paraId="5992FA5E" w14:textId="13525ABB" w:rsidR="00C36DA1" w:rsidRPr="00C36DA1" w:rsidRDefault="00C36DA1">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Ibid.</w:t>
      </w:r>
    </w:p>
  </w:footnote>
  <w:footnote w:id="63">
    <w:p w14:paraId="37B979D1" w14:textId="7B3EBB1F" w:rsidR="00C36DA1" w:rsidRPr="00C36DA1" w:rsidRDefault="00C36DA1">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Amnesty International, Bahrain: Devices of three activists hacked with Pegasus spyware, February 18, 2022, https://www.amnesty.org/en/latest/news/2022/02/bahrain-devices-of-three-activists-hacked-with-pegasus-spyware/</w:t>
      </w:r>
    </w:p>
  </w:footnote>
  <w:footnote w:id="64">
    <w:p w14:paraId="41C4D127" w14:textId="2936528A" w:rsidR="00C36DA1" w:rsidRPr="00C36DA1" w:rsidRDefault="00C36DA1">
      <w:pPr>
        <w:pStyle w:val="FootnoteText"/>
        <w:rPr>
          <w:rFonts w:ascii="Times New Roman" w:hAnsi="Times New Roman" w:cs="Times New Roman"/>
          <w:sz w:val="18"/>
          <w:szCs w:val="18"/>
        </w:rPr>
      </w:pPr>
      <w:r w:rsidRPr="00C36DA1">
        <w:rPr>
          <w:rStyle w:val="FootnoteReference"/>
          <w:rFonts w:ascii="Times New Roman" w:hAnsi="Times New Roman" w:cs="Times New Roman"/>
          <w:sz w:val="18"/>
          <w:szCs w:val="18"/>
        </w:rPr>
        <w:footnoteRef/>
      </w:r>
      <w:r w:rsidRPr="00C36DA1">
        <w:rPr>
          <w:rFonts w:ascii="Times New Roman" w:hAnsi="Times New Roman" w:cs="Times New Roman"/>
          <w:sz w:val="18"/>
          <w:szCs w:val="18"/>
        </w:rPr>
        <w:t xml:space="preserve"> The Annual Report on Media Freedom in Bahrain 2021, Bahrain Press Association, 31 December 2021, http://www.bahrainpa.org/wp/?p=738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693420"/>
    <w:multiLevelType w:val="multilevel"/>
    <w:tmpl w:val="D9DA422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61070397"/>
    <w:multiLevelType w:val="multilevel"/>
    <w:tmpl w:val="D102CF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0"/>
    <w:lvlOverride w:ilvl="0">
      <w:lvl w:ilvl="0">
        <w:numFmt w:val="upperRoman"/>
        <w:lvlText w:val="%1."/>
        <w:lvlJc w:val="right"/>
      </w:lvl>
    </w:lvlOverride>
  </w:num>
  <w:num w:numId="2">
    <w:abstractNumId w:val="1"/>
    <w:lvlOverride w:ilvl="0">
      <w:lvl w:ilvl="0">
        <w:numFmt w:val="upperRoman"/>
        <w:lvlText w:val="%1."/>
        <w:lvlJc w:val="righ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E8C"/>
    <w:rsid w:val="00036EFA"/>
    <w:rsid w:val="00070F35"/>
    <w:rsid w:val="000B1E38"/>
    <w:rsid w:val="001D734D"/>
    <w:rsid w:val="001F0BF6"/>
    <w:rsid w:val="00214834"/>
    <w:rsid w:val="00234204"/>
    <w:rsid w:val="00295BAC"/>
    <w:rsid w:val="00334D9A"/>
    <w:rsid w:val="00357D91"/>
    <w:rsid w:val="00370CAB"/>
    <w:rsid w:val="00380DA2"/>
    <w:rsid w:val="003A77BD"/>
    <w:rsid w:val="00487D0E"/>
    <w:rsid w:val="007B588D"/>
    <w:rsid w:val="007B7883"/>
    <w:rsid w:val="008E1F86"/>
    <w:rsid w:val="009646D7"/>
    <w:rsid w:val="00A026C6"/>
    <w:rsid w:val="00A60A05"/>
    <w:rsid w:val="00A613D5"/>
    <w:rsid w:val="00B73548"/>
    <w:rsid w:val="00BA3BB4"/>
    <w:rsid w:val="00C36DA1"/>
    <w:rsid w:val="00CC7EEC"/>
    <w:rsid w:val="00D51096"/>
    <w:rsid w:val="00EA4043"/>
    <w:rsid w:val="00EC173E"/>
    <w:rsid w:val="00ED3F5D"/>
    <w:rsid w:val="00FA3697"/>
    <w:rsid w:val="00FE5E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8EFDE"/>
  <w15:chartTrackingRefBased/>
  <w15:docId w15:val="{EDA2FF5A-2A27-4D82-9489-2D39D909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E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FE5E8C"/>
  </w:style>
  <w:style w:type="character" w:styleId="Hyperlink">
    <w:name w:val="Hyperlink"/>
    <w:basedOn w:val="DefaultParagraphFont"/>
    <w:uiPriority w:val="99"/>
    <w:semiHidden/>
    <w:unhideWhenUsed/>
    <w:rsid w:val="00FE5E8C"/>
    <w:rPr>
      <w:color w:val="0000FF"/>
      <w:u w:val="single"/>
    </w:rPr>
  </w:style>
  <w:style w:type="paragraph" w:styleId="FootnoteText">
    <w:name w:val="footnote text"/>
    <w:basedOn w:val="Normal"/>
    <w:link w:val="FootnoteTextChar"/>
    <w:uiPriority w:val="99"/>
    <w:semiHidden/>
    <w:unhideWhenUsed/>
    <w:rsid w:val="00FE5E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5E8C"/>
    <w:rPr>
      <w:sz w:val="20"/>
      <w:szCs w:val="20"/>
    </w:rPr>
  </w:style>
  <w:style w:type="character" w:styleId="FootnoteReference">
    <w:name w:val="footnote reference"/>
    <w:basedOn w:val="DefaultParagraphFont"/>
    <w:uiPriority w:val="99"/>
    <w:semiHidden/>
    <w:unhideWhenUsed/>
    <w:rsid w:val="00FE5E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70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dhrb.org"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0315D5-FC77-4986-8D48-1E3A6A455164}">
  <ds:schemaRefs>
    <ds:schemaRef ds:uri="http://schemas.openxmlformats.org/officeDocument/2006/bibliography"/>
  </ds:schemaRefs>
</ds:datastoreItem>
</file>

<file path=customXml/itemProps2.xml><?xml version="1.0" encoding="utf-8"?>
<ds:datastoreItem xmlns:ds="http://schemas.openxmlformats.org/officeDocument/2006/customXml" ds:itemID="{8413E586-E69E-4857-AEC9-9D4C8A9157CE}"/>
</file>

<file path=customXml/itemProps3.xml><?xml version="1.0" encoding="utf-8"?>
<ds:datastoreItem xmlns:ds="http://schemas.openxmlformats.org/officeDocument/2006/customXml" ds:itemID="{3A339F73-0662-4490-A157-3BF7D05A0765}"/>
</file>

<file path=customXml/itemProps4.xml><?xml version="1.0" encoding="utf-8"?>
<ds:datastoreItem xmlns:ds="http://schemas.openxmlformats.org/officeDocument/2006/customXml" ds:itemID="{776BE7C2-8261-4468-BE52-D95DC405CA0B}"/>
</file>

<file path=docProps/app.xml><?xml version="1.0" encoding="utf-8"?>
<Properties xmlns="http://schemas.openxmlformats.org/officeDocument/2006/extended-properties" xmlns:vt="http://schemas.openxmlformats.org/officeDocument/2006/docPropsVTypes">
  <Template>Normal</Template>
  <TotalTime>0</TotalTime>
  <Pages>14</Pages>
  <Words>3508</Words>
  <Characters>19685</Characters>
  <Application>Microsoft Office Word</Application>
  <DocSecurity>0</DocSecurity>
  <Lines>328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Garry Rodriguez</dc:creator>
  <cp:keywords/>
  <dc:description/>
  <cp:lastModifiedBy>Mohajer12</cp:lastModifiedBy>
  <cp:revision>2</cp:revision>
  <dcterms:created xsi:type="dcterms:W3CDTF">2022-04-11T22:40:00Z</dcterms:created>
  <dcterms:modified xsi:type="dcterms:W3CDTF">2022-04-11T22:40:00Z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