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93497" w14:textId="77777777" w:rsidR="002313BE" w:rsidRDefault="00747EFE" w:rsidP="00800BEC">
      <w:pPr>
        <w:jc w:val="center"/>
      </w:pPr>
      <w:r>
        <w:rPr>
          <w:noProof/>
        </w:rPr>
        <w:drawing>
          <wp:inline distT="0" distB="0" distL="0" distR="0" wp14:anchorId="174BFC22" wp14:editId="591460AB">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3143455F" w14:textId="77777777" w:rsidR="002313BE" w:rsidRDefault="002313BE"/>
    <w:p w14:paraId="7CC9100B" w14:textId="3BF90B83" w:rsidR="002313BE" w:rsidRDefault="00747EFE" w:rsidP="002313BE">
      <w:pPr>
        <w:jc w:val="center"/>
      </w:pPr>
      <w:r>
        <w:t>List of Issues for</w:t>
      </w:r>
      <w:r w:rsidR="008447E6">
        <w:t xml:space="preserve"> </w:t>
      </w:r>
      <w:r>
        <w:t>Samoa</w:t>
      </w:r>
      <w:r w:rsidR="008447E6">
        <w:t xml:space="preserve"> </w:t>
      </w:r>
      <w:r>
        <w:t>Prior to Reporting</w:t>
      </w:r>
    </w:p>
    <w:p w14:paraId="48798196" w14:textId="77777777" w:rsidR="002313BE" w:rsidRDefault="00747EFE" w:rsidP="002313BE">
      <w:pPr>
        <w:jc w:val="center"/>
      </w:pPr>
      <w:r>
        <w:t>United Nations Human Rights Committee</w:t>
      </w:r>
    </w:p>
    <w:p w14:paraId="786D409D" w14:textId="77777777" w:rsidR="002313BE" w:rsidRDefault="00747EFE" w:rsidP="002313BE">
      <w:pPr>
        <w:jc w:val="center"/>
      </w:pPr>
      <w:r>
        <w:t>Submitted on</w:t>
      </w:r>
      <w:r w:rsidR="00FE272E">
        <w:t xml:space="preserve"> January 6, 2025 </w:t>
      </w:r>
    </w:p>
    <w:p w14:paraId="1254C12C" w14:textId="77777777" w:rsidR="002313BE" w:rsidRDefault="002313BE"/>
    <w:p w14:paraId="58836B4E" w14:textId="77777777" w:rsidR="002313BE" w:rsidRPr="00800BEC" w:rsidRDefault="00747EFE" w:rsidP="00800BEC">
      <w:pPr>
        <w:pStyle w:val="ListParagraph"/>
        <w:numPr>
          <w:ilvl w:val="0"/>
          <w:numId w:val="2"/>
        </w:numPr>
        <w:rPr>
          <w:b/>
          <w:bCs/>
        </w:rPr>
      </w:pPr>
      <w:r w:rsidRPr="00800BEC">
        <w:rPr>
          <w:b/>
          <w:bCs/>
        </w:rPr>
        <w:t>Authors</w:t>
      </w:r>
    </w:p>
    <w:p w14:paraId="44B883A0" w14:textId="68724CDD" w:rsidR="00800BEC" w:rsidRDefault="00747EFE">
      <w:r>
        <w:t>The Wrongful Conviction International Law Task Force (WCILTF) is a global coalition of law professors, attorneys</w:t>
      </w:r>
      <w:r w:rsidR="004D227A">
        <w:t>,</w:t>
      </w:r>
      <w:r>
        <w:t xml:space="preserve"> and activists w</w:t>
      </w:r>
      <w:r w:rsidR="000C5219">
        <w:t>orking together</w:t>
      </w:r>
      <w:r>
        <w:t xml:space="preserve"> to fill the “Innocence Gap” in international law.  The WCILTF is supported by a pro bono legal team at the international law firm Proskauer Rose (</w:t>
      </w:r>
      <w:r w:rsidRPr="00800BEC">
        <w:t>www.proskauer.com/</w:t>
      </w:r>
      <w:r>
        <w:t>) located in New York City.</w:t>
      </w:r>
    </w:p>
    <w:p w14:paraId="759E675D" w14:textId="13250DF6" w:rsidR="002313BE" w:rsidRDefault="00747EF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w:t>
      </w:r>
      <w:r w:rsidR="004D227A">
        <w:t xml:space="preserve"> a</w:t>
      </w:r>
      <w:r w:rsidR="00800BEC">
        <w:t>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58F05D9C" w14:textId="0F954DF8" w:rsidR="000C5219" w:rsidRDefault="00747EFE">
      <w:r>
        <w:t>NGOs called “Innocence Projects” have sprung up around the globe to combat this problem, and now entire networks of innocence projects exist in Asia, Europe, North America</w:t>
      </w:r>
      <w:r w:rsidR="004D227A">
        <w:t>,</w:t>
      </w:r>
      <w:r>
        <w:t xml:space="preserve">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 xml:space="preserve">of NGOs like Innocence Projects.  Exonerations of the innocent have occurred across the globe in the past three decades.  </w:t>
      </w:r>
    </w:p>
    <w:p w14:paraId="1844090F" w14:textId="57570AE5" w:rsidR="002313BE" w:rsidRDefault="00747EFE">
      <w:r>
        <w:t xml:space="preserve">For a brief video overview of the global problem of wrongful convictions and the efforts of Innocence Projects to combat the problem, please view: </w:t>
      </w:r>
      <w:hyperlink r:id="rId9" w:history="1">
        <w:r w:rsidRPr="004D227A">
          <w:rPr>
            <w:rStyle w:val="Hyperlink"/>
          </w:rPr>
          <w:t>https://youtu.be/jMATkuFaRU8?si=fO0wXGhPr-oCyhBA</w:t>
        </w:r>
      </w:hyperlink>
    </w:p>
    <w:p w14:paraId="051C40B2" w14:textId="77777777" w:rsidR="002313BE" w:rsidRDefault="00747EFE">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27EAA1A4" w14:textId="77777777" w:rsidR="000C5219" w:rsidRDefault="000C5219"/>
    <w:p w14:paraId="6F47D429" w14:textId="77777777" w:rsidR="000C5219" w:rsidRPr="00800BEC" w:rsidRDefault="00747EFE" w:rsidP="00800BEC">
      <w:pPr>
        <w:pStyle w:val="ListParagraph"/>
        <w:numPr>
          <w:ilvl w:val="0"/>
          <w:numId w:val="2"/>
        </w:numPr>
        <w:rPr>
          <w:b/>
          <w:bCs/>
        </w:rPr>
      </w:pPr>
      <w:r w:rsidRPr="00800BEC">
        <w:rPr>
          <w:b/>
          <w:bCs/>
        </w:rPr>
        <w:t>Filling the Innocence Gap</w:t>
      </w:r>
    </w:p>
    <w:p w14:paraId="1AAF877A" w14:textId="77777777" w:rsidR="003A19BF" w:rsidRDefault="00747EFE">
      <w:r>
        <w:tab/>
        <w:t xml:space="preserve">Due to the relatively recent discovery of wrongful convictions, international law covenants and treaties predate awareness of this problem and thus do not speak directly to </w:t>
      </w:r>
      <w:r w:rsidR="004D227A">
        <w:t xml:space="preserve">the </w:t>
      </w:r>
      <w:r>
        <w:t xml:space="preserve">issue.  In recent years, however, the United Nations Human Rights Committee (HRC) has identified key rights to the benefit of 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2023, the HRC stated that </w:t>
      </w:r>
      <w:r w:rsidRPr="000C5219">
        <w:rPr>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p>
    <w:p w14:paraId="31A322F4" w14:textId="632B9993" w:rsidR="00800BEC" w:rsidRDefault="00747EFE" w:rsidP="003A19BF">
      <w:pPr>
        <w:ind w:firstLine="360"/>
        <w:rPr>
          <w:lang w:val="en-GB"/>
        </w:rPr>
      </w:pP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Pr>
          <w:lang w:val="en-GB"/>
        </w:rPr>
        <w:t xml:space="preserve">  </w:t>
      </w:r>
      <w:r w:rsidRPr="00800BEC">
        <w:rPr>
          <w:i/>
          <w:iCs/>
          <w:lang w:val="en-GB"/>
        </w:rPr>
        <w:t>See</w:t>
      </w:r>
      <w:r>
        <w:rPr>
          <w:lang w:val="en-GB"/>
        </w:rPr>
        <w:t xml:space="preserve"> Brandon Garrett, Laurence Helfer</w:t>
      </w:r>
      <w:r w:rsidR="00986751">
        <w:rPr>
          <w:lang w:val="en-GB"/>
        </w:rPr>
        <w:t>,</w:t>
      </w:r>
      <w:r>
        <w:rPr>
          <w:lang w:val="en-GB"/>
        </w:rPr>
        <w:t xml:space="preserve"> and Jayne Huckerby, </w:t>
      </w:r>
      <w:r w:rsidRPr="00800BEC">
        <w:rPr>
          <w:i/>
          <w:iCs/>
          <w:lang w:val="en-GB"/>
        </w:rPr>
        <w:lastRenderedPageBreak/>
        <w:t>Closing International Law’s Innocence Gap</w:t>
      </w:r>
      <w:r>
        <w:rPr>
          <w:lang w:val="en-GB"/>
        </w:rPr>
        <w:t xml:space="preserve">, S. Cal. L. Rev. 95 (2021), available at: </w:t>
      </w:r>
      <w:hyperlink r:id="rId10" w:history="1">
        <w:r w:rsidRPr="00986751">
          <w:rPr>
            <w:rStyle w:val="Hyperlink"/>
            <w:lang w:val="en-GB"/>
          </w:rPr>
          <w:t>https://papers.ssrn.com/sol3/papers.cfm?abstract_id=3803518#</w:t>
        </w:r>
      </w:hyperlink>
    </w:p>
    <w:p w14:paraId="18633B57" w14:textId="015F7EBC" w:rsidR="00097E72" w:rsidRPr="002A29B2" w:rsidRDefault="00747EFE" w:rsidP="002A29B2">
      <w:pPr>
        <w:pStyle w:val="ListParagraph"/>
        <w:numPr>
          <w:ilvl w:val="0"/>
          <w:numId w:val="2"/>
        </w:numPr>
        <w:rPr>
          <w:b/>
          <w:bCs/>
          <w:lang w:val="en-GB"/>
        </w:rPr>
      </w:pPr>
      <w:r w:rsidRPr="00800BEC">
        <w:rPr>
          <w:b/>
          <w:bCs/>
          <w:lang w:val="en-GB"/>
        </w:rPr>
        <w:t xml:space="preserve">Rights of Innocent Incarcerated Persons in </w:t>
      </w:r>
      <w:r>
        <w:rPr>
          <w:b/>
          <w:bCs/>
          <w:lang w:val="en-GB"/>
        </w:rPr>
        <w:t>Samoa</w:t>
      </w:r>
      <w:r w:rsidR="008447E6">
        <w:rPr>
          <w:b/>
          <w:bCs/>
          <w:lang w:val="en-GB"/>
        </w:rPr>
        <w:t xml:space="preserve"> </w:t>
      </w:r>
      <w:r w:rsidRPr="002A29B2">
        <w:rPr>
          <w:lang w:val="en-GB"/>
        </w:rPr>
        <w:t xml:space="preserve"> </w:t>
      </w:r>
    </w:p>
    <w:p w14:paraId="39DCBB11" w14:textId="77777777" w:rsidR="00094054" w:rsidRPr="00051994" w:rsidRDefault="00094054" w:rsidP="00986751">
      <w:pPr>
        <w:pStyle w:val="BodyText"/>
        <w:ind w:left="360"/>
        <w:rPr>
          <w:rFonts w:asciiTheme="minorHAnsi" w:hAnsiTheme="minorHAnsi" w:cstheme="minorHAnsi"/>
          <w:b/>
          <w:bCs/>
          <w:i/>
          <w:iCs/>
          <w:sz w:val="24"/>
          <w:szCs w:val="24"/>
          <w:lang w:val="en-GB"/>
        </w:rPr>
      </w:pPr>
      <w:r w:rsidRPr="00051994">
        <w:rPr>
          <w:rFonts w:asciiTheme="minorHAnsi" w:hAnsiTheme="minorHAnsi" w:cstheme="minorHAnsi"/>
          <w:b/>
          <w:bCs/>
          <w:i/>
          <w:iCs/>
          <w:sz w:val="24"/>
          <w:szCs w:val="24"/>
          <w:lang w:val="en-GB"/>
        </w:rPr>
        <w:t xml:space="preserve">Samoa constitutional changes and potential threat to rights to innocence </w:t>
      </w:r>
    </w:p>
    <w:p w14:paraId="64015E3B" w14:textId="4BB40735" w:rsidR="00094054" w:rsidRPr="00051994" w:rsidRDefault="00094054" w:rsidP="00655B47">
      <w:pPr>
        <w:pStyle w:val="BodyText"/>
        <w:ind w:firstLine="720"/>
        <w:rPr>
          <w:rFonts w:asciiTheme="minorHAnsi" w:hAnsiTheme="minorHAnsi" w:cstheme="minorHAnsi"/>
          <w:sz w:val="24"/>
          <w:szCs w:val="24"/>
        </w:rPr>
      </w:pPr>
      <w:r w:rsidRPr="00051994">
        <w:rPr>
          <w:rFonts w:asciiTheme="minorHAnsi" w:hAnsiTheme="minorHAnsi" w:cstheme="minorHAnsi"/>
          <w:sz w:val="24"/>
          <w:szCs w:val="24"/>
          <w:lang w:val="en-GB"/>
        </w:rPr>
        <w:t>Our understanding is that the introduction of the Constitution Amendment Act 2020, Judicature Bill 2020</w:t>
      </w:r>
      <w:r w:rsidR="00626DD3">
        <w:rPr>
          <w:rFonts w:asciiTheme="minorHAnsi" w:hAnsiTheme="minorHAnsi" w:cstheme="minorHAnsi"/>
          <w:sz w:val="24"/>
          <w:szCs w:val="24"/>
          <w:lang w:val="en-GB"/>
        </w:rPr>
        <w:t xml:space="preserve">, </w:t>
      </w:r>
      <w:r w:rsidRPr="00051994">
        <w:rPr>
          <w:rFonts w:asciiTheme="minorHAnsi" w:hAnsiTheme="minorHAnsi" w:cstheme="minorHAnsi"/>
          <w:sz w:val="24"/>
          <w:szCs w:val="24"/>
          <w:lang w:val="en-GB"/>
        </w:rPr>
        <w:t>Lands and Titles Act 2020</w:t>
      </w:r>
      <w:r w:rsidR="00986751">
        <w:rPr>
          <w:rFonts w:asciiTheme="minorHAnsi" w:hAnsiTheme="minorHAnsi" w:cstheme="minorHAnsi"/>
          <w:sz w:val="24"/>
          <w:szCs w:val="24"/>
          <w:lang w:val="en-GB"/>
        </w:rPr>
        <w:t>,</w:t>
      </w:r>
      <w:r w:rsidRPr="00051994">
        <w:rPr>
          <w:rFonts w:asciiTheme="minorHAnsi" w:hAnsiTheme="minorHAnsi" w:cstheme="minorHAnsi"/>
          <w:sz w:val="24"/>
          <w:szCs w:val="24"/>
          <w:lang w:val="en-GB"/>
        </w:rPr>
        <w:t xml:space="preserve"> and the Judicature Act 2020 (the ‘</w:t>
      </w:r>
      <w:r w:rsidRPr="00051994">
        <w:rPr>
          <w:rFonts w:asciiTheme="minorHAnsi" w:hAnsiTheme="minorHAnsi" w:cstheme="minorHAnsi"/>
          <w:b/>
          <w:bCs/>
          <w:sz w:val="24"/>
          <w:szCs w:val="24"/>
          <w:lang w:val="en-GB"/>
        </w:rPr>
        <w:t>Acts</w:t>
      </w:r>
      <w:r w:rsidRPr="00051994">
        <w:rPr>
          <w:rFonts w:asciiTheme="minorHAnsi" w:hAnsiTheme="minorHAnsi" w:cstheme="minorHAnsi"/>
          <w:sz w:val="24"/>
          <w:szCs w:val="24"/>
          <w:lang w:val="en-GB"/>
        </w:rPr>
        <w:t xml:space="preserve">’) had the combined effect of eroding the legal and judicial rights of Samoans – with one consequence being uncertainty and the lack of protection of fundamental rights connected to post-conviction innocence rights. The Acts were hurried through in March 2020 </w:t>
      </w:r>
      <w:r w:rsidR="00626DD3">
        <w:rPr>
          <w:rFonts w:asciiTheme="minorHAnsi" w:hAnsiTheme="minorHAnsi" w:cstheme="minorHAnsi"/>
          <w:sz w:val="24"/>
          <w:szCs w:val="24"/>
          <w:lang w:val="en-GB"/>
        </w:rPr>
        <w:t>during</w:t>
      </w:r>
      <w:r w:rsidRPr="00051994">
        <w:rPr>
          <w:rFonts w:asciiTheme="minorHAnsi" w:hAnsiTheme="minorHAnsi" w:cstheme="minorHAnsi"/>
          <w:sz w:val="24"/>
          <w:szCs w:val="24"/>
          <w:lang w:val="en-GB"/>
        </w:rPr>
        <w:t xml:space="preserve"> the pandemic, with the Samoan population</w:t>
      </w:r>
      <w:r w:rsidR="00626DD3">
        <w:rPr>
          <w:rFonts w:asciiTheme="minorHAnsi" w:hAnsiTheme="minorHAnsi" w:cstheme="minorHAnsi"/>
          <w:sz w:val="24"/>
          <w:szCs w:val="24"/>
          <w:lang w:val="en-GB"/>
        </w:rPr>
        <w:t xml:space="preserve"> and Samoan Judiciary Law Society</w:t>
      </w:r>
      <w:r w:rsidRPr="00051994">
        <w:rPr>
          <w:rFonts w:asciiTheme="minorHAnsi" w:hAnsiTheme="minorHAnsi" w:cstheme="minorHAnsi"/>
          <w:sz w:val="24"/>
          <w:szCs w:val="24"/>
          <w:lang w:val="en-GB"/>
        </w:rPr>
        <w:t xml:space="preserve"> unaware of the developments </w:t>
      </w:r>
      <w:r w:rsidR="00626DD3">
        <w:rPr>
          <w:rFonts w:asciiTheme="minorHAnsi" w:hAnsiTheme="minorHAnsi" w:cstheme="minorHAnsi"/>
          <w:sz w:val="24"/>
          <w:szCs w:val="24"/>
          <w:lang w:val="en-GB"/>
        </w:rPr>
        <w:t>a</w:t>
      </w:r>
      <w:r w:rsidR="00552518">
        <w:rPr>
          <w:rFonts w:asciiTheme="minorHAnsi" w:hAnsiTheme="minorHAnsi" w:cstheme="minorHAnsi"/>
          <w:sz w:val="24"/>
          <w:szCs w:val="24"/>
          <w:lang w:val="en-GB"/>
        </w:rPr>
        <w:t>nd</w:t>
      </w:r>
      <w:r w:rsidRPr="00051994">
        <w:rPr>
          <w:rFonts w:asciiTheme="minorHAnsi" w:hAnsiTheme="minorHAnsi" w:cstheme="minorHAnsi"/>
          <w:sz w:val="24"/>
          <w:szCs w:val="24"/>
          <w:lang w:val="en-GB"/>
        </w:rPr>
        <w:t xml:space="preserve"> other stakeholders not having been properly consulted.</w:t>
      </w:r>
      <w:r w:rsidRPr="00051994">
        <w:rPr>
          <w:rStyle w:val="FootnoteReference"/>
          <w:rFonts w:asciiTheme="minorHAnsi" w:hAnsiTheme="minorHAnsi" w:cstheme="minorHAnsi"/>
          <w:sz w:val="24"/>
          <w:szCs w:val="24"/>
          <w:lang w:val="en-GB"/>
        </w:rPr>
        <w:footnoteReference w:id="1"/>
      </w:r>
      <w:r w:rsidRPr="00051994">
        <w:rPr>
          <w:rFonts w:asciiTheme="minorHAnsi" w:hAnsiTheme="minorHAnsi" w:cstheme="minorHAnsi"/>
          <w:sz w:val="24"/>
          <w:szCs w:val="24"/>
          <w:lang w:val="en-GB"/>
        </w:rPr>
        <w:t xml:space="preserve"> </w:t>
      </w:r>
    </w:p>
    <w:p w14:paraId="3B75C279" w14:textId="33B16F8F" w:rsidR="00385645" w:rsidRPr="00385645" w:rsidRDefault="00385645" w:rsidP="00385645">
      <w:pPr>
        <w:pStyle w:val="BodyText"/>
        <w:ind w:firstLine="720"/>
        <w:rPr>
          <w:rFonts w:asciiTheme="minorHAnsi" w:hAnsiTheme="minorHAnsi" w:cstheme="minorHAnsi"/>
          <w:sz w:val="24"/>
          <w:szCs w:val="24"/>
          <w:lang w:val="en-GB"/>
        </w:rPr>
      </w:pPr>
      <w:r>
        <w:rPr>
          <w:rFonts w:asciiTheme="minorHAnsi" w:hAnsiTheme="minorHAnsi" w:cstheme="minorHAnsi"/>
          <w:sz w:val="24"/>
          <w:szCs w:val="24"/>
          <w:lang w:val="en-GB"/>
        </w:rPr>
        <w:t xml:space="preserve">As a result of the Acts, the Supreme Court of Samoa is no longer the ultimate authority responsible for protecting the Constitution of Samoa and the fundamental rights of its people. These </w:t>
      </w:r>
      <w:r w:rsidR="00D6778E">
        <w:rPr>
          <w:rFonts w:asciiTheme="minorHAnsi" w:hAnsiTheme="minorHAnsi" w:cstheme="minorHAnsi"/>
          <w:sz w:val="24"/>
          <w:szCs w:val="24"/>
          <w:lang w:val="en-GB"/>
        </w:rPr>
        <w:t xml:space="preserve">fundamental </w:t>
      </w:r>
      <w:r>
        <w:rPr>
          <w:rFonts w:asciiTheme="minorHAnsi" w:hAnsiTheme="minorHAnsi" w:cstheme="minorHAnsi"/>
          <w:sz w:val="24"/>
          <w:szCs w:val="24"/>
          <w:lang w:val="en-GB"/>
        </w:rPr>
        <w:t xml:space="preserve">rights include the right to life, </w:t>
      </w:r>
      <w:r w:rsidR="00836E91">
        <w:rPr>
          <w:rFonts w:asciiTheme="minorHAnsi" w:hAnsiTheme="minorHAnsi" w:cstheme="minorHAnsi"/>
          <w:sz w:val="24"/>
          <w:szCs w:val="24"/>
          <w:lang w:val="en-GB"/>
        </w:rPr>
        <w:t xml:space="preserve">right to </w:t>
      </w:r>
      <w:r>
        <w:rPr>
          <w:rFonts w:asciiTheme="minorHAnsi" w:hAnsiTheme="minorHAnsi" w:cstheme="minorHAnsi"/>
          <w:sz w:val="24"/>
          <w:szCs w:val="24"/>
          <w:lang w:val="en-GB"/>
        </w:rPr>
        <w:t xml:space="preserve">personal liberty, </w:t>
      </w:r>
      <w:r w:rsidR="00836E91">
        <w:rPr>
          <w:rFonts w:asciiTheme="minorHAnsi" w:hAnsiTheme="minorHAnsi" w:cstheme="minorHAnsi"/>
          <w:sz w:val="24"/>
          <w:szCs w:val="24"/>
          <w:lang w:val="en-GB"/>
        </w:rPr>
        <w:t xml:space="preserve">right to </w:t>
      </w:r>
      <w:r>
        <w:rPr>
          <w:rFonts w:asciiTheme="minorHAnsi" w:hAnsiTheme="minorHAnsi" w:cstheme="minorHAnsi"/>
          <w:sz w:val="24"/>
          <w:szCs w:val="24"/>
          <w:lang w:val="en-GB"/>
        </w:rPr>
        <w:t xml:space="preserve">a fair trial, protections under criminal law, and the ability to seek remedies </w:t>
      </w:r>
      <w:r w:rsidR="00836E91">
        <w:rPr>
          <w:rFonts w:asciiTheme="minorHAnsi" w:hAnsiTheme="minorHAnsi" w:cstheme="minorHAnsi"/>
          <w:sz w:val="24"/>
          <w:szCs w:val="24"/>
          <w:lang w:val="en-GB"/>
        </w:rPr>
        <w:t>to enforce</w:t>
      </w:r>
      <w:r>
        <w:rPr>
          <w:rFonts w:asciiTheme="minorHAnsi" w:hAnsiTheme="minorHAnsi" w:cstheme="minorHAnsi"/>
          <w:sz w:val="24"/>
          <w:szCs w:val="24"/>
          <w:lang w:val="en-GB"/>
        </w:rPr>
        <w:t xml:space="preserve"> these rights as outlined in Part II of the Constitution of Samoa. Instead, an elevated Lands and Titles Court (‘</w:t>
      </w:r>
      <w:r>
        <w:rPr>
          <w:rFonts w:asciiTheme="minorHAnsi" w:hAnsiTheme="minorHAnsi" w:cstheme="minorHAnsi"/>
          <w:b/>
          <w:bCs/>
          <w:sz w:val="24"/>
          <w:szCs w:val="24"/>
          <w:lang w:val="en-GB"/>
        </w:rPr>
        <w:t>LTC</w:t>
      </w:r>
      <w:r>
        <w:rPr>
          <w:rFonts w:asciiTheme="minorHAnsi" w:hAnsiTheme="minorHAnsi" w:cstheme="minorHAnsi"/>
          <w:sz w:val="24"/>
          <w:szCs w:val="24"/>
          <w:lang w:val="en-GB"/>
        </w:rPr>
        <w:t>’) has been established as a standalone judiciary co-equal to the Supreme Court. Notably, the fundamental rights guaranteed under the Constitution, which fall under the Supreme Court’s jurisdiction, do not apply to matters brought before the LTC. To support this dual judicial system, the Acts expressly state that decisions of the Supreme Court and Court of Appeals are not binding on the LTC (Section 57), and LTC decisions are not subject to review by any other court (Section 56).</w:t>
      </w:r>
    </w:p>
    <w:p w14:paraId="54752191" w14:textId="35423FCA" w:rsidR="00094054" w:rsidRPr="00051994" w:rsidRDefault="00094054" w:rsidP="00655B47">
      <w:pPr>
        <w:pStyle w:val="BodyText"/>
        <w:ind w:firstLine="720"/>
        <w:rPr>
          <w:rFonts w:asciiTheme="minorHAnsi" w:hAnsiTheme="minorHAnsi" w:cstheme="minorHAnsi"/>
          <w:sz w:val="24"/>
          <w:szCs w:val="24"/>
          <w:lang w:val="en-GB"/>
        </w:rPr>
      </w:pPr>
      <w:r w:rsidRPr="00051994">
        <w:rPr>
          <w:rFonts w:asciiTheme="minorHAnsi" w:hAnsiTheme="minorHAnsi" w:cstheme="minorHAnsi"/>
          <w:sz w:val="24"/>
          <w:szCs w:val="24"/>
          <w:lang w:val="en-GB"/>
        </w:rPr>
        <w:t>Village councils handled many criminal matters before they reached any court</w:t>
      </w:r>
      <w:r w:rsidR="00F14C77">
        <w:rPr>
          <w:rFonts w:asciiTheme="minorHAnsi" w:hAnsiTheme="minorHAnsi" w:cstheme="minorHAnsi"/>
          <w:sz w:val="24"/>
          <w:szCs w:val="24"/>
          <w:lang w:val="en-GB"/>
        </w:rPr>
        <w:t>. However,</w:t>
      </w:r>
      <w:r w:rsidRPr="00051994">
        <w:rPr>
          <w:rFonts w:asciiTheme="minorHAnsi" w:hAnsiTheme="minorHAnsi" w:cstheme="minorHAnsi"/>
          <w:sz w:val="24"/>
          <w:szCs w:val="24"/>
          <w:lang w:val="en-GB"/>
        </w:rPr>
        <w:t xml:space="preserve"> as the U.S. Department of State noted</w:t>
      </w:r>
      <w:r w:rsidR="00836E91">
        <w:rPr>
          <w:rFonts w:asciiTheme="minorHAnsi" w:hAnsiTheme="minorHAnsi" w:cstheme="minorHAnsi"/>
          <w:sz w:val="24"/>
          <w:szCs w:val="24"/>
          <w:lang w:val="en-GB"/>
        </w:rPr>
        <w:t>,</w:t>
      </w:r>
      <w:r w:rsidRPr="00051994">
        <w:rPr>
          <w:rFonts w:asciiTheme="minorHAnsi" w:hAnsiTheme="minorHAnsi" w:cstheme="minorHAnsi"/>
          <w:sz w:val="24"/>
          <w:szCs w:val="24"/>
          <w:lang w:val="en-GB"/>
        </w:rPr>
        <w:t xml:space="preserve"> the “councils varied considerably in decision-making styles and the number of matai (family chiefs) involved in decisions.  The law recognizes the decisions of village councils and provides for limited appeal to the </w:t>
      </w:r>
      <w:r w:rsidR="00836E91">
        <w:rPr>
          <w:rFonts w:asciiTheme="minorHAnsi" w:hAnsiTheme="minorHAnsi" w:cstheme="minorHAnsi"/>
          <w:sz w:val="24"/>
          <w:szCs w:val="24"/>
          <w:lang w:val="en-GB"/>
        </w:rPr>
        <w:t>LTC</w:t>
      </w:r>
      <w:r w:rsidRPr="00051994">
        <w:rPr>
          <w:rFonts w:asciiTheme="minorHAnsi" w:hAnsiTheme="minorHAnsi" w:cstheme="minorHAnsi"/>
          <w:sz w:val="24"/>
          <w:szCs w:val="24"/>
          <w:lang w:val="en-GB"/>
        </w:rPr>
        <w:t>.  The nature and severity of a dispute determines which court receives an appeal”.</w:t>
      </w:r>
      <w:r w:rsidRPr="00051994">
        <w:rPr>
          <w:rStyle w:val="FootnoteReference"/>
          <w:rFonts w:asciiTheme="minorHAnsi" w:hAnsiTheme="minorHAnsi" w:cstheme="minorHAnsi"/>
          <w:sz w:val="24"/>
          <w:szCs w:val="24"/>
          <w:lang w:val="en-GB"/>
        </w:rPr>
        <w:footnoteReference w:id="2"/>
      </w:r>
      <w:r w:rsidRPr="00051994">
        <w:rPr>
          <w:rFonts w:asciiTheme="minorHAnsi" w:hAnsiTheme="minorHAnsi" w:cstheme="minorHAnsi"/>
          <w:sz w:val="24"/>
          <w:szCs w:val="24"/>
          <w:lang w:val="en-GB"/>
        </w:rPr>
        <w:t xml:space="preserve">  Even when there is a criminal appeal made to the LTC, there is no protection of fundamental rights, including </w:t>
      </w:r>
      <w:r w:rsidR="00836E91">
        <w:rPr>
          <w:rFonts w:asciiTheme="minorHAnsi" w:hAnsiTheme="minorHAnsi" w:cstheme="minorHAnsi"/>
          <w:sz w:val="24"/>
          <w:szCs w:val="24"/>
          <w:lang w:val="en-GB"/>
        </w:rPr>
        <w:t xml:space="preserve">the </w:t>
      </w:r>
      <w:r w:rsidRPr="00051994">
        <w:rPr>
          <w:rFonts w:asciiTheme="minorHAnsi" w:hAnsiTheme="minorHAnsi" w:cstheme="minorHAnsi"/>
          <w:sz w:val="24"/>
          <w:szCs w:val="24"/>
          <w:lang w:val="en-GB"/>
        </w:rPr>
        <w:t>right to personal liberty, right to a fair trial</w:t>
      </w:r>
      <w:r w:rsidR="00836E91">
        <w:rPr>
          <w:rFonts w:asciiTheme="minorHAnsi" w:hAnsiTheme="minorHAnsi" w:cstheme="minorHAnsi"/>
          <w:sz w:val="24"/>
          <w:szCs w:val="24"/>
          <w:lang w:val="en-GB"/>
        </w:rPr>
        <w:t>,</w:t>
      </w:r>
      <w:r w:rsidRPr="00051994">
        <w:rPr>
          <w:rFonts w:asciiTheme="minorHAnsi" w:hAnsiTheme="minorHAnsi" w:cstheme="minorHAnsi"/>
          <w:sz w:val="24"/>
          <w:szCs w:val="24"/>
          <w:lang w:val="en-GB"/>
        </w:rPr>
        <w:t xml:space="preserve"> or right to life because, as set out above, the LTC is not bound by the Constitution of Samoa. Beyond the initial punishments that </w:t>
      </w:r>
      <w:r w:rsidR="00836E91">
        <w:rPr>
          <w:rFonts w:asciiTheme="minorHAnsi" w:hAnsiTheme="minorHAnsi" w:cstheme="minorHAnsi"/>
          <w:sz w:val="24"/>
          <w:szCs w:val="24"/>
          <w:lang w:val="en-GB"/>
        </w:rPr>
        <w:t>village councils may impose</w:t>
      </w:r>
      <w:r w:rsidRPr="00051994">
        <w:rPr>
          <w:rFonts w:asciiTheme="minorHAnsi" w:hAnsiTheme="minorHAnsi" w:cstheme="minorHAnsi"/>
          <w:sz w:val="24"/>
          <w:szCs w:val="24"/>
          <w:lang w:val="en-GB"/>
        </w:rPr>
        <w:t>, imprisonment sentences can also be imposed for offen</w:t>
      </w:r>
      <w:r w:rsidR="0038332D">
        <w:rPr>
          <w:rFonts w:asciiTheme="minorHAnsi" w:hAnsiTheme="minorHAnsi" w:cstheme="minorHAnsi"/>
          <w:sz w:val="24"/>
          <w:szCs w:val="24"/>
          <w:lang w:val="en-GB"/>
        </w:rPr>
        <w:t>s</w:t>
      </w:r>
      <w:r w:rsidRPr="00051994">
        <w:rPr>
          <w:rFonts w:asciiTheme="minorHAnsi" w:hAnsiTheme="minorHAnsi" w:cstheme="minorHAnsi"/>
          <w:sz w:val="24"/>
          <w:szCs w:val="24"/>
          <w:lang w:val="en-GB"/>
        </w:rPr>
        <w:t>es relating to matai titles by the LTC (Division 7, LTC Act) and for disobeying orders of the LTC (Division 5, LTC Act)</w:t>
      </w:r>
      <w:r w:rsidR="00051994">
        <w:rPr>
          <w:rFonts w:asciiTheme="minorHAnsi" w:hAnsiTheme="minorHAnsi" w:cstheme="minorHAnsi"/>
          <w:sz w:val="24"/>
          <w:szCs w:val="24"/>
          <w:lang w:val="en-GB"/>
        </w:rPr>
        <w:t>, again with no protection of fundamental rights</w:t>
      </w:r>
      <w:r w:rsidRPr="00051994">
        <w:rPr>
          <w:rFonts w:asciiTheme="minorHAnsi" w:hAnsiTheme="minorHAnsi" w:cstheme="minorHAnsi"/>
          <w:sz w:val="24"/>
          <w:szCs w:val="24"/>
          <w:lang w:val="en-GB"/>
        </w:rPr>
        <w:t xml:space="preserve">. </w:t>
      </w:r>
    </w:p>
    <w:p w14:paraId="2C958D9F" w14:textId="5FE4F891" w:rsidR="00094054" w:rsidRPr="00051994" w:rsidRDefault="00094054" w:rsidP="00655B47">
      <w:pPr>
        <w:pStyle w:val="BodyText"/>
        <w:ind w:firstLine="720"/>
        <w:rPr>
          <w:rFonts w:asciiTheme="minorHAnsi" w:hAnsiTheme="minorHAnsi" w:cstheme="minorHAnsi"/>
          <w:sz w:val="24"/>
          <w:szCs w:val="24"/>
          <w:lang w:val="en-GB"/>
        </w:rPr>
      </w:pPr>
      <w:r w:rsidRPr="00051994">
        <w:rPr>
          <w:rFonts w:asciiTheme="minorHAnsi" w:hAnsiTheme="minorHAnsi" w:cstheme="minorHAnsi"/>
          <w:sz w:val="24"/>
          <w:szCs w:val="24"/>
          <w:lang w:val="en-GB"/>
        </w:rPr>
        <w:t>The Acts also had the impact of undermining judicial independence by “</w:t>
      </w:r>
      <w:r w:rsidRPr="00051994">
        <w:rPr>
          <w:rFonts w:asciiTheme="minorHAnsi" w:hAnsiTheme="minorHAnsi" w:cstheme="minorHAnsi"/>
          <w:sz w:val="24"/>
          <w:szCs w:val="24"/>
        </w:rPr>
        <w:t xml:space="preserve">reducing the requirements that allow for the removal of Judges, and removing protections for their tenure, </w:t>
      </w:r>
      <w:r w:rsidRPr="00051994">
        <w:rPr>
          <w:rFonts w:asciiTheme="minorHAnsi" w:hAnsiTheme="minorHAnsi" w:cstheme="minorHAnsi"/>
          <w:sz w:val="24"/>
          <w:szCs w:val="24"/>
        </w:rPr>
        <w:lastRenderedPageBreak/>
        <w:t xml:space="preserve">salaries and conditions and their independence. The changes made now increase the ability of government to influence or interfere with their ability to act with ‘impartiality’ or ‘fear or </w:t>
      </w:r>
      <w:proofErr w:type="spellStart"/>
      <w:r w:rsidRPr="00051994">
        <w:rPr>
          <w:rFonts w:asciiTheme="minorHAnsi" w:hAnsiTheme="minorHAnsi" w:cstheme="minorHAnsi"/>
          <w:sz w:val="24"/>
          <w:szCs w:val="24"/>
        </w:rPr>
        <w:t>favour</w:t>
      </w:r>
      <w:proofErr w:type="spellEnd"/>
      <w:r w:rsidRPr="00051994">
        <w:rPr>
          <w:rFonts w:asciiTheme="minorHAnsi" w:hAnsiTheme="minorHAnsi" w:cstheme="minorHAnsi"/>
          <w:sz w:val="24"/>
          <w:szCs w:val="24"/>
        </w:rPr>
        <w:t>’</w:t>
      </w:r>
      <w:r w:rsidRPr="00051994">
        <w:rPr>
          <w:rFonts w:asciiTheme="minorHAnsi" w:hAnsiTheme="minorHAnsi" w:cstheme="minorHAnsi"/>
          <w:sz w:val="24"/>
          <w:szCs w:val="24"/>
          <w:lang w:val="en-GB"/>
        </w:rPr>
        <w:t>”, as described to the United Nations Human Rights Periodic Review of Samoa by a Samoan NGO and community group.</w:t>
      </w:r>
      <w:r w:rsidRPr="00051994">
        <w:rPr>
          <w:rStyle w:val="FootnoteReference"/>
          <w:rFonts w:asciiTheme="minorHAnsi" w:hAnsiTheme="minorHAnsi" w:cstheme="minorHAnsi"/>
          <w:sz w:val="24"/>
          <w:szCs w:val="24"/>
          <w:lang w:val="en-GB"/>
        </w:rPr>
        <w:footnoteReference w:id="3"/>
      </w:r>
      <w:r w:rsidRPr="00051994">
        <w:rPr>
          <w:rFonts w:asciiTheme="minorHAnsi" w:hAnsiTheme="minorHAnsi" w:cstheme="minorHAnsi"/>
          <w:sz w:val="24"/>
          <w:szCs w:val="24"/>
          <w:lang w:val="en-GB"/>
        </w:rPr>
        <w:t xml:space="preserve"> </w:t>
      </w:r>
    </w:p>
    <w:p w14:paraId="0066CD5B" w14:textId="32777492" w:rsidR="00094054" w:rsidRPr="00051994" w:rsidRDefault="00094054" w:rsidP="00655B47">
      <w:pPr>
        <w:pStyle w:val="BodyText"/>
        <w:ind w:firstLine="720"/>
        <w:rPr>
          <w:rFonts w:asciiTheme="minorHAnsi" w:hAnsiTheme="minorHAnsi" w:cstheme="minorHAnsi"/>
          <w:sz w:val="24"/>
          <w:szCs w:val="24"/>
          <w:lang w:val="en-GB"/>
        </w:rPr>
      </w:pPr>
      <w:r w:rsidRPr="00051994">
        <w:rPr>
          <w:rFonts w:asciiTheme="minorHAnsi" w:hAnsiTheme="minorHAnsi" w:cstheme="minorHAnsi"/>
          <w:sz w:val="24"/>
          <w:szCs w:val="24"/>
          <w:lang w:val="en-GB"/>
        </w:rPr>
        <w:t xml:space="preserve">The Samoan people have two separate systems of justice, with two separate appeal courts, with one route having the benefit of the Constitution of Samoa and its fundamental rights, with the other of the LTC no longer providing the Samoan people with such protection. This is overlaid with a judiciary which has significant impartiality concerns. Whilst there are useful criminal procedure requirements in the Criminal Procedure Act 2016 that may support those with post-conviction rights to innocence, these do not appear to be applicable to the village councils or the LTC, both of which handle criminal cases and punishments. </w:t>
      </w:r>
    </w:p>
    <w:p w14:paraId="02E0BF34" w14:textId="77777777" w:rsidR="00094054" w:rsidRPr="00051994" w:rsidRDefault="00094054" w:rsidP="00655B47">
      <w:pPr>
        <w:pStyle w:val="BodyText"/>
        <w:ind w:firstLine="360"/>
        <w:rPr>
          <w:rFonts w:asciiTheme="minorHAnsi" w:hAnsiTheme="minorHAnsi" w:cstheme="minorHAnsi"/>
          <w:sz w:val="24"/>
          <w:szCs w:val="24"/>
          <w:lang w:val="en-GB"/>
        </w:rPr>
      </w:pPr>
      <w:r w:rsidRPr="00051994">
        <w:rPr>
          <w:rFonts w:asciiTheme="minorHAnsi" w:hAnsiTheme="minorHAnsi" w:cstheme="minorHAnsi"/>
          <w:sz w:val="24"/>
          <w:szCs w:val="24"/>
          <w:lang w:val="en-GB"/>
        </w:rPr>
        <w:t xml:space="preserve">Accordingly, there does not appear to be a consistent approach to allow innocent incarcerated persons to achieve exoneration and freedom in Samoa. </w:t>
      </w:r>
    </w:p>
    <w:p w14:paraId="73D32B0F" w14:textId="1A953C7A" w:rsidR="000C5219" w:rsidRPr="00800BEC" w:rsidRDefault="00747EFE" w:rsidP="00800BEC">
      <w:pPr>
        <w:pStyle w:val="ListParagraph"/>
        <w:numPr>
          <w:ilvl w:val="0"/>
          <w:numId w:val="2"/>
        </w:numPr>
        <w:rPr>
          <w:b/>
          <w:bCs/>
          <w:lang w:val="en-GB"/>
        </w:rPr>
      </w:pPr>
      <w:r w:rsidRPr="00800BEC">
        <w:rPr>
          <w:b/>
          <w:bCs/>
          <w:lang w:val="en-GB"/>
        </w:rPr>
        <w:t xml:space="preserve">Questions to </w:t>
      </w:r>
      <w:r w:rsidR="00094054">
        <w:rPr>
          <w:b/>
          <w:bCs/>
          <w:lang w:val="en-GB"/>
        </w:rPr>
        <w:t>Samoa</w:t>
      </w:r>
      <w:r w:rsidR="008447E6">
        <w:rPr>
          <w:b/>
          <w:bCs/>
          <w:lang w:val="en-GB"/>
        </w:rPr>
        <w:t xml:space="preserve"> </w:t>
      </w:r>
    </w:p>
    <w:p w14:paraId="44544473" w14:textId="42A8E432" w:rsidR="00094054" w:rsidRDefault="00192567" w:rsidP="000C5219">
      <w:pPr>
        <w:pStyle w:val="ListParagraph"/>
        <w:numPr>
          <w:ilvl w:val="0"/>
          <w:numId w:val="1"/>
        </w:numPr>
      </w:pPr>
      <w:r>
        <w:t>Do fundamental rights under the Constitution of Samoa</w:t>
      </w:r>
      <w:r>
        <w:rPr>
          <w:rFonts w:ascii="-webkit-standard" w:hAnsi="-webkit-standard"/>
          <w:color w:val="000000"/>
          <w:sz w:val="27"/>
          <w:szCs w:val="27"/>
        </w:rPr>
        <w:t>—</w:t>
      </w:r>
      <w:r w:rsidR="008B2B3D">
        <w:t>including the right to life, right to personal liberty, right to a fair trial, protections under criminal law and others, and the right to seek remedies for enforcing these rights apply to criminal convictions made by village councils or the LTC?</w:t>
      </w:r>
    </w:p>
    <w:p w14:paraId="4CC5D84B" w14:textId="00B63E3E" w:rsidR="00051994" w:rsidRDefault="00051994" w:rsidP="00051994">
      <w:pPr>
        <w:pStyle w:val="ListParagraph"/>
        <w:numPr>
          <w:ilvl w:val="0"/>
          <w:numId w:val="1"/>
        </w:numPr>
      </w:pPr>
      <w:r>
        <w:t xml:space="preserve">What are the rights of individuals wrongly convicted by village councils or the LTC to appeal? What is the process that should be followed? </w:t>
      </w:r>
    </w:p>
    <w:p w14:paraId="22191E7E" w14:textId="6794A68A" w:rsidR="00094054" w:rsidRDefault="00094054" w:rsidP="000C5219">
      <w:pPr>
        <w:pStyle w:val="ListParagraph"/>
        <w:numPr>
          <w:ilvl w:val="0"/>
          <w:numId w:val="1"/>
        </w:numPr>
      </w:pPr>
      <w:r>
        <w:t xml:space="preserve">What are the rights of individuals wrongly convicted by village councils or the LTC to seek remedies? What is the process that should be followed? </w:t>
      </w:r>
    </w:p>
    <w:p w14:paraId="14901C7F" w14:textId="56292E72" w:rsidR="00094054" w:rsidRDefault="00094054" w:rsidP="00094054">
      <w:pPr>
        <w:pStyle w:val="ListParagraph"/>
        <w:numPr>
          <w:ilvl w:val="0"/>
          <w:numId w:val="1"/>
        </w:numPr>
      </w:pPr>
      <w:r>
        <w:t>Does the Criminal Procedure Act of 2016 apply to the village councils and LTC</w:t>
      </w:r>
      <w:r w:rsidR="002A29B2">
        <w:t xml:space="preserve">?  </w:t>
      </w:r>
      <w:r>
        <w:t xml:space="preserve">If not, what are the equivalent rules or procedures? </w:t>
      </w:r>
    </w:p>
    <w:p w14:paraId="34E21ED2" w14:textId="22A829C9" w:rsidR="00094054" w:rsidRDefault="008B2B3D" w:rsidP="00094054">
      <w:pPr>
        <w:pStyle w:val="ListParagraph"/>
        <w:numPr>
          <w:ilvl w:val="0"/>
          <w:numId w:val="1"/>
        </w:numPr>
      </w:pPr>
      <w:r>
        <w:t>How can a judge be challenged regarding the outcome of a criminal case, for example, when it is believed they may lack impartiality or demonstrate a bias towards the government following the introduction of the Acts?</w:t>
      </w:r>
      <w:r w:rsidR="00094054">
        <w:t xml:space="preserve">  </w:t>
      </w:r>
    </w:p>
    <w:p w14:paraId="785289DB" w14:textId="7C47BD4E" w:rsidR="002A29B2" w:rsidRDefault="002A29B2" w:rsidP="000C5219">
      <w:pPr>
        <w:pStyle w:val="ListParagraph"/>
        <w:numPr>
          <w:ilvl w:val="0"/>
          <w:numId w:val="1"/>
        </w:numPr>
      </w:pPr>
      <w:r>
        <w:t xml:space="preserve">Have there been any incarcerated persons exonerated and freed based on existing legal provisions </w:t>
      </w:r>
      <w:r w:rsidR="00094054">
        <w:t>in Samoa, whether under the Supreme Court branch or the LTC branch</w:t>
      </w:r>
      <w:r>
        <w:t xml:space="preserve">?  Have </w:t>
      </w:r>
      <w:r w:rsidR="008B2B3D">
        <w:t>courts in Samoa denied any such motions</w:t>
      </w:r>
      <w:r>
        <w:t>?</w:t>
      </w:r>
    </w:p>
    <w:p w14:paraId="1F2E0313" w14:textId="77777777" w:rsidR="000C5219" w:rsidRDefault="00747EFE" w:rsidP="008B2B3D">
      <w:pPr>
        <w:pStyle w:val="ListParagraph"/>
        <w:numPr>
          <w:ilvl w:val="0"/>
          <w:numId w:val="1"/>
        </w:numPr>
      </w:pPr>
      <w:r>
        <w:t xml:space="preserve">If so, is there a deadline by which such a motion must be brought, or may an incarcerated person bring such a legal motion at any time?  </w:t>
      </w:r>
    </w:p>
    <w:p w14:paraId="4338A4CD" w14:textId="076B3DF1" w:rsidR="000C5219" w:rsidRDefault="00747EFE" w:rsidP="008B2B3D">
      <w:pPr>
        <w:pStyle w:val="ListParagraph"/>
        <w:numPr>
          <w:ilvl w:val="0"/>
          <w:numId w:val="1"/>
        </w:numPr>
      </w:pPr>
      <w:r>
        <w:t>If so, what is the legal standard that the incarcerated person must meet to re-open the case</w:t>
      </w:r>
      <w:r w:rsidR="00655B47">
        <w:t xml:space="preserve"> based on new evidence of innocence</w:t>
      </w:r>
      <w:r w:rsidR="002A29B2">
        <w:t>?</w:t>
      </w:r>
    </w:p>
    <w:p w14:paraId="6F172F73" w14:textId="220E9F99" w:rsidR="000C5219" w:rsidRDefault="00747EFE" w:rsidP="000C5219">
      <w:pPr>
        <w:pStyle w:val="ListParagraph"/>
        <w:numPr>
          <w:ilvl w:val="0"/>
          <w:numId w:val="1"/>
        </w:numPr>
      </w:pPr>
      <w:r>
        <w:lastRenderedPageBreak/>
        <w:t>Have any post-conviction motions presenting new evidence of innocence been successfully granted by a court in</w:t>
      </w:r>
      <w:r w:rsidR="00B90D4F">
        <w:t xml:space="preserve"> </w:t>
      </w:r>
      <w:r w:rsidR="00094054">
        <w:t>Samoa</w:t>
      </w:r>
      <w:r>
        <w:t xml:space="preserve">, resulting in the incarcerated person’s exoneration and freedom? </w:t>
      </w:r>
    </w:p>
    <w:p w14:paraId="67844CF4" w14:textId="7A4A3907" w:rsidR="00260B92" w:rsidRDefault="00747EFE" w:rsidP="00260B92">
      <w:pPr>
        <w:pStyle w:val="ListParagraph"/>
        <w:numPr>
          <w:ilvl w:val="0"/>
          <w:numId w:val="1"/>
        </w:numPr>
      </w:pPr>
      <w:r>
        <w:t xml:space="preserve">Does </w:t>
      </w:r>
      <w:r w:rsidR="00094054">
        <w:t>Samoa</w:t>
      </w:r>
      <w:r>
        <w:t xml:space="preserve"> maintain a DNA database related to criminal convictions? If so, which offenses qualify for inclusion in the database?</w:t>
      </w:r>
    </w:p>
    <w:p w14:paraId="59892859" w14:textId="77777777" w:rsidR="00260B92" w:rsidRDefault="00747EFE" w:rsidP="00260B92">
      <w:pPr>
        <w:pStyle w:val="ListParagraph"/>
        <w:numPr>
          <w:ilvl w:val="0"/>
          <w:numId w:val="1"/>
        </w:numPr>
      </w:pPr>
      <w:r>
        <w:t>Whose DNA profiles are included in such a database? How long are DNA profiles retained in such a database?</w:t>
      </w:r>
    </w:p>
    <w:p w14:paraId="7DDDB3E6" w14:textId="00EAD5D7" w:rsidR="000C5219" w:rsidRDefault="00747EFE" w:rsidP="000C5219">
      <w:pPr>
        <w:pStyle w:val="ListParagraph"/>
        <w:numPr>
          <w:ilvl w:val="0"/>
          <w:numId w:val="1"/>
        </w:numPr>
      </w:pPr>
      <w:r>
        <w:t xml:space="preserve">Does </w:t>
      </w:r>
      <w:r w:rsidR="00094054">
        <w:t>Samoa</w:t>
      </w:r>
      <w:r>
        <w:t xml:space="preserve"> have a law allowing incarcerated persons to petition for post-conviction DNA testing of crime scene evidence to prove innocence and seek relief?</w:t>
      </w:r>
    </w:p>
    <w:p w14:paraId="3D4B6907" w14:textId="10604738" w:rsidR="000C5219" w:rsidRDefault="00747EFE" w:rsidP="000C5219">
      <w:pPr>
        <w:pStyle w:val="ListParagraph"/>
        <w:numPr>
          <w:ilvl w:val="0"/>
          <w:numId w:val="1"/>
        </w:numPr>
      </w:pPr>
      <w:r>
        <w:t xml:space="preserve">Does </w:t>
      </w:r>
      <w:r w:rsidR="00094054">
        <w:t>Samoa</w:t>
      </w:r>
      <w:r>
        <w:t xml:space="preserve"> have a legal procedure requiring biological evidence collected from the crime scene to be preserved for future DNA testing?</w:t>
      </w:r>
    </w:p>
    <w:p w14:paraId="11090FBB" w14:textId="77777777" w:rsidR="000C5219" w:rsidRDefault="00747EFE" w:rsidP="000C5219">
      <w:pPr>
        <w:pStyle w:val="ListParagraph"/>
        <w:numPr>
          <w:ilvl w:val="0"/>
          <w:numId w:val="1"/>
        </w:numPr>
      </w:pPr>
      <w:r>
        <w:t>If so, how long must the biological evidence be preserved?</w:t>
      </w:r>
    </w:p>
    <w:p w14:paraId="23AD38C6" w14:textId="658373BD" w:rsidR="000C5219" w:rsidRDefault="00747EFE" w:rsidP="000C5219">
      <w:pPr>
        <w:pStyle w:val="ListParagraph"/>
        <w:numPr>
          <w:ilvl w:val="0"/>
          <w:numId w:val="1"/>
        </w:numPr>
      </w:pPr>
      <w:r>
        <w:t xml:space="preserve">Does </w:t>
      </w:r>
      <w:r w:rsidR="00051994">
        <w:t>Samoa</w:t>
      </w:r>
      <w:r>
        <w:t xml:space="preserve"> have a “sunshine law” or “public records law” granting defense attorneys, NGOs</w:t>
      </w:r>
      <w:r w:rsidR="00800BEC">
        <w:t>, journalists</w:t>
      </w:r>
      <w:r w:rsidR="008B2B3D">
        <w:t>,</w:t>
      </w:r>
      <w:r>
        <w:t xml:space="preserve"> or incarcerated persons access to police files and documents of an incarcerated person’s case post-conviction?</w:t>
      </w:r>
    </w:p>
    <w:p w14:paraId="4767D47A" w14:textId="73BD002C" w:rsidR="000C5219" w:rsidRDefault="00747EFE" w:rsidP="000C5219">
      <w:pPr>
        <w:pStyle w:val="ListParagraph"/>
        <w:numPr>
          <w:ilvl w:val="0"/>
          <w:numId w:val="1"/>
        </w:numPr>
      </w:pPr>
      <w:r>
        <w:t xml:space="preserve">Does </w:t>
      </w:r>
      <w:r w:rsidR="00051994">
        <w:t>Samoa</w:t>
      </w:r>
      <w:r>
        <w:t xml:space="preserve"> have a legal standard requiring the police and prosecution to disclose to the defense pre-trial any exculpatory evidence or other information helpful to the defense or </w:t>
      </w:r>
      <w:r w:rsidR="00800BEC">
        <w:t xml:space="preserve">that might lead to new avenues of </w:t>
      </w:r>
      <w:r>
        <w:t>pre-trial investigation that might be conducted by the defense?</w:t>
      </w:r>
      <w:r w:rsidR="005547E5">
        <w:t xml:space="preserve"> For the avoidance of doubt, this should cover all evidence, not only witness statements covered in section 46 of the Criminal Procedure Act 2016.</w:t>
      </w:r>
    </w:p>
    <w:p w14:paraId="754F3046" w14:textId="77777777" w:rsidR="000C5219" w:rsidRDefault="00747EFE" w:rsidP="000C5219">
      <w:pPr>
        <w:pStyle w:val="ListParagraph"/>
        <w:numPr>
          <w:ilvl w:val="0"/>
          <w:numId w:val="1"/>
        </w:numPr>
      </w:pPr>
      <w:r>
        <w:t>If so, what is the legal standard pertaining to this disclosure requirement?</w:t>
      </w:r>
    </w:p>
    <w:p w14:paraId="79FBD31B" w14:textId="243AAEBE" w:rsidR="000C5219" w:rsidRDefault="002A29B2" w:rsidP="000C5219">
      <w:pPr>
        <w:pStyle w:val="ListParagraph"/>
        <w:numPr>
          <w:ilvl w:val="0"/>
          <w:numId w:val="1"/>
        </w:numPr>
      </w:pPr>
      <w:r>
        <w:t xml:space="preserve">Has </w:t>
      </w:r>
      <w:r w:rsidR="00051994">
        <w:t>Samoa</w:t>
      </w:r>
      <w:r>
        <w:t xml:space="preserve"> ever provided compensation to a wrongfully convicted person</w:t>
      </w:r>
      <w:r>
        <w:rPr>
          <w:lang w:val="en-GB"/>
        </w:rPr>
        <w:t>?</w:t>
      </w:r>
    </w:p>
    <w:p w14:paraId="4CDE9F61" w14:textId="1E6721C1" w:rsidR="00800BEC" w:rsidRDefault="00747EFE" w:rsidP="000C5219">
      <w:pPr>
        <w:pStyle w:val="ListParagraph"/>
        <w:numPr>
          <w:ilvl w:val="0"/>
          <w:numId w:val="1"/>
        </w:numPr>
      </w:pPr>
      <w:r>
        <w:t xml:space="preserve">Does </w:t>
      </w:r>
      <w:r w:rsidR="00051994">
        <w:t>Samoa</w:t>
      </w:r>
      <w:r>
        <w:t xml:space="preserve"> have laws or regulations requiring the recording of police interrogation of suspects?  If so, please outline the requirements of such laws or regulations.</w:t>
      </w:r>
    </w:p>
    <w:p w14:paraId="13952DB9" w14:textId="1BCAB6F6" w:rsidR="00800BEC" w:rsidRDefault="00747EFE" w:rsidP="000C5219">
      <w:pPr>
        <w:pStyle w:val="ListParagraph"/>
        <w:numPr>
          <w:ilvl w:val="0"/>
          <w:numId w:val="1"/>
        </w:numPr>
      </w:pPr>
      <w:r>
        <w:t xml:space="preserve">Does </w:t>
      </w:r>
      <w:r w:rsidR="00051994">
        <w:t>Samoa</w:t>
      </w:r>
      <w:r>
        <w:t xml:space="preserve"> have laws or regulations ensuring that police identification procedures for eyewitnesses adhere to best practices devised by the scientific community, such as the double-blind eyewitness identification requirement?  </w:t>
      </w:r>
      <w:r w:rsidRPr="00800BEC">
        <w:rPr>
          <w:i/>
          <w:iCs/>
        </w:rPr>
        <w:t xml:space="preserve">See </w:t>
      </w:r>
      <w:hyperlink r:id="rId11" w:history="1">
        <w:r w:rsidR="00800BEC" w:rsidRPr="005D1707">
          <w:rPr>
            <w:rStyle w:val="Hyperlink"/>
          </w:rPr>
          <w:t>https://www.ojp.gov/ncjrs/virtual-library/abstracts/double-blind-sequential-police-lineup-procedures-toward-integrated</w:t>
        </w:r>
      </w:hyperlink>
    </w:p>
    <w:p w14:paraId="447A01F2" w14:textId="77777777" w:rsidR="003A19BF" w:rsidRDefault="003A19BF" w:rsidP="003A19BF">
      <w:pPr>
        <w:spacing w:after="0" w:line="240" w:lineRule="auto"/>
      </w:pPr>
    </w:p>
    <w:p w14:paraId="20E63C0D" w14:textId="77777777" w:rsidR="003A19BF" w:rsidRDefault="003A19BF" w:rsidP="003A19BF">
      <w:pPr>
        <w:spacing w:after="0" w:line="240" w:lineRule="auto"/>
      </w:pPr>
    </w:p>
    <w:p w14:paraId="59840A8E" w14:textId="3B9A751F" w:rsidR="003A19BF" w:rsidRDefault="003A19BF" w:rsidP="003A19BF">
      <w:pPr>
        <w:spacing w:after="0" w:line="240" w:lineRule="auto"/>
      </w:pPr>
      <w:r>
        <w:t>This document created by the following members of the WCILTF:</w:t>
      </w:r>
    </w:p>
    <w:p w14:paraId="42C18F66" w14:textId="77777777" w:rsidR="003A19BF" w:rsidRDefault="003A19BF" w:rsidP="003A19BF">
      <w:pPr>
        <w:spacing w:after="0" w:line="240" w:lineRule="auto"/>
      </w:pPr>
    </w:p>
    <w:p w14:paraId="6213206C" w14:textId="77777777" w:rsidR="003A19BF" w:rsidRDefault="003A19BF" w:rsidP="003A19BF">
      <w:pPr>
        <w:spacing w:after="0" w:line="240" w:lineRule="auto"/>
      </w:pPr>
      <w:r>
        <w:t>Rachel Lowe</w:t>
      </w:r>
    </w:p>
    <w:p w14:paraId="12CFA987" w14:textId="77777777" w:rsidR="003A19BF" w:rsidRDefault="003A19BF" w:rsidP="003A19BF">
      <w:pPr>
        <w:spacing w:after="0" w:line="240" w:lineRule="auto"/>
      </w:pPr>
      <w:r>
        <w:t>Special Regulatory Counsel</w:t>
      </w:r>
    </w:p>
    <w:p w14:paraId="43A74ECC" w14:textId="77777777" w:rsidR="003A19BF" w:rsidRDefault="003A19BF" w:rsidP="003A19BF">
      <w:pPr>
        <w:spacing w:after="0" w:line="240" w:lineRule="auto"/>
      </w:pPr>
      <w:r>
        <w:t>rlowe@proskauer.com</w:t>
      </w:r>
    </w:p>
    <w:p w14:paraId="0486CF24" w14:textId="77777777" w:rsidR="003A19BF" w:rsidRDefault="003A19BF" w:rsidP="003A19BF">
      <w:pPr>
        <w:spacing w:after="0" w:line="240" w:lineRule="auto"/>
      </w:pPr>
    </w:p>
    <w:p w14:paraId="42C54230" w14:textId="77777777" w:rsidR="003A19BF" w:rsidRDefault="003A19BF" w:rsidP="003A19BF">
      <w:pPr>
        <w:spacing w:after="0" w:line="240" w:lineRule="auto"/>
      </w:pPr>
      <w:r>
        <w:lastRenderedPageBreak/>
        <w:t xml:space="preserve">Luca </w:t>
      </w:r>
      <w:proofErr w:type="spellStart"/>
      <w:r>
        <w:t>Lupária</w:t>
      </w:r>
      <w:proofErr w:type="spellEnd"/>
      <w:r>
        <w:t xml:space="preserve"> </w:t>
      </w:r>
      <w:proofErr w:type="spellStart"/>
      <w:r>
        <w:t>Donati</w:t>
      </w:r>
      <w:proofErr w:type="spellEnd"/>
    </w:p>
    <w:p w14:paraId="2489086D" w14:textId="77777777" w:rsidR="003A19BF" w:rsidRDefault="003A19BF" w:rsidP="003A19BF">
      <w:pPr>
        <w:spacing w:after="0" w:line="240" w:lineRule="auto"/>
      </w:pPr>
      <w:r>
        <w:t>Full Professor of Criminal Procedure </w:t>
      </w:r>
    </w:p>
    <w:p w14:paraId="38150109" w14:textId="77777777" w:rsidR="003A19BF" w:rsidRDefault="003A19BF" w:rsidP="003A19BF">
      <w:pPr>
        <w:spacing w:after="0" w:line="240" w:lineRule="auto"/>
      </w:pPr>
      <w:r>
        <w:t>At the University of Milan</w:t>
      </w:r>
    </w:p>
    <w:p w14:paraId="18D57C08" w14:textId="77777777" w:rsidR="003A19BF" w:rsidRDefault="003A19BF" w:rsidP="003A19BF">
      <w:pPr>
        <w:spacing w:after="0" w:line="240" w:lineRule="auto"/>
      </w:pPr>
      <w:r>
        <w:t>Director of the Italy Innocence Project </w:t>
      </w:r>
    </w:p>
    <w:p w14:paraId="5103F681" w14:textId="77777777" w:rsidR="003A19BF" w:rsidRDefault="003A19BF" w:rsidP="003A19BF">
      <w:pPr>
        <w:spacing w:after="0" w:line="240" w:lineRule="auto"/>
      </w:pPr>
      <w:r>
        <w:t>luca.luparia@unimi.it</w:t>
      </w:r>
    </w:p>
    <w:p w14:paraId="2014842A" w14:textId="77777777" w:rsidR="003A19BF" w:rsidRDefault="003A19BF" w:rsidP="003A19BF">
      <w:pPr>
        <w:spacing w:after="0" w:line="240" w:lineRule="auto"/>
      </w:pPr>
    </w:p>
    <w:p w14:paraId="4E1EF5CE" w14:textId="02598CB4" w:rsidR="003A19BF" w:rsidRDefault="003A19BF" w:rsidP="003A19BF">
      <w:pPr>
        <w:spacing w:after="0" w:line="240" w:lineRule="auto"/>
      </w:pPr>
    </w:p>
    <w:p w14:paraId="14C8C2AB" w14:textId="77777777" w:rsidR="003A19BF" w:rsidRDefault="003A19BF" w:rsidP="003A19BF">
      <w:pPr>
        <w:spacing w:after="0" w:line="240" w:lineRule="auto"/>
      </w:pPr>
      <w:r>
        <w:t xml:space="preserve">Martina </w:t>
      </w:r>
      <w:proofErr w:type="spellStart"/>
      <w:r>
        <w:t>Cagossi</w:t>
      </w:r>
      <w:proofErr w:type="spellEnd"/>
    </w:p>
    <w:p w14:paraId="74E0E3FF" w14:textId="77777777" w:rsidR="003A19BF" w:rsidRDefault="003A19BF" w:rsidP="003A19BF">
      <w:pPr>
        <w:spacing w:after="0" w:line="240" w:lineRule="auto"/>
      </w:pPr>
      <w:r>
        <w:t>Criminal Attorney in Milan</w:t>
      </w:r>
    </w:p>
    <w:p w14:paraId="7297B195" w14:textId="77777777" w:rsidR="003A19BF" w:rsidRDefault="003A19BF" w:rsidP="003A19BF">
      <w:pPr>
        <w:spacing w:after="0" w:line="240" w:lineRule="auto"/>
      </w:pPr>
      <w:r>
        <w:t>Program Manager at the Italy Innocence</w:t>
      </w:r>
    </w:p>
    <w:p w14:paraId="40849C63" w14:textId="77777777" w:rsidR="003A19BF" w:rsidRDefault="003A19BF" w:rsidP="003A19BF">
      <w:pPr>
        <w:spacing w:after="0" w:line="240" w:lineRule="auto"/>
      </w:pPr>
      <w:r>
        <w:t>Project </w:t>
      </w:r>
    </w:p>
    <w:p w14:paraId="60BA8EAC" w14:textId="3A705429" w:rsidR="008447E6" w:rsidRDefault="003A19BF" w:rsidP="003A19BF">
      <w:pPr>
        <w:spacing w:after="0" w:line="240" w:lineRule="auto"/>
      </w:pPr>
      <w:r>
        <w:t>martina.cagossi@gmail.com</w:t>
      </w:r>
      <w:r w:rsidR="00747EFE">
        <w:t xml:space="preserve">           </w:t>
      </w:r>
    </w:p>
    <w:p w14:paraId="700040A9" w14:textId="77777777" w:rsidR="00F16460" w:rsidRDefault="00F16460" w:rsidP="00F16460">
      <w:pPr>
        <w:spacing w:after="0" w:line="240" w:lineRule="auto"/>
      </w:pPr>
    </w:p>
    <w:p w14:paraId="06FC8FF5" w14:textId="7C4C12DB" w:rsidR="00F16460" w:rsidRDefault="00430D5C" w:rsidP="00F16460">
      <w:pPr>
        <w:spacing w:after="0" w:line="240" w:lineRule="auto"/>
        <w:rPr>
          <w:sz w:val="20"/>
          <w:szCs w:val="20"/>
        </w:rPr>
      </w:pPr>
      <w:r>
        <w:tab/>
      </w:r>
    </w:p>
    <w:p w14:paraId="7E4A5BAA" w14:textId="77777777" w:rsidR="00F16460" w:rsidRPr="00F16460" w:rsidRDefault="00F16460" w:rsidP="00F16460">
      <w:pPr>
        <w:spacing w:after="0" w:line="240" w:lineRule="auto"/>
      </w:pPr>
    </w:p>
    <w:p w14:paraId="05AB769B" w14:textId="77777777" w:rsidR="002313BE" w:rsidRDefault="00747EFE">
      <w:r>
        <w:t xml:space="preserve">To </w:t>
      </w:r>
      <w:r w:rsidR="00800BEC">
        <w:t>contact</w:t>
      </w:r>
      <w:r>
        <w:t xml:space="preserve"> the WCILTF</w:t>
      </w:r>
      <w:r w:rsidR="00800BEC">
        <w:t xml:space="preserve"> generally</w:t>
      </w:r>
      <w:r>
        <w:t>, please email:</w:t>
      </w:r>
    </w:p>
    <w:p w14:paraId="1DF1D6BA" w14:textId="77777777" w:rsidR="000C5219" w:rsidRDefault="00747EFE">
      <w:r w:rsidRPr="000C5219">
        <w:t>Prof. dr. </w:t>
      </w:r>
      <w:proofErr w:type="spellStart"/>
      <w:r w:rsidRPr="000C5219">
        <w:t>mr.</w:t>
      </w:r>
      <w:proofErr w:type="spellEnd"/>
      <w:r w:rsidRPr="000C5219">
        <w:t> G.J. Alexander </w:t>
      </w:r>
      <w:proofErr w:type="spellStart"/>
      <w:r w:rsidRPr="000C5219">
        <w:t>Knoops</w:t>
      </w:r>
      <w:proofErr w:type="spellEnd"/>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61C75CCF" w14:textId="0A016157" w:rsidR="000C5219" w:rsidRDefault="000C5219">
      <w:hyperlink r:id="rId12" w:history="1">
        <w:r w:rsidRPr="005D1707">
          <w:rPr>
            <w:rStyle w:val="Hyperlink"/>
          </w:rPr>
          <w:t>alex@knoopsadvocaten.nl</w:t>
        </w:r>
      </w:hyperlink>
      <w:r>
        <w:tab/>
      </w:r>
      <w:r>
        <w:tab/>
      </w:r>
      <w:r>
        <w:tab/>
      </w:r>
      <w:r>
        <w:tab/>
      </w:r>
      <w:hyperlink r:id="rId13" w:history="1">
        <w:r w:rsidR="00051994" w:rsidRPr="00012E00">
          <w:rPr>
            <w:rStyle w:val="Hyperlink"/>
          </w:rPr>
          <w:t>markgodsey@gmail.com</w:t>
        </w:r>
      </w:hyperlink>
      <w:r w:rsidR="00051994">
        <w:t xml:space="preserve"> </w:t>
      </w:r>
    </w:p>
    <w:p w14:paraId="384056BA" w14:textId="77777777" w:rsidR="000C5219" w:rsidRDefault="000C5219"/>
    <w:sectPr w:rsidR="000C5219" w:rsidSect="000C5219">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5613D" w14:textId="77777777" w:rsidR="005A7FAA" w:rsidRDefault="005A7FAA">
      <w:pPr>
        <w:spacing w:after="0" w:line="240" w:lineRule="auto"/>
      </w:pPr>
      <w:r>
        <w:separator/>
      </w:r>
    </w:p>
  </w:endnote>
  <w:endnote w:type="continuationSeparator" w:id="0">
    <w:p w14:paraId="73B9376A" w14:textId="77777777" w:rsidR="005A7FAA" w:rsidRDefault="005A7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47619746"/>
      <w:docPartObj>
        <w:docPartGallery w:val="Page Numbers (Bottom of Page)"/>
        <w:docPartUnique/>
      </w:docPartObj>
    </w:sdtPr>
    <w:sdtContent>
      <w:p w14:paraId="00F6DF6E" w14:textId="77777777" w:rsidR="000C5219" w:rsidRDefault="00747EFE"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9E63270"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98667112"/>
      <w:docPartObj>
        <w:docPartGallery w:val="Page Numbers (Bottom of Page)"/>
        <w:docPartUnique/>
      </w:docPartObj>
    </w:sdtPr>
    <w:sdtContent>
      <w:p w14:paraId="705EE24F" w14:textId="77777777" w:rsidR="000C5219" w:rsidRDefault="00747EFE"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31CF3F1" w14:textId="77777777" w:rsidR="008D1B03" w:rsidRDefault="008D1B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7BB81" w14:textId="77777777" w:rsidR="008D1B03" w:rsidRDefault="008D1B03">
    <w:pPr>
      <w:pStyle w:val="Footer"/>
    </w:pPr>
  </w:p>
  <w:p w14:paraId="51210307" w14:textId="77777777" w:rsidR="008D1B03" w:rsidRDefault="00747EFE" w:rsidP="008D1B03">
    <w:pPr>
      <w:pStyle w:val="Footer"/>
    </w:pPr>
    <w:r>
      <w:rPr>
        <w:rFonts w:ascii="Arial" w:hAnsi="Arial" w:cs="Arial"/>
        <w:sz w:val="17"/>
      </w:rPr>
      <w:fldChar w:fldCharType="begin"/>
    </w:r>
    <w:r>
      <w:rPr>
        <w:rFonts w:ascii="Arial" w:hAnsi="Arial" w:cs="Arial"/>
        <w:sz w:val="17"/>
      </w:rPr>
      <w:instrText xml:space="preserve"> </w:instrText>
    </w:r>
    <w:r w:rsidRPr="008D1B03">
      <w:rPr>
        <w:rFonts w:ascii="Arial" w:hAnsi="Arial" w:cs="Arial"/>
        <w:sz w:val="17"/>
      </w:rPr>
      <w:instrText>IF "1" = "1" "11892/89999-588 CURRENT/149702064v2</w:instrText>
    </w:r>
    <w:r w:rsidRPr="008D1B03">
      <w:rPr>
        <w:rFonts w:ascii="Arial" w:hAnsi="Arial" w:cs="Arial"/>
        <w:sz w:val="17"/>
      </w:rPr>
      <w:tab/>
    </w:r>
    <w:r w:rsidRPr="008D1B03">
      <w:rPr>
        <w:rFonts w:ascii="Arial" w:hAnsi="Arial" w:cs="Arial"/>
        <w:sz w:val="17"/>
      </w:rPr>
      <w:tab/>
      <w:instrText>12/31/2024 3:22 PM" ""</w:instrText>
    </w:r>
    <w:r>
      <w:rPr>
        <w:rFonts w:ascii="Arial" w:hAnsi="Arial" w:cs="Arial"/>
        <w:sz w:val="17"/>
      </w:rPr>
      <w:instrText xml:space="preserve"> </w:instrText>
    </w:r>
    <w:r>
      <w:rPr>
        <w:rFonts w:ascii="Arial" w:hAnsi="Arial" w:cs="Arial"/>
        <w:sz w:val="17"/>
      </w:rPr>
      <w:fldChar w:fldCharType="separate"/>
    </w:r>
    <w:r w:rsidR="00F576E0">
      <w:rPr>
        <w:rFonts w:ascii="Arial" w:hAnsi="Arial" w:cs="Arial"/>
        <w:noProof/>
        <w:sz w:val="17"/>
      </w:rPr>
      <w:t>11892/89999-588 CURRENT/149702064v2</w:t>
    </w:r>
    <w:r w:rsidR="00F576E0">
      <w:rPr>
        <w:rFonts w:ascii="Arial" w:hAnsi="Arial" w:cs="Arial"/>
        <w:noProof/>
        <w:sz w:val="17"/>
      </w:rPr>
      <w:tab/>
    </w:r>
    <w:r w:rsidR="00F576E0">
      <w:rPr>
        <w:rFonts w:ascii="Arial" w:hAnsi="Arial" w:cs="Arial"/>
        <w:noProof/>
        <w:sz w:val="17"/>
      </w:rPr>
      <w:tab/>
      <w:t>12/31/2024 3:22 PM</w:t>
    </w:r>
    <w:r>
      <w:rPr>
        <w:rFonts w:ascii="Arial" w:hAnsi="Arial" w:cs="Arial"/>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58966" w14:textId="77777777" w:rsidR="005A7FAA" w:rsidRDefault="005A7FAA">
      <w:pPr>
        <w:spacing w:after="0" w:line="240" w:lineRule="auto"/>
      </w:pPr>
      <w:r>
        <w:separator/>
      </w:r>
    </w:p>
  </w:footnote>
  <w:footnote w:type="continuationSeparator" w:id="0">
    <w:p w14:paraId="233008E1" w14:textId="77777777" w:rsidR="005A7FAA" w:rsidRDefault="005A7FAA">
      <w:pPr>
        <w:spacing w:after="0" w:line="240" w:lineRule="auto"/>
      </w:pPr>
      <w:r>
        <w:continuationSeparator/>
      </w:r>
    </w:p>
  </w:footnote>
  <w:footnote w:id="1">
    <w:p w14:paraId="0313E8A4" w14:textId="77777777" w:rsidR="00094054" w:rsidRPr="00094054" w:rsidRDefault="00094054" w:rsidP="00094054">
      <w:pPr>
        <w:pStyle w:val="FootnoteText"/>
        <w:rPr>
          <w:rFonts w:asciiTheme="minorHAnsi" w:hAnsiTheme="minorHAnsi"/>
          <w:lang w:val="en-GB"/>
        </w:rPr>
      </w:pPr>
      <w:r>
        <w:rPr>
          <w:rStyle w:val="FootnoteReference"/>
        </w:rPr>
        <w:footnoteRef/>
      </w:r>
      <w:r>
        <w:t xml:space="preserve"> </w:t>
      </w:r>
      <w:hyperlink r:id="rId1" w:history="1">
        <w:r w:rsidRPr="00094054">
          <w:rPr>
            <w:rStyle w:val="Hyperlink"/>
            <w:rFonts w:asciiTheme="minorHAnsi" w:eastAsiaTheme="majorEastAsia" w:hAnsiTheme="minorHAnsi"/>
          </w:rPr>
          <w:t>JS4_UPR39_WSM_E_Main.pdf</w:t>
        </w:r>
      </w:hyperlink>
      <w:r w:rsidRPr="00094054">
        <w:rPr>
          <w:rFonts w:asciiTheme="minorHAnsi" w:hAnsiTheme="minorHAnsi"/>
        </w:rPr>
        <w:t>, page 5</w:t>
      </w:r>
    </w:p>
  </w:footnote>
  <w:footnote w:id="2">
    <w:p w14:paraId="2DD086A7" w14:textId="77777777" w:rsidR="00094054" w:rsidRPr="00AA5FBB" w:rsidRDefault="00094054" w:rsidP="00094054">
      <w:pPr>
        <w:pStyle w:val="FootnoteText"/>
        <w:rPr>
          <w:lang w:val="en-GB"/>
        </w:rPr>
      </w:pPr>
      <w:r w:rsidRPr="00094054">
        <w:rPr>
          <w:rStyle w:val="FootnoteReference"/>
          <w:rFonts w:asciiTheme="minorHAnsi" w:hAnsiTheme="minorHAnsi"/>
        </w:rPr>
        <w:footnoteRef/>
      </w:r>
      <w:r w:rsidRPr="00094054">
        <w:rPr>
          <w:rFonts w:asciiTheme="minorHAnsi" w:hAnsiTheme="minorHAnsi"/>
        </w:rPr>
        <w:t xml:space="preserve"> </w:t>
      </w:r>
      <w:hyperlink r:id="rId2" w:history="1">
        <w:r w:rsidRPr="00094054">
          <w:rPr>
            <w:rStyle w:val="Hyperlink"/>
            <w:rFonts w:asciiTheme="minorHAnsi" w:hAnsiTheme="minorHAnsi"/>
          </w:rPr>
          <w:t>https://www.state.gov/reports/2022-country-reports-on-human-rights-practices/samoa</w:t>
        </w:r>
      </w:hyperlink>
      <w:r>
        <w:t xml:space="preserve"> </w:t>
      </w:r>
    </w:p>
  </w:footnote>
  <w:footnote w:id="3">
    <w:p w14:paraId="33CA7944" w14:textId="77777777" w:rsidR="00094054" w:rsidRPr="00094054" w:rsidRDefault="00094054" w:rsidP="00094054">
      <w:pPr>
        <w:pStyle w:val="FootnoteText"/>
        <w:rPr>
          <w:rFonts w:asciiTheme="minorHAnsi" w:hAnsiTheme="minorHAnsi"/>
          <w:lang w:val="en-GB"/>
        </w:rPr>
      </w:pPr>
      <w:r w:rsidRPr="00094054">
        <w:rPr>
          <w:rStyle w:val="FootnoteReference"/>
          <w:rFonts w:asciiTheme="minorHAnsi" w:hAnsiTheme="minorHAnsi"/>
        </w:rPr>
        <w:footnoteRef/>
      </w:r>
      <w:r w:rsidRPr="00094054">
        <w:rPr>
          <w:rFonts w:asciiTheme="minorHAnsi" w:hAnsiTheme="minorHAnsi"/>
        </w:rPr>
        <w:t xml:space="preserve"> </w:t>
      </w:r>
      <w:hyperlink r:id="rId3" w:history="1">
        <w:r w:rsidRPr="00094054">
          <w:rPr>
            <w:rStyle w:val="Hyperlink"/>
            <w:rFonts w:asciiTheme="minorHAnsi" w:eastAsiaTheme="majorEastAsia" w:hAnsiTheme="minorHAnsi"/>
          </w:rPr>
          <w:t>JS4_UPR39_WSM_E_Main.pdf</w:t>
        </w:r>
      </w:hyperlink>
      <w:r w:rsidRPr="00094054">
        <w:rPr>
          <w:rFonts w:asciiTheme="minorHAnsi" w:hAnsiTheme="minorHAnsi"/>
        </w:rPr>
        <w:t>, page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9BC97" w14:textId="77777777" w:rsidR="00747EFE" w:rsidRDefault="00747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79C19" w14:textId="77777777" w:rsidR="00747EFE" w:rsidRDefault="00747E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708B5" w14:textId="77777777" w:rsidR="00747EFE" w:rsidRDefault="00747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05F8B"/>
    <w:multiLevelType w:val="hybridMultilevel"/>
    <w:tmpl w:val="BDDE6848"/>
    <w:lvl w:ilvl="0" w:tplc="8A3EE12E">
      <w:start w:val="1"/>
      <w:numFmt w:val="decimal"/>
      <w:lvlText w:val="%1."/>
      <w:lvlJc w:val="left"/>
      <w:pPr>
        <w:ind w:left="720" w:hanging="360"/>
      </w:pPr>
      <w:rPr>
        <w:rFonts w:hint="default"/>
      </w:rPr>
    </w:lvl>
    <w:lvl w:ilvl="1" w:tplc="46104A38" w:tentative="1">
      <w:start w:val="1"/>
      <w:numFmt w:val="lowerLetter"/>
      <w:lvlText w:val="%2."/>
      <w:lvlJc w:val="left"/>
      <w:pPr>
        <w:ind w:left="1440" w:hanging="360"/>
      </w:pPr>
    </w:lvl>
    <w:lvl w:ilvl="2" w:tplc="931ACA52" w:tentative="1">
      <w:start w:val="1"/>
      <w:numFmt w:val="lowerRoman"/>
      <w:lvlText w:val="%3."/>
      <w:lvlJc w:val="right"/>
      <w:pPr>
        <w:ind w:left="2160" w:hanging="180"/>
      </w:pPr>
    </w:lvl>
    <w:lvl w:ilvl="3" w:tplc="6720C4B0" w:tentative="1">
      <w:start w:val="1"/>
      <w:numFmt w:val="decimal"/>
      <w:lvlText w:val="%4."/>
      <w:lvlJc w:val="left"/>
      <w:pPr>
        <w:ind w:left="2880" w:hanging="360"/>
      </w:pPr>
    </w:lvl>
    <w:lvl w:ilvl="4" w:tplc="344A4382" w:tentative="1">
      <w:start w:val="1"/>
      <w:numFmt w:val="lowerLetter"/>
      <w:lvlText w:val="%5."/>
      <w:lvlJc w:val="left"/>
      <w:pPr>
        <w:ind w:left="3600" w:hanging="360"/>
      </w:pPr>
    </w:lvl>
    <w:lvl w:ilvl="5" w:tplc="1E2E29F6" w:tentative="1">
      <w:start w:val="1"/>
      <w:numFmt w:val="lowerRoman"/>
      <w:lvlText w:val="%6."/>
      <w:lvlJc w:val="right"/>
      <w:pPr>
        <w:ind w:left="4320" w:hanging="180"/>
      </w:pPr>
    </w:lvl>
    <w:lvl w:ilvl="6" w:tplc="1B3E76FE" w:tentative="1">
      <w:start w:val="1"/>
      <w:numFmt w:val="decimal"/>
      <w:lvlText w:val="%7."/>
      <w:lvlJc w:val="left"/>
      <w:pPr>
        <w:ind w:left="5040" w:hanging="360"/>
      </w:pPr>
    </w:lvl>
    <w:lvl w:ilvl="7" w:tplc="93629F30" w:tentative="1">
      <w:start w:val="1"/>
      <w:numFmt w:val="lowerLetter"/>
      <w:lvlText w:val="%8."/>
      <w:lvlJc w:val="left"/>
      <w:pPr>
        <w:ind w:left="5760" w:hanging="360"/>
      </w:pPr>
    </w:lvl>
    <w:lvl w:ilvl="8" w:tplc="748EE5E6" w:tentative="1">
      <w:start w:val="1"/>
      <w:numFmt w:val="lowerRoman"/>
      <w:lvlText w:val="%9."/>
      <w:lvlJc w:val="right"/>
      <w:pPr>
        <w:ind w:left="6480" w:hanging="180"/>
      </w:pPr>
    </w:lvl>
  </w:abstractNum>
  <w:abstractNum w:abstractNumId="1" w15:restartNumberingAfterBreak="0">
    <w:nsid w:val="292B1C72"/>
    <w:multiLevelType w:val="hybridMultilevel"/>
    <w:tmpl w:val="DE26E83A"/>
    <w:lvl w:ilvl="0" w:tplc="DDAEE502">
      <w:start w:val="1"/>
      <w:numFmt w:val="upperRoman"/>
      <w:lvlText w:val="%1."/>
      <w:lvlJc w:val="left"/>
      <w:pPr>
        <w:ind w:left="1080" w:hanging="720"/>
      </w:pPr>
      <w:rPr>
        <w:rFonts w:hint="default"/>
      </w:rPr>
    </w:lvl>
    <w:lvl w:ilvl="1" w:tplc="119AB7BA" w:tentative="1">
      <w:start w:val="1"/>
      <w:numFmt w:val="lowerLetter"/>
      <w:lvlText w:val="%2."/>
      <w:lvlJc w:val="left"/>
      <w:pPr>
        <w:ind w:left="1440" w:hanging="360"/>
      </w:pPr>
    </w:lvl>
    <w:lvl w:ilvl="2" w:tplc="0688E7BE" w:tentative="1">
      <w:start w:val="1"/>
      <w:numFmt w:val="lowerRoman"/>
      <w:lvlText w:val="%3."/>
      <w:lvlJc w:val="right"/>
      <w:pPr>
        <w:ind w:left="2160" w:hanging="180"/>
      </w:pPr>
    </w:lvl>
    <w:lvl w:ilvl="3" w:tplc="EEB06430" w:tentative="1">
      <w:start w:val="1"/>
      <w:numFmt w:val="decimal"/>
      <w:lvlText w:val="%4."/>
      <w:lvlJc w:val="left"/>
      <w:pPr>
        <w:ind w:left="2880" w:hanging="360"/>
      </w:pPr>
    </w:lvl>
    <w:lvl w:ilvl="4" w:tplc="0234FD9A" w:tentative="1">
      <w:start w:val="1"/>
      <w:numFmt w:val="lowerLetter"/>
      <w:lvlText w:val="%5."/>
      <w:lvlJc w:val="left"/>
      <w:pPr>
        <w:ind w:left="3600" w:hanging="360"/>
      </w:pPr>
    </w:lvl>
    <w:lvl w:ilvl="5" w:tplc="91EC8EE4" w:tentative="1">
      <w:start w:val="1"/>
      <w:numFmt w:val="lowerRoman"/>
      <w:lvlText w:val="%6."/>
      <w:lvlJc w:val="right"/>
      <w:pPr>
        <w:ind w:left="4320" w:hanging="180"/>
      </w:pPr>
    </w:lvl>
    <w:lvl w:ilvl="6" w:tplc="3D182704" w:tentative="1">
      <w:start w:val="1"/>
      <w:numFmt w:val="decimal"/>
      <w:lvlText w:val="%7."/>
      <w:lvlJc w:val="left"/>
      <w:pPr>
        <w:ind w:left="5040" w:hanging="360"/>
      </w:pPr>
    </w:lvl>
    <w:lvl w:ilvl="7" w:tplc="48346C60" w:tentative="1">
      <w:start w:val="1"/>
      <w:numFmt w:val="lowerLetter"/>
      <w:lvlText w:val="%8."/>
      <w:lvlJc w:val="left"/>
      <w:pPr>
        <w:ind w:left="5760" w:hanging="360"/>
      </w:pPr>
    </w:lvl>
    <w:lvl w:ilvl="8" w:tplc="12B2BA9C" w:tentative="1">
      <w:start w:val="1"/>
      <w:numFmt w:val="lowerRoman"/>
      <w:lvlText w:val="%9."/>
      <w:lvlJc w:val="right"/>
      <w:pPr>
        <w:ind w:left="6480" w:hanging="180"/>
      </w:pPr>
    </w:lvl>
  </w:abstractNum>
  <w:abstractNum w:abstractNumId="2" w15:restartNumberingAfterBreak="0">
    <w:nsid w:val="7DA741D6"/>
    <w:multiLevelType w:val="hybridMultilevel"/>
    <w:tmpl w:val="10E4368E"/>
    <w:lvl w:ilvl="0" w:tplc="128856CC">
      <w:start w:val="1"/>
      <w:numFmt w:val="decimal"/>
      <w:lvlText w:val="%1."/>
      <w:lvlJc w:val="left"/>
      <w:pPr>
        <w:ind w:left="720" w:hanging="360"/>
      </w:pPr>
      <w:rPr>
        <w:rFonts w:hint="default"/>
      </w:rPr>
    </w:lvl>
    <w:lvl w:ilvl="1" w:tplc="4D588552">
      <w:start w:val="1"/>
      <w:numFmt w:val="lowerLetter"/>
      <w:lvlText w:val="%2."/>
      <w:lvlJc w:val="left"/>
      <w:pPr>
        <w:ind w:left="1440" w:hanging="360"/>
      </w:pPr>
    </w:lvl>
    <w:lvl w:ilvl="2" w:tplc="05D4DB5E">
      <w:start w:val="1"/>
      <w:numFmt w:val="lowerRoman"/>
      <w:lvlText w:val="%3."/>
      <w:lvlJc w:val="right"/>
      <w:pPr>
        <w:ind w:left="2160" w:hanging="180"/>
      </w:pPr>
    </w:lvl>
    <w:lvl w:ilvl="3" w:tplc="655E65CE" w:tentative="1">
      <w:start w:val="1"/>
      <w:numFmt w:val="decimal"/>
      <w:lvlText w:val="%4."/>
      <w:lvlJc w:val="left"/>
      <w:pPr>
        <w:ind w:left="2880" w:hanging="360"/>
      </w:pPr>
    </w:lvl>
    <w:lvl w:ilvl="4" w:tplc="1AA698A8" w:tentative="1">
      <w:start w:val="1"/>
      <w:numFmt w:val="lowerLetter"/>
      <w:lvlText w:val="%5."/>
      <w:lvlJc w:val="left"/>
      <w:pPr>
        <w:ind w:left="3600" w:hanging="360"/>
      </w:pPr>
    </w:lvl>
    <w:lvl w:ilvl="5" w:tplc="06ECDE0C" w:tentative="1">
      <w:start w:val="1"/>
      <w:numFmt w:val="lowerRoman"/>
      <w:lvlText w:val="%6."/>
      <w:lvlJc w:val="right"/>
      <w:pPr>
        <w:ind w:left="4320" w:hanging="180"/>
      </w:pPr>
    </w:lvl>
    <w:lvl w:ilvl="6" w:tplc="0BDEB7B2" w:tentative="1">
      <w:start w:val="1"/>
      <w:numFmt w:val="decimal"/>
      <w:lvlText w:val="%7."/>
      <w:lvlJc w:val="left"/>
      <w:pPr>
        <w:ind w:left="5040" w:hanging="360"/>
      </w:pPr>
    </w:lvl>
    <w:lvl w:ilvl="7" w:tplc="BFF2624C" w:tentative="1">
      <w:start w:val="1"/>
      <w:numFmt w:val="lowerLetter"/>
      <w:lvlText w:val="%8."/>
      <w:lvlJc w:val="left"/>
      <w:pPr>
        <w:ind w:left="5760" w:hanging="360"/>
      </w:pPr>
    </w:lvl>
    <w:lvl w:ilvl="8" w:tplc="52E47260" w:tentative="1">
      <w:start w:val="1"/>
      <w:numFmt w:val="lowerRoman"/>
      <w:lvlText w:val="%9."/>
      <w:lvlJc w:val="right"/>
      <w:pPr>
        <w:ind w:left="6480" w:hanging="180"/>
      </w:pPr>
    </w:lvl>
  </w:abstractNum>
  <w:num w:numId="1" w16cid:durableId="1605841250">
    <w:abstractNumId w:val="2"/>
  </w:num>
  <w:num w:numId="2" w16cid:durableId="592861222">
    <w:abstractNumId w:val="1"/>
  </w:num>
  <w:num w:numId="3" w16cid:durableId="206078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30E6C"/>
    <w:rsid w:val="00047674"/>
    <w:rsid w:val="00051994"/>
    <w:rsid w:val="00073D26"/>
    <w:rsid w:val="00094054"/>
    <w:rsid w:val="00097E72"/>
    <w:rsid w:val="000C5219"/>
    <w:rsid w:val="000F3986"/>
    <w:rsid w:val="00110325"/>
    <w:rsid w:val="00132B94"/>
    <w:rsid w:val="00136311"/>
    <w:rsid w:val="00192567"/>
    <w:rsid w:val="001A43A6"/>
    <w:rsid w:val="001B4EAA"/>
    <w:rsid w:val="001C2CCB"/>
    <w:rsid w:val="001C2E2B"/>
    <w:rsid w:val="001C4D75"/>
    <w:rsid w:val="00201457"/>
    <w:rsid w:val="002301C1"/>
    <w:rsid w:val="002313BE"/>
    <w:rsid w:val="00250EF2"/>
    <w:rsid w:val="00260B92"/>
    <w:rsid w:val="00270BBC"/>
    <w:rsid w:val="00284980"/>
    <w:rsid w:val="002A29B2"/>
    <w:rsid w:val="00331549"/>
    <w:rsid w:val="0038332D"/>
    <w:rsid w:val="00385645"/>
    <w:rsid w:val="003A19BF"/>
    <w:rsid w:val="003E1FB6"/>
    <w:rsid w:val="00415BA4"/>
    <w:rsid w:val="00420568"/>
    <w:rsid w:val="00430D5C"/>
    <w:rsid w:val="0045094F"/>
    <w:rsid w:val="004777D1"/>
    <w:rsid w:val="004D227A"/>
    <w:rsid w:val="004D68AB"/>
    <w:rsid w:val="004E55CE"/>
    <w:rsid w:val="005036AB"/>
    <w:rsid w:val="00525E80"/>
    <w:rsid w:val="00530D8D"/>
    <w:rsid w:val="00552518"/>
    <w:rsid w:val="005547E5"/>
    <w:rsid w:val="005A7FAA"/>
    <w:rsid w:val="005D1707"/>
    <w:rsid w:val="005E2A9D"/>
    <w:rsid w:val="00626DD3"/>
    <w:rsid w:val="00655B47"/>
    <w:rsid w:val="00744661"/>
    <w:rsid w:val="00747EFE"/>
    <w:rsid w:val="00754C37"/>
    <w:rsid w:val="00771DF1"/>
    <w:rsid w:val="00797147"/>
    <w:rsid w:val="007C68B3"/>
    <w:rsid w:val="007D135E"/>
    <w:rsid w:val="007D3675"/>
    <w:rsid w:val="00800BEC"/>
    <w:rsid w:val="0081486A"/>
    <w:rsid w:val="008321B4"/>
    <w:rsid w:val="00836E91"/>
    <w:rsid w:val="008447E6"/>
    <w:rsid w:val="00857488"/>
    <w:rsid w:val="00860392"/>
    <w:rsid w:val="008B2B3D"/>
    <w:rsid w:val="008B7BF8"/>
    <w:rsid w:val="008B7EE3"/>
    <w:rsid w:val="008D1B03"/>
    <w:rsid w:val="008D7911"/>
    <w:rsid w:val="00906FE6"/>
    <w:rsid w:val="00986751"/>
    <w:rsid w:val="009926A0"/>
    <w:rsid w:val="009B4CB2"/>
    <w:rsid w:val="009F06D8"/>
    <w:rsid w:val="00A606CC"/>
    <w:rsid w:val="00A906D5"/>
    <w:rsid w:val="00AA1829"/>
    <w:rsid w:val="00B40357"/>
    <w:rsid w:val="00B42F90"/>
    <w:rsid w:val="00B90D4F"/>
    <w:rsid w:val="00BA5B95"/>
    <w:rsid w:val="00BC5953"/>
    <w:rsid w:val="00BC74E4"/>
    <w:rsid w:val="00BE62B9"/>
    <w:rsid w:val="00BE7311"/>
    <w:rsid w:val="00BF7A85"/>
    <w:rsid w:val="00C55963"/>
    <w:rsid w:val="00D20BCC"/>
    <w:rsid w:val="00D65DFC"/>
    <w:rsid w:val="00D6778E"/>
    <w:rsid w:val="00E459E2"/>
    <w:rsid w:val="00E76A92"/>
    <w:rsid w:val="00EA1D11"/>
    <w:rsid w:val="00EA49D3"/>
    <w:rsid w:val="00EB1A14"/>
    <w:rsid w:val="00EC70B6"/>
    <w:rsid w:val="00EE574B"/>
    <w:rsid w:val="00F14C77"/>
    <w:rsid w:val="00F16460"/>
    <w:rsid w:val="00F502E3"/>
    <w:rsid w:val="00F576E0"/>
    <w:rsid w:val="00F720B5"/>
    <w:rsid w:val="00F949D9"/>
    <w:rsid w:val="00FE272E"/>
    <w:rsid w:val="00FE40F3"/>
    <w:rsid w:val="00FE7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85B28"/>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 w:type="paragraph" w:styleId="Header">
    <w:name w:val="header"/>
    <w:basedOn w:val="Normal"/>
    <w:link w:val="HeaderChar"/>
    <w:uiPriority w:val="99"/>
    <w:unhideWhenUsed/>
    <w:rsid w:val="008D1B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1B03"/>
  </w:style>
  <w:style w:type="character" w:styleId="CommentReference">
    <w:name w:val="annotation reference"/>
    <w:basedOn w:val="DefaultParagraphFont"/>
    <w:uiPriority w:val="99"/>
    <w:semiHidden/>
    <w:unhideWhenUsed/>
    <w:rsid w:val="00F502E3"/>
    <w:rPr>
      <w:sz w:val="16"/>
      <w:szCs w:val="16"/>
    </w:rPr>
  </w:style>
  <w:style w:type="paragraph" w:styleId="CommentText">
    <w:name w:val="annotation text"/>
    <w:basedOn w:val="Normal"/>
    <w:link w:val="CommentTextChar"/>
    <w:uiPriority w:val="99"/>
    <w:unhideWhenUsed/>
    <w:rsid w:val="00F502E3"/>
    <w:pPr>
      <w:spacing w:line="240" w:lineRule="auto"/>
    </w:pPr>
    <w:rPr>
      <w:sz w:val="20"/>
      <w:szCs w:val="20"/>
    </w:rPr>
  </w:style>
  <w:style w:type="character" w:customStyle="1" w:styleId="CommentTextChar">
    <w:name w:val="Comment Text Char"/>
    <w:basedOn w:val="DefaultParagraphFont"/>
    <w:link w:val="CommentText"/>
    <w:uiPriority w:val="99"/>
    <w:rsid w:val="00F502E3"/>
    <w:rPr>
      <w:sz w:val="20"/>
      <w:szCs w:val="20"/>
    </w:rPr>
  </w:style>
  <w:style w:type="paragraph" w:styleId="CommentSubject">
    <w:name w:val="annotation subject"/>
    <w:basedOn w:val="CommentText"/>
    <w:next w:val="CommentText"/>
    <w:link w:val="CommentSubjectChar"/>
    <w:uiPriority w:val="99"/>
    <w:semiHidden/>
    <w:unhideWhenUsed/>
    <w:rsid w:val="00F502E3"/>
    <w:rPr>
      <w:b/>
      <w:bCs/>
    </w:rPr>
  </w:style>
  <w:style w:type="character" w:customStyle="1" w:styleId="CommentSubjectChar">
    <w:name w:val="Comment Subject Char"/>
    <w:basedOn w:val="CommentTextChar"/>
    <w:link w:val="CommentSubject"/>
    <w:uiPriority w:val="99"/>
    <w:semiHidden/>
    <w:rsid w:val="00F502E3"/>
    <w:rPr>
      <w:b/>
      <w:bCs/>
      <w:sz w:val="20"/>
      <w:szCs w:val="20"/>
    </w:rPr>
  </w:style>
  <w:style w:type="paragraph" w:styleId="BodyText">
    <w:name w:val="Body Text"/>
    <w:basedOn w:val="Normal"/>
    <w:link w:val="BodyTextChar"/>
    <w:rsid w:val="00094054"/>
    <w:pPr>
      <w:spacing w:after="240" w:line="240" w:lineRule="auto"/>
      <w:jc w:val="both"/>
    </w:pPr>
    <w:rPr>
      <w:rFonts w:ascii="Times New Roman" w:eastAsia="Times New Roman" w:hAnsi="Times New Roman" w:cs="Times New Roman"/>
      <w:kern w:val="0"/>
      <w:sz w:val="22"/>
      <w:szCs w:val="20"/>
      <w14:ligatures w14:val="none"/>
    </w:rPr>
  </w:style>
  <w:style w:type="character" w:customStyle="1" w:styleId="BodyTextChar">
    <w:name w:val="Body Text Char"/>
    <w:basedOn w:val="DefaultParagraphFont"/>
    <w:link w:val="BodyText"/>
    <w:rsid w:val="00094054"/>
    <w:rPr>
      <w:rFonts w:ascii="Times New Roman" w:eastAsia="Times New Roman" w:hAnsi="Times New Roman" w:cs="Times New Roman"/>
      <w:kern w:val="0"/>
      <w:sz w:val="22"/>
      <w:szCs w:val="20"/>
      <w14:ligatures w14:val="none"/>
    </w:rPr>
  </w:style>
  <w:style w:type="paragraph" w:styleId="FootnoteText">
    <w:name w:val="footnote text"/>
    <w:basedOn w:val="Normal"/>
    <w:link w:val="FootnoteTextChar"/>
    <w:semiHidden/>
    <w:rsid w:val="00094054"/>
    <w:pPr>
      <w:spacing w:after="100" w:line="240" w:lineRule="auto"/>
      <w:ind w:left="360" w:hanging="360"/>
      <w:jc w:val="both"/>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semiHidden/>
    <w:rsid w:val="00094054"/>
    <w:rPr>
      <w:rFonts w:ascii="Times New Roman" w:eastAsia="Times New Roman" w:hAnsi="Times New Roman" w:cs="Times New Roman"/>
      <w:kern w:val="0"/>
      <w:sz w:val="20"/>
      <w:szCs w:val="20"/>
      <w14:ligatures w14:val="none"/>
    </w:rPr>
  </w:style>
  <w:style w:type="character" w:styleId="FootnoteReference">
    <w:name w:val="footnote reference"/>
    <w:semiHidden/>
    <w:rsid w:val="000940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8398132">
      <w:bodyDiv w:val="1"/>
      <w:marLeft w:val="0"/>
      <w:marRight w:val="0"/>
      <w:marTop w:val="0"/>
      <w:marBottom w:val="0"/>
      <w:divBdr>
        <w:top w:val="none" w:sz="0" w:space="0" w:color="auto"/>
        <w:left w:val="none" w:sz="0" w:space="0" w:color="auto"/>
        <w:bottom w:val="none" w:sz="0" w:space="0" w:color="auto"/>
        <w:right w:val="none" w:sz="0" w:space="0" w:color="auto"/>
      </w:divBdr>
      <w:divsChild>
        <w:div w:id="1830440111">
          <w:marLeft w:val="0"/>
          <w:marRight w:val="0"/>
          <w:marTop w:val="0"/>
          <w:marBottom w:val="0"/>
          <w:divBdr>
            <w:top w:val="none" w:sz="0" w:space="0" w:color="auto"/>
            <w:left w:val="none" w:sz="0" w:space="0" w:color="auto"/>
            <w:bottom w:val="none" w:sz="0" w:space="0" w:color="auto"/>
            <w:right w:val="none" w:sz="0" w:space="0" w:color="auto"/>
          </w:divBdr>
        </w:div>
        <w:div w:id="1695765147">
          <w:marLeft w:val="0"/>
          <w:marRight w:val="0"/>
          <w:marTop w:val="0"/>
          <w:marBottom w:val="0"/>
          <w:divBdr>
            <w:top w:val="none" w:sz="0" w:space="0" w:color="auto"/>
            <w:left w:val="none" w:sz="0" w:space="0" w:color="auto"/>
            <w:bottom w:val="none" w:sz="0" w:space="0" w:color="auto"/>
            <w:right w:val="none" w:sz="0" w:space="0" w:color="auto"/>
          </w:divBdr>
        </w:div>
        <w:div w:id="736591112">
          <w:marLeft w:val="0"/>
          <w:marRight w:val="0"/>
          <w:marTop w:val="0"/>
          <w:marBottom w:val="0"/>
          <w:divBdr>
            <w:top w:val="none" w:sz="0" w:space="0" w:color="auto"/>
            <w:left w:val="none" w:sz="0" w:space="0" w:color="auto"/>
            <w:bottom w:val="none" w:sz="0" w:space="0" w:color="auto"/>
            <w:right w:val="none" w:sz="0" w:space="0" w:color="auto"/>
          </w:divBdr>
        </w:div>
        <w:div w:id="1259482314">
          <w:marLeft w:val="0"/>
          <w:marRight w:val="0"/>
          <w:marTop w:val="0"/>
          <w:marBottom w:val="0"/>
          <w:divBdr>
            <w:top w:val="none" w:sz="0" w:space="0" w:color="auto"/>
            <w:left w:val="none" w:sz="0" w:space="0" w:color="auto"/>
            <w:bottom w:val="none" w:sz="0" w:space="0" w:color="auto"/>
            <w:right w:val="none" w:sz="0" w:space="0" w:color="auto"/>
          </w:divBdr>
        </w:div>
      </w:divsChild>
    </w:div>
    <w:div w:id="1673602701">
      <w:bodyDiv w:val="1"/>
      <w:marLeft w:val="0"/>
      <w:marRight w:val="0"/>
      <w:marTop w:val="0"/>
      <w:marBottom w:val="0"/>
      <w:divBdr>
        <w:top w:val="none" w:sz="0" w:space="0" w:color="auto"/>
        <w:left w:val="none" w:sz="0" w:space="0" w:color="auto"/>
        <w:bottom w:val="none" w:sz="0" w:space="0" w:color="auto"/>
        <w:right w:val="none" w:sz="0" w:space="0" w:color="auto"/>
      </w:divBdr>
      <w:divsChild>
        <w:div w:id="975140053">
          <w:marLeft w:val="0"/>
          <w:marRight w:val="0"/>
          <w:marTop w:val="0"/>
          <w:marBottom w:val="0"/>
          <w:divBdr>
            <w:top w:val="none" w:sz="0" w:space="0" w:color="auto"/>
            <w:left w:val="none" w:sz="0" w:space="0" w:color="auto"/>
            <w:bottom w:val="none" w:sz="0" w:space="0" w:color="auto"/>
            <w:right w:val="none" w:sz="0" w:space="0" w:color="auto"/>
          </w:divBdr>
        </w:div>
        <w:div w:id="760681755">
          <w:marLeft w:val="0"/>
          <w:marRight w:val="0"/>
          <w:marTop w:val="0"/>
          <w:marBottom w:val="0"/>
          <w:divBdr>
            <w:top w:val="none" w:sz="0" w:space="0" w:color="auto"/>
            <w:left w:val="none" w:sz="0" w:space="0" w:color="auto"/>
            <w:bottom w:val="none" w:sz="0" w:space="0" w:color="auto"/>
            <w:right w:val="none" w:sz="0" w:space="0" w:color="auto"/>
          </w:divBdr>
        </w:div>
        <w:div w:id="1248267525">
          <w:marLeft w:val="0"/>
          <w:marRight w:val="0"/>
          <w:marTop w:val="0"/>
          <w:marBottom w:val="0"/>
          <w:divBdr>
            <w:top w:val="none" w:sz="0" w:space="0" w:color="auto"/>
            <w:left w:val="none" w:sz="0" w:space="0" w:color="auto"/>
            <w:bottom w:val="none" w:sz="0" w:space="0" w:color="auto"/>
            <w:right w:val="none" w:sz="0" w:space="0" w:color="auto"/>
          </w:divBdr>
        </w:div>
        <w:div w:id="1083592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rkgodsey@gmail.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lex@knoopsadvocaten.n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jp.gov/ncjrs/virtual-library/abstracts/double-blind-sequential-police-lineup-procedures-toward-integrated"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s://papers.ssrn.com/sol3/papers.cfm?abstract_id=380351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youtu.be/jMATkuFaRU8?si=fO0wXGhPr-oCyhBA" TargetMode="External"/><Relationship Id="rId14" Type="http://schemas.openxmlformats.org/officeDocument/2006/relationships/header" Target="header1.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file:///C:\Users\12047\Downloads\JS4_UPR39_WSM_E_Main.pdf" TargetMode="External"/><Relationship Id="rId2" Type="http://schemas.openxmlformats.org/officeDocument/2006/relationships/hyperlink" Target="https://www.state.gov/reports/2022-country-reports-on-human-rights-practices/samoa" TargetMode="External"/><Relationship Id="rId1" Type="http://schemas.openxmlformats.org/officeDocument/2006/relationships/hyperlink" Target="file:///C:\Users\12047\Downloads\JS4_UPR39_WSM_E_Ma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2025-01-07T16:34:19+00:00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28509DC-3EB3-BE48-82D3-CEBCF6D3B4CD}">
  <ds:schemaRefs>
    <ds:schemaRef ds:uri="http://www.imanage.com/work/xmlschema"/>
  </ds:schemaRefs>
</ds:datastoreItem>
</file>

<file path=customXml/itemProps2.xml><?xml version="1.0" encoding="utf-8"?>
<ds:datastoreItem xmlns:ds="http://schemas.openxmlformats.org/officeDocument/2006/customXml" ds:itemID="{5787E387-0BEC-4AA7-8968-C5B604395AD0}"/>
</file>

<file path=customXml/itemProps3.xml><?xml version="1.0" encoding="utf-8"?>
<ds:datastoreItem xmlns:ds="http://schemas.openxmlformats.org/officeDocument/2006/customXml" ds:itemID="{D1DF8B5E-17EC-4EB5-B4EC-F2AE8E9E5BFA}"/>
</file>

<file path=customXml/itemProps4.xml><?xml version="1.0" encoding="utf-8"?>
<ds:datastoreItem xmlns:ds="http://schemas.openxmlformats.org/officeDocument/2006/customXml" ds:itemID="{EA468A38-901D-43AC-95CD-743412704D0B}"/>
</file>

<file path=docProps/app.xml><?xml version="1.0" encoding="utf-8"?>
<Properties xmlns="http://schemas.openxmlformats.org/officeDocument/2006/extended-properties" xmlns:vt="http://schemas.openxmlformats.org/officeDocument/2006/docPropsVTypes">
  <Template>Normal.dotm</Template>
  <TotalTime>1</TotalTime>
  <Pages>6</Pages>
  <Words>1975</Words>
  <Characters>11259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Lowe, Rachel E.</dc:creator>
  <cp:lastModifiedBy>Godsey, Mark (godseyma)</cp:lastModifiedBy>
  <cp:revision>2</cp:revision>
  <dcterms:created xsi:type="dcterms:W3CDTF">2025-01-06T16:41:00Z</dcterms:created>
  <dcterms:modified xsi:type="dcterms:W3CDTF">2025-01-06T16:41:00Z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MediaServiceImageTags">
    <vt:lpwstr/>
  </property>
</Properties>
</file>