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97DF6" w14:textId="28766F04" w:rsidR="00C9206F" w:rsidRDefault="00024081" w:rsidP="00D93FC6">
      <w:pPr>
        <w:jc w:val="center"/>
        <w:rPr>
          <w:b/>
          <w:bCs/>
          <w:sz w:val="28"/>
          <w:szCs w:val="40"/>
        </w:rPr>
      </w:pPr>
      <w:r>
        <w:rPr>
          <w:noProof/>
        </w:rPr>
        <w:drawing>
          <wp:anchor distT="0" distB="0" distL="114300" distR="114300" simplePos="0" relativeHeight="251661312" behindDoc="1" locked="0" layoutInCell="1" allowOverlap="1" wp14:anchorId="0D7D2ADE" wp14:editId="1CD7B1C4">
            <wp:simplePos x="0" y="0"/>
            <wp:positionH relativeFrom="column">
              <wp:posOffset>2289175</wp:posOffset>
            </wp:positionH>
            <wp:positionV relativeFrom="page">
              <wp:posOffset>1069975</wp:posOffset>
            </wp:positionV>
            <wp:extent cx="1802765" cy="1998980"/>
            <wp:effectExtent l="0" t="0" r="6985"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GO CEDAW Logo small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2765" cy="1998980"/>
                    </a:xfrm>
                    <a:prstGeom prst="rect">
                      <a:avLst/>
                    </a:prstGeom>
                  </pic:spPr>
                </pic:pic>
              </a:graphicData>
            </a:graphic>
            <wp14:sizeRelH relativeFrom="margin">
              <wp14:pctWidth>0</wp14:pctWidth>
            </wp14:sizeRelH>
            <wp14:sizeRelV relativeFrom="margin">
              <wp14:pctHeight>0</wp14:pctHeight>
            </wp14:sizeRelV>
          </wp:anchor>
        </w:drawing>
      </w:r>
      <w:r w:rsidR="00D93FC6" w:rsidRPr="00CA498E">
        <w:rPr>
          <w:b/>
          <w:bCs/>
          <w:sz w:val="28"/>
          <w:szCs w:val="40"/>
        </w:rPr>
        <w:t xml:space="preserve">Submission by </w:t>
      </w:r>
      <w:r w:rsidR="00D93FC6" w:rsidRPr="00D93FC6">
        <w:rPr>
          <w:b/>
          <w:bCs/>
          <w:sz w:val="28"/>
          <w:szCs w:val="40"/>
        </w:rPr>
        <w:t>The Cambodian NGO Committee on CEDAW (NGO-CEDAW)</w:t>
      </w:r>
      <w:r w:rsidR="00D93FC6">
        <w:rPr>
          <w:rStyle w:val="FootnoteReference"/>
          <w:b/>
          <w:bCs/>
          <w:sz w:val="28"/>
          <w:szCs w:val="40"/>
        </w:rPr>
        <w:footnoteReference w:id="1"/>
      </w:r>
      <w:r w:rsidR="00D93FC6" w:rsidRPr="00D93FC6">
        <w:rPr>
          <w:b/>
          <w:bCs/>
          <w:sz w:val="28"/>
          <w:szCs w:val="40"/>
        </w:rPr>
        <w:t xml:space="preserve"> </w:t>
      </w:r>
    </w:p>
    <w:p w14:paraId="32A121ED" w14:textId="121771D3" w:rsidR="00DD0EAC" w:rsidRDefault="00DD0EAC" w:rsidP="00D93FC6">
      <w:pPr>
        <w:jc w:val="center"/>
        <w:rPr>
          <w:b/>
          <w:bCs/>
          <w:sz w:val="28"/>
          <w:szCs w:val="40"/>
        </w:rPr>
      </w:pPr>
    </w:p>
    <w:p w14:paraId="0510BE40" w14:textId="56C55847" w:rsidR="00D93FC6" w:rsidRPr="00CA498E" w:rsidRDefault="00D93FC6" w:rsidP="00D93FC6">
      <w:pPr>
        <w:jc w:val="center"/>
        <w:rPr>
          <w:b/>
          <w:bCs/>
          <w:sz w:val="28"/>
          <w:szCs w:val="40"/>
        </w:rPr>
      </w:pPr>
      <w:r w:rsidRPr="00AE0E04">
        <w:rPr>
          <w:b/>
          <w:bCs/>
          <w:sz w:val="28"/>
          <w:szCs w:val="40"/>
        </w:rPr>
        <w:t>for the 74th session (</w:t>
      </w:r>
      <w:r w:rsidR="00C9206F">
        <w:rPr>
          <w:b/>
          <w:bCs/>
          <w:sz w:val="28"/>
          <w:szCs w:val="40"/>
        </w:rPr>
        <w:t>21 October to 8 November</w:t>
      </w:r>
      <w:r w:rsidRPr="00AE0E04">
        <w:rPr>
          <w:b/>
          <w:bCs/>
          <w:sz w:val="28"/>
          <w:szCs w:val="40"/>
        </w:rPr>
        <w:t xml:space="preserve"> 2019)</w:t>
      </w:r>
    </w:p>
    <w:p w14:paraId="6E5F4CFA" w14:textId="77777777" w:rsidR="00D93FC6" w:rsidRPr="00AE0E04" w:rsidRDefault="00D93FC6" w:rsidP="00D93FC6">
      <w:pPr>
        <w:spacing w:after="0"/>
        <w:jc w:val="center"/>
        <w:rPr>
          <w:b/>
          <w:bCs/>
          <w:sz w:val="28"/>
          <w:szCs w:val="40"/>
        </w:rPr>
      </w:pPr>
      <w:r w:rsidRPr="00AE0E04">
        <w:rPr>
          <w:b/>
          <w:bCs/>
          <w:sz w:val="28"/>
          <w:szCs w:val="40"/>
        </w:rPr>
        <w:t>of the Committee on the Elimination of Discrimination Against Women (CEDAW)</w:t>
      </w:r>
    </w:p>
    <w:p w14:paraId="591907B5" w14:textId="77777777" w:rsidR="00D93FC6" w:rsidRPr="00CA498E" w:rsidRDefault="00D93FC6" w:rsidP="00D93FC6">
      <w:pPr>
        <w:spacing w:after="0"/>
        <w:jc w:val="center"/>
        <w:rPr>
          <w:sz w:val="28"/>
          <w:szCs w:val="40"/>
        </w:rPr>
      </w:pPr>
    </w:p>
    <w:p w14:paraId="30499262" w14:textId="69ECF12A" w:rsidR="00D93FC6" w:rsidRDefault="00D93FC6" w:rsidP="00D93FC6">
      <w:pPr>
        <w:jc w:val="center"/>
        <w:rPr>
          <w:sz w:val="28"/>
          <w:szCs w:val="40"/>
        </w:rPr>
      </w:pPr>
      <w:r w:rsidRPr="00CA498E">
        <w:rPr>
          <w:sz w:val="28"/>
          <w:szCs w:val="40"/>
        </w:rPr>
        <w:t xml:space="preserve">for the review of </w:t>
      </w:r>
    </w:p>
    <w:p w14:paraId="11817519" w14:textId="77777777" w:rsidR="00D93FC6" w:rsidRPr="00CA498E" w:rsidRDefault="00D93FC6" w:rsidP="00D93FC6">
      <w:pPr>
        <w:jc w:val="center"/>
        <w:rPr>
          <w:sz w:val="28"/>
          <w:szCs w:val="40"/>
        </w:rPr>
      </w:pPr>
      <w:r w:rsidRPr="00CA498E">
        <w:rPr>
          <w:sz w:val="28"/>
          <w:szCs w:val="40"/>
        </w:rPr>
        <w:t>the Royal Government of Cambodia (RGC)’s Compliance with the Convention on the Elimination of All Forms of Discrimination Against Women</w:t>
      </w:r>
    </w:p>
    <w:p w14:paraId="3622AAC2" w14:textId="77777777" w:rsidR="00745CF1" w:rsidRDefault="00745CF1" w:rsidP="00A53772">
      <w:pPr>
        <w:rPr>
          <w:rFonts w:cstheme="minorHAnsi"/>
          <w:szCs w:val="22"/>
        </w:rPr>
      </w:pPr>
    </w:p>
    <w:p w14:paraId="1EED43EE" w14:textId="40D33652" w:rsidR="00745CF1" w:rsidRPr="00745CF1" w:rsidRDefault="00745CF1" w:rsidP="00AE06D0">
      <w:pPr>
        <w:pStyle w:val="Heading1"/>
      </w:pPr>
      <w:bookmarkStart w:id="0" w:name="_Toc20404155"/>
      <w:r w:rsidRPr="00745CF1">
        <w:t>Introduction</w:t>
      </w:r>
      <w:bookmarkEnd w:id="0"/>
    </w:p>
    <w:p w14:paraId="356767D5" w14:textId="77777777" w:rsidR="003B7499" w:rsidRDefault="00C9206F" w:rsidP="003E4E09">
      <w:pPr>
        <w:jc w:val="both"/>
        <w:rPr>
          <w:rFonts w:cstheme="minorHAnsi"/>
          <w:szCs w:val="22"/>
        </w:rPr>
      </w:pPr>
      <w:r>
        <w:rPr>
          <w:rFonts w:cstheme="minorHAnsi"/>
          <w:szCs w:val="22"/>
        </w:rPr>
        <w:t xml:space="preserve">NGO-CEDAW submitted a report to the Committee in January 2019 for the pre-session working group in which its members identified key issues of concern to be raised during the review of Cambodia.  This report is structured to provide alternative responses and information to the list of </w:t>
      </w:r>
      <w:r w:rsidR="004E42DB">
        <w:rPr>
          <w:rFonts w:cstheme="minorHAnsi"/>
          <w:szCs w:val="22"/>
        </w:rPr>
        <w:t xml:space="preserve">issues and </w:t>
      </w:r>
      <w:r>
        <w:rPr>
          <w:rFonts w:cstheme="minorHAnsi"/>
          <w:szCs w:val="22"/>
        </w:rPr>
        <w:t xml:space="preserve">questions posed to RGC and therefore follows the structure of the </w:t>
      </w:r>
      <w:r w:rsidR="004E42DB">
        <w:rPr>
          <w:rFonts w:cstheme="minorHAnsi"/>
          <w:szCs w:val="22"/>
        </w:rPr>
        <w:t>List of Issues (</w:t>
      </w:r>
      <w:r>
        <w:rPr>
          <w:rFonts w:cstheme="minorHAnsi"/>
          <w:szCs w:val="22"/>
        </w:rPr>
        <w:t>LOI</w:t>
      </w:r>
      <w:r w:rsidR="004E42DB">
        <w:rPr>
          <w:rFonts w:cstheme="minorHAnsi"/>
          <w:szCs w:val="22"/>
        </w:rPr>
        <w:t>)</w:t>
      </w:r>
      <w:r>
        <w:rPr>
          <w:rFonts w:cstheme="minorHAnsi"/>
          <w:szCs w:val="22"/>
        </w:rPr>
        <w:t xml:space="preserve"> by using the LOI’s paragraph numbers to separate issues, even where the information provided is on the same topic as the Committee’s questions rather than directly responsive.  In addition to addressing concerns already raised by the Committee, this report includes updated information on the concerns raised in NGO-CEDAW’s January 2019 submission. Specifically, </w:t>
      </w:r>
      <w:r w:rsidR="00745CF1">
        <w:rPr>
          <w:rFonts w:cstheme="minorHAnsi"/>
          <w:szCs w:val="22"/>
        </w:rPr>
        <w:t>this report notes</w:t>
      </w:r>
      <w:r>
        <w:rPr>
          <w:rFonts w:cstheme="minorHAnsi"/>
          <w:szCs w:val="22"/>
        </w:rPr>
        <w:t xml:space="preserve"> new regulations and policies have been issued by RGC and </w:t>
      </w:r>
      <w:r w:rsidR="00745CF1">
        <w:rPr>
          <w:rFonts w:cstheme="minorHAnsi"/>
          <w:szCs w:val="22"/>
        </w:rPr>
        <w:t xml:space="preserve">shares information gained from original research conducted by </w:t>
      </w:r>
      <w:r>
        <w:rPr>
          <w:rFonts w:cstheme="minorHAnsi"/>
          <w:szCs w:val="22"/>
        </w:rPr>
        <w:t xml:space="preserve">NGO-CEDAW and its members in 2019 </w:t>
      </w:r>
      <w:r w:rsidR="00745CF1">
        <w:rPr>
          <w:rFonts w:cstheme="minorHAnsi"/>
          <w:szCs w:val="22"/>
        </w:rPr>
        <w:t xml:space="preserve">to assess the current situation of </w:t>
      </w:r>
      <w:r>
        <w:rPr>
          <w:rFonts w:cstheme="minorHAnsi"/>
          <w:szCs w:val="22"/>
        </w:rPr>
        <w:t>women’s rights.</w:t>
      </w:r>
      <w:bookmarkStart w:id="1" w:name="_Toc20404156"/>
    </w:p>
    <w:p w14:paraId="6EDE1705" w14:textId="1DED5876" w:rsidR="00A53772" w:rsidRPr="00BE26F9" w:rsidRDefault="00A53772" w:rsidP="003E4E09">
      <w:pPr>
        <w:jc w:val="both"/>
        <w:rPr>
          <w:rFonts w:asciiTheme="majorHAnsi" w:eastAsiaTheme="majorEastAsia" w:hAnsiTheme="majorHAnsi" w:cstheme="majorBidi"/>
          <w:color w:val="2F5496" w:themeColor="accent1" w:themeShade="BF"/>
          <w:sz w:val="32"/>
          <w:szCs w:val="52"/>
        </w:rPr>
      </w:pPr>
      <w:r w:rsidRPr="00BE26F9">
        <w:rPr>
          <w:rFonts w:asciiTheme="majorHAnsi" w:eastAsiaTheme="majorEastAsia" w:hAnsiTheme="majorHAnsi" w:cstheme="majorBidi"/>
          <w:color w:val="2F5496" w:themeColor="accent1" w:themeShade="BF"/>
          <w:sz w:val="32"/>
          <w:szCs w:val="52"/>
        </w:rPr>
        <w:t>A</w:t>
      </w:r>
      <w:r w:rsidR="005E428D" w:rsidRPr="00BE26F9">
        <w:rPr>
          <w:rFonts w:asciiTheme="majorHAnsi" w:eastAsiaTheme="majorEastAsia" w:hAnsiTheme="majorHAnsi" w:cstheme="majorBidi"/>
          <w:color w:val="2F5496" w:themeColor="accent1" w:themeShade="BF"/>
          <w:sz w:val="32"/>
          <w:szCs w:val="52"/>
        </w:rPr>
        <w:t>.</w:t>
      </w:r>
      <w:r w:rsidRPr="00BE26F9">
        <w:rPr>
          <w:rFonts w:asciiTheme="majorHAnsi" w:eastAsiaTheme="majorEastAsia" w:hAnsiTheme="majorHAnsi" w:cstheme="majorBidi"/>
          <w:color w:val="2F5496" w:themeColor="accent1" w:themeShade="BF"/>
          <w:sz w:val="32"/>
          <w:szCs w:val="52"/>
        </w:rPr>
        <w:t xml:space="preserve"> Legislative and policy framework</w:t>
      </w:r>
      <w:bookmarkEnd w:id="1"/>
      <w:r w:rsidRPr="00BE26F9">
        <w:rPr>
          <w:rFonts w:asciiTheme="majorHAnsi" w:eastAsiaTheme="majorEastAsia" w:hAnsiTheme="majorHAnsi" w:cstheme="majorBidi"/>
          <w:color w:val="2F5496" w:themeColor="accent1" w:themeShade="BF"/>
          <w:sz w:val="32"/>
          <w:szCs w:val="52"/>
        </w:rPr>
        <w:t xml:space="preserve">  </w:t>
      </w:r>
    </w:p>
    <w:p w14:paraId="5A58C735" w14:textId="7DB9AD4E" w:rsidR="00F40693" w:rsidRPr="005142FF" w:rsidRDefault="0086420E" w:rsidP="0086420E">
      <w:r>
        <w:t xml:space="preserve">1. </w:t>
      </w:r>
      <w:r w:rsidR="005E428D">
        <w:t>Ri</w:t>
      </w:r>
      <w:r w:rsidR="00A53772" w:rsidRPr="005142FF">
        <w:t>ghts to freedom of assembly, association</w:t>
      </w:r>
      <w:r w:rsidR="005E428D">
        <w:t xml:space="preserve">, </w:t>
      </w:r>
      <w:r w:rsidR="00A53772" w:rsidRPr="005142FF">
        <w:t xml:space="preserve">expression, </w:t>
      </w:r>
      <w:r w:rsidR="005E428D">
        <w:t>and</w:t>
      </w:r>
      <w:r w:rsidR="00A53772" w:rsidRPr="005142FF">
        <w:t xml:space="preserve"> privacy.</w:t>
      </w:r>
    </w:p>
    <w:p w14:paraId="49424F2F" w14:textId="7260F51A" w:rsidR="008526FE" w:rsidRDefault="00F40693" w:rsidP="00DF44F7">
      <w:pPr>
        <w:jc w:val="both"/>
      </w:pPr>
      <w:r w:rsidRPr="005142FF">
        <w:t xml:space="preserve">Prior to 2015, International Women’s Day marches and campaigns were commonplace in Cambodia. However, every year from 2015 through 2019, authorities have barred women’s rights CSOs and unions from conducting marches, bicycle rides, or large assemblies on Women’s Day, even when the purpose of the event was </w:t>
      </w:r>
      <w:r w:rsidR="00C40521" w:rsidRPr="005142FF">
        <w:t>to simply</w:t>
      </w:r>
      <w:r w:rsidRPr="005142FF">
        <w:t xml:space="preserve"> raise awareness of key issues facing women.</w:t>
      </w:r>
      <w:r w:rsidR="005256AA">
        <w:rPr>
          <w:rStyle w:val="FootnoteReference"/>
        </w:rPr>
        <w:footnoteReference w:id="2"/>
      </w:r>
      <w:r w:rsidR="00306CA7" w:rsidRPr="005142FF">
        <w:t xml:space="preserve"> Usually the purported reason for denying the activity is that it might block traffic, despite </w:t>
      </w:r>
      <w:r w:rsidR="00306CA7" w:rsidRPr="005142FF">
        <w:lastRenderedPageBreak/>
        <w:t>the fact that traffic is always extremely light on national holidays and alternate routes could be created.</w:t>
      </w:r>
      <w:r w:rsidR="00C52132">
        <w:rPr>
          <w:rStyle w:val="FootnoteReference"/>
        </w:rPr>
        <w:footnoteReference w:id="3"/>
      </w:r>
      <w:r w:rsidR="00306CA7" w:rsidRPr="005142FF">
        <w:t xml:space="preserve"> It is of further c</w:t>
      </w:r>
      <w:r w:rsidR="00306CA7" w:rsidRPr="001D3999">
        <w:t>oncern that International Human Rights Day will no longer be a holiday in Cambodia beginning in 2020.</w:t>
      </w:r>
      <w:r w:rsidR="00616AFE">
        <w:rPr>
          <w:rStyle w:val="FootnoteReference"/>
        </w:rPr>
        <w:footnoteReference w:id="4"/>
      </w:r>
      <w:r w:rsidR="008526FE" w:rsidRPr="001D3999">
        <w:t xml:space="preserve">  Women Human Rights Defenders</w:t>
      </w:r>
      <w:r w:rsidR="005256AA" w:rsidRPr="001D3999">
        <w:t xml:space="preserve"> (WHRDs)</w:t>
      </w:r>
      <w:r w:rsidR="008526FE" w:rsidRPr="001D3999">
        <w:t xml:space="preserve"> for example, have been under intense scrutiny</w:t>
      </w:r>
      <w:r w:rsidR="008526FE" w:rsidRPr="001D3999">
        <w:rPr>
          <w:rStyle w:val="FootnoteReference"/>
        </w:rPr>
        <w:footnoteReference w:id="5"/>
      </w:r>
      <w:r w:rsidR="008526FE" w:rsidRPr="001D3999">
        <w:t>, and even female staff of partner organizations to NGO-CEDAW feel that they must censor their own actions and statements due to pressure from authorities.</w:t>
      </w:r>
      <w:r w:rsidR="00864E64">
        <w:t xml:space="preserve"> Union members are facing increasing challenges to their freedom of assembly by both public and private actors.</w:t>
      </w:r>
      <w:r w:rsidR="00864E64">
        <w:rPr>
          <w:rStyle w:val="FootnoteReference"/>
        </w:rPr>
        <w:footnoteReference w:id="6"/>
      </w:r>
    </w:p>
    <w:p w14:paraId="0D5B5ACD" w14:textId="6A125BD6" w:rsidR="00A53772" w:rsidRDefault="00A53772" w:rsidP="0086420E">
      <w:pPr>
        <w:tabs>
          <w:tab w:val="left" w:pos="180"/>
          <w:tab w:val="left" w:pos="270"/>
        </w:tabs>
        <w:ind w:left="270" w:hanging="270"/>
        <w:jc w:val="both"/>
      </w:pPr>
      <w:r w:rsidRPr="005142FF">
        <w:t>2.</w:t>
      </w:r>
      <w:r w:rsidR="0086420E">
        <w:t xml:space="preserve"> </w:t>
      </w:r>
      <w:r w:rsidR="005E428D">
        <w:t>L</w:t>
      </w:r>
      <w:r w:rsidRPr="005142FF">
        <w:t>egislative provision</w:t>
      </w:r>
      <w:r w:rsidR="005E428D">
        <w:t>s</w:t>
      </w:r>
      <w:r w:rsidRPr="005142FF">
        <w:t xml:space="preserve"> which define discrimination against women</w:t>
      </w:r>
      <w:r w:rsidR="005E428D">
        <w:t xml:space="preserve"> and</w:t>
      </w:r>
      <w:r w:rsidRPr="005142FF">
        <w:t xml:space="preserve"> </w:t>
      </w:r>
      <w:r w:rsidR="005E428D" w:rsidRPr="005142FF">
        <w:t>justici</w:t>
      </w:r>
      <w:r w:rsidR="005E428D">
        <w:t xml:space="preserve">ability </w:t>
      </w:r>
      <w:r w:rsidRPr="005142FF">
        <w:t xml:space="preserve">in domestic courts. </w:t>
      </w:r>
    </w:p>
    <w:p w14:paraId="7E09DF85" w14:textId="5ABEA977" w:rsidR="00C2794C" w:rsidRPr="005142FF" w:rsidRDefault="005142FF" w:rsidP="00DF44F7">
      <w:pPr>
        <w:jc w:val="both"/>
      </w:pPr>
      <w:r>
        <w:t xml:space="preserve">There is no legal mechanism for enforcing the Constitution in court, nor do </w:t>
      </w:r>
      <w:r w:rsidR="002D4E1A">
        <w:t xml:space="preserve">RGC officials acting as </w:t>
      </w:r>
      <w:r>
        <w:t>conciliators of labor disputes consider provisions of the constitution in determining compensation for women whose employers discriminated against them.</w:t>
      </w:r>
      <w:r w:rsidR="00252C44">
        <w:rPr>
          <w:rStyle w:val="FootnoteReference"/>
        </w:rPr>
        <w:footnoteReference w:id="7"/>
      </w:r>
      <w:r>
        <w:t xml:space="preserve"> No law defines discrimination against women per CEDAW.</w:t>
      </w:r>
      <w:r w:rsidR="00E95D6B">
        <w:rPr>
          <w:rStyle w:val="FootnoteReference"/>
        </w:rPr>
        <w:footnoteReference w:id="8"/>
      </w:r>
      <w:r>
        <w:t xml:space="preserve">  NGO-CEDAW commends the RGC for accepting</w:t>
      </w:r>
      <w:r w:rsidR="009B3897">
        <w:t xml:space="preserve"> </w:t>
      </w:r>
      <w:r>
        <w:t>the recommendation</w:t>
      </w:r>
      <w:r w:rsidR="00840B22">
        <w:t>s 110.45 and 110.54</w:t>
      </w:r>
      <w:r>
        <w:t xml:space="preserve"> in the Universal Periodic Review of 2019</w:t>
      </w:r>
      <w:r w:rsidR="009B3897">
        <w:rPr>
          <w:rStyle w:val="FootnoteReference"/>
        </w:rPr>
        <w:footnoteReference w:id="9"/>
      </w:r>
      <w:r w:rsidR="009B3897">
        <w:t xml:space="preserve">  </w:t>
      </w:r>
      <w:r>
        <w:t>to adopt a comprehensive anti-di</w:t>
      </w:r>
      <w:r w:rsidR="00DC736D">
        <w:t>s</w:t>
      </w:r>
      <w:r>
        <w:t xml:space="preserve">crimination law which would for </w:t>
      </w:r>
      <w:r w:rsidR="00840B22">
        <w:t>explicitly prohibit all kinds of discrimination, including that</w:t>
      </w:r>
      <w:r>
        <w:t xml:space="preserve"> based on </w:t>
      </w:r>
      <w:r w:rsidR="00840B22">
        <w:t xml:space="preserve">sexual orientation, </w:t>
      </w:r>
      <w:r>
        <w:t>sex characteristics, gender identity</w:t>
      </w:r>
      <w:r w:rsidR="00840B22">
        <w:t xml:space="preserve"> and expression</w:t>
      </w:r>
      <w:r>
        <w:t xml:space="preserve">, sexual orientation, </w:t>
      </w:r>
      <w:r w:rsidR="00840B22">
        <w:t xml:space="preserve">and </w:t>
      </w:r>
      <w:r>
        <w:t xml:space="preserve">religion.  </w:t>
      </w:r>
      <w:r w:rsidR="00840B22">
        <w:t>This</w:t>
      </w:r>
      <w:r>
        <w:t xml:space="preserve"> law </w:t>
      </w:r>
      <w:r w:rsidR="00840B22">
        <w:t xml:space="preserve">should also for the first time define </w:t>
      </w:r>
      <w:r w:rsidR="00252C44">
        <w:t xml:space="preserve">direct and indirect </w:t>
      </w:r>
      <w:r w:rsidR="00840B22">
        <w:t>discrimination against women and provide a mechanism for redress for</w:t>
      </w:r>
      <w:r w:rsidR="002D4E1A">
        <w:t xml:space="preserve"> all forms of</w:t>
      </w:r>
      <w:r w:rsidR="00840B22">
        <w:t xml:space="preserve"> discrimination in Cambodian law.  NGO-CEDAW hopes that such a law is</w:t>
      </w:r>
      <w:r>
        <w:t xml:space="preserve"> drafted and adopted before the 8</w:t>
      </w:r>
      <w:r w:rsidRPr="005142FF">
        <w:rPr>
          <w:vertAlign w:val="superscript"/>
        </w:rPr>
        <w:t>th</w:t>
      </w:r>
      <w:r>
        <w:t xml:space="preserve"> CEDAW reporting period in 2021.</w:t>
      </w:r>
    </w:p>
    <w:p w14:paraId="6649C4C7" w14:textId="1D79CA5F" w:rsidR="005E428D" w:rsidRDefault="00A53772" w:rsidP="00DF44F7">
      <w:pPr>
        <w:jc w:val="both"/>
      </w:pPr>
      <w:r w:rsidRPr="005142FF">
        <w:t>3.</w:t>
      </w:r>
      <w:r w:rsidR="0086420E">
        <w:t xml:space="preserve"> </w:t>
      </w:r>
      <w:r w:rsidR="005E428D">
        <w:t>How updated laws address women’s rights</w:t>
      </w:r>
    </w:p>
    <w:p w14:paraId="088E9A6B" w14:textId="47B887AC" w:rsidR="00F40693" w:rsidRPr="005142FF" w:rsidRDefault="00241528" w:rsidP="00DF44F7">
      <w:pPr>
        <w:jc w:val="both"/>
      </w:pPr>
      <w:r>
        <w:t>NGO-CEDAW notes that those laws w</w:t>
      </w:r>
      <w:r w:rsidRPr="00397A19">
        <w:rPr>
          <w:color w:val="000000" w:themeColor="text1"/>
        </w:rPr>
        <w:t xml:space="preserve">hich have recently been amended have not included changes to address inequalities between men and women.  </w:t>
      </w:r>
      <w:r w:rsidR="002E2BDA">
        <w:rPr>
          <w:color w:val="000000" w:themeColor="text1"/>
        </w:rPr>
        <w:t>There should be a systematic approach to reviewing</w:t>
      </w:r>
      <w:r w:rsidR="006D74F4">
        <w:rPr>
          <w:color w:val="000000" w:themeColor="text1"/>
        </w:rPr>
        <w:t xml:space="preserve"> every </w:t>
      </w:r>
      <w:r w:rsidR="002E2BDA">
        <w:rPr>
          <w:color w:val="000000" w:themeColor="text1"/>
        </w:rPr>
        <w:t xml:space="preserve">new or amended law with a gender lens to ensure that the promotion of women is considered in the language </w:t>
      </w:r>
      <w:r w:rsidR="006D74F4">
        <w:rPr>
          <w:color w:val="000000" w:themeColor="text1"/>
        </w:rPr>
        <w:t>of that law.</w:t>
      </w:r>
    </w:p>
    <w:p w14:paraId="3502FA70" w14:textId="4FB6B45E" w:rsidR="005E428D" w:rsidRDefault="00A53772" w:rsidP="00DF44F7">
      <w:pPr>
        <w:jc w:val="both"/>
      </w:pPr>
      <w:r w:rsidRPr="005142FF">
        <w:t>4.</w:t>
      </w:r>
      <w:r w:rsidR="0086420E">
        <w:t xml:space="preserve"> </w:t>
      </w:r>
      <w:r w:rsidR="005E428D">
        <w:t xml:space="preserve">Evaluation of Neary </w:t>
      </w:r>
      <w:proofErr w:type="spellStart"/>
      <w:r w:rsidR="005E428D">
        <w:t>Rattanak</w:t>
      </w:r>
      <w:proofErr w:type="spellEnd"/>
      <w:r w:rsidR="005E428D">
        <w:t xml:space="preserve"> and future strategy</w:t>
      </w:r>
    </w:p>
    <w:p w14:paraId="58713BA3" w14:textId="01FE10A1" w:rsidR="00A53772" w:rsidRDefault="00F40693" w:rsidP="00DF44F7">
      <w:pPr>
        <w:jc w:val="both"/>
      </w:pPr>
      <w:r w:rsidRPr="005142FF">
        <w:t>Policies of Neary Rat</w:t>
      </w:r>
      <w:r w:rsidR="00270B11">
        <w:t>t</w:t>
      </w:r>
      <w:r w:rsidRPr="005142FF">
        <w:t>anak have not resulted in significant change in part due to the focus on short-term activities, limited in financial and geographic scope based on outside funding. For example, the target districts and target groups of women included in the newly drafted action plans are based on the activities directly funded by UN agencies and foreign governments directly funding the creation of the action plans.  Without dedicated, long-term funding out of the national budget, the implementation of gender policies will remain inconsistent and will not extend to all districts of all provinces in the nation.</w:t>
      </w:r>
    </w:p>
    <w:p w14:paraId="634DE15E" w14:textId="17F36F86" w:rsidR="00F5027A" w:rsidRPr="00A53772" w:rsidRDefault="00F5027A" w:rsidP="00DF44F7">
      <w:pPr>
        <w:jc w:val="both"/>
        <w:rPr>
          <w:color w:val="2F5496" w:themeColor="accent1" w:themeShade="BF"/>
        </w:rPr>
      </w:pPr>
      <w:r>
        <w:t>One key challenge to measuring the success of Neary Rattanak is the lack of publicly available, gender disaggregated data. There is no government data for many topics, and the data that is generated is proprietary; without the adoption of the draft Access to Information law</w:t>
      </w:r>
      <w:r>
        <w:rPr>
          <w:rStyle w:val="FootnoteReference"/>
        </w:rPr>
        <w:footnoteReference w:id="10"/>
      </w:r>
      <w:r>
        <w:t>, the public has no right of access to government statistics.</w:t>
      </w:r>
    </w:p>
    <w:p w14:paraId="0B09BD07" w14:textId="2075F238" w:rsidR="00A53772" w:rsidRPr="00295ED7" w:rsidRDefault="005E428D" w:rsidP="00DF44F7">
      <w:pPr>
        <w:pStyle w:val="Heading1"/>
        <w:jc w:val="both"/>
      </w:pPr>
      <w:bookmarkStart w:id="2" w:name="_Toc20404157"/>
      <w:r w:rsidRPr="00295ED7">
        <w:t xml:space="preserve">B. </w:t>
      </w:r>
      <w:r w:rsidR="00A53772" w:rsidRPr="00295ED7">
        <w:t>Legal aid and access to justice</w:t>
      </w:r>
      <w:bookmarkEnd w:id="2"/>
      <w:r w:rsidR="00A53772" w:rsidRPr="00295ED7">
        <w:t xml:space="preserve"> </w:t>
      </w:r>
    </w:p>
    <w:p w14:paraId="46EC78BE" w14:textId="62B39810" w:rsidR="00C52132" w:rsidRDefault="00A53772" w:rsidP="00DF44F7">
      <w:pPr>
        <w:jc w:val="both"/>
        <w:rPr>
          <w:color w:val="000000" w:themeColor="text1"/>
        </w:rPr>
      </w:pPr>
      <w:r w:rsidRPr="00C52132">
        <w:rPr>
          <w:color w:val="000000" w:themeColor="text1"/>
        </w:rPr>
        <w:t>5.</w:t>
      </w:r>
      <w:r w:rsidR="00295ED7">
        <w:rPr>
          <w:color w:val="000000" w:themeColor="text1"/>
        </w:rPr>
        <w:t xml:space="preserve"> C</w:t>
      </w:r>
      <w:r w:rsidRPr="00C52132">
        <w:rPr>
          <w:color w:val="000000" w:themeColor="text1"/>
        </w:rPr>
        <w:t>omprehensive legal aid scheme</w:t>
      </w:r>
    </w:p>
    <w:p w14:paraId="675CD4EE" w14:textId="59844CC5" w:rsidR="00C52132" w:rsidRDefault="009C432E" w:rsidP="00DF44F7">
      <w:pPr>
        <w:jc w:val="both"/>
        <w:rPr>
          <w:color w:val="000000" w:themeColor="text1"/>
        </w:rPr>
      </w:pPr>
      <w:r w:rsidRPr="001D3999">
        <w:rPr>
          <w:color w:val="000000" w:themeColor="text1"/>
        </w:rPr>
        <w:lastRenderedPageBreak/>
        <w:t xml:space="preserve">NGO-CEDAW commends the RGC for expanding the funding for legal aid. However, the system is still far from comprehensive and grossly underfunded. Please see the joint CEDAW shadow report on the theme of “Access to Justice” </w:t>
      </w:r>
      <w:r w:rsidR="008E601D">
        <w:rPr>
          <w:color w:val="000000" w:themeColor="text1"/>
        </w:rPr>
        <w:t xml:space="preserve">which was </w:t>
      </w:r>
      <w:r w:rsidRPr="001D3999">
        <w:rPr>
          <w:color w:val="000000" w:themeColor="text1"/>
        </w:rPr>
        <w:t xml:space="preserve">submitted </w:t>
      </w:r>
      <w:r w:rsidR="008E601D" w:rsidRPr="001D3999">
        <w:rPr>
          <w:color w:val="000000" w:themeColor="text1"/>
        </w:rPr>
        <w:t>on September 9, 2019</w:t>
      </w:r>
      <w:r w:rsidR="008E601D">
        <w:rPr>
          <w:color w:val="000000" w:themeColor="text1"/>
        </w:rPr>
        <w:t xml:space="preserve"> </w:t>
      </w:r>
      <w:r w:rsidRPr="001D3999">
        <w:rPr>
          <w:color w:val="000000" w:themeColor="text1"/>
        </w:rPr>
        <w:t>by CCHR, ADHOC and Destination Justice</w:t>
      </w:r>
      <w:r w:rsidR="008E601D">
        <w:rPr>
          <w:color w:val="000000" w:themeColor="text1"/>
        </w:rPr>
        <w:t>,</w:t>
      </w:r>
      <w:r w:rsidRPr="001D3999">
        <w:rPr>
          <w:color w:val="000000" w:themeColor="text1"/>
        </w:rPr>
        <w:t xml:space="preserve"> </w:t>
      </w:r>
      <w:r w:rsidR="008E601D">
        <w:rPr>
          <w:color w:val="000000" w:themeColor="text1"/>
        </w:rPr>
        <w:t xml:space="preserve">and endorsed by Women Peace Makers and </w:t>
      </w:r>
      <w:proofErr w:type="spellStart"/>
      <w:r w:rsidR="008E601D">
        <w:rPr>
          <w:color w:val="000000" w:themeColor="text1"/>
        </w:rPr>
        <w:t>Klahaan</w:t>
      </w:r>
      <w:proofErr w:type="spellEnd"/>
      <w:r w:rsidR="008E601D">
        <w:rPr>
          <w:color w:val="000000" w:themeColor="text1"/>
        </w:rPr>
        <w:t>,</w:t>
      </w:r>
      <w:r w:rsidR="00252C44" w:rsidRPr="001D3999">
        <w:rPr>
          <w:color w:val="000000" w:themeColor="text1"/>
        </w:rPr>
        <w:t xml:space="preserve"> </w:t>
      </w:r>
      <w:r w:rsidRPr="001D3999">
        <w:rPr>
          <w:color w:val="000000" w:themeColor="text1"/>
        </w:rPr>
        <w:t>for more details about this</w:t>
      </w:r>
      <w:r w:rsidR="008E601D">
        <w:rPr>
          <w:color w:val="000000" w:themeColor="text1"/>
        </w:rPr>
        <w:t xml:space="preserve"> </w:t>
      </w:r>
      <w:r w:rsidR="00252C44" w:rsidRPr="001D3999">
        <w:rPr>
          <w:color w:val="000000" w:themeColor="text1"/>
        </w:rPr>
        <w:t>and other issues related to women’s access to justice in Cambodia</w:t>
      </w:r>
      <w:r w:rsidRPr="001D3999">
        <w:rPr>
          <w:color w:val="000000" w:themeColor="text1"/>
        </w:rPr>
        <w:t>.</w:t>
      </w:r>
      <w:r w:rsidR="00252C44" w:rsidRPr="001D3999">
        <w:rPr>
          <w:rStyle w:val="FootnoteReference"/>
          <w:color w:val="000000" w:themeColor="text1"/>
        </w:rPr>
        <w:footnoteReference w:id="11"/>
      </w:r>
    </w:p>
    <w:p w14:paraId="6B40282A" w14:textId="5E7FB1BD" w:rsidR="00AD08F9" w:rsidRDefault="00D0630B" w:rsidP="00DF44F7">
      <w:pPr>
        <w:jc w:val="both"/>
        <w:rPr>
          <w:color w:val="2F5496" w:themeColor="accent1" w:themeShade="BF"/>
        </w:rPr>
      </w:pPr>
      <w:r>
        <w:rPr>
          <w:color w:val="000000" w:themeColor="text1"/>
        </w:rPr>
        <w:t>T</w:t>
      </w:r>
      <w:r w:rsidR="00AD08F9">
        <w:rPr>
          <w:color w:val="000000" w:themeColor="text1"/>
        </w:rPr>
        <w:t>here has been a particular challenge to access to justice for indigenous women victims of violen</w:t>
      </w:r>
      <w:r>
        <w:rPr>
          <w:color w:val="000000" w:themeColor="text1"/>
        </w:rPr>
        <w:t>t</w:t>
      </w:r>
      <w:r w:rsidR="00AD08F9">
        <w:rPr>
          <w:color w:val="000000" w:themeColor="text1"/>
        </w:rPr>
        <w:t xml:space="preserve"> crime </w:t>
      </w:r>
      <w:r>
        <w:rPr>
          <w:color w:val="000000" w:themeColor="text1"/>
        </w:rPr>
        <w:t xml:space="preserve">when </w:t>
      </w:r>
      <w:r w:rsidR="00AD08F9">
        <w:rPr>
          <w:color w:val="000000" w:themeColor="text1"/>
        </w:rPr>
        <w:t>local authorities</w:t>
      </w:r>
      <w:r>
        <w:rPr>
          <w:color w:val="000000" w:themeColor="text1"/>
        </w:rPr>
        <w:t xml:space="preserve"> fail to</w:t>
      </w:r>
      <w:r w:rsidR="00AD08F9">
        <w:rPr>
          <w:color w:val="000000" w:themeColor="text1"/>
        </w:rPr>
        <w:t xml:space="preserve"> investigate or prosecute these crimes.</w:t>
      </w:r>
      <w:r w:rsidR="00AD08F9">
        <w:rPr>
          <w:rStyle w:val="FootnoteReference"/>
          <w:color w:val="000000" w:themeColor="text1"/>
        </w:rPr>
        <w:footnoteReference w:id="12"/>
      </w:r>
      <w:r w:rsidR="00AD08F9">
        <w:rPr>
          <w:color w:val="000000" w:themeColor="text1"/>
        </w:rPr>
        <w:t xml:space="preserve"> </w:t>
      </w:r>
      <w:r>
        <w:rPr>
          <w:color w:val="000000" w:themeColor="text1"/>
        </w:rPr>
        <w:t xml:space="preserve">In January 2019, </w:t>
      </w:r>
      <w:r w:rsidR="00AD08F9">
        <w:rPr>
          <w:color w:val="000000" w:themeColor="text1"/>
        </w:rPr>
        <w:t xml:space="preserve">NGO-CEDAW and an indigenous rights </w:t>
      </w:r>
      <w:r>
        <w:rPr>
          <w:color w:val="000000" w:themeColor="text1"/>
        </w:rPr>
        <w:t>organization</w:t>
      </w:r>
      <w:r w:rsidR="00AD08F9">
        <w:rPr>
          <w:color w:val="000000" w:themeColor="text1"/>
        </w:rPr>
        <w:t xml:space="preserve"> coordinated to support legal services for one indigenous woman in Mondulkiri</w:t>
      </w:r>
      <w:r>
        <w:rPr>
          <w:color w:val="000000" w:themeColor="text1"/>
        </w:rPr>
        <w:t xml:space="preserve"> when the authorities failed her</w:t>
      </w:r>
      <w:r w:rsidR="00A704E7">
        <w:rPr>
          <w:color w:val="000000" w:themeColor="text1"/>
        </w:rPr>
        <w:t>. H</w:t>
      </w:r>
      <w:r w:rsidR="00AD08F9">
        <w:rPr>
          <w:color w:val="000000" w:themeColor="text1"/>
        </w:rPr>
        <w:t>er former boyfriend (who was Khmer)</w:t>
      </w:r>
      <w:r w:rsidR="00A704E7">
        <w:rPr>
          <w:color w:val="000000" w:themeColor="text1"/>
        </w:rPr>
        <w:t xml:space="preserve"> </w:t>
      </w:r>
      <w:r w:rsidR="00AD08F9">
        <w:rPr>
          <w:color w:val="000000" w:themeColor="text1"/>
        </w:rPr>
        <w:t xml:space="preserve">had strangled her </w:t>
      </w:r>
      <w:r>
        <w:rPr>
          <w:color w:val="000000" w:themeColor="text1"/>
        </w:rPr>
        <w:t xml:space="preserve">and left her for dead in a ditch </w:t>
      </w:r>
      <w:r w:rsidR="00AD08F9">
        <w:rPr>
          <w:color w:val="000000" w:themeColor="text1"/>
        </w:rPr>
        <w:t xml:space="preserve">when he learned she was pregnant. Without the support of her family, NGOs and a private attorney, </w:t>
      </w:r>
      <w:r w:rsidR="00A704E7">
        <w:rPr>
          <w:color w:val="000000" w:themeColor="text1"/>
        </w:rPr>
        <w:t>the survivor would not have known her legal rights</w:t>
      </w:r>
      <w:r w:rsidR="00AD08F9">
        <w:rPr>
          <w:color w:val="000000" w:themeColor="text1"/>
        </w:rPr>
        <w:t>.</w:t>
      </w:r>
      <w:r w:rsidR="00A704E7">
        <w:rPr>
          <w:color w:val="000000" w:themeColor="text1"/>
        </w:rPr>
        <w:t xml:space="preserve"> Collectively they pushed the matter</w:t>
      </w:r>
      <w:r>
        <w:rPr>
          <w:color w:val="000000" w:themeColor="text1"/>
        </w:rPr>
        <w:t xml:space="preserve"> until the </w:t>
      </w:r>
      <w:r w:rsidR="00A704E7">
        <w:rPr>
          <w:color w:val="000000" w:themeColor="text1"/>
        </w:rPr>
        <w:t>perpetrator was tried and convicted of attempted murder.</w:t>
      </w:r>
    </w:p>
    <w:p w14:paraId="0BDBDCBC" w14:textId="382867F9" w:rsidR="00A53772" w:rsidRPr="00295ED7" w:rsidRDefault="005E428D" w:rsidP="00DF44F7">
      <w:pPr>
        <w:pStyle w:val="Heading1"/>
        <w:jc w:val="both"/>
      </w:pPr>
      <w:bookmarkStart w:id="3" w:name="_Toc20404158"/>
      <w:r w:rsidRPr="00295ED7">
        <w:t xml:space="preserve">C. </w:t>
      </w:r>
      <w:r w:rsidR="00A53772" w:rsidRPr="00295ED7">
        <w:t>Transitional justice</w:t>
      </w:r>
      <w:bookmarkEnd w:id="3"/>
      <w:r w:rsidR="00A53772" w:rsidRPr="00295ED7">
        <w:t xml:space="preserve"> </w:t>
      </w:r>
    </w:p>
    <w:p w14:paraId="01297A53" w14:textId="4D4EF4D9" w:rsidR="00C52132" w:rsidRPr="00A53772" w:rsidRDefault="00C52132" w:rsidP="00DF44F7">
      <w:pPr>
        <w:jc w:val="both"/>
        <w:rPr>
          <w:color w:val="2F5496" w:themeColor="accent1" w:themeShade="BF"/>
        </w:rPr>
      </w:pPr>
      <w:r w:rsidRPr="00C52132">
        <w:rPr>
          <w:color w:val="000000" w:themeColor="text1"/>
        </w:rPr>
        <w:t>6.</w:t>
      </w:r>
      <w:r w:rsidR="009C432E">
        <w:rPr>
          <w:color w:val="000000" w:themeColor="text1"/>
        </w:rPr>
        <w:t xml:space="preserve"> NGO-CEDAW is greatly appreciative </w:t>
      </w:r>
      <w:r w:rsidR="00A57038">
        <w:rPr>
          <w:color w:val="000000" w:themeColor="text1"/>
        </w:rPr>
        <w:t>of</w:t>
      </w:r>
      <w:r w:rsidR="009C432E">
        <w:rPr>
          <w:color w:val="000000" w:themeColor="text1"/>
        </w:rPr>
        <w:t xml:space="preserve"> the opportunity to provide input into the evaluation of the second National Action Plan to Prevent Violence against Women (NAPVAW) and for the invitation to attend consultations </w:t>
      </w:r>
      <w:r w:rsidR="00757240">
        <w:rPr>
          <w:color w:val="000000" w:themeColor="text1"/>
        </w:rPr>
        <w:t>a</w:t>
      </w:r>
      <w:r w:rsidR="00A57038">
        <w:rPr>
          <w:color w:val="000000" w:themeColor="text1"/>
        </w:rPr>
        <w:t>n</w:t>
      </w:r>
      <w:r w:rsidR="00757240">
        <w:rPr>
          <w:color w:val="000000" w:themeColor="text1"/>
        </w:rPr>
        <w:t xml:space="preserve">d provide input </w:t>
      </w:r>
      <w:r w:rsidR="009C432E">
        <w:rPr>
          <w:color w:val="000000" w:themeColor="text1"/>
        </w:rPr>
        <w:t>into the drafting of the third NAPVAW</w:t>
      </w:r>
      <w:r w:rsidR="00757240">
        <w:rPr>
          <w:color w:val="000000" w:themeColor="text1"/>
        </w:rPr>
        <w:t xml:space="preserve"> (2019-2023)</w:t>
      </w:r>
      <w:r w:rsidR="009C432E">
        <w:rPr>
          <w:color w:val="000000" w:themeColor="text1"/>
        </w:rPr>
        <w:t>.  NGO-CEDAW respects the candor and introspection of the RGC evaluation team who acknowledged that some parts of NAPVAW2 were too ambitious to achieve given the limited resources.</w:t>
      </w:r>
      <w:r w:rsidR="00F12628">
        <w:rPr>
          <w:rStyle w:val="FootnoteReference"/>
          <w:color w:val="000000" w:themeColor="text1"/>
        </w:rPr>
        <w:footnoteReference w:id="13"/>
      </w:r>
      <w:r w:rsidR="009C432E">
        <w:rPr>
          <w:color w:val="000000" w:themeColor="text1"/>
        </w:rPr>
        <w:t xml:space="preserve">  Unfortunately, one of the sections</w:t>
      </w:r>
      <w:r w:rsidR="00F12628">
        <w:rPr>
          <w:color w:val="000000" w:themeColor="text1"/>
        </w:rPr>
        <w:t xml:space="preserve"> of NAPVAW2</w:t>
      </w:r>
      <w:r w:rsidR="009C432E">
        <w:rPr>
          <w:color w:val="000000" w:themeColor="text1"/>
        </w:rPr>
        <w:t xml:space="preserve"> which could not be fully evaluated or completed was the section on the legal framework</w:t>
      </w:r>
      <w:r w:rsidR="00F12628">
        <w:rPr>
          <w:color w:val="000000" w:themeColor="text1"/>
        </w:rPr>
        <w:t xml:space="preserve"> mentioned in paragraph 34 of the RGC 2018 report</w:t>
      </w:r>
      <w:r w:rsidR="009C432E">
        <w:rPr>
          <w:color w:val="000000" w:themeColor="text1"/>
        </w:rPr>
        <w:t>, including reviewing laws and policies for compliance with UN Security Council Resolution No. 1325.  NGO-CEDAW has seen drafts of the NAPVAW</w:t>
      </w:r>
      <w:r w:rsidR="00BE3A50">
        <w:rPr>
          <w:color w:val="000000" w:themeColor="text1"/>
        </w:rPr>
        <w:t xml:space="preserve">3 </w:t>
      </w:r>
      <w:r w:rsidR="009C432E">
        <w:rPr>
          <w:color w:val="000000" w:themeColor="text1"/>
        </w:rPr>
        <w:t xml:space="preserve">which include a comprehensive review of the </w:t>
      </w:r>
      <w:r w:rsidR="00A074FE">
        <w:rPr>
          <w:color w:val="000000" w:themeColor="text1"/>
        </w:rPr>
        <w:t>L</w:t>
      </w:r>
      <w:r w:rsidR="009C432E">
        <w:rPr>
          <w:color w:val="000000" w:themeColor="text1"/>
        </w:rPr>
        <w:t xml:space="preserve">aw on </w:t>
      </w:r>
      <w:r w:rsidR="00A074FE">
        <w:rPr>
          <w:color w:val="000000" w:themeColor="text1"/>
        </w:rPr>
        <w:t>the Prevention of D</w:t>
      </w:r>
      <w:r w:rsidR="009C432E">
        <w:rPr>
          <w:color w:val="000000" w:themeColor="text1"/>
        </w:rPr>
        <w:t xml:space="preserve">omestic </w:t>
      </w:r>
      <w:r w:rsidR="00A074FE">
        <w:rPr>
          <w:color w:val="000000" w:themeColor="text1"/>
        </w:rPr>
        <w:t>V</w:t>
      </w:r>
      <w:r w:rsidR="009C432E">
        <w:rPr>
          <w:color w:val="000000" w:themeColor="text1"/>
        </w:rPr>
        <w:t xml:space="preserve">iolence and </w:t>
      </w:r>
      <w:r w:rsidR="00A074FE">
        <w:rPr>
          <w:color w:val="000000" w:themeColor="text1"/>
        </w:rPr>
        <w:t xml:space="preserve">Protection of Victims (DV Law), and </w:t>
      </w:r>
      <w:r w:rsidR="009C432E">
        <w:rPr>
          <w:color w:val="000000" w:themeColor="text1"/>
        </w:rPr>
        <w:t>a plan to define sexual harassment in the laws and regulations.</w:t>
      </w:r>
      <w:r w:rsidR="00F12628">
        <w:rPr>
          <w:color w:val="000000" w:themeColor="text1"/>
        </w:rPr>
        <w:t xml:space="preserve"> However, there is not a clear plan to address state-sponsored violence.</w:t>
      </w:r>
    </w:p>
    <w:p w14:paraId="0CAFCF73" w14:textId="7285FB53" w:rsidR="00A53772" w:rsidRPr="008F0B17" w:rsidRDefault="00616036" w:rsidP="00DF44F7">
      <w:pPr>
        <w:pStyle w:val="Heading1"/>
        <w:jc w:val="both"/>
      </w:pPr>
      <w:bookmarkStart w:id="4" w:name="_Toc20404159"/>
      <w:r>
        <w:t>D</w:t>
      </w:r>
      <w:r w:rsidR="00295ED7">
        <w:t>.</w:t>
      </w:r>
      <w:r>
        <w:t xml:space="preserve"> </w:t>
      </w:r>
      <w:r w:rsidR="00A53772" w:rsidRPr="008F0B17">
        <w:t>National machinery for the advancement of women</w:t>
      </w:r>
      <w:bookmarkEnd w:id="4"/>
      <w:r w:rsidR="00A53772" w:rsidRPr="008F0B17">
        <w:t xml:space="preserve"> </w:t>
      </w:r>
    </w:p>
    <w:p w14:paraId="4FB61644" w14:textId="33A577EC" w:rsidR="00A53772" w:rsidRPr="00A53772" w:rsidRDefault="00A53772" w:rsidP="00DF44F7">
      <w:pPr>
        <w:jc w:val="both"/>
        <w:rPr>
          <w:color w:val="2F5496" w:themeColor="accent1" w:themeShade="BF"/>
        </w:rPr>
      </w:pPr>
      <w:r w:rsidRPr="008F0B17">
        <w:t>7.</w:t>
      </w:r>
      <w:r w:rsidR="00295ED7">
        <w:t xml:space="preserve"> </w:t>
      </w:r>
      <w:r w:rsidR="008F0B17" w:rsidRPr="008F0B17">
        <w:t>NGO-CEDAW commends the RGC for setting up mechanisms in each ministry and in the parliament to address gender mainstreaming, but is concerned that there is insufficient dedicated human resources and funding from the national budget to ensure their effectiveness.  Moreover, actions at the national level are not resulting in gender mainstreaming or gender responsive budgeting at the local level.</w:t>
      </w:r>
    </w:p>
    <w:p w14:paraId="1780FDFB" w14:textId="6DF67AD0" w:rsidR="00A53772" w:rsidRPr="00295ED7" w:rsidRDefault="00616036" w:rsidP="00DF44F7">
      <w:pPr>
        <w:pStyle w:val="Heading1"/>
        <w:jc w:val="both"/>
      </w:pPr>
      <w:bookmarkStart w:id="5" w:name="_Toc20404160"/>
      <w:r w:rsidRPr="00295ED7">
        <w:t>E</w:t>
      </w:r>
      <w:r w:rsidR="00295ED7">
        <w:t>.</w:t>
      </w:r>
      <w:r w:rsidRPr="00295ED7">
        <w:t xml:space="preserve"> </w:t>
      </w:r>
      <w:r w:rsidR="00A53772" w:rsidRPr="00295ED7">
        <w:t>Discriminatory gender stereotypes</w:t>
      </w:r>
      <w:bookmarkEnd w:id="5"/>
      <w:r w:rsidR="00A53772" w:rsidRPr="00295ED7">
        <w:t xml:space="preserve"> </w:t>
      </w:r>
    </w:p>
    <w:p w14:paraId="32DCC749" w14:textId="359A38B8" w:rsidR="008E52CA" w:rsidRPr="008E52CA" w:rsidRDefault="00A53772" w:rsidP="00DF44F7">
      <w:pPr>
        <w:jc w:val="both"/>
        <w:rPr>
          <w:color w:val="000000" w:themeColor="text1"/>
        </w:rPr>
      </w:pPr>
      <w:r w:rsidRPr="008E52CA">
        <w:rPr>
          <w:color w:val="000000" w:themeColor="text1"/>
        </w:rPr>
        <w:t>8.</w:t>
      </w:r>
      <w:r w:rsidR="00295ED7" w:rsidRPr="008E52CA">
        <w:rPr>
          <w:color w:val="000000" w:themeColor="text1"/>
        </w:rPr>
        <w:t xml:space="preserve"> NGO-CEDAW </w:t>
      </w:r>
      <w:r w:rsidR="008E52CA" w:rsidRPr="008E52CA">
        <w:rPr>
          <w:color w:val="000000" w:themeColor="text1"/>
        </w:rPr>
        <w:t>note</w:t>
      </w:r>
      <w:r w:rsidR="008E52CA">
        <w:rPr>
          <w:color w:val="000000" w:themeColor="text1"/>
        </w:rPr>
        <w:t>d in its 2017 CEDAW monitoring report</w:t>
      </w:r>
      <w:r w:rsidR="008E52CA">
        <w:rPr>
          <w:rStyle w:val="FootnoteReference"/>
          <w:color w:val="000000" w:themeColor="text1"/>
        </w:rPr>
        <w:footnoteReference w:id="14"/>
      </w:r>
      <w:r w:rsidR="008E52CA">
        <w:rPr>
          <w:color w:val="000000" w:themeColor="text1"/>
        </w:rPr>
        <w:t xml:space="preserve"> that one of the main obstacles to gender equity is the enduring presence in</w:t>
      </w:r>
      <w:r w:rsidR="008E52CA" w:rsidRPr="008E52CA">
        <w:rPr>
          <w:color w:val="000000" w:themeColor="text1"/>
        </w:rPr>
        <w:t xml:space="preserve"> all sectors and segments of society of negative gender stereotypes.  Persistent beliefs that women are less capable than men and expected to conform to traditional roles in the family </w:t>
      </w:r>
      <w:r w:rsidR="00616AFE">
        <w:rPr>
          <w:color w:val="000000" w:themeColor="text1"/>
        </w:rPr>
        <w:t>impede</w:t>
      </w:r>
      <w:r w:rsidR="008E52CA" w:rsidRPr="008E52CA">
        <w:rPr>
          <w:color w:val="000000" w:themeColor="text1"/>
        </w:rPr>
        <w:t xml:space="preserve"> progress in the implementation of every article of CEDAW. These attitudes are held by men and women, private and public employers, educators, health professionals, law enforcement officers, and NGO workers.</w:t>
      </w:r>
      <w:r w:rsidR="008E52CA">
        <w:rPr>
          <w:color w:val="000000" w:themeColor="text1"/>
        </w:rPr>
        <w:t xml:space="preserve"> This is a reason why no increase in women parliamentarians occurred in the last election, why the laws have not been amended to promote women, why temporary special measures are seldom used, and why </w:t>
      </w:r>
      <w:r w:rsidR="00C2794C">
        <w:rPr>
          <w:color w:val="000000" w:themeColor="text1"/>
        </w:rPr>
        <w:t xml:space="preserve">the purpose </w:t>
      </w:r>
      <w:r w:rsidR="00890219">
        <w:rPr>
          <w:color w:val="000000" w:themeColor="text1"/>
        </w:rPr>
        <w:t>to</w:t>
      </w:r>
      <w:r w:rsidR="00C2794C">
        <w:rPr>
          <w:color w:val="000000" w:themeColor="text1"/>
        </w:rPr>
        <w:t xml:space="preserve"> “preserv</w:t>
      </w:r>
      <w:r w:rsidR="00890219">
        <w:rPr>
          <w:color w:val="000000" w:themeColor="text1"/>
        </w:rPr>
        <w:t>e</w:t>
      </w:r>
      <w:r w:rsidR="00C2794C">
        <w:rPr>
          <w:color w:val="000000" w:themeColor="text1"/>
        </w:rPr>
        <w:t xml:space="preserve"> the harmony within </w:t>
      </w:r>
      <w:r w:rsidR="00890219">
        <w:rPr>
          <w:color w:val="000000" w:themeColor="text1"/>
        </w:rPr>
        <w:t>the household</w:t>
      </w:r>
      <w:r w:rsidR="00C2794C">
        <w:rPr>
          <w:color w:val="000000" w:themeColor="text1"/>
        </w:rPr>
        <w:t>”</w:t>
      </w:r>
      <w:r w:rsidR="00890219">
        <w:rPr>
          <w:rStyle w:val="FootnoteReference"/>
          <w:color w:val="000000" w:themeColor="text1"/>
        </w:rPr>
        <w:footnoteReference w:id="15"/>
      </w:r>
      <w:r w:rsidR="00C2794C">
        <w:rPr>
          <w:color w:val="000000" w:themeColor="text1"/>
        </w:rPr>
        <w:t xml:space="preserve"> takes priority over victims’ safety in the law on domestic violence, both in wording and practice.</w:t>
      </w:r>
    </w:p>
    <w:p w14:paraId="675F8E6D" w14:textId="438B294B" w:rsidR="00A53772" w:rsidRPr="00D76A68" w:rsidRDefault="00616036" w:rsidP="00DF44F7">
      <w:pPr>
        <w:pStyle w:val="Heading1"/>
        <w:jc w:val="both"/>
      </w:pPr>
      <w:bookmarkStart w:id="6" w:name="_Toc20404161"/>
      <w:r w:rsidRPr="00D76A68">
        <w:lastRenderedPageBreak/>
        <w:t>F</w:t>
      </w:r>
      <w:r w:rsidR="00262B3F">
        <w:t>.</w:t>
      </w:r>
      <w:r w:rsidRPr="00D76A68">
        <w:t xml:space="preserve"> </w:t>
      </w:r>
      <w:r w:rsidR="00A53772" w:rsidRPr="00D76A68">
        <w:t>Gender-based violence against women</w:t>
      </w:r>
      <w:bookmarkEnd w:id="6"/>
    </w:p>
    <w:p w14:paraId="485EB463" w14:textId="1A53DDAD" w:rsidR="00633F24" w:rsidRDefault="00A53772" w:rsidP="00DF44F7">
      <w:pPr>
        <w:jc w:val="both"/>
        <w:rPr>
          <w:color w:val="000000" w:themeColor="text1"/>
        </w:rPr>
      </w:pPr>
      <w:r w:rsidRPr="00F17DEB">
        <w:rPr>
          <w:color w:val="000000" w:themeColor="text1"/>
        </w:rPr>
        <w:t>9.</w:t>
      </w:r>
      <w:r w:rsidR="008E52CA" w:rsidRPr="00F17DEB">
        <w:rPr>
          <w:color w:val="000000" w:themeColor="text1"/>
        </w:rPr>
        <w:t xml:space="preserve"> </w:t>
      </w:r>
      <w:r w:rsidR="003A7D76">
        <w:rPr>
          <w:color w:val="000000" w:themeColor="text1"/>
        </w:rPr>
        <w:t>NGO-CEDAW greatly appreciates the RGC’s willingness to include its recommendations</w:t>
      </w:r>
      <w:r w:rsidR="003A7D76">
        <w:rPr>
          <w:rStyle w:val="FootnoteReference"/>
          <w:color w:val="000000" w:themeColor="text1"/>
        </w:rPr>
        <w:footnoteReference w:id="16"/>
      </w:r>
      <w:r w:rsidR="003A7D76">
        <w:rPr>
          <w:color w:val="000000" w:themeColor="text1"/>
        </w:rPr>
        <w:t xml:space="preserve"> in a review of the </w:t>
      </w:r>
      <w:r w:rsidR="00633F24">
        <w:rPr>
          <w:color w:val="000000" w:themeColor="text1"/>
        </w:rPr>
        <w:t xml:space="preserve">DV Law, yet is concerned that some officials in relevant ministries have publicly stated that the law needs no amendment or that only a few articles should be reviewed. </w:t>
      </w:r>
    </w:p>
    <w:p w14:paraId="57E7D1B9" w14:textId="45938B95" w:rsidR="00A53772" w:rsidRPr="00A53772" w:rsidRDefault="008E52CA" w:rsidP="00DF44F7">
      <w:pPr>
        <w:jc w:val="both"/>
        <w:rPr>
          <w:color w:val="2F5496" w:themeColor="accent1" w:themeShade="BF"/>
        </w:rPr>
      </w:pPr>
      <w:r w:rsidRPr="00F17DEB">
        <w:rPr>
          <w:color w:val="000000" w:themeColor="text1"/>
        </w:rPr>
        <w:t>NGO-CEDAW provided specific recommendations that the RGC include in NAPVAW3 an indicator of success of drafting a comprehensive definition of</w:t>
      </w:r>
      <w:r w:rsidR="00A53772" w:rsidRPr="00F17DEB">
        <w:rPr>
          <w:color w:val="000000" w:themeColor="text1"/>
        </w:rPr>
        <w:t xml:space="preserve"> sexual harassment</w:t>
      </w:r>
      <w:r w:rsidRPr="00F17DEB">
        <w:rPr>
          <w:color w:val="000000" w:themeColor="text1"/>
        </w:rPr>
        <w:t xml:space="preserve"> in schools, work and public spaces and provided a sample definition in both English and Khmer. Because there is no specific mechanism for women to bring cases of harassment directly to court, most cases </w:t>
      </w:r>
      <w:r w:rsidR="00F17DEB" w:rsidRPr="00F17DEB">
        <w:rPr>
          <w:color w:val="000000" w:themeColor="text1"/>
        </w:rPr>
        <w:t xml:space="preserve">of sexual harassment </w:t>
      </w:r>
      <w:r w:rsidRPr="00F17DEB">
        <w:rPr>
          <w:color w:val="000000" w:themeColor="text1"/>
        </w:rPr>
        <w:t>are brought through unions to the arbitration council.</w:t>
      </w:r>
      <w:r w:rsidR="00A53772" w:rsidRPr="00A53772">
        <w:rPr>
          <w:color w:val="2F5496" w:themeColor="accent1" w:themeShade="BF"/>
        </w:rPr>
        <w:t xml:space="preserve"> </w:t>
      </w:r>
    </w:p>
    <w:p w14:paraId="647E3D79" w14:textId="204ED25B" w:rsidR="00F559D2" w:rsidRPr="001C6F04" w:rsidRDefault="00A53772" w:rsidP="00DF44F7">
      <w:pPr>
        <w:jc w:val="both"/>
      </w:pPr>
      <w:r w:rsidRPr="001C6F04">
        <w:t>10.</w:t>
      </w:r>
      <w:r w:rsidR="0086420E">
        <w:t xml:space="preserve"> </w:t>
      </w:r>
      <w:r w:rsidR="0067750B">
        <w:t>“M</w:t>
      </w:r>
      <w:r w:rsidR="00350A41" w:rsidRPr="001C6F04">
        <w:t>ediation</w:t>
      </w:r>
      <w:r w:rsidR="0067750B">
        <w:t>”</w:t>
      </w:r>
      <w:r w:rsidR="00350A41" w:rsidRPr="001C6F04">
        <w:t xml:space="preserve"> per se is generally not correctly practiced in line with its core principles</w:t>
      </w:r>
      <w:r w:rsidR="00DC45B3">
        <w:t xml:space="preserve"> in with respect to domestic violence in Cambodia</w:t>
      </w:r>
      <w:r w:rsidR="00350A41" w:rsidRPr="001C6F04">
        <w:t xml:space="preserve">. </w:t>
      </w:r>
      <w:r w:rsidR="00F559D2" w:rsidRPr="001C6F04">
        <w:t xml:space="preserve">Informal reconciliation by community members </w:t>
      </w:r>
      <w:r w:rsidR="00350A41" w:rsidRPr="001C6F04">
        <w:t xml:space="preserve">without any formal training </w:t>
      </w:r>
      <w:r w:rsidR="00F559D2" w:rsidRPr="001C6F04">
        <w:t xml:space="preserve">remains the dominant means of resolving all cases of domestic violence.  The language of the DV Law Article 26 specifically encourages reconciliation by parents, and community members in all </w:t>
      </w:r>
      <w:r w:rsidR="0067750B">
        <w:t>minor</w:t>
      </w:r>
      <w:r w:rsidR="0067750B">
        <w:rPr>
          <w:rStyle w:val="FootnoteReference"/>
        </w:rPr>
        <w:footnoteReference w:id="17"/>
      </w:r>
      <w:r w:rsidR="00F559D2" w:rsidRPr="001C6F04">
        <w:t xml:space="preserve"> cases of physical and sexual violence as well as all cases of emotional and economic violence.  </w:t>
      </w:r>
      <w:r w:rsidR="00350A41" w:rsidRPr="001C6F04">
        <w:t xml:space="preserve">Article 26 uses the term “mediation” interchangeably with ‘reconciliation’ and “arbitration”, which does not serve the best interest of women to access to justice.  In practice the police are active facilitators in the mediation and/or reconciliation process. This violates mediation principles, reflects a conflict of interest (as police can earn a commission and avoid the work of carrying out an investigation if a case is reconciled) and it demonstrates the imbalance of power between the mediator(s) and the parties involved. </w:t>
      </w:r>
    </w:p>
    <w:p w14:paraId="37624191" w14:textId="27ABA263" w:rsidR="00F335B3" w:rsidRDefault="00350A41" w:rsidP="00DF44F7">
      <w:pPr>
        <w:jc w:val="both"/>
      </w:pPr>
      <w:r w:rsidRPr="00AE06D0">
        <w:t>2019 research</w:t>
      </w:r>
      <w:r w:rsidR="002A18AC" w:rsidRPr="00AE06D0">
        <w:t xml:space="preserve"> </w:t>
      </w:r>
      <w:r w:rsidR="00F335B3" w:rsidRPr="00AE06D0">
        <w:t xml:space="preserve">by Cambodian CSOs </w:t>
      </w:r>
      <w:r w:rsidR="002A18AC" w:rsidRPr="00AE06D0">
        <w:t>on the use of local mediation in intimate partner violence (IPV) cases</w:t>
      </w:r>
      <w:r w:rsidR="002A18AC" w:rsidRPr="00AE06D0">
        <w:rPr>
          <w:rStyle w:val="FootnoteReference"/>
        </w:rPr>
        <w:footnoteReference w:id="18"/>
      </w:r>
      <w:r w:rsidR="00AE5F7C" w:rsidRPr="00AE06D0">
        <w:t xml:space="preserve"> </w:t>
      </w:r>
      <w:r w:rsidR="002A18AC" w:rsidRPr="00AE06D0">
        <w:t xml:space="preserve">has preliminary findings showing that safeguards for ensuring women’s safety are not fully utilized.  </w:t>
      </w:r>
      <w:r w:rsidR="00323C03" w:rsidRPr="00AE06D0">
        <w:t>88% (3</w:t>
      </w:r>
      <w:r w:rsidR="00323C03" w:rsidRPr="00323C03">
        <w:t>0</w:t>
      </w:r>
      <w:r w:rsidR="006F48E2">
        <w:t xml:space="preserve"> out of </w:t>
      </w:r>
      <w:r w:rsidR="00323C03" w:rsidRPr="00323C03">
        <w:t xml:space="preserve">34) of women survivors </w:t>
      </w:r>
      <w:r w:rsidR="002A18AC">
        <w:t xml:space="preserve">of IPV </w:t>
      </w:r>
      <w:r w:rsidR="00323C03" w:rsidRPr="00323C03">
        <w:t>who had gone through some form of local mediation and were interviewed</w:t>
      </w:r>
      <w:r w:rsidR="00323C03">
        <w:t xml:space="preserve"> for this</w:t>
      </w:r>
      <w:r w:rsidR="00323C03" w:rsidRPr="00323C03">
        <w:t xml:space="preserve"> study had never heard of a protection order or administrative decision.</w:t>
      </w:r>
      <w:r w:rsidR="00323C03">
        <w:t xml:space="preserve"> </w:t>
      </w:r>
      <w:r w:rsidR="00F335B3">
        <w:t>D</w:t>
      </w:r>
      <w:r w:rsidR="00F335B3" w:rsidRPr="00F335B3">
        <w:t xml:space="preserve">uty bearers at the local level, including police and </w:t>
      </w:r>
      <w:r w:rsidR="00F335B3">
        <w:t>commune council members</w:t>
      </w:r>
      <w:r w:rsidR="00F335B3" w:rsidRPr="00F335B3">
        <w:t xml:space="preserve"> were found to have inadequate knowledge about such protective procedures and how to use them.</w:t>
      </w:r>
      <w:r w:rsidR="00F335B3">
        <w:t xml:space="preserve"> </w:t>
      </w:r>
      <w:r w:rsidR="006F48E2">
        <w:t>Almost half of the 43 commune council members</w:t>
      </w:r>
      <w:r w:rsidR="006F48E2">
        <w:rPr>
          <w:rStyle w:val="FootnoteReference"/>
        </w:rPr>
        <w:footnoteReference w:id="19"/>
      </w:r>
      <w:r w:rsidR="006F48E2">
        <w:t xml:space="preserve"> interviewed for the study had also never heard of either a protection order or an administrative decision. Those that did were confused about who could issue the documents and what their purpose was. </w:t>
      </w:r>
      <w:r w:rsidR="007C711F">
        <w:t>Almost all</w:t>
      </w:r>
      <w:r w:rsidR="00F335B3">
        <w:t xml:space="preserve"> of the mediators or persons conducting reconciliation in the survey sample were men.  Moreover, reconciliation and mediation were used in situations where it </w:t>
      </w:r>
      <w:r w:rsidR="009C7BFD">
        <w:t xml:space="preserve">is </w:t>
      </w:r>
      <w:r w:rsidR="00F335B3">
        <w:t>not appropriate</w:t>
      </w:r>
      <w:r w:rsidR="00B9069E">
        <w:t xml:space="preserve"> given the level of abuse. I</w:t>
      </w:r>
      <w:r w:rsidR="00F335B3">
        <w:t>n one instance, a woman had been severely beaten on numerous occasions with visible injuries, but her case was reconciliated by the village chief each time she reported abuse to him.</w:t>
      </w:r>
      <w:r w:rsidR="00B9069E">
        <w:t xml:space="preserve"> In another, her husband stabbed her, but her local village chief conducted reconciliation.</w:t>
      </w:r>
    </w:p>
    <w:p w14:paraId="1090FAEF" w14:textId="74081C16" w:rsidR="00350A41" w:rsidRPr="001C6F04" w:rsidRDefault="001C6F04" w:rsidP="00DF44F7">
      <w:pPr>
        <w:jc w:val="both"/>
      </w:pPr>
      <w:r w:rsidRPr="001C6F04">
        <w:t>U</w:t>
      </w:r>
      <w:r w:rsidR="00350A41" w:rsidRPr="001C6F04">
        <w:t xml:space="preserve">rgent </w:t>
      </w:r>
      <w:r w:rsidR="00D0630B">
        <w:t xml:space="preserve">institutional </w:t>
      </w:r>
      <w:r w:rsidR="00350A41" w:rsidRPr="001C6F04">
        <w:t>reform is required to protect women survivors</w:t>
      </w:r>
      <w:r w:rsidR="0006215B">
        <w:t>,</w:t>
      </w:r>
      <w:r w:rsidR="00350A41" w:rsidRPr="001C6F04">
        <w:t xml:space="preserve"> </w:t>
      </w:r>
      <w:r w:rsidR="0006215B">
        <w:t>and to</w:t>
      </w:r>
      <w:r w:rsidR="00350A41" w:rsidRPr="001C6F04">
        <w:t xml:space="preserve"> ensure </w:t>
      </w:r>
      <w:r w:rsidR="0006215B">
        <w:t xml:space="preserve">that </w:t>
      </w:r>
      <w:r w:rsidR="00350A41" w:rsidRPr="001C6F04">
        <w:t>the correct information is adequately communicated to and implemented by local level</w:t>
      </w:r>
      <w:r w:rsidR="00D0630B">
        <w:t xml:space="preserve"> </w:t>
      </w:r>
      <w:r w:rsidR="00350A41" w:rsidRPr="001C6F04">
        <w:t>authorities</w:t>
      </w:r>
      <w:r w:rsidR="00D0630B">
        <w:t>,</w:t>
      </w:r>
      <w:r w:rsidR="00350A41" w:rsidRPr="001C6F04">
        <w:t xml:space="preserve"> police and courts. </w:t>
      </w:r>
      <w:r w:rsidR="0006215B">
        <w:t>As of September 2019</w:t>
      </w:r>
      <w:r w:rsidR="00726B26" w:rsidRPr="001C6F04">
        <w:t xml:space="preserve">, </w:t>
      </w:r>
      <w:r w:rsidR="00726B26">
        <w:t xml:space="preserve">the RGC is sponsoring the development of materials to aid providers of mediation, yet </w:t>
      </w:r>
      <w:r w:rsidR="00726B26" w:rsidRPr="001C6F04">
        <w:t>relevant civil society stakeholders</w:t>
      </w:r>
      <w:r w:rsidR="0006215B">
        <w:t xml:space="preserve"> are concerned with the</w:t>
      </w:r>
      <w:r w:rsidR="00726B26" w:rsidRPr="001C6F04">
        <w:t xml:space="preserve"> </w:t>
      </w:r>
      <w:r w:rsidR="00726B26">
        <w:t>limited</w:t>
      </w:r>
      <w:r w:rsidR="00726B26" w:rsidRPr="001C6F04">
        <w:t xml:space="preserve"> consultation </w:t>
      </w:r>
      <w:r w:rsidR="00726B26">
        <w:t>and transparency in this process</w:t>
      </w:r>
      <w:r w:rsidR="00726B26" w:rsidRPr="001C6F04">
        <w:t xml:space="preserve">.  </w:t>
      </w:r>
      <w:r w:rsidR="0006215B">
        <w:t>M</w:t>
      </w:r>
      <w:r w:rsidR="00726B26">
        <w:t xml:space="preserve">ediators </w:t>
      </w:r>
      <w:r w:rsidR="00350A41" w:rsidRPr="001C6F04">
        <w:t xml:space="preserve">should </w:t>
      </w:r>
      <w:r w:rsidR="0006215B">
        <w:t>understand</w:t>
      </w:r>
      <w:r w:rsidR="00350A41" w:rsidRPr="001C6F04">
        <w:t xml:space="preserve"> that </w:t>
      </w:r>
      <w:r w:rsidR="004B520B">
        <w:t>charges</w:t>
      </w:r>
      <w:r w:rsidR="00350A41" w:rsidRPr="001C6F04">
        <w:t xml:space="preserve"> of domestic violence </w:t>
      </w:r>
      <w:r w:rsidR="004B520B">
        <w:t>may</w:t>
      </w:r>
      <w:r w:rsidR="00350A41" w:rsidRPr="001C6F04">
        <w:t xml:space="preserve"> be prosecuted</w:t>
      </w:r>
      <w:r w:rsidR="004B520B">
        <w:t xml:space="preserve"> </w:t>
      </w:r>
      <w:r w:rsidR="00956399">
        <w:t>without requiring t</w:t>
      </w:r>
      <w:r w:rsidR="00956399" w:rsidRPr="009C7BFD">
        <w:t>he victim to pursue a complaint</w:t>
      </w:r>
      <w:r w:rsidR="004B520B">
        <w:t xml:space="preserve"> and even </w:t>
      </w:r>
      <w:r w:rsidR="003D5230">
        <w:t>after</w:t>
      </w:r>
      <w:r w:rsidR="004B520B">
        <w:t xml:space="preserve"> a civil settlement is reached between an alleged perpetrator and the direct victim</w:t>
      </w:r>
      <w:r w:rsidR="00350A41" w:rsidRPr="009C7BFD">
        <w:t xml:space="preserve">. </w:t>
      </w:r>
      <w:r w:rsidR="00956399" w:rsidRPr="009C7BFD">
        <w:t>A</w:t>
      </w:r>
      <w:r w:rsidR="00350A41" w:rsidRPr="009C7BFD">
        <w:t>rticle 75 of the C</w:t>
      </w:r>
      <w:r w:rsidR="00B9069E" w:rsidRPr="009C7BFD">
        <w:t>ode of Criminal Procedure</w:t>
      </w:r>
      <w:r w:rsidR="00B9069E" w:rsidRPr="009C7BFD">
        <w:rPr>
          <w:rStyle w:val="FootnoteReference"/>
        </w:rPr>
        <w:footnoteReference w:id="20"/>
      </w:r>
      <w:r w:rsidR="00350A41" w:rsidRPr="009C7BFD">
        <w:t xml:space="preserve"> </w:t>
      </w:r>
      <w:r w:rsidR="0006215B">
        <w:t xml:space="preserve">should be enforced </w:t>
      </w:r>
      <w:r w:rsidR="00350A41" w:rsidRPr="009C7BFD">
        <w:t>a</w:t>
      </w:r>
      <w:r w:rsidR="00350A41" w:rsidRPr="001C6F04">
        <w:t>gainst police officers who</w:t>
      </w:r>
      <w:r w:rsidR="0006215B">
        <w:t xml:space="preserve"> drop criminal cases after civil mediation</w:t>
      </w:r>
      <w:r w:rsidR="00350A41" w:rsidRPr="001C6F04">
        <w:t xml:space="preserve">.  </w:t>
      </w:r>
      <w:r w:rsidR="00F335B3" w:rsidRPr="00F335B3">
        <w:t>All those conducting mediation in domestic violence</w:t>
      </w:r>
      <w:r w:rsidR="0006215B">
        <w:t xml:space="preserve"> cases</w:t>
      </w:r>
      <w:r w:rsidR="00F335B3" w:rsidRPr="00F335B3">
        <w:t xml:space="preserve"> should be well trained </w:t>
      </w:r>
      <w:r w:rsidR="00F335B3">
        <w:t>both in</w:t>
      </w:r>
      <w:r w:rsidR="00F335B3" w:rsidRPr="00F335B3">
        <w:t xml:space="preserve"> responding sensitively to </w:t>
      </w:r>
      <w:r w:rsidR="00F335B3" w:rsidRPr="00F335B3">
        <w:lastRenderedPageBreak/>
        <w:t>GBV</w:t>
      </w:r>
      <w:r w:rsidR="00F335B3">
        <w:t xml:space="preserve"> and</w:t>
      </w:r>
      <w:r w:rsidR="00F335B3" w:rsidRPr="00F335B3">
        <w:t xml:space="preserve"> in professional mediation practice</w:t>
      </w:r>
      <w:r w:rsidR="00373CF5">
        <w:t>s</w:t>
      </w:r>
      <w:r w:rsidR="00F335B3" w:rsidRPr="00F335B3">
        <w:t xml:space="preserve">. Active steps should </w:t>
      </w:r>
      <w:r w:rsidR="00726B26">
        <w:t xml:space="preserve">also </w:t>
      </w:r>
      <w:r w:rsidR="00F335B3" w:rsidRPr="00F335B3">
        <w:t xml:space="preserve">be taken to increase the number of women involved in conducting local mediations. </w:t>
      </w:r>
      <w:r w:rsidR="0006215B">
        <w:t xml:space="preserve">Additionally, </w:t>
      </w:r>
      <w:proofErr w:type="gramStart"/>
      <w:r w:rsidR="0006215B">
        <w:t>a</w:t>
      </w:r>
      <w:proofErr w:type="gramEnd"/>
      <w:r w:rsidR="0006215B">
        <w:t xml:space="preserve"> RGC-funded victims’ compensation fund should be established to discourage mediation in order to keep the abuser employed.</w:t>
      </w:r>
    </w:p>
    <w:p w14:paraId="0533AD14" w14:textId="39162BB6" w:rsidR="00350A41" w:rsidRPr="00CB42C3" w:rsidRDefault="00373CF5" w:rsidP="00DF44F7">
      <w:pPr>
        <w:jc w:val="both"/>
      </w:pPr>
      <w:r>
        <w:t>Of further concern is the fact that m</w:t>
      </w:r>
      <w:r w:rsidR="00350A41" w:rsidRPr="001C6F04">
        <w:t>arital rape is not prosecuted or deemed as abuse.  Neither nonconsensual sex nor incest is enumerated in the DV Law as a type of sexual violence. The Criminal Code Article 239, which defines rape, does not explicitly include a spouse or partner so some advocates of prosecution state that the law prohibits marital rape, but many judges, police, and prosecutors view all sex between spouses or partners to be legal regardless of consent.  Moreover, the l</w:t>
      </w:r>
      <w:r w:rsidR="00350A41" w:rsidRPr="00CB42C3">
        <w:t>aw establishes the age of sexual majority as 15, so there is no statutory rape of 15 to 17-year-o</w:t>
      </w:r>
      <w:r w:rsidR="00350A41" w:rsidRPr="00E659C8">
        <w:t>lds.</w:t>
      </w:r>
      <w:r w:rsidR="004C5895" w:rsidRPr="00E659C8">
        <w:t xml:space="preserve">  2019 research by Cambodian HIV/AIDS Education and Care (CHEC)</w:t>
      </w:r>
      <w:r w:rsidR="00E659C8">
        <w:t xml:space="preserve"> </w:t>
      </w:r>
      <w:r w:rsidR="004C5895" w:rsidRPr="00E659C8">
        <w:t>showed that only 72% of local a</w:t>
      </w:r>
      <w:r w:rsidR="004C5895">
        <w:t>uthorities surveyed in 4 rural districts identified forced sex on an intimate partner as a type of abuse with which they were familiar.</w:t>
      </w:r>
      <w:r w:rsidR="004C5895">
        <w:rPr>
          <w:rStyle w:val="FootnoteReference"/>
        </w:rPr>
        <w:footnoteReference w:id="21"/>
      </w:r>
      <w:r w:rsidR="00AB413D">
        <w:t xml:space="preserve"> 19% of ever-partnered women in Cambodia’s 2015 national survey thought that married women could not deny sex to their partners.</w:t>
      </w:r>
      <w:r w:rsidR="00AB413D">
        <w:rPr>
          <w:rStyle w:val="FootnoteReference"/>
        </w:rPr>
        <w:footnoteReference w:id="22"/>
      </w:r>
    </w:p>
    <w:p w14:paraId="3B24470A" w14:textId="5C568CE4" w:rsidR="00CB42C3" w:rsidRPr="00CB42C3" w:rsidRDefault="00A53772" w:rsidP="00DF44F7">
      <w:pPr>
        <w:jc w:val="both"/>
      </w:pPr>
      <w:r w:rsidRPr="00CB42C3">
        <w:t>11.</w:t>
      </w:r>
      <w:r w:rsidR="00DF44F7">
        <w:t xml:space="preserve"> </w:t>
      </w:r>
      <w:r w:rsidR="00CB42C3" w:rsidRPr="00CB42C3">
        <w:t>There are exactly 6 shelters</w:t>
      </w:r>
      <w:r w:rsidR="00CB42C3" w:rsidRPr="00CB42C3">
        <w:rPr>
          <w:rStyle w:val="FootnoteReference"/>
        </w:rPr>
        <w:footnoteReference w:id="23"/>
      </w:r>
      <w:r w:rsidR="00CB42C3" w:rsidRPr="00CB42C3">
        <w:t xml:space="preserve"> in Cambodia as of July 2019, </w:t>
      </w:r>
      <w:r w:rsidR="00842C83">
        <w:t xml:space="preserve">all run by NGOs and collectively </w:t>
      </w:r>
      <w:r w:rsidR="00CB42C3" w:rsidRPr="00CB42C3">
        <w:t>serving the needs of an estimated 200,000 women who suffer physical and sexual violence annually.</w:t>
      </w:r>
      <w:r w:rsidR="00CB42C3" w:rsidRPr="00CB42C3">
        <w:rPr>
          <w:rStyle w:val="FootnoteReference"/>
        </w:rPr>
        <w:footnoteReference w:id="24"/>
      </w:r>
      <w:r w:rsidR="00CB42C3" w:rsidRPr="00CB42C3">
        <w:t xml:space="preserve"> RGC should allocate sufficient </w:t>
      </w:r>
      <w:r w:rsidR="00842C83">
        <w:t xml:space="preserve">funds out of the national </w:t>
      </w:r>
      <w:r w:rsidR="00CB42C3" w:rsidRPr="00CB42C3">
        <w:t xml:space="preserve">budget to secure quality services for GBV survivors as well as fund monitoring and evaluation of those services annually with published reports. </w:t>
      </w:r>
    </w:p>
    <w:p w14:paraId="076AB242" w14:textId="2944EED9" w:rsidR="00CB42C3" w:rsidRDefault="00CB42C3" w:rsidP="00DF44F7">
      <w:pPr>
        <w:jc w:val="both"/>
      </w:pPr>
      <w:r w:rsidRPr="00CB42C3">
        <w:t>Psychosocial counseling services should be made available, accessible and affordable to survivors, incl</w:t>
      </w:r>
      <w:r w:rsidRPr="009C7BFD">
        <w:t xml:space="preserve">uding </w:t>
      </w:r>
      <w:r w:rsidR="00AA1BFD">
        <w:t>l</w:t>
      </w:r>
      <w:r w:rsidR="00AA1BFD" w:rsidRPr="00AA1BFD">
        <w:t xml:space="preserve">esbian, </w:t>
      </w:r>
      <w:r w:rsidR="00AA1BFD">
        <w:t>b</w:t>
      </w:r>
      <w:r w:rsidR="00AA1BFD" w:rsidRPr="00AA1BFD">
        <w:t xml:space="preserve">isexual and </w:t>
      </w:r>
      <w:r w:rsidR="00AA1BFD">
        <w:t>t</w:t>
      </w:r>
      <w:r w:rsidR="00AA1BFD" w:rsidRPr="00AA1BFD">
        <w:t>ransgender</w:t>
      </w:r>
      <w:r w:rsidR="00AA1BFD">
        <w:t xml:space="preserve"> </w:t>
      </w:r>
      <w:r w:rsidR="004A40AD">
        <w:t>(</w:t>
      </w:r>
      <w:r w:rsidRPr="009C7BFD">
        <w:t>LBT+</w:t>
      </w:r>
      <w:r w:rsidR="004A40AD">
        <w:t>)</w:t>
      </w:r>
      <w:r w:rsidRPr="009C7BFD">
        <w:t xml:space="preserve"> individuals at the commune, and district, provincial and national level. </w:t>
      </w:r>
    </w:p>
    <w:p w14:paraId="657ACD7E" w14:textId="436F691C" w:rsidR="00262B3F" w:rsidRPr="009C7BFD" w:rsidRDefault="00262B3F" w:rsidP="00DF44F7">
      <w:pPr>
        <w:jc w:val="both"/>
        <w:rPr>
          <w:color w:val="2F5496" w:themeColor="accent1" w:themeShade="BF"/>
        </w:rPr>
      </w:pPr>
      <w:r>
        <w:t xml:space="preserve">A June 2019 study shows that lesbians, bisexual women and transgender men in Cambodia are especially at risk of abuse and in need of counseling, with 81% of 25 LBT survey respondents under age 35 reporting family violence, usually by their parents. Some reported being forced to marry a man, </w:t>
      </w:r>
      <w:r w:rsidR="00C64FDD">
        <w:t>while others were disowned by parents, and 11% were physically abuses, often by a parent or brother. 35% of LBT under age 35 in this study considered or attempted suicide because their family rejected their sexual orientation or gender identity and expression.</w:t>
      </w:r>
      <w:r w:rsidR="00C64FDD">
        <w:rPr>
          <w:rStyle w:val="FootnoteReference"/>
        </w:rPr>
        <w:footnoteReference w:id="25"/>
      </w:r>
    </w:p>
    <w:p w14:paraId="3826F81E" w14:textId="4CBC0A3F" w:rsidR="00A53772" w:rsidRPr="009C7BFD" w:rsidRDefault="00616036" w:rsidP="00DF44F7">
      <w:pPr>
        <w:pStyle w:val="Heading1"/>
        <w:jc w:val="both"/>
      </w:pPr>
      <w:bookmarkStart w:id="7" w:name="_Toc20404162"/>
      <w:r w:rsidRPr="009C7BFD">
        <w:t>G</w:t>
      </w:r>
      <w:r w:rsidR="00262B3F">
        <w:t>.</w:t>
      </w:r>
      <w:r w:rsidRPr="009C7BFD">
        <w:t xml:space="preserve"> </w:t>
      </w:r>
      <w:r w:rsidR="00A53772" w:rsidRPr="009C7BFD">
        <w:t>Trafficking and exploitation of prostitution</w:t>
      </w:r>
      <w:bookmarkEnd w:id="7"/>
    </w:p>
    <w:p w14:paraId="4A096785" w14:textId="286A7859" w:rsidR="00A53772" w:rsidRPr="009C7BFD" w:rsidRDefault="00A53772" w:rsidP="00DF44F7">
      <w:pPr>
        <w:jc w:val="both"/>
        <w:rPr>
          <w:color w:val="2F5496" w:themeColor="accent1" w:themeShade="BF"/>
        </w:rPr>
      </w:pPr>
      <w:r w:rsidRPr="009C7BFD">
        <w:t>12.</w:t>
      </w:r>
      <w:r w:rsidR="00DF44F7">
        <w:t xml:space="preserve"> </w:t>
      </w:r>
      <w:r w:rsidR="00D76A68" w:rsidRPr="009C7BFD">
        <w:t>NGO-CEDAW has no additional information to provide on human trafficking</w:t>
      </w:r>
      <w:r w:rsidR="00093059">
        <w:t xml:space="preserve">, but strongly urges RGC to ratify the </w:t>
      </w:r>
      <w:r w:rsidR="00D454A2" w:rsidRPr="00D454A2">
        <w:t>International Convention on the Protection of the Rights of All Migrant Workers and Members of their Families</w:t>
      </w:r>
      <w:r w:rsidR="00D76A68" w:rsidRPr="009C7BFD">
        <w:t>.</w:t>
      </w:r>
      <w:r w:rsidR="00D454A2">
        <w:t xml:space="preserve"> Moreover, any new law on surrogacy should </w:t>
      </w:r>
      <w:r w:rsidR="00DF44F7">
        <w:t xml:space="preserve">specifically </w:t>
      </w:r>
      <w:r w:rsidR="00D454A2">
        <w:t>exclude the possibility of charging the surrogates for trafficking offenses.</w:t>
      </w:r>
    </w:p>
    <w:p w14:paraId="1EC953D3" w14:textId="0FE2CC95" w:rsidR="00C36BD4" w:rsidRDefault="00A53772" w:rsidP="00DF44F7">
      <w:pPr>
        <w:jc w:val="both"/>
      </w:pPr>
      <w:r w:rsidRPr="009C7BFD">
        <w:t>13.</w:t>
      </w:r>
      <w:r w:rsidR="00DF44F7">
        <w:t xml:space="preserve"> </w:t>
      </w:r>
      <w:r w:rsidR="00CB42C3" w:rsidRPr="009C7BFD">
        <w:t xml:space="preserve">As mentioned in NGO-CEDAW’s </w:t>
      </w:r>
      <w:r w:rsidR="0067750B" w:rsidRPr="009C7BFD">
        <w:t xml:space="preserve">January 2019 submission, </w:t>
      </w:r>
      <w:r w:rsidR="002D4E1A">
        <w:t>sex work</w:t>
      </w:r>
      <w:r w:rsidR="0067750B" w:rsidRPr="009C7BFD">
        <w:t xml:space="preserve"> needs to be decriminalized and destigmatized</w:t>
      </w:r>
      <w:r w:rsidR="002D4E1A">
        <w:t xml:space="preserve"> by amending </w:t>
      </w:r>
      <w:r w:rsidR="002D4E1A" w:rsidRPr="002D4E1A">
        <w:t xml:space="preserve">Criminal Code Article 298 and the Law on Suppression of Human Trafficking and Sexual Exploitation Articles 23 and 24 to eliminate punishment for people suspected of being </w:t>
      </w:r>
      <w:r w:rsidR="002D4E1A">
        <w:t>sex workers</w:t>
      </w:r>
      <w:r w:rsidR="0067750B" w:rsidRPr="009C7BFD">
        <w:t xml:space="preserve">. </w:t>
      </w:r>
    </w:p>
    <w:p w14:paraId="71F68578" w14:textId="4BB60248" w:rsidR="00CC386D" w:rsidRDefault="00C36BD4" w:rsidP="00DF44F7">
      <w:pPr>
        <w:jc w:val="both"/>
        <w:rPr>
          <w:color w:val="2F5496" w:themeColor="accent1" w:themeShade="BF"/>
        </w:rPr>
      </w:pPr>
      <w:r>
        <w:t>Moreover, s</w:t>
      </w:r>
      <w:r w:rsidR="00CC386D" w:rsidRPr="009C7BFD">
        <w:t>ex workers are still routinely arrested by police for allegedly causing public disorder and sent to the Prey Speu center, where they are imprisoned without criminal charges for up to 6 months.</w:t>
      </w:r>
      <w:r w:rsidR="00CC386D" w:rsidRPr="009C7BFD">
        <w:rPr>
          <w:rStyle w:val="FootnoteReference"/>
        </w:rPr>
        <w:footnoteReference w:id="26"/>
      </w:r>
      <w:r w:rsidR="00CC386D" w:rsidRPr="009C7BFD">
        <w:t xml:space="preserve">  This center is also used to </w:t>
      </w:r>
      <w:r w:rsidR="00CB7BC3" w:rsidRPr="009C7BFD">
        <w:t>detain homeless persons, drug users, and/or t</w:t>
      </w:r>
      <w:r w:rsidR="00CB7BC3">
        <w:t xml:space="preserve">hose with </w:t>
      </w:r>
      <w:r w:rsidR="00CB7BC3" w:rsidRPr="00CB7BC3">
        <w:t>mental disab</w:t>
      </w:r>
      <w:r w:rsidR="00CB7BC3">
        <w:t>ilities.</w:t>
      </w:r>
      <w:r w:rsidR="00CB7BC3">
        <w:rPr>
          <w:rStyle w:val="FootnoteReference"/>
        </w:rPr>
        <w:footnoteReference w:id="27"/>
      </w:r>
      <w:r>
        <w:t xml:space="preserve"> The conditions of detention are </w:t>
      </w:r>
      <w:r>
        <w:lastRenderedPageBreak/>
        <w:t>unhealthy with insufficient access to medical care and no opportunity to attend classes in literacy or vocational training.</w:t>
      </w:r>
    </w:p>
    <w:p w14:paraId="41A7B9B8" w14:textId="64E1F138" w:rsidR="00A53772" w:rsidRPr="0067750B" w:rsidRDefault="00616036" w:rsidP="00DF44F7">
      <w:pPr>
        <w:pStyle w:val="Heading1"/>
        <w:jc w:val="both"/>
      </w:pPr>
      <w:bookmarkStart w:id="8" w:name="_Toc20404163"/>
      <w:r w:rsidRPr="00D76A68">
        <w:t>H</w:t>
      </w:r>
      <w:r w:rsidR="00262B3F">
        <w:t>.</w:t>
      </w:r>
      <w:r w:rsidRPr="00D76A68">
        <w:t xml:space="preserve"> </w:t>
      </w:r>
      <w:r w:rsidR="00A53772" w:rsidRPr="00D76A68">
        <w:t>Participation in political and public life</w:t>
      </w:r>
      <w:bookmarkEnd w:id="8"/>
    </w:p>
    <w:p w14:paraId="630A1CCC" w14:textId="4A7B619D" w:rsidR="005F6019" w:rsidRDefault="00A53772" w:rsidP="00DF44F7">
      <w:pPr>
        <w:jc w:val="both"/>
      </w:pPr>
      <w:r w:rsidRPr="0067750B">
        <w:t>14.</w:t>
      </w:r>
      <w:r w:rsidR="00DF44F7">
        <w:t xml:space="preserve"> </w:t>
      </w:r>
      <w:r w:rsidR="0067750B" w:rsidRPr="0067750B">
        <w:t>The significant social, financial, legal, and familial obstacles facing women who participate in politics are detailed in NGO-CEDAW’s report on the 2017 Cambodian elections available on NGO-CEDAW’s website.</w:t>
      </w:r>
      <w:r w:rsidR="0067750B" w:rsidRPr="0067750B">
        <w:rPr>
          <w:rStyle w:val="FootnoteReference"/>
        </w:rPr>
        <w:footnoteReference w:id="28"/>
      </w:r>
      <w:r w:rsidR="005F6019">
        <w:t xml:space="preserve"> The main barriers are: </w:t>
      </w:r>
    </w:p>
    <w:p w14:paraId="797C3585" w14:textId="09F86A1F" w:rsidR="005F6019" w:rsidRDefault="005F6019" w:rsidP="00DF44F7">
      <w:pPr>
        <w:pStyle w:val="ListParagraph"/>
        <w:numPr>
          <w:ilvl w:val="0"/>
          <w:numId w:val="12"/>
        </w:numPr>
        <w:jc w:val="both"/>
      </w:pPr>
      <w:r>
        <w:t>stereotypes of men as decision-makers and women as followers</w:t>
      </w:r>
    </w:p>
    <w:p w14:paraId="15C907E5" w14:textId="6F0DAB98" w:rsidR="005F6019" w:rsidRDefault="005F6019" w:rsidP="00DF44F7">
      <w:pPr>
        <w:pStyle w:val="ListParagraph"/>
        <w:numPr>
          <w:ilvl w:val="0"/>
          <w:numId w:val="12"/>
        </w:numPr>
        <w:jc w:val="both"/>
      </w:pPr>
      <w:r>
        <w:t>policies of political parties who deliberately place men at the top of candidate lists</w:t>
      </w:r>
    </w:p>
    <w:p w14:paraId="7A7CD94E" w14:textId="1624065D" w:rsidR="00614480" w:rsidRDefault="00614480" w:rsidP="00DF44F7">
      <w:pPr>
        <w:pStyle w:val="ListParagraph"/>
        <w:numPr>
          <w:ilvl w:val="0"/>
          <w:numId w:val="12"/>
        </w:numPr>
        <w:jc w:val="both"/>
      </w:pPr>
      <w:r>
        <w:t>u</w:t>
      </w:r>
      <w:r w:rsidRPr="00614480">
        <w:t>nequal economic opportunities</w:t>
      </w:r>
      <w:r>
        <w:t xml:space="preserve"> where women must fundraise for campaigns while facing a wage gap and dual responsibilities for household work and campaigning</w:t>
      </w:r>
      <w:r w:rsidR="00DF44F7">
        <w:t>; and</w:t>
      </w:r>
    </w:p>
    <w:p w14:paraId="017CB02F" w14:textId="0B521F52" w:rsidR="00614480" w:rsidRDefault="00614480" w:rsidP="00DF44F7">
      <w:pPr>
        <w:pStyle w:val="ListParagraph"/>
        <w:numPr>
          <w:ilvl w:val="0"/>
          <w:numId w:val="12"/>
        </w:numPr>
        <w:jc w:val="both"/>
      </w:pPr>
      <w:r>
        <w:t>lack of laws setting quotas for women in key positions.</w:t>
      </w:r>
    </w:p>
    <w:p w14:paraId="1F7CBC16" w14:textId="7ED05AE6" w:rsidR="00956399" w:rsidRDefault="00956399" w:rsidP="00DF44F7">
      <w:pPr>
        <w:jc w:val="both"/>
      </w:pPr>
      <w:r>
        <w:t>T</w:t>
      </w:r>
      <w:r w:rsidRPr="00956399">
        <w:t>he draft Cambodian Gender Assessment 2019</w:t>
      </w:r>
      <w:r w:rsidR="005F60D4">
        <w:rPr>
          <w:rStyle w:val="FootnoteReference"/>
        </w:rPr>
        <w:footnoteReference w:id="29"/>
      </w:r>
      <w:r w:rsidRPr="00956399">
        <w:t xml:space="preserve"> show</w:t>
      </w:r>
      <w:r>
        <w:t>s</w:t>
      </w:r>
      <w:r w:rsidRPr="00956399">
        <w:t xml:space="preserve"> that </w:t>
      </w:r>
      <w:r>
        <w:t>women make up only</w:t>
      </w:r>
      <w:r w:rsidRPr="00956399">
        <w:t xml:space="preserve"> 20.8%</w:t>
      </w:r>
      <w:r>
        <w:t xml:space="preserve"> of the National Assembly</w:t>
      </w:r>
      <w:r w:rsidRPr="00956399">
        <w:t xml:space="preserve"> and 19% </w:t>
      </w:r>
      <w:r>
        <w:t>of the S</w:t>
      </w:r>
      <w:r w:rsidRPr="00956399">
        <w:t xml:space="preserve">enate. </w:t>
      </w:r>
      <w:r>
        <w:t>Women represent</w:t>
      </w:r>
      <w:r w:rsidRPr="00956399">
        <w:t xml:space="preserve"> one</w:t>
      </w:r>
      <w:r>
        <w:t xml:space="preserve"> </w:t>
      </w:r>
      <w:r w:rsidRPr="00956399">
        <w:t>deputy prime minister, 1 senior minister,</w:t>
      </w:r>
      <w:r>
        <w:t xml:space="preserve"> 2 other</w:t>
      </w:r>
      <w:r w:rsidRPr="00956399">
        <w:t xml:space="preserve"> ministers, and </w:t>
      </w:r>
      <w:r>
        <w:t>16% of</w:t>
      </w:r>
      <w:r w:rsidRPr="00956399">
        <w:t xml:space="preserve"> secretari</w:t>
      </w:r>
      <w:r>
        <w:t>es</w:t>
      </w:r>
      <w:r w:rsidRPr="00956399">
        <w:t xml:space="preserve"> of state</w:t>
      </w:r>
      <w:r w:rsidR="005F60D4">
        <w:t>. There has been no progress since the last CEDAW review of Cambodia.</w:t>
      </w:r>
    </w:p>
    <w:p w14:paraId="5A8C8E5A" w14:textId="01F47390" w:rsidR="00A53772" w:rsidRDefault="00956399" w:rsidP="00DF44F7">
      <w:pPr>
        <w:jc w:val="both"/>
      </w:pPr>
      <w:r>
        <w:t>W</w:t>
      </w:r>
      <w:r w:rsidRPr="00956399">
        <w:t xml:space="preserve">omen in </w:t>
      </w:r>
      <w:r>
        <w:t xml:space="preserve">the </w:t>
      </w:r>
      <w:r w:rsidRPr="00956399">
        <w:t xml:space="preserve">judicial system </w:t>
      </w:r>
      <w:r>
        <w:t>have been</w:t>
      </w:r>
      <w:r w:rsidRPr="00956399">
        <w:t xml:space="preserve"> only 14% </w:t>
      </w:r>
      <w:r w:rsidR="005C35F7">
        <w:t xml:space="preserve">of judges </w:t>
      </w:r>
      <w:r w:rsidRPr="00956399">
        <w:t>since 2013</w:t>
      </w:r>
      <w:r w:rsidR="005C35F7">
        <w:t xml:space="preserve"> and are</w:t>
      </w:r>
      <w:r w:rsidRPr="00956399">
        <w:t xml:space="preserve"> 13%</w:t>
      </w:r>
      <w:r w:rsidR="005C35F7">
        <w:t xml:space="preserve"> of prosecutors</w:t>
      </w:r>
      <w:r w:rsidRPr="00956399">
        <w:t xml:space="preserve"> (increase</w:t>
      </w:r>
      <w:r w:rsidR="005C35F7">
        <w:t>d</w:t>
      </w:r>
      <w:r w:rsidRPr="00956399">
        <w:t xml:space="preserve"> from 10% in 2013). </w:t>
      </w:r>
      <w:r w:rsidR="005C35F7">
        <w:t xml:space="preserve">Women face difficulty becoming judges because Cambodian judges are transferred to another province every 2-3 years, and many have families to support. </w:t>
      </w:r>
      <w:r w:rsidRPr="00956399">
        <w:t>In the diplomat</w:t>
      </w:r>
      <w:r w:rsidR="005F60D4">
        <w:t xml:space="preserve">ic </w:t>
      </w:r>
      <w:r w:rsidRPr="00956399">
        <w:t>are</w:t>
      </w:r>
      <w:r w:rsidR="005F60D4">
        <w:t>n</w:t>
      </w:r>
      <w:r w:rsidRPr="00956399">
        <w:t xml:space="preserve">a, </w:t>
      </w:r>
      <w:r w:rsidR="005C35F7">
        <w:t>only</w:t>
      </w:r>
      <w:r w:rsidRPr="00956399">
        <w:t xml:space="preserve"> 6</w:t>
      </w:r>
      <w:r w:rsidR="005F60D4">
        <w:t xml:space="preserve"> of </w:t>
      </w:r>
      <w:r w:rsidRPr="00956399">
        <w:t xml:space="preserve">24 </w:t>
      </w:r>
      <w:r w:rsidR="00270B11" w:rsidRPr="00956399">
        <w:t>ambassador</w:t>
      </w:r>
      <w:r w:rsidR="00270B11">
        <w:t xml:space="preserve">s </w:t>
      </w:r>
      <w:r w:rsidR="00270B11" w:rsidRPr="00956399">
        <w:t>and</w:t>
      </w:r>
      <w:r w:rsidRPr="00956399">
        <w:t xml:space="preserve"> 43</w:t>
      </w:r>
      <w:r w:rsidR="005F60D4">
        <w:t xml:space="preserve"> of </w:t>
      </w:r>
      <w:r w:rsidRPr="00956399">
        <w:t>24435 diplomat</w:t>
      </w:r>
      <w:r w:rsidR="005F60D4">
        <w:t>ic</w:t>
      </w:r>
      <w:r w:rsidRPr="00956399">
        <w:t xml:space="preserve"> officer</w:t>
      </w:r>
      <w:r w:rsidR="005C35F7">
        <w:t>s are women</w:t>
      </w:r>
      <w:r w:rsidRPr="00956399">
        <w:t xml:space="preserve">. At </w:t>
      </w:r>
      <w:r w:rsidR="005C35F7">
        <w:t xml:space="preserve">the </w:t>
      </w:r>
      <w:r w:rsidRPr="00956399">
        <w:t xml:space="preserve">sub-national level, </w:t>
      </w:r>
      <w:r w:rsidR="005C35F7">
        <w:t>there is</w:t>
      </w:r>
      <w:r w:rsidRPr="00956399">
        <w:t xml:space="preserve"> 1 female provincial governor, 1 female provincial councilor chief, and only 6 female</w:t>
      </w:r>
      <w:r w:rsidR="005C35F7">
        <w:t xml:space="preserve">s </w:t>
      </w:r>
      <w:r w:rsidRPr="00956399">
        <w:t xml:space="preserve">chief of </w:t>
      </w:r>
      <w:r w:rsidR="00270B11" w:rsidRPr="00956399">
        <w:t>district</w:t>
      </w:r>
      <w:r w:rsidRPr="00956399">
        <w:t>/khan council</w:t>
      </w:r>
      <w:r w:rsidR="005C35F7">
        <w:t>s</w:t>
      </w:r>
      <w:r w:rsidRPr="00956399">
        <w:t xml:space="preserve">.  </w:t>
      </w:r>
    </w:p>
    <w:p w14:paraId="1A02141C" w14:textId="76A1F1CE" w:rsidR="00AE06D0" w:rsidRPr="0067750B" w:rsidRDefault="00AE06D0" w:rsidP="00DF44F7">
      <w:pPr>
        <w:jc w:val="both"/>
      </w:pPr>
      <w:r>
        <w:t>NGO-CEDAW notes that in order to achieve the SDG target of gender parity by 2030, legally binding quotas must be introduced, and alternating women and men’s names on the candidate lists (zipper system) in the next elections with half of the top positions filled by women will be necessary. A simple amendment of the Law on Political Parties and the laws on specific elections is needed.</w:t>
      </w:r>
    </w:p>
    <w:p w14:paraId="5D3DE99C" w14:textId="4AEFE57B" w:rsidR="00A53772" w:rsidRPr="00D76A68" w:rsidRDefault="00D76A68" w:rsidP="00DF44F7">
      <w:pPr>
        <w:pStyle w:val="Heading1"/>
        <w:jc w:val="both"/>
      </w:pPr>
      <w:bookmarkStart w:id="9" w:name="_Toc20404164"/>
      <w:r>
        <w:t>I</w:t>
      </w:r>
      <w:r w:rsidR="00262B3F">
        <w:t>.</w:t>
      </w:r>
      <w:r>
        <w:t xml:space="preserve"> </w:t>
      </w:r>
      <w:r w:rsidR="00A53772" w:rsidRPr="00D76A68">
        <w:t>Education</w:t>
      </w:r>
      <w:bookmarkEnd w:id="9"/>
    </w:p>
    <w:p w14:paraId="767B188A" w14:textId="15C9EF60" w:rsidR="0041391E" w:rsidRPr="0041391E" w:rsidRDefault="00A53772" w:rsidP="00DF44F7">
      <w:pPr>
        <w:jc w:val="both"/>
      </w:pPr>
      <w:r w:rsidRPr="0041391E">
        <w:t>15.</w:t>
      </w:r>
      <w:r w:rsidR="0041391E" w:rsidRPr="0041391E">
        <w:t xml:space="preserve"> In 2017, only 68.5% of 5-year-olds, 39.9% of 4-year-olds and 12.6% of 3-year-olds had access to some form of early childhood education (state, community-based or private preschools). Moreover, according to UNICEF, fewer than one third of children between 3 and 5 years old are developmentally on track in literacy and numeracy. </w:t>
      </w:r>
      <w:r w:rsidR="00387218">
        <w:t>Ministry of Education and Youth</w:t>
      </w:r>
      <w:r w:rsidR="007E1281">
        <w:t>, and Sport</w:t>
      </w:r>
      <w:r w:rsidR="00387218">
        <w:t xml:space="preserve"> (</w:t>
      </w:r>
      <w:r w:rsidR="0041391E" w:rsidRPr="0041391E">
        <w:t>MoEYS</w:t>
      </w:r>
      <w:r w:rsidR="00387218">
        <w:t>)</w:t>
      </w:r>
      <w:r w:rsidR="0041391E" w:rsidRPr="0041391E">
        <w:t xml:space="preserve"> statistics show that </w:t>
      </w:r>
      <w:r w:rsidR="008523F6">
        <w:t>fewer</w:t>
      </w:r>
      <w:r w:rsidR="0041391E" w:rsidRPr="0041391E">
        <w:t xml:space="preserve"> than 23% of early childhood education services met the quality standards in 2017.</w:t>
      </w:r>
    </w:p>
    <w:p w14:paraId="2B37FA7D" w14:textId="5CB8E483" w:rsidR="00A53772" w:rsidRDefault="00824022" w:rsidP="00DF44F7">
      <w:pPr>
        <w:jc w:val="both"/>
      </w:pPr>
      <w:r>
        <w:t>C</w:t>
      </w:r>
      <w:r w:rsidRPr="0041391E">
        <w:t>ommunity pre-school</w:t>
      </w:r>
      <w:r w:rsidR="008523F6">
        <w:t>s</w:t>
      </w:r>
      <w:r w:rsidRPr="0041391E">
        <w:t xml:space="preserve"> are often located in the home of a villager or in a pagoda, with limited space to organize activities for children.</w:t>
      </w:r>
      <w:r>
        <w:t xml:space="preserve"> The </w:t>
      </w:r>
      <w:r w:rsidR="0041391E" w:rsidRPr="0041391E">
        <w:t>teachers, who are almost all women, have little training and receive inadequate support. They also have a low salary: 30-50 USD per month on average, compared to 200 USD for state pre-school teachers.  T</w:t>
      </w:r>
      <w:r>
        <w:t>hey</w:t>
      </w:r>
      <w:r w:rsidR="0041391E" w:rsidRPr="0041391E">
        <w:t xml:space="preserve"> are also not recognized professionally as full members of the education staff. Community pre-school teachers only work 2 to 3 hours per day, which limits the children’s mothers’ ability to work</w:t>
      </w:r>
      <w:r>
        <w:t xml:space="preserve"> since child care is not generally available</w:t>
      </w:r>
      <w:r w:rsidR="0041391E" w:rsidRPr="0041391E">
        <w:t>.</w:t>
      </w:r>
      <w:r w:rsidR="00A53772" w:rsidRPr="0041391E">
        <w:t xml:space="preserve"> </w:t>
      </w:r>
    </w:p>
    <w:p w14:paraId="59F8B779" w14:textId="60FFE0A9" w:rsidR="00824022" w:rsidRDefault="00824022" w:rsidP="00DF44F7">
      <w:pPr>
        <w:jc w:val="both"/>
      </w:pPr>
      <w:r>
        <w:t>The gross enrolment of girls in schools drops from 63.4% in the</w:t>
      </w:r>
      <w:r w:rsidRPr="00C433EC">
        <w:t xml:space="preserve"> </w:t>
      </w:r>
      <w:r>
        <w:t>lower secondary level to 30.9% in the upper secondary level</w:t>
      </w:r>
      <w:r>
        <w:rPr>
          <w:rStyle w:val="FootnoteReference"/>
        </w:rPr>
        <w:footnoteReference w:id="30"/>
      </w:r>
      <w:r>
        <w:t xml:space="preserve">.  </w:t>
      </w:r>
      <w:r w:rsidRPr="00CD035F">
        <w:t>The share of women in the teaching staff goes down from 95.3% in the pre-primary level to 32.1%</w:t>
      </w:r>
      <w:r w:rsidRPr="00CD035F">
        <w:rPr>
          <w:rStyle w:val="FootnoteReference"/>
        </w:rPr>
        <w:footnoteReference w:id="31"/>
      </w:r>
      <w:r w:rsidRPr="00CD035F">
        <w:t xml:space="preserve"> in </w:t>
      </w:r>
      <w:r>
        <w:t xml:space="preserve">the </w:t>
      </w:r>
      <w:r w:rsidRPr="00CD035F">
        <w:t>upper secondary level</w:t>
      </w:r>
      <w:r>
        <w:t>. The lack of female teachers is a missed opportunity to reduce gender gaps in schooling and to empower girls.</w:t>
      </w:r>
    </w:p>
    <w:p w14:paraId="535AAEA7" w14:textId="79462E18" w:rsidR="00824022" w:rsidRDefault="00824022" w:rsidP="00DF44F7">
      <w:pPr>
        <w:jc w:val="both"/>
      </w:pPr>
      <w:r>
        <w:lastRenderedPageBreak/>
        <w:t xml:space="preserve">New data from a </w:t>
      </w:r>
      <w:r w:rsidR="00E00E9B">
        <w:t xml:space="preserve">2019 </w:t>
      </w:r>
      <w:r>
        <w:t xml:space="preserve">pilot project to map the service needs of persons living with disabilities shows that women and girls age 25 </w:t>
      </w:r>
      <w:r w:rsidR="00E95D6B">
        <w:t xml:space="preserve">and under </w:t>
      </w:r>
      <w:r>
        <w:t>with some kind of impairment have increased access to education than older persons did, but still fall behind young men and boys with impairments</w:t>
      </w:r>
      <w:r w:rsidR="00E00E9B">
        <w:t>, with 41% of females having no schooling at all</w:t>
      </w:r>
      <w:r>
        <w:t>.</w:t>
      </w:r>
      <w:r>
        <w:rPr>
          <w:rStyle w:val="FootnoteReference"/>
        </w:rPr>
        <w:footnoteReference w:id="32"/>
      </w:r>
    </w:p>
    <w:p w14:paraId="52A717F9" w14:textId="5EA2700E" w:rsidR="00366456" w:rsidRDefault="00366456" w:rsidP="00DF44F7">
      <w:pPr>
        <w:jc w:val="both"/>
      </w:pPr>
      <w:r>
        <w:t>Girls in rural areas, including indigenous communities not only face difficulties with the distance they must travel to reach school</w:t>
      </w:r>
      <w:r w:rsidR="00FE43D8">
        <w:t xml:space="preserve"> and the risk of violence while traveling, </w:t>
      </w:r>
      <w:r>
        <w:t xml:space="preserve">but with the lack of water and sanitary toilets when they do </w:t>
      </w:r>
      <w:r w:rsidR="00FE43D8">
        <w:t>reach a school</w:t>
      </w:r>
      <w:r>
        <w:t>.</w:t>
      </w:r>
      <w:r w:rsidR="0003436E">
        <w:t xml:space="preserve"> UN estimates updated in 2018 still reflect that half of schools nationwide do not have drinking water available, 35% don’t have sanitation (toilets), and almost 60% don’t have hygiene (soap and water for hand-washing). The numbers are 10 percentage points higher in urban areas for sanitation and hygiene.</w:t>
      </w:r>
      <w:r w:rsidR="00332A52">
        <w:rPr>
          <w:rStyle w:val="FootnoteReference"/>
        </w:rPr>
        <w:footnoteReference w:id="33"/>
      </w:r>
    </w:p>
    <w:p w14:paraId="18B19F7B" w14:textId="548E2F59" w:rsidR="00A24E58" w:rsidRPr="0041391E" w:rsidRDefault="00A24E58" w:rsidP="00DF44F7">
      <w:pPr>
        <w:jc w:val="both"/>
      </w:pPr>
      <w:r>
        <w:t>Among ethic Vietnamese, a May 2019 survey</w:t>
      </w:r>
      <w:r w:rsidR="00627D8C">
        <w:rPr>
          <w:rStyle w:val="FootnoteReference"/>
        </w:rPr>
        <w:footnoteReference w:id="34"/>
      </w:r>
      <w:r>
        <w:t xml:space="preserve"> of 9 floating villages in 4 provinces</w:t>
      </w:r>
      <w:r w:rsidR="00627D8C">
        <w:t xml:space="preserve"> showed that almost all of them were stateless, but had received permanent resident documents from RGC. However, many of their children were kept from school either because they did not have a birth certificate or because their families needed them to work at fishing. 65% of the parents surveyed who had at least 2 children sent none of their children to school. Children who did go to school primarily studied at private schools, such as those set of by Vietnamese associations, because they were bullied at state schools or ineligible to attend them.</w:t>
      </w:r>
    </w:p>
    <w:p w14:paraId="1D9147B5" w14:textId="70438E5A" w:rsidR="00A53772" w:rsidRPr="00D76A68" w:rsidRDefault="00D76A68" w:rsidP="00DF44F7">
      <w:pPr>
        <w:pStyle w:val="Heading1"/>
        <w:jc w:val="both"/>
      </w:pPr>
      <w:bookmarkStart w:id="10" w:name="_Toc20404165"/>
      <w:r>
        <w:t>J</w:t>
      </w:r>
      <w:r w:rsidR="00262B3F">
        <w:t>.</w:t>
      </w:r>
      <w:r>
        <w:t xml:space="preserve"> </w:t>
      </w:r>
      <w:r w:rsidR="00A53772" w:rsidRPr="00D76A68">
        <w:t>Employment</w:t>
      </w:r>
      <w:bookmarkEnd w:id="10"/>
      <w:r w:rsidR="00A53772" w:rsidRPr="00D76A68">
        <w:t xml:space="preserve"> </w:t>
      </w:r>
    </w:p>
    <w:p w14:paraId="6978AA5E" w14:textId="7C3D6777" w:rsidR="00A53772" w:rsidRPr="00366456" w:rsidRDefault="00A53772" w:rsidP="00DF44F7">
      <w:pPr>
        <w:jc w:val="both"/>
      </w:pPr>
      <w:r w:rsidRPr="00366456">
        <w:t>16.</w:t>
      </w:r>
      <w:r w:rsidR="00DF44F7">
        <w:t xml:space="preserve"> </w:t>
      </w:r>
      <w:r w:rsidR="00366456" w:rsidRPr="00D31767">
        <w:t>Organizations working with domestic workers in</w:t>
      </w:r>
      <w:r w:rsidR="00921945">
        <w:t xml:space="preserve"> </w:t>
      </w:r>
      <w:r w:rsidR="00366456" w:rsidRPr="00D31767">
        <w:t>reported</w:t>
      </w:r>
      <w:r w:rsidR="00D31767" w:rsidRPr="00D31767">
        <w:t xml:space="preserve"> </w:t>
      </w:r>
      <w:r w:rsidR="00921945">
        <w:t xml:space="preserve">in 2019 </w:t>
      </w:r>
      <w:r w:rsidR="00D31767" w:rsidRPr="00D31767">
        <w:t>that a</w:t>
      </w:r>
      <w:r w:rsidR="00366456" w:rsidRPr="00D31767">
        <w:t xml:space="preserve"> key challenge for domestic workers</w:t>
      </w:r>
      <w:r w:rsidR="00D31767" w:rsidRPr="00D31767">
        <w:t xml:space="preserve"> is that they are </w:t>
      </w:r>
      <w:r w:rsidR="00366456" w:rsidRPr="00D31767">
        <w:t xml:space="preserve">not properly informed before they leave home of their legal rights and </w:t>
      </w:r>
      <w:r w:rsidR="00D31767">
        <w:t xml:space="preserve">of </w:t>
      </w:r>
      <w:r w:rsidR="00366456" w:rsidRPr="00D31767">
        <w:t xml:space="preserve">the risks they take in traveling for work.  Many </w:t>
      </w:r>
      <w:r w:rsidR="00921945">
        <w:t xml:space="preserve">Cambodian </w:t>
      </w:r>
      <w:r w:rsidR="00366456" w:rsidRPr="00D31767">
        <w:t xml:space="preserve">domestic workers who are internal migrants </w:t>
      </w:r>
      <w:r w:rsidR="00921945">
        <w:t>from other parts of</w:t>
      </w:r>
      <w:r w:rsidR="00366456" w:rsidRPr="00D31767">
        <w:t xml:space="preserve"> Cambodia face the same problems as those</w:t>
      </w:r>
      <w:r w:rsidR="00366456" w:rsidRPr="00366456">
        <w:t xml:space="preserve"> who travel abroad</w:t>
      </w:r>
      <w:r w:rsidR="00921945">
        <w:t xml:space="preserve"> for work. </w:t>
      </w:r>
      <w:r w:rsidR="00921945" w:rsidRPr="00366456">
        <w:t>The labor law explicitly excludes domestic workers from its protections.</w:t>
      </w:r>
      <w:r w:rsidR="00921945">
        <w:rPr>
          <w:rStyle w:val="FootnoteReference"/>
        </w:rPr>
        <w:footnoteReference w:id="35"/>
      </w:r>
      <w:r w:rsidR="00921945">
        <w:t xml:space="preserve">  They may be unaware that they are not protected by the labor law or that they do have rights under the Cambodian Constitution and human rights treaties. They </w:t>
      </w:r>
      <w:r w:rsidR="00366456" w:rsidRPr="00366456">
        <w:t xml:space="preserve">are hard to reach </w:t>
      </w:r>
      <w:r w:rsidR="00921945">
        <w:t xml:space="preserve">by unions and social service providers </w:t>
      </w:r>
      <w:r w:rsidR="00366456" w:rsidRPr="00366456">
        <w:t>because they may be locked inside the employer’s home</w:t>
      </w:r>
      <w:r w:rsidR="00921945">
        <w:t xml:space="preserve"> or not allowed to use a phone or to take time off</w:t>
      </w:r>
      <w:r w:rsidR="00366456" w:rsidRPr="00366456">
        <w:t xml:space="preserve">. </w:t>
      </w:r>
      <w:r w:rsidR="00921945">
        <w:t xml:space="preserve"> NGO-CEDAW appreciates that the Ministry of Labor issued Prakas No. 235 on </w:t>
      </w:r>
      <w:r w:rsidR="00921945" w:rsidRPr="00921945">
        <w:t>29 May 2018</w:t>
      </w:r>
      <w:r w:rsidR="00921945">
        <w:t xml:space="preserve"> affording some basic rights to domestic workers, but encourages the RGC to immediately ratify the International Labour Organization</w:t>
      </w:r>
      <w:r w:rsidR="009F5714">
        <w:t xml:space="preserve"> (ILO)</w:t>
      </w:r>
      <w:r w:rsidR="00921945">
        <w:t xml:space="preserve"> </w:t>
      </w:r>
      <w:r w:rsidR="00921945" w:rsidRPr="00921945">
        <w:t xml:space="preserve">Convention 189 </w:t>
      </w:r>
      <w:r w:rsidR="00921945">
        <w:t>and</w:t>
      </w:r>
      <w:r w:rsidR="00921945" w:rsidRPr="00921945">
        <w:t xml:space="preserve"> Recommendation 201 on Decent Work for Domestic Workers</w:t>
      </w:r>
      <w:r w:rsidR="00921945">
        <w:t>. The Labor Law should also be amended to include domestic workers and regulate the sector.</w:t>
      </w:r>
    </w:p>
    <w:p w14:paraId="552CBA27" w14:textId="43D0ACD4" w:rsidR="00A53772" w:rsidRDefault="00A53772" w:rsidP="00DF44F7">
      <w:pPr>
        <w:jc w:val="both"/>
      </w:pPr>
      <w:r w:rsidRPr="00366456">
        <w:t>17.</w:t>
      </w:r>
      <w:r w:rsidR="00DF44F7">
        <w:rPr>
          <w:color w:val="2F5496" w:themeColor="accent1" w:themeShade="BF"/>
        </w:rPr>
        <w:t xml:space="preserve"> </w:t>
      </w:r>
      <w:r w:rsidR="00995C04" w:rsidRPr="00397A19">
        <w:rPr>
          <w:color w:val="000000" w:themeColor="text1"/>
        </w:rPr>
        <w:t xml:space="preserve">One new regulation from </w:t>
      </w:r>
      <w:r w:rsidR="00817FBA">
        <w:rPr>
          <w:color w:val="000000" w:themeColor="text1"/>
        </w:rPr>
        <w:t>the Ministry of Labor and Vocational Training (</w:t>
      </w:r>
      <w:r w:rsidR="00995C04" w:rsidRPr="00397A19">
        <w:rPr>
          <w:color w:val="000000" w:themeColor="text1"/>
        </w:rPr>
        <w:t>MoLVT</w:t>
      </w:r>
      <w:r w:rsidR="00817FBA">
        <w:rPr>
          <w:color w:val="000000" w:themeColor="text1"/>
        </w:rPr>
        <w:t>)</w:t>
      </w:r>
      <w:r w:rsidR="00163409">
        <w:rPr>
          <w:color w:val="000000" w:themeColor="text1"/>
        </w:rPr>
        <w:t>, Instruction No. 050,</w:t>
      </w:r>
      <w:r w:rsidR="00995C04" w:rsidRPr="00397A19">
        <w:rPr>
          <w:rStyle w:val="FootnoteReference"/>
          <w:color w:val="000000" w:themeColor="text1"/>
        </w:rPr>
        <w:footnoteReference w:id="36"/>
      </w:r>
      <w:r w:rsidR="00995C04">
        <w:t xml:space="preserve"> makes it easier to discriminate against women factory workers for associating in unions and becoming new mothers by extending the amount of time that short-term contracts can potentially be used to 4 years of continuous employment, contradicting a previous decision of the Arbitration Council limiting fixed duration contracts to a cumulative maximum of 2 years.</w:t>
      </w:r>
    </w:p>
    <w:p w14:paraId="4CA88B43" w14:textId="4FFFC5EC" w:rsidR="00995C04" w:rsidRDefault="00995C04" w:rsidP="00DF44F7">
      <w:pPr>
        <w:jc w:val="both"/>
      </w:pPr>
      <w:r>
        <w:t>New research conducted in 2019 by 8 unions who belong to the Women Union Network</w:t>
      </w:r>
      <w:r w:rsidR="003425D1">
        <w:rPr>
          <w:rStyle w:val="FootnoteReference"/>
        </w:rPr>
        <w:footnoteReference w:id="37"/>
      </w:r>
      <w:r w:rsidR="003A0C38">
        <w:t xml:space="preserve"> show how pervasive the misuse of fixed duration (short-term) contracts is.  A total of 192 interviews were conducted of 46 men and 146 women who had filed complaints with their respective unions.  32 of the complaints were discrimination against pregnant women or breastfeeding mothers, and the rest show a restriction of women’s right to join unions or misuse of fixed duration contracts</w:t>
      </w:r>
      <w:r w:rsidR="00D76A68">
        <w:t>. T</w:t>
      </w:r>
      <w:r w:rsidR="003A0C38">
        <w:t>he termination of fixed duration contracts</w:t>
      </w:r>
      <w:r w:rsidR="00D76A68">
        <w:t xml:space="preserve"> was used as a vehicle to retaliate against union members or end the employment of new mothers</w:t>
      </w:r>
      <w:r w:rsidR="003A0C38">
        <w:t xml:space="preserve"> since no reason is required for non-renewal and the burden is on the worker to </w:t>
      </w:r>
      <w:r w:rsidR="00D76A68">
        <w:t>prove that the employer had an illegal intent</w:t>
      </w:r>
      <w:r w:rsidR="00366456">
        <w:t>.</w:t>
      </w:r>
      <w:r w:rsidR="003425D1">
        <w:t xml:space="preserve"> </w:t>
      </w:r>
    </w:p>
    <w:p w14:paraId="2258C9A0" w14:textId="6FAFF05E" w:rsidR="00F414E5" w:rsidRPr="00F414E5" w:rsidRDefault="00F414E5" w:rsidP="00F414E5">
      <w:pPr>
        <w:tabs>
          <w:tab w:val="left" w:pos="7960"/>
        </w:tabs>
      </w:pPr>
      <w:r>
        <w:tab/>
      </w:r>
      <w:bookmarkStart w:id="11" w:name="_GoBack"/>
      <w:bookmarkEnd w:id="11"/>
    </w:p>
    <w:p w14:paraId="433A73BA" w14:textId="27731895" w:rsidR="00302CBB" w:rsidRDefault="00302CBB" w:rsidP="00DF44F7">
      <w:pPr>
        <w:jc w:val="both"/>
      </w:pPr>
      <w:r>
        <w:lastRenderedPageBreak/>
        <w:t>Many workers never even lodge complaints with unions for gross violations of their rights. Additional research produced in 2019</w:t>
      </w:r>
      <w:r>
        <w:rPr>
          <w:rStyle w:val="FootnoteReference"/>
        </w:rPr>
        <w:footnoteReference w:id="38"/>
      </w:r>
      <w:r w:rsidR="00D31103">
        <w:t xml:space="preserve"> based in part on </w:t>
      </w:r>
      <w:r w:rsidR="00D31103" w:rsidRPr="00D31103">
        <w:t>interviews of 83 workers from 6 factories</w:t>
      </w:r>
      <w:r w:rsidR="00D31103">
        <w:t xml:space="preserve"> found that 72% were on fixed duration contracts and 28% had been forced to have sex by someone at work in exchange for extending a contract, having their sewing machine fixed, or to obtain a bonus. 46% said </w:t>
      </w:r>
      <w:r w:rsidR="00B036A7">
        <w:t>they had been forced to have regular sex with their</w:t>
      </w:r>
      <w:r w:rsidR="00D31103">
        <w:t xml:space="preserve"> supervisor or manager</w:t>
      </w:r>
      <w:r w:rsidR="00B036A7">
        <w:t xml:space="preserve"> in exchange</w:t>
      </w:r>
      <w:r w:rsidR="00D31103">
        <w:t xml:space="preserve"> </w:t>
      </w:r>
      <w:r w:rsidR="00B036A7">
        <w:t>for improved working conditions. 87% reported experiencing verbal harassment or unwanted touching in the workplace based on their gender.</w:t>
      </w:r>
      <w:r w:rsidR="001259F0">
        <w:t xml:space="preserve">  RGC should address the issue of sexual harassment in a comprehensive manner, beginning with the adoption of the ILO Violence and Harassment Convention, No. 190 and the creation of national legislation clearing defining and penalizing all forms of violence in the workplace.</w:t>
      </w:r>
    </w:p>
    <w:p w14:paraId="0582DF14" w14:textId="2596E045" w:rsidR="007F5273" w:rsidRPr="00B760DD" w:rsidRDefault="00291FB3" w:rsidP="00DF44F7">
      <w:pPr>
        <w:jc w:val="both"/>
      </w:pPr>
      <w:r>
        <w:t>S</w:t>
      </w:r>
      <w:r w:rsidR="007F5273">
        <w:t xml:space="preserve">afety </w:t>
      </w:r>
      <w:r>
        <w:t xml:space="preserve">while commuting </w:t>
      </w:r>
      <w:r w:rsidR="007F5273">
        <w:t>is another key issue for the mainly female factory worker sector. According to the National Social Security Fund</w:t>
      </w:r>
      <w:r w:rsidR="000707F2">
        <w:t xml:space="preserve"> (NSSF)</w:t>
      </w:r>
      <w:r w:rsidR="00EA7C74">
        <w:t xml:space="preserve"> </w:t>
      </w:r>
      <w:r w:rsidR="007F5273">
        <w:t>report</w:t>
      </w:r>
      <w:r w:rsidR="00EA7C74">
        <w:t>s</w:t>
      </w:r>
      <w:r w:rsidR="007F5273">
        <w:t xml:space="preserve"> on </w:t>
      </w:r>
      <w:r w:rsidR="00E75F6F">
        <w:t>claims stemming from commuting</w:t>
      </w:r>
      <w:r w:rsidR="007F5273">
        <w:t xml:space="preserve">, </w:t>
      </w:r>
      <w:r w:rsidR="007F5273" w:rsidRPr="007F5273">
        <w:t>the garment/footwear sector accounts for the highest number of</w:t>
      </w:r>
      <w:r>
        <w:t xml:space="preserve"> </w:t>
      </w:r>
      <w:r w:rsidRPr="00291FB3">
        <w:t>work-related commuting accidents</w:t>
      </w:r>
      <w:r>
        <w:t>. In 2016,</w:t>
      </w:r>
      <w:r w:rsidR="00EA7C74">
        <w:t xml:space="preserve"> 80% of </w:t>
      </w:r>
      <w:r>
        <w:t xml:space="preserve">all commuting </w:t>
      </w:r>
      <w:r w:rsidR="00EA7C74">
        <w:t>accidents and 42% of commuting deaths</w:t>
      </w:r>
      <w:r w:rsidR="00692284">
        <w:t xml:space="preserve"> were in the garment sector.</w:t>
      </w:r>
      <w:r w:rsidR="00EA7C74">
        <w:rPr>
          <w:rStyle w:val="FootnoteReference"/>
        </w:rPr>
        <w:footnoteReference w:id="39"/>
      </w:r>
      <w:r w:rsidR="007F5273">
        <w:t xml:space="preserve"> </w:t>
      </w:r>
      <w:r w:rsidR="0086402D">
        <w:t xml:space="preserve">Many </w:t>
      </w:r>
      <w:r w:rsidR="007F5273">
        <w:t>factory workers</w:t>
      </w:r>
      <w:r w:rsidR="0086402D">
        <w:t>’ only viable commuting option is</w:t>
      </w:r>
      <w:r w:rsidR="007F5273">
        <w:t xml:space="preserve"> standing in overcrowded trucks</w:t>
      </w:r>
      <w:r w:rsidR="00E75F6F" w:rsidRPr="00E75F6F">
        <w:t>, which are illegal for transporting passengers and</w:t>
      </w:r>
      <w:r w:rsidR="007F5273">
        <w:t xml:space="preserve"> whose drivers may not have licenses.  Neither the drivers nor the riders have the resources to access or afford safer modes of transportation. </w:t>
      </w:r>
      <w:r w:rsidR="00DC27C6">
        <w:t>Moreover, lack of safe transport prevents workers from using child care and breastfeeding facilities in those factories that adhere to the legal requirement to provide them.</w:t>
      </w:r>
      <w:r w:rsidR="00DC27C6">
        <w:rPr>
          <w:rStyle w:val="FootnoteReference"/>
        </w:rPr>
        <w:footnoteReference w:id="40"/>
      </w:r>
      <w:r w:rsidR="00DC27C6">
        <w:t xml:space="preserve">  </w:t>
      </w:r>
      <w:r w:rsidR="00DC27C6" w:rsidRPr="00DC27C6">
        <w:t xml:space="preserve"> It is encouraging that the RGC has provided free Phnom Penh public bus transport for commuting factory workers</w:t>
      </w:r>
      <w:r w:rsidR="00DC27C6">
        <w:t>, who agree that the vehicles are safer.  Yet, the timetables and bus stop facilities often do not match workers’ needs, and workers feel insecure and unsafe waiting for buses after dark.</w:t>
      </w:r>
      <w:r w:rsidR="00DC27C6">
        <w:rPr>
          <w:rStyle w:val="FootnoteReference"/>
        </w:rPr>
        <w:footnoteReference w:id="41"/>
      </w:r>
    </w:p>
    <w:p w14:paraId="2FEE5A7D" w14:textId="6AB8F766" w:rsidR="00A53772" w:rsidRPr="00D76A68" w:rsidRDefault="00D76A68" w:rsidP="00DF44F7">
      <w:pPr>
        <w:pStyle w:val="Heading1"/>
        <w:jc w:val="both"/>
      </w:pPr>
      <w:bookmarkStart w:id="12" w:name="_Toc20404166"/>
      <w:r>
        <w:t>K</w:t>
      </w:r>
      <w:r w:rsidR="00262B3F">
        <w:t>.</w:t>
      </w:r>
      <w:r>
        <w:t xml:space="preserve"> </w:t>
      </w:r>
      <w:r w:rsidR="00A53772" w:rsidRPr="00D76A68">
        <w:t>Health</w:t>
      </w:r>
      <w:bookmarkEnd w:id="12"/>
      <w:r w:rsidR="00A53772" w:rsidRPr="00D76A68">
        <w:t xml:space="preserve"> </w:t>
      </w:r>
    </w:p>
    <w:p w14:paraId="2F52CCF0" w14:textId="3C8D2B04" w:rsidR="00F559D2" w:rsidRPr="00B760DD" w:rsidRDefault="00A53772" w:rsidP="00DF44F7">
      <w:pPr>
        <w:jc w:val="both"/>
      </w:pPr>
      <w:r w:rsidRPr="00B760DD">
        <w:t>18.</w:t>
      </w:r>
      <w:r w:rsidR="00DF44F7">
        <w:t xml:space="preserve"> </w:t>
      </w:r>
      <w:r w:rsidR="00D76A68">
        <w:t>Cambodia lacks a s</w:t>
      </w:r>
      <w:r w:rsidR="00F559D2" w:rsidRPr="00B760DD">
        <w:t xml:space="preserve">ufficient complaint mechanism to address issues of medical malpractice or </w:t>
      </w:r>
      <w:r w:rsidR="00D76A68">
        <w:t xml:space="preserve">the </w:t>
      </w:r>
      <w:r w:rsidR="00F559D2" w:rsidRPr="00B760DD">
        <w:t xml:space="preserve">failure to provide </w:t>
      </w:r>
      <w:r w:rsidR="00D76A68">
        <w:t>sexual and reproductive health services (</w:t>
      </w:r>
      <w:r w:rsidR="00F559D2" w:rsidRPr="00B760DD">
        <w:t>SRHS</w:t>
      </w:r>
      <w:r w:rsidR="00D76A68">
        <w:t>)</w:t>
      </w:r>
      <w:r w:rsidR="00F559D2" w:rsidRPr="00B760DD">
        <w:t xml:space="preserve">. In 2019, there have been several cases of medical malpractice reported in the media, including </w:t>
      </w:r>
      <w:r w:rsidR="007A3F0E">
        <w:t>unlicensed practitioners maintaining businesses for years</w:t>
      </w:r>
      <w:r w:rsidR="00BD70F0">
        <w:t xml:space="preserve"> until patients die.</w:t>
      </w:r>
      <w:r w:rsidR="007A3F0E">
        <w:rPr>
          <w:rStyle w:val="FootnoteReference"/>
        </w:rPr>
        <w:footnoteReference w:id="42"/>
      </w:r>
      <w:r w:rsidR="00F559D2" w:rsidRPr="00B760DD">
        <w:t xml:space="preserve"> Other cases resulting in the deaths of women had the families taking their grievances to social media due to a lack of response to formal complaints.</w:t>
      </w:r>
      <w:r w:rsidR="00BD70F0">
        <w:rPr>
          <w:rStyle w:val="FootnoteReference"/>
        </w:rPr>
        <w:footnoteReference w:id="43"/>
      </w:r>
      <w:r w:rsidR="00F559D2" w:rsidRPr="00B760DD">
        <w:t xml:space="preserve"> </w:t>
      </w:r>
    </w:p>
    <w:p w14:paraId="377976B3" w14:textId="55183D8B" w:rsidR="00F559D2" w:rsidRPr="001D3999" w:rsidRDefault="00F559D2" w:rsidP="00DF44F7">
      <w:pPr>
        <w:jc w:val="both"/>
      </w:pPr>
      <w:r w:rsidRPr="00B760DD">
        <w:t xml:space="preserve">Lack of </w:t>
      </w:r>
      <w:r w:rsidR="00D76A68">
        <w:t>sexual and reproductive health rights (</w:t>
      </w:r>
      <w:r w:rsidRPr="00B760DD">
        <w:t>SRHR</w:t>
      </w:r>
      <w:r w:rsidR="00D76A68">
        <w:t>)</w:t>
      </w:r>
      <w:r w:rsidRPr="00B760DD">
        <w:t xml:space="preserve"> education and services is another key issue. A major cause of maternal mortality in Cambodia is a lack of safe abortion.  There are two main obstacles to women’s ability to obtain safe abortion: the high social stigma attached to abortion, and the lack of understanding of the law legalizing abortion. According t</w:t>
      </w:r>
      <w:r w:rsidRPr="001D3999">
        <w:t xml:space="preserve">o a baseline survey by </w:t>
      </w:r>
      <w:r w:rsidR="00470A99">
        <w:t>Reproductive Health Association of Cambodia (</w:t>
      </w:r>
      <w:r w:rsidRPr="001D3999">
        <w:t>RHAC</w:t>
      </w:r>
      <w:r w:rsidR="00470A99">
        <w:t>)</w:t>
      </w:r>
      <w:r w:rsidRPr="001D3999">
        <w:t xml:space="preserve"> in 201</w:t>
      </w:r>
      <w:r w:rsidR="00D20D94" w:rsidRPr="001D3999">
        <w:t>9</w:t>
      </w:r>
      <w:r w:rsidR="00D20D94" w:rsidRPr="001D3999">
        <w:rPr>
          <w:rStyle w:val="FootnoteReference"/>
        </w:rPr>
        <w:footnoteReference w:id="44"/>
      </w:r>
      <w:r w:rsidRPr="001D3999">
        <w:t xml:space="preserve">, only 2.7% of women in Kampot and Siem Reap provinces correctly understood all aspects of the legality of abortion.  There is insufficient effort by RGC to create and implement SRHR policy and guidelines to protect women, particularly those with disabilities, rape victims, and those who live in remote areas. </w:t>
      </w:r>
    </w:p>
    <w:p w14:paraId="221AF41F" w14:textId="1355745A" w:rsidR="005C21D5" w:rsidRPr="001D3999" w:rsidRDefault="000F4255" w:rsidP="00DF44F7">
      <w:pPr>
        <w:jc w:val="both"/>
        <w:rPr>
          <w:szCs w:val="22"/>
        </w:rPr>
      </w:pPr>
      <w:r w:rsidRPr="001D3999">
        <w:rPr>
          <w:rFonts w:cs="Khmer UI"/>
          <w:szCs w:val="22"/>
        </w:rPr>
        <w:t>Barriers to health services for LBT+ women</w:t>
      </w:r>
      <w:r w:rsidR="00CD53C6">
        <w:rPr>
          <w:rFonts w:cs="Khmer UI"/>
          <w:szCs w:val="22"/>
        </w:rPr>
        <w:t xml:space="preserve"> </w:t>
      </w:r>
      <w:r w:rsidR="007E341D">
        <w:rPr>
          <w:rFonts w:cs="Khmer UI"/>
          <w:szCs w:val="22"/>
        </w:rPr>
        <w:t>are</w:t>
      </w:r>
      <w:r w:rsidR="00CD53C6">
        <w:rPr>
          <w:rFonts w:cs="Khmer UI"/>
          <w:szCs w:val="22"/>
        </w:rPr>
        <w:t xml:space="preserve"> another key concern.</w:t>
      </w:r>
      <w:r w:rsidRPr="001D3999">
        <w:rPr>
          <w:rFonts w:cs="Khmer UI"/>
          <w:szCs w:val="22"/>
        </w:rPr>
        <w:t xml:space="preserve"> LBT+ women have difficulty obtaining identification documents and registering for </w:t>
      </w:r>
      <w:r w:rsidR="005C21D5" w:rsidRPr="001D3999">
        <w:rPr>
          <w:rFonts w:cs="Khmer UI"/>
          <w:szCs w:val="22"/>
        </w:rPr>
        <w:t xml:space="preserve">the ID </w:t>
      </w:r>
      <w:r w:rsidRPr="001D3999">
        <w:rPr>
          <w:rFonts w:cs="Khmer UI"/>
          <w:szCs w:val="22"/>
        </w:rPr>
        <w:t>P</w:t>
      </w:r>
      <w:r w:rsidR="005C21D5" w:rsidRPr="001D3999">
        <w:rPr>
          <w:rFonts w:cs="Khmer UI"/>
          <w:szCs w:val="22"/>
        </w:rPr>
        <w:t xml:space="preserve">oor </w:t>
      </w:r>
      <w:r w:rsidRPr="001D3999">
        <w:rPr>
          <w:rFonts w:cs="Khmer UI"/>
          <w:szCs w:val="22"/>
        </w:rPr>
        <w:t xml:space="preserve">program, which entitles a person to free health services public providers.  However, the ID Poor </w:t>
      </w:r>
      <w:r w:rsidR="001439E0" w:rsidRPr="001D3999">
        <w:rPr>
          <w:rFonts w:cs="Khmer UI"/>
          <w:szCs w:val="22"/>
        </w:rPr>
        <w:t xml:space="preserve">program </w:t>
      </w:r>
      <w:r w:rsidRPr="001D3999">
        <w:rPr>
          <w:rFonts w:cs="Khmer UI"/>
          <w:szCs w:val="22"/>
        </w:rPr>
        <w:t>do</w:t>
      </w:r>
      <w:r w:rsidR="005C21D5" w:rsidRPr="001D3999">
        <w:rPr>
          <w:rFonts w:cs="Khmer UI"/>
          <w:szCs w:val="22"/>
        </w:rPr>
        <w:t>es not cover</w:t>
      </w:r>
      <w:r w:rsidRPr="001D3999">
        <w:rPr>
          <w:rFonts w:cs="Khmer UI"/>
          <w:szCs w:val="22"/>
        </w:rPr>
        <w:t xml:space="preserve"> a same-sex</w:t>
      </w:r>
      <w:r w:rsidR="005C21D5" w:rsidRPr="001D3999">
        <w:rPr>
          <w:rFonts w:cs="Khmer UI"/>
          <w:szCs w:val="22"/>
        </w:rPr>
        <w:t xml:space="preserve"> partner’s health treatment cost</w:t>
      </w:r>
      <w:r w:rsidRPr="001D3999">
        <w:rPr>
          <w:rFonts w:cs="Khmer UI"/>
          <w:szCs w:val="22"/>
        </w:rPr>
        <w:t>s b</w:t>
      </w:r>
      <w:r w:rsidR="005C21D5" w:rsidRPr="001D3999">
        <w:rPr>
          <w:rFonts w:cs="Khmer UI"/>
          <w:szCs w:val="22"/>
        </w:rPr>
        <w:t>ecause they are not recognized as a family</w:t>
      </w:r>
      <w:r w:rsidRPr="001D3999">
        <w:rPr>
          <w:rFonts w:cs="Khmer UI"/>
          <w:szCs w:val="22"/>
        </w:rPr>
        <w:t xml:space="preserve"> without</w:t>
      </w:r>
      <w:r w:rsidR="005C21D5" w:rsidRPr="001D3999">
        <w:rPr>
          <w:rFonts w:cs="Khmer UI"/>
          <w:szCs w:val="22"/>
        </w:rPr>
        <w:t xml:space="preserve"> </w:t>
      </w:r>
      <w:r w:rsidRPr="001D3999">
        <w:rPr>
          <w:rFonts w:cs="Khmer UI"/>
          <w:szCs w:val="22"/>
        </w:rPr>
        <w:t>a</w:t>
      </w:r>
      <w:r w:rsidR="005C21D5" w:rsidRPr="001D3999">
        <w:rPr>
          <w:rFonts w:cs="Khmer UI"/>
          <w:szCs w:val="22"/>
        </w:rPr>
        <w:t xml:space="preserve"> legal marriage certificate</w:t>
      </w:r>
      <w:r w:rsidR="005C21D5" w:rsidRPr="001D3999">
        <w:rPr>
          <w:szCs w:val="22"/>
        </w:rPr>
        <w:t>.</w:t>
      </w:r>
      <w:r w:rsidR="005C21D5" w:rsidRPr="001D3999">
        <w:rPr>
          <w:rStyle w:val="FootnoteReference"/>
          <w:szCs w:val="22"/>
        </w:rPr>
        <w:footnoteReference w:id="45"/>
      </w:r>
      <w:r w:rsidR="005C21D5" w:rsidRPr="001D3999">
        <w:rPr>
          <w:szCs w:val="22"/>
        </w:rPr>
        <w:t xml:space="preserve"> </w:t>
      </w:r>
      <w:r w:rsidR="005C21D5" w:rsidRPr="001D3999">
        <w:rPr>
          <w:rFonts w:cstheme="minorBidi"/>
          <w:szCs w:val="22"/>
        </w:rPr>
        <w:t>RHAC</w:t>
      </w:r>
      <w:r w:rsidRPr="001D3999">
        <w:rPr>
          <w:rFonts w:cstheme="minorBidi"/>
          <w:szCs w:val="22"/>
        </w:rPr>
        <w:t>’s</w:t>
      </w:r>
      <w:r w:rsidR="005C21D5" w:rsidRPr="001D3999">
        <w:rPr>
          <w:rFonts w:cstheme="minorBidi"/>
          <w:szCs w:val="22"/>
        </w:rPr>
        <w:t xml:space="preserve"> research monitoring report </w:t>
      </w:r>
      <w:r w:rsidRPr="001D3999">
        <w:rPr>
          <w:rFonts w:cstheme="minorBidi"/>
          <w:szCs w:val="22"/>
        </w:rPr>
        <w:t>from</w:t>
      </w:r>
      <w:r w:rsidR="005C21D5" w:rsidRPr="001D3999">
        <w:rPr>
          <w:rFonts w:cstheme="minorBidi"/>
          <w:szCs w:val="22"/>
        </w:rPr>
        <w:t xml:space="preserve"> 2016 </w:t>
      </w:r>
      <w:r w:rsidR="005C21D5" w:rsidRPr="001D3999">
        <w:rPr>
          <w:rFonts w:cstheme="minorBidi"/>
          <w:szCs w:val="22"/>
        </w:rPr>
        <w:lastRenderedPageBreak/>
        <w:t>indicate</w:t>
      </w:r>
      <w:r w:rsidR="00D0043B">
        <w:rPr>
          <w:rFonts w:cstheme="minorBidi"/>
          <w:szCs w:val="22"/>
        </w:rPr>
        <w:t>s</w:t>
      </w:r>
      <w:r w:rsidRPr="001D3999">
        <w:rPr>
          <w:rFonts w:cstheme="minorBidi"/>
          <w:szCs w:val="22"/>
        </w:rPr>
        <w:t xml:space="preserve"> that LGBT+ cannot access information related to hormone treatment, especially about benefits/useful effect</w:t>
      </w:r>
      <w:r w:rsidR="00701387" w:rsidRPr="001D3999">
        <w:rPr>
          <w:rFonts w:cstheme="minorBidi"/>
          <w:szCs w:val="22"/>
        </w:rPr>
        <w:t>s</w:t>
      </w:r>
      <w:r w:rsidRPr="001D3999">
        <w:rPr>
          <w:rFonts w:cstheme="minorBidi"/>
          <w:szCs w:val="22"/>
        </w:rPr>
        <w:t xml:space="preserve"> of using hormone therapy.</w:t>
      </w:r>
      <w:r w:rsidR="00CD53C6">
        <w:rPr>
          <w:rFonts w:cstheme="minorBidi"/>
          <w:szCs w:val="22"/>
        </w:rPr>
        <w:t xml:space="preserve"> Access to treatment itself is similarly limited.</w:t>
      </w:r>
    </w:p>
    <w:p w14:paraId="66122B99" w14:textId="556130E3" w:rsidR="00A53772" w:rsidRPr="00B760DD" w:rsidRDefault="004C3C31" w:rsidP="00DF44F7">
      <w:pPr>
        <w:jc w:val="both"/>
      </w:pPr>
      <w:r>
        <w:t xml:space="preserve">Women </w:t>
      </w:r>
      <w:r w:rsidRPr="004C3C31">
        <w:t>who use drugs face imprisonment, detention and/or abuse instead of effective, evidence-based harm reduction, treatment and rehabilitation services that accord with principles of human rights and public health</w:t>
      </w:r>
      <w:r w:rsidR="00F559D2" w:rsidRPr="001D3999">
        <w:t>.</w:t>
      </w:r>
      <w:r w:rsidR="00323C03" w:rsidRPr="001D3999">
        <w:t xml:space="preserve"> </w:t>
      </w:r>
      <w:r w:rsidR="003335EE" w:rsidRPr="001D3999">
        <w:t>Of t</w:t>
      </w:r>
      <w:r w:rsidR="003335EE">
        <w:t xml:space="preserve">he </w:t>
      </w:r>
      <w:r w:rsidR="003335EE" w:rsidRPr="003335EE">
        <w:t>16,232</w:t>
      </w:r>
      <w:r w:rsidR="003335EE">
        <w:t xml:space="preserve"> persons </w:t>
      </w:r>
      <w:r w:rsidR="00935803">
        <w:t>(</w:t>
      </w:r>
      <w:r w:rsidR="00935803">
        <w:rPr>
          <w:color w:val="1A1A1A"/>
          <w:shd w:val="clear" w:color="auto" w:fill="FFFFFF"/>
        </w:rPr>
        <w:t xml:space="preserve">1,339 of whom are women) </w:t>
      </w:r>
      <w:r w:rsidR="003335EE">
        <w:t>detained in prison for drug offenses in 2018, 44% were jailed for drug use rather than for trafficking offenses such as s</w:t>
      </w:r>
      <w:r w:rsidR="003335EE" w:rsidRPr="003335EE">
        <w:t>elling, storing, processing, distributing, and cultivation</w:t>
      </w:r>
      <w:r w:rsidR="003335EE">
        <w:t>.</w:t>
      </w:r>
      <w:r w:rsidR="003335EE">
        <w:rPr>
          <w:rStyle w:val="FootnoteReference"/>
        </w:rPr>
        <w:footnoteReference w:id="46"/>
      </w:r>
      <w:r w:rsidR="003335EE">
        <w:t xml:space="preserve">  The number of detainees for drug offenses increased by 8.5% in the first 5 months of 2019 over the same period in 2018.</w:t>
      </w:r>
      <w:r w:rsidR="003335EE">
        <w:rPr>
          <w:rStyle w:val="FootnoteReference"/>
        </w:rPr>
        <w:footnoteReference w:id="47"/>
      </w:r>
      <w:r w:rsidR="003335EE">
        <w:t xml:space="preserve"> </w:t>
      </w:r>
      <w:r w:rsidR="00FA5BA0">
        <w:t>While the number of Cambodians seeking treatment in health centers for drug addiction is increasing,</w:t>
      </w:r>
      <w:r w:rsidR="00FA5BA0">
        <w:rPr>
          <w:rStyle w:val="FootnoteReference"/>
        </w:rPr>
        <w:footnoteReference w:id="48"/>
      </w:r>
      <w:r w:rsidR="00FA5BA0">
        <w:t xml:space="preserve"> </w:t>
      </w:r>
      <w:r>
        <w:t xml:space="preserve">there are concerns that some are involuntarily detained in </w:t>
      </w:r>
      <w:r w:rsidRPr="004C3C31">
        <w:t>compulsory drug rehabilitation</w:t>
      </w:r>
      <w:r>
        <w:t xml:space="preserve"> centers rather than reintegrated into communities.</w:t>
      </w:r>
      <w:r>
        <w:rPr>
          <w:rStyle w:val="FootnoteReference"/>
        </w:rPr>
        <w:footnoteReference w:id="49"/>
      </w:r>
      <w:r>
        <w:t xml:space="preserve"> T</w:t>
      </w:r>
      <w:r w:rsidR="00935803">
        <w:t>he police need to prioritize the health needs of drug</w:t>
      </w:r>
      <w:r>
        <w:t xml:space="preserve"> users</w:t>
      </w:r>
      <w:r w:rsidR="00935803">
        <w:t xml:space="preserve"> </w:t>
      </w:r>
      <w:r>
        <w:t>through</w:t>
      </w:r>
      <w:r w:rsidR="00935803">
        <w:t xml:space="preserve"> alternate measures</w:t>
      </w:r>
      <w:r w:rsidR="00E741F0">
        <w:rPr>
          <w:rStyle w:val="FootnoteReference"/>
        </w:rPr>
        <w:footnoteReference w:id="50"/>
      </w:r>
      <w:r w:rsidR="00935803">
        <w:t xml:space="preserve"> </w:t>
      </w:r>
      <w:r w:rsidR="00CD53C6">
        <w:t>to address the public health crisis caused by increased drug use.</w:t>
      </w:r>
    </w:p>
    <w:p w14:paraId="621F83A4" w14:textId="54F7E2B0" w:rsidR="00A53772" w:rsidRPr="00E10370" w:rsidRDefault="00E10370" w:rsidP="00DF44F7">
      <w:pPr>
        <w:pStyle w:val="Heading1"/>
        <w:jc w:val="both"/>
      </w:pPr>
      <w:bookmarkStart w:id="13" w:name="_Toc20404167"/>
      <w:r w:rsidRPr="00E10370">
        <w:t>L</w:t>
      </w:r>
      <w:r w:rsidR="00262B3F">
        <w:t>.</w:t>
      </w:r>
      <w:r w:rsidRPr="00E10370">
        <w:t xml:space="preserve"> </w:t>
      </w:r>
      <w:r w:rsidR="00A53772" w:rsidRPr="00E10370">
        <w:t>Rural women</w:t>
      </w:r>
      <w:bookmarkEnd w:id="13"/>
      <w:r w:rsidR="00A53772" w:rsidRPr="00E10370">
        <w:t xml:space="preserve"> </w:t>
      </w:r>
    </w:p>
    <w:p w14:paraId="6E0A1C77" w14:textId="43C599E5" w:rsidR="00A53772" w:rsidRPr="00A53772" w:rsidRDefault="00A53772" w:rsidP="00DF44F7">
      <w:pPr>
        <w:jc w:val="both"/>
        <w:rPr>
          <w:color w:val="2F5496" w:themeColor="accent1" w:themeShade="BF"/>
        </w:rPr>
      </w:pPr>
      <w:r w:rsidRPr="00B760DD">
        <w:t>19.</w:t>
      </w:r>
      <w:r w:rsidR="00DF44F7">
        <w:t xml:space="preserve"> </w:t>
      </w:r>
      <w:r w:rsidR="00B760DD" w:rsidRPr="00B760DD">
        <w:t>2019 research on access to credit shows that access to credit in rural areas is often limited to predatory lenders and/or microfinance institutions</w:t>
      </w:r>
      <w:r w:rsidR="00885674">
        <w:t>.</w:t>
      </w:r>
      <w:r w:rsidR="00B760DD" w:rsidRPr="00B760DD">
        <w:t xml:space="preserve"> </w:t>
      </w:r>
      <w:r w:rsidR="00885674">
        <w:t>These are not just a few specialized businesses, but include some of the largest banks in Cambodia. Moreover,</w:t>
      </w:r>
      <w:r w:rsidR="00B760DD">
        <w:t xml:space="preserve"> 75% of microfinance borrowers are women</w:t>
      </w:r>
      <w:r w:rsidR="00B760DD">
        <w:rPr>
          <w:rStyle w:val="FootnoteReference"/>
        </w:rPr>
        <w:footnoteReference w:id="51"/>
      </w:r>
      <w:r w:rsidR="00B760DD">
        <w:t xml:space="preserve">, </w:t>
      </w:r>
      <w:r w:rsidR="00885674">
        <w:t>so they are disproportionately affected by trends in this industry</w:t>
      </w:r>
      <w:r w:rsidR="00B760DD">
        <w:t>.</w:t>
      </w:r>
      <w:r w:rsidR="00B760DD" w:rsidRPr="00B760DD">
        <w:t xml:space="preserve"> </w:t>
      </w:r>
      <w:r w:rsidR="00885674">
        <w:t xml:space="preserve"> Lenders </w:t>
      </w:r>
      <w:r w:rsidR="00885674" w:rsidRPr="00B760DD">
        <w:t>not only charge inappropriately high interest rates</w:t>
      </w:r>
      <w:r w:rsidR="00885674">
        <w:t xml:space="preserve"> and knowingly extend loans to persons unable to pay the debt back</w:t>
      </w:r>
      <w:r w:rsidR="00885674" w:rsidRPr="00B760DD">
        <w:t xml:space="preserve">, but </w:t>
      </w:r>
      <w:r w:rsidR="00885674">
        <w:t xml:space="preserve">they </w:t>
      </w:r>
      <w:r w:rsidR="00885674" w:rsidRPr="00B760DD">
        <w:t>use land titles as collateral</w:t>
      </w:r>
      <w:r w:rsidR="00885674">
        <w:t>. In the event of default, t</w:t>
      </w:r>
      <w:r w:rsidR="00B760DD" w:rsidRPr="00B760DD">
        <w:t>he lenders will seize land whose value is many times that of the debt without paying the difference to the borrower.</w:t>
      </w:r>
      <w:r w:rsidR="00B760DD">
        <w:rPr>
          <w:rStyle w:val="FootnoteReference"/>
        </w:rPr>
        <w:footnoteReference w:id="52"/>
      </w:r>
      <w:r w:rsidRPr="00B760DD">
        <w:t xml:space="preserve">  </w:t>
      </w:r>
      <w:r w:rsidR="00444428">
        <w:t>This land often represents the family’s income source, such as a farm, so a drought or flood resulting in less income than needed to repay a loan could result in seizure of the property and the loss of the household’s entire livelihood for the future.</w:t>
      </w:r>
    </w:p>
    <w:p w14:paraId="14F30508" w14:textId="44C06396" w:rsidR="00A53772" w:rsidRPr="00DC52A1" w:rsidRDefault="00E10370" w:rsidP="00DF44F7">
      <w:pPr>
        <w:pStyle w:val="Heading1"/>
        <w:jc w:val="both"/>
      </w:pPr>
      <w:bookmarkStart w:id="14" w:name="_Toc20404168"/>
      <w:r>
        <w:t>M</w:t>
      </w:r>
      <w:r w:rsidR="00262B3F">
        <w:t>.</w:t>
      </w:r>
      <w:r>
        <w:t xml:space="preserve"> </w:t>
      </w:r>
      <w:r w:rsidR="00A53772" w:rsidRPr="00DC52A1">
        <w:t>Climate change</w:t>
      </w:r>
      <w:bookmarkEnd w:id="14"/>
      <w:r w:rsidR="00A53772" w:rsidRPr="00DC52A1">
        <w:t xml:space="preserve"> </w:t>
      </w:r>
    </w:p>
    <w:p w14:paraId="4A14CADD" w14:textId="3CDD4B5C" w:rsidR="00A53772" w:rsidRDefault="00A53772" w:rsidP="00DF44F7">
      <w:pPr>
        <w:jc w:val="both"/>
      </w:pPr>
      <w:r w:rsidRPr="00DC52A1">
        <w:t>20.</w:t>
      </w:r>
      <w:r w:rsidR="00DF44F7">
        <w:t xml:space="preserve"> </w:t>
      </w:r>
      <w:r w:rsidR="00DC52A1" w:rsidRPr="00DC52A1">
        <w:t>CSOs in Cambodia remain deeply concerned about the impact of climate change on rural women, particularly indigenous women.  Access to clean water has been harmed by development in Ratanakiri and Mondulki</w:t>
      </w:r>
      <w:r w:rsidR="00270B11">
        <w:t>ri</w:t>
      </w:r>
      <w:r w:rsidR="00DC52A1" w:rsidRPr="00DC52A1">
        <w:t>, where women are traditionally responsible for securing water supplies for the communities.</w:t>
      </w:r>
      <w:r w:rsidR="00DC52A1">
        <w:rPr>
          <w:rStyle w:val="FootnoteReference"/>
        </w:rPr>
        <w:footnoteReference w:id="53"/>
      </w:r>
    </w:p>
    <w:p w14:paraId="41F2D21A" w14:textId="39B501DA" w:rsidR="00DB6E04" w:rsidRPr="00DC52A1" w:rsidRDefault="00DB6E04" w:rsidP="00DF44F7">
      <w:pPr>
        <w:jc w:val="both"/>
      </w:pPr>
      <w:r>
        <w:t>Moreover, climate change is widely viewed by civil society and development partners as a driving force for migration, both internal and external, due to the increasing difficulty of sustainable agriculture due to changes in weather patterns in recent years.</w:t>
      </w:r>
    </w:p>
    <w:p w14:paraId="1AB75AA7" w14:textId="23B94FAE" w:rsidR="00A53772" w:rsidRPr="00DC52A1" w:rsidRDefault="00E10370" w:rsidP="00DF44F7">
      <w:pPr>
        <w:pStyle w:val="Heading1"/>
        <w:jc w:val="both"/>
      </w:pPr>
      <w:bookmarkStart w:id="15" w:name="_Toc20404169"/>
      <w:r>
        <w:t>N</w:t>
      </w:r>
      <w:r w:rsidR="00262B3F">
        <w:t>.</w:t>
      </w:r>
      <w:r>
        <w:t xml:space="preserve"> </w:t>
      </w:r>
      <w:r w:rsidR="00A53772" w:rsidRPr="00DC52A1">
        <w:t>Access to land ownership and housing</w:t>
      </w:r>
      <w:bookmarkEnd w:id="15"/>
      <w:r w:rsidR="00A53772" w:rsidRPr="00DC52A1">
        <w:t xml:space="preserve"> </w:t>
      </w:r>
    </w:p>
    <w:p w14:paraId="071D6E65" w14:textId="0751534D" w:rsidR="00A53772" w:rsidRDefault="00A53772" w:rsidP="00DF44F7">
      <w:pPr>
        <w:jc w:val="both"/>
      </w:pPr>
      <w:r w:rsidRPr="00BD76C0">
        <w:t>21.</w:t>
      </w:r>
      <w:r w:rsidR="00DF44F7">
        <w:t xml:space="preserve"> </w:t>
      </w:r>
      <w:r w:rsidR="008606E0" w:rsidRPr="00BD76C0">
        <w:t xml:space="preserve">There is still little data on how many households in land disputes are female-headed.  However, there have been regular demonstrations in 2019 including large numbers of women in which villagers from the provinces traveled to Phnom Penh to present their land dispute grievances to government officials.  </w:t>
      </w:r>
      <w:r w:rsidR="00BD76C0" w:rsidRPr="00BD76C0">
        <w:t xml:space="preserve">Over 2300 representatives travelled from communities in the provinces of Banteay Meanchey, Svay Rieng, Preah Vihear, Sihanoukville, Kampong Thom, </w:t>
      </w:r>
      <w:r w:rsidR="00BD76C0" w:rsidRPr="00BD76C0">
        <w:lastRenderedPageBreak/>
        <w:t>Kratie, Kampong Speu, Koh Kong, and the municipality</w:t>
      </w:r>
      <w:r w:rsidR="00A24E58">
        <w:t xml:space="preserve"> of</w:t>
      </w:r>
      <w:r w:rsidR="00BD76C0" w:rsidRPr="00BD76C0">
        <w:t xml:space="preserve"> Phnom Penh.</w:t>
      </w:r>
      <w:r w:rsidR="00BD76C0" w:rsidRPr="00BD76C0">
        <w:rPr>
          <w:rStyle w:val="FootnoteReference"/>
        </w:rPr>
        <w:footnoteReference w:id="54"/>
      </w:r>
      <w:r w:rsidR="003A56ED">
        <w:t xml:space="preserve">  While some grievances concerned previously existing but unresolved disputes, there were also new complaints about new losses of land including private parties who blocked access roads to land, filled in bodies of water, or seized entire plots of land. </w:t>
      </w:r>
    </w:p>
    <w:p w14:paraId="675AC9BF" w14:textId="14EFC248" w:rsidR="003A56ED" w:rsidRPr="00BD76C0" w:rsidRDefault="00B760DD" w:rsidP="00DF44F7">
      <w:pPr>
        <w:jc w:val="both"/>
      </w:pPr>
      <w:r>
        <w:t>As noted in Paragraph 19 above, t</w:t>
      </w:r>
      <w:r w:rsidR="003A56ED">
        <w:t>here is an increasing loss of land due to the mostly unregulated microfinance industry, in which land title is used as collateral even for small loans worth much less than the value of the property seized.</w:t>
      </w:r>
      <w:r w:rsidR="003A56ED">
        <w:rPr>
          <w:rStyle w:val="FootnoteReference"/>
        </w:rPr>
        <w:footnoteReference w:id="55"/>
      </w:r>
    </w:p>
    <w:p w14:paraId="0F20D53D" w14:textId="1732860D" w:rsidR="00A53772" w:rsidRPr="00DC52A1" w:rsidRDefault="00783409" w:rsidP="00DF44F7">
      <w:pPr>
        <w:pStyle w:val="Heading1"/>
        <w:jc w:val="both"/>
      </w:pPr>
      <w:bookmarkStart w:id="16" w:name="_Toc20404170"/>
      <w:r>
        <w:t>O</w:t>
      </w:r>
      <w:r w:rsidR="00262B3F">
        <w:t>.</w:t>
      </w:r>
      <w:r>
        <w:t xml:space="preserve"> </w:t>
      </w:r>
      <w:r w:rsidR="00A53772" w:rsidRPr="00DC52A1">
        <w:t>Women in detention</w:t>
      </w:r>
      <w:bookmarkEnd w:id="16"/>
      <w:r w:rsidR="00A53772" w:rsidRPr="00DC52A1">
        <w:t xml:space="preserve"> </w:t>
      </w:r>
    </w:p>
    <w:p w14:paraId="79A12FA4" w14:textId="4091932B" w:rsidR="00A53772" w:rsidRPr="00A53772" w:rsidRDefault="00A53772" w:rsidP="00DF44F7">
      <w:pPr>
        <w:jc w:val="both"/>
        <w:rPr>
          <w:color w:val="2F5496" w:themeColor="accent1" w:themeShade="BF"/>
        </w:rPr>
      </w:pPr>
      <w:r w:rsidRPr="00272BE9">
        <w:t>22.</w:t>
      </w:r>
      <w:r w:rsidR="00DF44F7">
        <w:t xml:space="preserve"> </w:t>
      </w:r>
      <w:r w:rsidR="00272BE9" w:rsidRPr="00272BE9">
        <w:t>As of September 2019, there were 46 pregnant women and 93 children living in prisons monitored by civil society.</w:t>
      </w:r>
      <w:r w:rsidR="00C055DE">
        <w:t xml:space="preserve">  </w:t>
      </w:r>
      <w:r w:rsidR="00783409">
        <w:t>Correction Center 2 (</w:t>
      </w:r>
      <w:r w:rsidR="00C055DE">
        <w:t>CC2</w:t>
      </w:r>
      <w:r w:rsidR="00783409">
        <w:t>)</w:t>
      </w:r>
      <w:r w:rsidR="00C055DE">
        <w:t>, the largest women’s prison in Cambodia</w:t>
      </w:r>
      <w:r w:rsidR="00783409">
        <w:t>,</w:t>
      </w:r>
      <w:r w:rsidR="00C055DE">
        <w:t xml:space="preserve"> is even more crowded than previously reported. </w:t>
      </w:r>
      <w:r w:rsidR="00C055DE" w:rsidRPr="00C055DE">
        <w:t>As of August</w:t>
      </w:r>
      <w:r w:rsidR="00C055DE">
        <w:t xml:space="preserve"> </w:t>
      </w:r>
      <w:r w:rsidR="00C055DE" w:rsidRPr="00C055DE">
        <w:t>2019</w:t>
      </w:r>
      <w:r w:rsidR="00C055DE">
        <w:t xml:space="preserve">, there </w:t>
      </w:r>
      <w:r w:rsidR="00783409">
        <w:t>were</w:t>
      </w:r>
      <w:r w:rsidR="00C055DE">
        <w:t xml:space="preserve"> </w:t>
      </w:r>
      <w:r w:rsidR="00C055DE" w:rsidRPr="00C055DE">
        <w:t>1797 prisoners</w:t>
      </w:r>
      <w:r w:rsidR="00783409">
        <w:t>. C</w:t>
      </w:r>
      <w:r w:rsidR="00C055DE" w:rsidRPr="00C055DE">
        <w:t>apacity is 350, so the occupancy rate is 513%.</w:t>
      </w:r>
    </w:p>
    <w:p w14:paraId="37ADA668" w14:textId="084D7146" w:rsidR="00A53772" w:rsidRPr="00DC52A1" w:rsidRDefault="00783409" w:rsidP="00DF44F7">
      <w:pPr>
        <w:pStyle w:val="Heading1"/>
        <w:jc w:val="both"/>
      </w:pPr>
      <w:bookmarkStart w:id="17" w:name="_Toc20404171"/>
      <w:r>
        <w:t>P</w:t>
      </w:r>
      <w:r w:rsidR="00262B3F">
        <w:t>.</w:t>
      </w:r>
      <w:r>
        <w:t xml:space="preserve"> </w:t>
      </w:r>
      <w:r w:rsidR="00A53772" w:rsidRPr="00DC52A1">
        <w:t>Marriage and family relations</w:t>
      </w:r>
      <w:bookmarkEnd w:id="17"/>
    </w:p>
    <w:p w14:paraId="749DB5D9" w14:textId="25641E12" w:rsidR="009066DD" w:rsidRDefault="00A53772" w:rsidP="00DF44F7">
      <w:pPr>
        <w:jc w:val="both"/>
      </w:pPr>
      <w:r w:rsidRPr="0047124A">
        <w:t>23.</w:t>
      </w:r>
      <w:r w:rsidR="00DF44F7">
        <w:t xml:space="preserve"> </w:t>
      </w:r>
      <w:r w:rsidR="00DD0EAC" w:rsidRPr="0047124A">
        <w:t>Cambodian law currently legalizes child marriage for 16 and 17-year-olds with parental consent if the other partner is 18.</w:t>
      </w:r>
      <w:r w:rsidR="004F04CA">
        <w:rPr>
          <w:rStyle w:val="FootnoteReference"/>
        </w:rPr>
        <w:footnoteReference w:id="56"/>
      </w:r>
      <w:r w:rsidR="00DD0EAC" w:rsidRPr="0047124A">
        <w:t xml:space="preserve">  This law is only applied to weddings with marriage certificates, not traditional marriages.  </w:t>
      </w:r>
      <w:r w:rsidR="00272BE9">
        <w:t xml:space="preserve">The National Action Plan on Preventing and Responding to Violence Against Children includes a goal to amend the Criminal Code to increase the age of sexual </w:t>
      </w:r>
      <w:r w:rsidR="00BE73AD">
        <w:t xml:space="preserve">majority </w:t>
      </w:r>
      <w:r w:rsidR="00272BE9">
        <w:t xml:space="preserve">to 18 from </w:t>
      </w:r>
      <w:r w:rsidR="00BE73AD">
        <w:t xml:space="preserve">15, but no </w:t>
      </w:r>
      <w:r w:rsidR="004F04CA">
        <w:t>concrete steps have been taken to pass this amendment</w:t>
      </w:r>
      <w:r w:rsidR="00BE73AD">
        <w:t xml:space="preserve">. An amendment to Civil Code </w:t>
      </w:r>
      <w:r w:rsidR="0073037C">
        <w:t xml:space="preserve">Article 948 </w:t>
      </w:r>
      <w:r w:rsidR="00BE73AD">
        <w:t>should also be made to prohibit marriage of those under age 18.</w:t>
      </w:r>
    </w:p>
    <w:p w14:paraId="4ABA7E57" w14:textId="55F2980F" w:rsidR="00677522" w:rsidRDefault="00DD0EAC" w:rsidP="00DF44F7">
      <w:pPr>
        <w:jc w:val="both"/>
      </w:pPr>
      <w:r w:rsidRPr="0047124A">
        <w:t xml:space="preserve">RGC as recently as </w:t>
      </w:r>
      <w:r w:rsidR="007C57AF">
        <w:t>April</w:t>
      </w:r>
      <w:r w:rsidR="009066DD">
        <w:t xml:space="preserve"> </w:t>
      </w:r>
      <w:r w:rsidRPr="0047124A">
        <w:t>2019</w:t>
      </w:r>
      <w:r w:rsidR="009066DD">
        <w:t xml:space="preserve"> in its report to the Human Rights Committee</w:t>
      </w:r>
      <w:r w:rsidR="009066DD">
        <w:rPr>
          <w:rStyle w:val="FootnoteReference"/>
        </w:rPr>
        <w:footnoteReference w:id="57"/>
      </w:r>
      <w:r w:rsidRPr="0047124A">
        <w:t xml:space="preserve"> reiterated its justification of Civil Code </w:t>
      </w:r>
      <w:r w:rsidR="009066DD">
        <w:t>A</w:t>
      </w:r>
      <w:r w:rsidRPr="0047124A">
        <w:t>rticle 950 as a protective measure for women</w:t>
      </w:r>
      <w:r w:rsidR="009066DD">
        <w:t xml:space="preserve"> which does not restrict their rights</w:t>
      </w:r>
      <w:r w:rsidRPr="0047124A">
        <w:t>, despite the fact that</w:t>
      </w:r>
      <w:r w:rsidR="009066DD">
        <w:t xml:space="preserve"> Article 988 of the Civil</w:t>
      </w:r>
      <w:r w:rsidRPr="0047124A">
        <w:t xml:space="preserve"> Code</w:t>
      </w:r>
      <w:r w:rsidR="009066DD">
        <w:t xml:space="preserve"> lists </w:t>
      </w:r>
      <w:r w:rsidRPr="0047124A">
        <w:t xml:space="preserve">clear presumptions of paternity based on whether the birth occurs during a valid marriage or a certain number of days between the divorce and a second marriage. </w:t>
      </w:r>
    </w:p>
    <w:p w14:paraId="56C0594E" w14:textId="4BD3B689" w:rsidR="00272BE9" w:rsidRPr="0047124A" w:rsidRDefault="00272BE9" w:rsidP="00DF44F7">
      <w:pPr>
        <w:jc w:val="both"/>
      </w:pPr>
      <w:r>
        <w:t>LBT+ couples still face enormous discrimination</w:t>
      </w:r>
      <w:r w:rsidR="00783409">
        <w:rPr>
          <w:rStyle w:val="FootnoteReference"/>
        </w:rPr>
        <w:footnoteReference w:id="58"/>
      </w:r>
      <w:r>
        <w:t xml:space="preserve"> and do not have the legal right to marry and adopt children. The Civil Code</w:t>
      </w:r>
      <w:r w:rsidR="00783409">
        <w:t>,</w:t>
      </w:r>
      <w:r w:rsidR="00BE73AD">
        <w:t xml:space="preserve"> Article 1023</w:t>
      </w:r>
      <w:r>
        <w:t xml:space="preserve"> explicitly forbids use of </w:t>
      </w:r>
      <w:r w:rsidR="00BE73AD">
        <w:t xml:space="preserve">the </w:t>
      </w:r>
      <w:r>
        <w:t>adoption</w:t>
      </w:r>
      <w:r w:rsidR="00BE73AD">
        <w:t xml:space="preserve"> process</w:t>
      </w:r>
      <w:r>
        <w:t xml:space="preserve"> in order to </w:t>
      </w:r>
      <w:r w:rsidR="00BE73AD">
        <w:t>establish a same-sex or opposite sex marriage.</w:t>
      </w:r>
      <w:r w:rsidR="00783409">
        <w:t xml:space="preserve"> </w:t>
      </w:r>
      <w:r w:rsidR="003A1333">
        <w:t>Equal rights to marriage and adoption were top priorities of LGBT+ individuals surveyed in 2015.</w:t>
      </w:r>
      <w:r w:rsidR="003A1333">
        <w:rPr>
          <w:rStyle w:val="FootnoteReference"/>
        </w:rPr>
        <w:footnoteReference w:id="59"/>
      </w:r>
    </w:p>
    <w:p w14:paraId="0678E9FA" w14:textId="06ABF984" w:rsidR="00CA0D67" w:rsidRPr="00A53772" w:rsidRDefault="00CA0D67" w:rsidP="00A349D3">
      <w:pPr>
        <w:jc w:val="both"/>
        <w:rPr>
          <w:color w:val="2F5496" w:themeColor="accent1" w:themeShade="BF"/>
        </w:rPr>
      </w:pPr>
    </w:p>
    <w:sectPr w:rsidR="00CA0D67" w:rsidRPr="00A53772" w:rsidSect="00CC73B2">
      <w:footerReference w:type="default" r:id="rId9"/>
      <w:footerReference w:type="first" r:id="rId10"/>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4C1065" w14:textId="77777777" w:rsidR="00152A2D" w:rsidRDefault="00152A2D" w:rsidP="00A53772">
      <w:pPr>
        <w:spacing w:after="0" w:line="240" w:lineRule="auto"/>
      </w:pPr>
      <w:r>
        <w:separator/>
      </w:r>
    </w:p>
  </w:endnote>
  <w:endnote w:type="continuationSeparator" w:id="0">
    <w:p w14:paraId="5455D6E5" w14:textId="77777777" w:rsidR="00152A2D" w:rsidRDefault="00152A2D" w:rsidP="00A53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unPenh">
    <w:panose1 w:val="01010101010101010101"/>
    <w:charset w:val="00"/>
    <w:family w:val="auto"/>
    <w:pitch w:val="variable"/>
    <w:sig w:usb0="80000003" w:usb1="00000000" w:usb2="00010000" w:usb3="00000000" w:csb0="00000001" w:csb1="00000000"/>
  </w:font>
  <w:font w:name="Arial Unicode MS">
    <w:altName w:val="Arial"/>
    <w:panose1 w:val="020B0604020202020204"/>
    <w:charset w:val="00"/>
    <w:family w:val="auto"/>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Khmer UI">
    <w:panose1 w:val="020B0502040204020203"/>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EA7C8" w14:textId="1847065F" w:rsidR="002C6855" w:rsidRPr="001F211E" w:rsidRDefault="002C6855" w:rsidP="00773432">
    <w:pPr>
      <w:pStyle w:val="Footer"/>
      <w:jc w:val="center"/>
      <w:rPr>
        <w:color w:val="002060"/>
      </w:rPr>
    </w:pPr>
    <w:r w:rsidRPr="00134B90">
      <w:rPr>
        <w:color w:val="002060"/>
      </w:rPr>
      <w:fldChar w:fldCharType="begin"/>
    </w:r>
    <w:r w:rsidRPr="00134B90">
      <w:rPr>
        <w:color w:val="002060"/>
      </w:rPr>
      <w:instrText xml:space="preserve"> PAGE   \* MERGEFORMAT </w:instrText>
    </w:r>
    <w:r w:rsidRPr="00134B90">
      <w:rPr>
        <w:color w:val="002060"/>
      </w:rPr>
      <w:fldChar w:fldCharType="separate"/>
    </w:r>
    <w:r>
      <w:rPr>
        <w:color w:val="002060"/>
      </w:rPr>
      <w:t>- 26 -</w:t>
    </w:r>
    <w:r w:rsidRPr="00134B90">
      <w:rPr>
        <w:noProof/>
        <w:color w:val="00206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5A348" w14:textId="0CDADB33" w:rsidR="002C6855" w:rsidRDefault="002C6855">
    <w:pPr>
      <w:pStyle w:val="Footer"/>
    </w:pPr>
    <w:r w:rsidRPr="001F211E">
      <w:rPr>
        <w:color w:val="002060"/>
      </w:rPr>
      <w:t xml:space="preserve">Compiled by the Cambodian NGO Committee on CEDAW (NGO-CEDAW) as of </w:t>
    </w:r>
    <w:r>
      <w:rPr>
        <w:color w:val="002060"/>
      </w:rPr>
      <w:t>July 24</w:t>
    </w:r>
    <w:r w:rsidRPr="001F211E">
      <w:rPr>
        <w:color w:val="002060"/>
      </w:rPr>
      <w:t>, 2019</w:t>
    </w:r>
    <w:r>
      <w:rPr>
        <w:color w:val="002060"/>
      </w:rPr>
      <w:t xml:space="preserve">     </w:t>
    </w:r>
    <w:r w:rsidRPr="00134B90">
      <w:rPr>
        <w:color w:val="002060"/>
      </w:rPr>
      <w:fldChar w:fldCharType="begin"/>
    </w:r>
    <w:r w:rsidRPr="00134B90">
      <w:rPr>
        <w:color w:val="002060"/>
      </w:rPr>
      <w:instrText xml:space="preserve"> PAGE   \* MERGEFORMAT </w:instrText>
    </w:r>
    <w:r w:rsidRPr="00134B90">
      <w:rPr>
        <w:color w:val="002060"/>
      </w:rPr>
      <w:fldChar w:fldCharType="separate"/>
    </w:r>
    <w:r>
      <w:rPr>
        <w:color w:val="002060"/>
      </w:rPr>
      <w:t>- 2 -</w:t>
    </w:r>
    <w:r w:rsidRPr="00134B90">
      <w:rPr>
        <w:noProof/>
        <w:color w:val="00206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7CE0F" w14:textId="77777777" w:rsidR="00152A2D" w:rsidRDefault="00152A2D" w:rsidP="00A53772">
      <w:pPr>
        <w:spacing w:after="0" w:line="240" w:lineRule="auto"/>
      </w:pPr>
      <w:r>
        <w:separator/>
      </w:r>
    </w:p>
  </w:footnote>
  <w:footnote w:type="continuationSeparator" w:id="0">
    <w:p w14:paraId="063CC1D3" w14:textId="77777777" w:rsidR="00152A2D" w:rsidRDefault="00152A2D" w:rsidP="00A53772">
      <w:pPr>
        <w:spacing w:after="0" w:line="240" w:lineRule="auto"/>
      </w:pPr>
      <w:r>
        <w:continuationSeparator/>
      </w:r>
    </w:p>
  </w:footnote>
  <w:footnote w:id="1">
    <w:p w14:paraId="1BE9F7D1" w14:textId="5AE95E7C" w:rsidR="002C6855" w:rsidRDefault="002C6855" w:rsidP="00D975D5">
      <w:pPr>
        <w:pStyle w:val="FootnoteText"/>
        <w:jc w:val="both"/>
      </w:pPr>
      <w:r>
        <w:rPr>
          <w:rStyle w:val="FootnoteReference"/>
        </w:rPr>
        <w:footnoteRef/>
      </w:r>
      <w:r>
        <w:t xml:space="preserve">  The Cambodian NGO Committee on CEDAW was founded in 1995 for the purpose of monitoring and promoting the implementation of CEDAW in Cambodia. It is based solely in Cambodia and is a registered NGO and a coalition of 40 other Cambodia-based NGOs committed to gender equality. This report was made in consultation with NGO-CEDAW’s members, and also with civil society organizations and groups focused on target groups including girls and women who are LBT+, indigenous, living with disabilities, using drugs, migrants, and working in stigmatized sectors such as domestic work, sex work and entertainment work. For more information please visit www.ngocedaw.org.</w:t>
      </w:r>
    </w:p>
  </w:footnote>
  <w:footnote w:id="2">
    <w:p w14:paraId="1110F54A" w14:textId="2CC2C959" w:rsidR="002C6855" w:rsidRPr="001D3999" w:rsidRDefault="002C6855" w:rsidP="00D975D5">
      <w:pPr>
        <w:pStyle w:val="FootnoteText"/>
        <w:jc w:val="both"/>
      </w:pPr>
      <w:r>
        <w:rPr>
          <w:rStyle w:val="FootnoteReference"/>
        </w:rPr>
        <w:footnoteRef/>
      </w:r>
      <w:r>
        <w:t xml:space="preserve"> Bangkok P</w:t>
      </w:r>
      <w:r w:rsidRPr="001D3999">
        <w:t>ost, 8 March 2019. https://www.bangkokpost.com/thailand/general/1641424/phnom-penh-stops-womens-march</w:t>
      </w:r>
    </w:p>
  </w:footnote>
  <w:footnote w:id="3">
    <w:p w14:paraId="353FCED2" w14:textId="39D07F55" w:rsidR="002C6855" w:rsidRPr="001D3999" w:rsidRDefault="002C6855" w:rsidP="00D975D5">
      <w:pPr>
        <w:pStyle w:val="FootnoteText"/>
        <w:jc w:val="both"/>
      </w:pPr>
      <w:r w:rsidRPr="001D3999">
        <w:rPr>
          <w:rStyle w:val="FootnoteReference"/>
        </w:rPr>
        <w:footnoteRef/>
      </w:r>
      <w:r w:rsidRPr="001D3999">
        <w:t xml:space="preserve"> Organizers gave advance notice of a planned bike ride, and several CSO directors including NGO-CEDAW’s were summoned to City Hall of Phnom Penh and required to officially withdraw support of the event even if they were not the organizers. Khmer Times, 9 March 2016. https://www.khmertimeskh.com/36556/city-hall-bans-celebratory-womens-day-bike-ride/</w:t>
      </w:r>
    </w:p>
  </w:footnote>
  <w:footnote w:id="4">
    <w:p w14:paraId="2E7AEB38" w14:textId="0B456C6C" w:rsidR="002C6855" w:rsidRDefault="002C6855" w:rsidP="00D975D5">
      <w:pPr>
        <w:pStyle w:val="FootnoteText"/>
        <w:jc w:val="both"/>
      </w:pPr>
      <w:r>
        <w:rPr>
          <w:rStyle w:val="FootnoteReference"/>
        </w:rPr>
        <w:footnoteRef/>
      </w:r>
      <w:r>
        <w:t xml:space="preserve"> </w:t>
      </w:r>
      <w:r w:rsidRPr="00864E64">
        <w:t>Long Kimmarita</w:t>
      </w:r>
      <w:r>
        <w:t>, “</w:t>
      </w:r>
      <w:r w:rsidRPr="00864E64">
        <w:t>Six public holidays set to be axed</w:t>
      </w:r>
      <w:r>
        <w:t xml:space="preserve">” Phnom Penh Post 7 August 2019. </w:t>
      </w:r>
      <w:r w:rsidRPr="00616AFE">
        <w:t>https://www.phnompenhpost.com/national/six-public-holidays-set-be-axed</w:t>
      </w:r>
    </w:p>
  </w:footnote>
  <w:footnote w:id="5">
    <w:p w14:paraId="45F96ED5" w14:textId="255C1FC3" w:rsidR="002C6855" w:rsidRDefault="002C6855" w:rsidP="00D975D5">
      <w:pPr>
        <w:pStyle w:val="FootnoteText"/>
        <w:jc w:val="both"/>
      </w:pPr>
      <w:r w:rsidRPr="001D3999">
        <w:rPr>
          <w:rStyle w:val="FootnoteReference"/>
        </w:rPr>
        <w:footnoteRef/>
      </w:r>
      <w:r w:rsidRPr="001D3999">
        <w:t xml:space="preserve"> Several WHRDs were imprisoned in recent years, including Tep Vanny and Lim Mony, who each spent 2 years in prison before their release.</w:t>
      </w:r>
    </w:p>
  </w:footnote>
  <w:footnote w:id="6">
    <w:p w14:paraId="0CA7D4AB" w14:textId="7F3A1DAC" w:rsidR="002C6855" w:rsidRDefault="002C6855" w:rsidP="00D975D5">
      <w:pPr>
        <w:pStyle w:val="FootnoteText"/>
        <w:jc w:val="both"/>
      </w:pPr>
      <w:r>
        <w:rPr>
          <w:rStyle w:val="FootnoteReference"/>
        </w:rPr>
        <w:footnoteRef/>
      </w:r>
      <w:r>
        <w:t xml:space="preserve"> </w:t>
      </w:r>
      <w:r w:rsidRPr="009E26DC">
        <w:t>See Appendix,</w:t>
      </w:r>
      <w:r>
        <w:t xml:space="preserve"> which includes case studies collected by Women Union Network members illustrating retaliation for union activity.</w:t>
      </w:r>
    </w:p>
  </w:footnote>
  <w:footnote w:id="7">
    <w:p w14:paraId="642C9CF5" w14:textId="1B973BCC" w:rsidR="002C6855" w:rsidRDefault="002C6855" w:rsidP="00D975D5">
      <w:pPr>
        <w:pStyle w:val="FootnoteText"/>
        <w:jc w:val="both"/>
      </w:pPr>
      <w:r>
        <w:rPr>
          <w:rStyle w:val="FootnoteReference"/>
        </w:rPr>
        <w:footnoteRef/>
      </w:r>
      <w:r>
        <w:t xml:space="preserve"> Information from interviews in 2019 with CSOs working with unions for factory workers.</w:t>
      </w:r>
    </w:p>
  </w:footnote>
  <w:footnote w:id="8">
    <w:p w14:paraId="5DDFA952" w14:textId="6EE6CED8" w:rsidR="002C6855" w:rsidRDefault="002C6855" w:rsidP="00D975D5">
      <w:pPr>
        <w:pStyle w:val="FootnoteText"/>
        <w:jc w:val="both"/>
      </w:pPr>
      <w:r>
        <w:rPr>
          <w:rStyle w:val="FootnoteReference"/>
        </w:rPr>
        <w:footnoteRef/>
      </w:r>
      <w:r>
        <w:t xml:space="preserve"> </w:t>
      </w:r>
      <w:r w:rsidRPr="00E95D6B">
        <w:t xml:space="preserve"> </w:t>
      </w:r>
      <w:r>
        <w:t xml:space="preserve">Guidance on the definition of discrimination was provided in the </w:t>
      </w:r>
      <w:r w:rsidRPr="00E95D6B">
        <w:t>Report of the Special Rapporteur on the situation of human rights in Cambodia Addendum #2: Assessing protection of those at risk of being left behind, 2 September 2019, Paragraphs 3-5</w:t>
      </w:r>
      <w:r>
        <w:t>.</w:t>
      </w:r>
    </w:p>
  </w:footnote>
  <w:footnote w:id="9">
    <w:p w14:paraId="70F9729E" w14:textId="1B9CE0D3" w:rsidR="002C6855" w:rsidRDefault="002C6855" w:rsidP="00D975D5">
      <w:pPr>
        <w:pStyle w:val="FootnoteText"/>
        <w:jc w:val="both"/>
      </w:pPr>
      <w:r>
        <w:rPr>
          <w:rStyle w:val="FootnoteReference"/>
        </w:rPr>
        <w:footnoteRef/>
      </w:r>
      <w:r>
        <w:t xml:space="preserve"> All UN documents from the 3</w:t>
      </w:r>
      <w:r w:rsidRPr="009B3897">
        <w:rPr>
          <w:vertAlign w:val="superscript"/>
        </w:rPr>
        <w:t>rd</w:t>
      </w:r>
      <w:r>
        <w:t xml:space="preserve"> Cycle of the Universal Periodic Review of Cambodia are at: </w:t>
      </w:r>
      <w:r w:rsidRPr="009B3897">
        <w:t>https://www.ohchr.org/EN/HRBodies/UPR/Pages/KHIndex.aspx</w:t>
      </w:r>
    </w:p>
  </w:footnote>
  <w:footnote w:id="10">
    <w:p w14:paraId="710A2F89" w14:textId="00182FFF" w:rsidR="002C6855" w:rsidRDefault="002C6855" w:rsidP="00D975D5">
      <w:pPr>
        <w:pStyle w:val="FootnoteText"/>
        <w:jc w:val="both"/>
      </w:pPr>
      <w:r>
        <w:rPr>
          <w:rStyle w:val="FootnoteReference"/>
        </w:rPr>
        <w:footnoteRef/>
      </w:r>
      <w:r>
        <w:t xml:space="preserve"> </w:t>
      </w:r>
      <w:r w:rsidRPr="00F5027A">
        <w:t>https://www.khmertimeskh.com/50576752/groups-express-support-for-access-to-information-law/</w:t>
      </w:r>
    </w:p>
  </w:footnote>
  <w:footnote w:id="11">
    <w:p w14:paraId="4B612ACD" w14:textId="42892607" w:rsidR="002C6855" w:rsidRDefault="002C6855" w:rsidP="00D975D5">
      <w:pPr>
        <w:pStyle w:val="FootnoteText"/>
        <w:jc w:val="both"/>
      </w:pPr>
      <w:r>
        <w:rPr>
          <w:rStyle w:val="FootnoteReference"/>
        </w:rPr>
        <w:footnoteRef/>
      </w:r>
      <w:r>
        <w:t xml:space="preserve"> The findings of the joint submission on access to justice match those of NGO-CEDAW’s members in 2019 and 2017. See NGO-CEDAW’s 2017 CEDAW Monitoring Report, </w:t>
      </w:r>
      <w:r w:rsidRPr="00252C44">
        <w:t>http://ngocedaw.org/wp-content/uploads/2018/11/2017-CEDAW-Monitoring-Report-by-NGO-CEDAW-EN.pdf</w:t>
      </w:r>
    </w:p>
  </w:footnote>
  <w:footnote w:id="12">
    <w:p w14:paraId="69561653" w14:textId="1D8F882A" w:rsidR="002C6855" w:rsidRDefault="002C6855" w:rsidP="00D975D5">
      <w:pPr>
        <w:pStyle w:val="FootnoteText"/>
        <w:jc w:val="both"/>
      </w:pPr>
      <w:r>
        <w:rPr>
          <w:rStyle w:val="FootnoteReference"/>
        </w:rPr>
        <w:footnoteRef/>
      </w:r>
      <w:r>
        <w:t xml:space="preserve"> The Cambodian Center for Independent Media (CCIM) published an investigative report on unprosecuted violence in the indigenous communities in Ratanakiri on 27 November 2018. Report in Khmer language: </w:t>
      </w:r>
      <w:r w:rsidRPr="00AD08F9">
        <w:t>https://vodhotnews.com/2018/11/27/indigenous-people-worry-about-their-childrens-safety-after-killing-and-killing/</w:t>
      </w:r>
    </w:p>
  </w:footnote>
  <w:footnote w:id="13">
    <w:p w14:paraId="7DB02E40" w14:textId="7980F05E" w:rsidR="002C6855" w:rsidRDefault="002C6855" w:rsidP="00D975D5">
      <w:pPr>
        <w:pStyle w:val="FootnoteText"/>
        <w:jc w:val="both"/>
      </w:pPr>
      <w:r>
        <w:rPr>
          <w:rStyle w:val="FootnoteReference"/>
        </w:rPr>
        <w:footnoteRef/>
      </w:r>
      <w:r>
        <w:t xml:space="preserve"> The evaluation of NAPVAW2 was presented at the 1</w:t>
      </w:r>
      <w:r w:rsidRPr="00F12628">
        <w:rPr>
          <w:vertAlign w:val="superscript"/>
        </w:rPr>
        <w:t>st</w:t>
      </w:r>
      <w:r>
        <w:t xml:space="preserve"> consultation meeting on drafting the NAPVAW3, held at the Cambodiana Hotel, Phnom Penh on 24 December 2018.</w:t>
      </w:r>
    </w:p>
  </w:footnote>
  <w:footnote w:id="14">
    <w:p w14:paraId="760F621B" w14:textId="59D901AA" w:rsidR="002C6855" w:rsidRDefault="002C6855" w:rsidP="00D975D5">
      <w:pPr>
        <w:pStyle w:val="FootnoteText"/>
        <w:jc w:val="both"/>
      </w:pPr>
      <w:r>
        <w:rPr>
          <w:rStyle w:val="FootnoteReference"/>
        </w:rPr>
        <w:footnoteRef/>
      </w:r>
      <w:r>
        <w:t xml:space="preserve"> </w:t>
      </w:r>
      <w:r w:rsidRPr="008E52CA">
        <w:t>http://ngocedaw.org/wp-content/uploads/2018/11/2017-CEDAW-Monitoring-Report-by-NGO-CEDAW-EN.pdf</w:t>
      </w:r>
    </w:p>
  </w:footnote>
  <w:footnote w:id="15">
    <w:p w14:paraId="1A6BEEE5" w14:textId="28707380" w:rsidR="002C6855" w:rsidRDefault="002C6855" w:rsidP="00D975D5">
      <w:pPr>
        <w:pStyle w:val="FootnoteText"/>
        <w:jc w:val="both"/>
      </w:pPr>
      <w:r>
        <w:rPr>
          <w:rStyle w:val="FootnoteReference"/>
        </w:rPr>
        <w:footnoteRef/>
      </w:r>
      <w:r>
        <w:t xml:space="preserve"> DV Law Articles 1 and 26.</w:t>
      </w:r>
    </w:p>
  </w:footnote>
  <w:footnote w:id="16">
    <w:p w14:paraId="0AB9C0B5" w14:textId="3C7C05C7" w:rsidR="002C6855" w:rsidRPr="00971C65" w:rsidRDefault="002C6855" w:rsidP="00971C65">
      <w:pPr>
        <w:jc w:val="both"/>
        <w:rPr>
          <w:sz w:val="20"/>
          <w:szCs w:val="32"/>
        </w:rPr>
      </w:pPr>
      <w:r w:rsidRPr="00D46C8E">
        <w:rPr>
          <w:rStyle w:val="FootnoteReference"/>
        </w:rPr>
        <w:footnoteRef/>
      </w:r>
      <w:r w:rsidRPr="00D46C8E">
        <w:t xml:space="preserve"> </w:t>
      </w:r>
      <w:r w:rsidR="009E1C85" w:rsidRPr="00971C65">
        <w:rPr>
          <w:sz w:val="20"/>
          <w:szCs w:val="32"/>
        </w:rPr>
        <w:t xml:space="preserve">The full article-by-article analysis of </w:t>
      </w:r>
      <w:r w:rsidR="0040780E" w:rsidRPr="00971C65">
        <w:rPr>
          <w:sz w:val="20"/>
          <w:szCs w:val="32"/>
        </w:rPr>
        <w:t xml:space="preserve">Cambodian </w:t>
      </w:r>
      <w:r w:rsidR="007D22DD" w:rsidRPr="00971C65">
        <w:rPr>
          <w:sz w:val="20"/>
          <w:szCs w:val="32"/>
        </w:rPr>
        <w:t xml:space="preserve">law on </w:t>
      </w:r>
      <w:r w:rsidR="0040780E" w:rsidRPr="00971C65">
        <w:rPr>
          <w:sz w:val="20"/>
          <w:szCs w:val="32"/>
        </w:rPr>
        <w:t>Domestic Violence</w:t>
      </w:r>
      <w:r w:rsidR="007D22DD" w:rsidRPr="00971C65">
        <w:rPr>
          <w:sz w:val="20"/>
          <w:szCs w:val="32"/>
        </w:rPr>
        <w:t xml:space="preserve"> is published at</w:t>
      </w:r>
      <w:r w:rsidR="00971C65" w:rsidRPr="00971C65">
        <w:rPr>
          <w:sz w:val="20"/>
          <w:szCs w:val="32"/>
        </w:rPr>
        <w:t xml:space="preserve">, </w:t>
      </w:r>
      <w:hyperlink r:id="rId1" w:history="1">
        <w:r w:rsidR="00971C65" w:rsidRPr="006E12A0">
          <w:rPr>
            <w:rStyle w:val="Hyperlink"/>
            <w:sz w:val="20"/>
            <w:szCs w:val="32"/>
          </w:rPr>
          <w:t>http://ngocedaw.org/wp-content/uploads/2019/08/Cambodia-DV-law-analysis-chart-EN-24July2019.pdf</w:t>
        </w:r>
      </w:hyperlink>
      <w:r w:rsidR="00971C65">
        <w:rPr>
          <w:sz w:val="20"/>
          <w:szCs w:val="32"/>
        </w:rPr>
        <w:t xml:space="preserve"> </w:t>
      </w:r>
    </w:p>
  </w:footnote>
  <w:footnote w:id="17">
    <w:p w14:paraId="3DC9D316" w14:textId="53FC32A4" w:rsidR="002C6855" w:rsidRDefault="002C6855" w:rsidP="00D975D5">
      <w:pPr>
        <w:pStyle w:val="FootnoteText"/>
        <w:jc w:val="both"/>
      </w:pPr>
      <w:r>
        <w:rPr>
          <w:rStyle w:val="FootnoteReference"/>
        </w:rPr>
        <w:footnoteRef/>
      </w:r>
      <w:r>
        <w:t xml:space="preserve"> DV Law Article 26 states petty crimes and </w:t>
      </w:r>
      <w:r w:rsidRPr="0067750B">
        <w:t>“minor misdemeanor</w:t>
      </w:r>
      <w:r>
        <w:t>s,</w:t>
      </w:r>
      <w:r w:rsidRPr="0067750B">
        <w:t xml:space="preserve">” an undefined term </w:t>
      </w:r>
      <w:r>
        <w:t xml:space="preserve">not existing in the Criminal Code and </w:t>
      </w:r>
      <w:r w:rsidRPr="0067750B">
        <w:t>loosely interpreted as anything other than murder or attempted murder</w:t>
      </w:r>
      <w:r>
        <w:t>. Misdemeanors in Cambodia are crimes punishable by one week to five years in prison.</w:t>
      </w:r>
    </w:p>
  </w:footnote>
  <w:footnote w:id="18">
    <w:p w14:paraId="3220D452" w14:textId="3C4FD4C1" w:rsidR="002C6855" w:rsidRDefault="002C6855" w:rsidP="00D975D5">
      <w:pPr>
        <w:pStyle w:val="FootnoteText"/>
        <w:jc w:val="both"/>
      </w:pPr>
      <w:r>
        <w:rPr>
          <w:rStyle w:val="FootnoteReference"/>
        </w:rPr>
        <w:footnoteRef/>
      </w:r>
      <w:r>
        <w:t xml:space="preserve"> This research is sponsored by NGO-CEDAW and the full results will be published in late 2019 or early 2020.  Surveys were conducted in 2019 of women survivors and local authorities involved in mediation and reconciliation in IPV cases in four Cambodian provinces.</w:t>
      </w:r>
    </w:p>
  </w:footnote>
  <w:footnote w:id="19">
    <w:p w14:paraId="7E81672F" w14:textId="4CEAF60C" w:rsidR="002C6855" w:rsidRDefault="002C6855" w:rsidP="00D975D5">
      <w:pPr>
        <w:pStyle w:val="FootnoteText"/>
        <w:jc w:val="both"/>
      </w:pPr>
      <w:r>
        <w:rPr>
          <w:rStyle w:val="FootnoteReference"/>
        </w:rPr>
        <w:footnoteRef/>
      </w:r>
      <w:r>
        <w:t xml:space="preserve"> Each interviewee was from a different commune, so 43 communes were represented.</w:t>
      </w:r>
    </w:p>
  </w:footnote>
  <w:footnote w:id="20">
    <w:p w14:paraId="21CD92D3" w14:textId="0BEDE8C7" w:rsidR="002C6855" w:rsidRDefault="002C6855" w:rsidP="00D975D5">
      <w:pPr>
        <w:pStyle w:val="FootnoteText"/>
        <w:jc w:val="both"/>
      </w:pPr>
      <w:r>
        <w:rPr>
          <w:rStyle w:val="FootnoteReference"/>
        </w:rPr>
        <w:footnoteRef/>
      </w:r>
      <w:r>
        <w:t xml:space="preserve"> Article 75 of the Code of Criminal Procedure is titled “Abuse of Judicial Actions” and states that judicial police officers cannot keep a case from being acted upon in these circumstances, and officers who hold back written records can be prosecuted under the Criminal Code.</w:t>
      </w:r>
    </w:p>
  </w:footnote>
  <w:footnote w:id="21">
    <w:p w14:paraId="7DDA2377" w14:textId="44DC08FD" w:rsidR="002C6855" w:rsidRDefault="002C6855" w:rsidP="00D975D5">
      <w:pPr>
        <w:pStyle w:val="FootnoteText"/>
        <w:jc w:val="both"/>
      </w:pPr>
      <w:r>
        <w:rPr>
          <w:rStyle w:val="FootnoteReference"/>
        </w:rPr>
        <w:footnoteRef/>
      </w:r>
      <w:r>
        <w:t xml:space="preserve">  </w:t>
      </w:r>
      <w:r w:rsidRPr="004C5895">
        <w:t>Abelardo Cruz</w:t>
      </w:r>
      <w:r>
        <w:t xml:space="preserve">, with technical support from </w:t>
      </w:r>
      <w:r w:rsidRPr="004C5895">
        <w:t>Sophal Roda</w:t>
      </w:r>
      <w:r>
        <w:t xml:space="preserve">, </w:t>
      </w:r>
      <w:r w:rsidRPr="004C5895">
        <w:t>But Lim</w:t>
      </w:r>
      <w:r>
        <w:t xml:space="preserve">, and edits from </w:t>
      </w:r>
      <w:r w:rsidRPr="004C5895">
        <w:t>Dr. Kasem Kolnary</w:t>
      </w:r>
      <w:r>
        <w:t>, “</w:t>
      </w:r>
      <w:r w:rsidRPr="004C5895">
        <w:t>A Household Conflict Analysis Survey on GBV in 4 Districts of CHEC Target Areas</w:t>
      </w:r>
      <w:r>
        <w:t>,” CHEC, June 2019.</w:t>
      </w:r>
    </w:p>
  </w:footnote>
  <w:footnote w:id="22">
    <w:p w14:paraId="74846E5E" w14:textId="1BB377F6" w:rsidR="002C6855" w:rsidRDefault="002C6855" w:rsidP="00D975D5">
      <w:pPr>
        <w:pStyle w:val="FootnoteText"/>
        <w:jc w:val="both"/>
      </w:pPr>
      <w:r>
        <w:rPr>
          <w:rStyle w:val="FootnoteReference"/>
        </w:rPr>
        <w:footnoteRef/>
      </w:r>
      <w:r>
        <w:t xml:space="preserve"> </w:t>
      </w:r>
      <w:r w:rsidRPr="00AB413D">
        <w:t>November 2015 National Survey on Women’s Health and Life Experiences in Cambodia (sponsored by WHO</w:t>
      </w:r>
      <w:r>
        <w:t xml:space="preserve"> and RGC</w:t>
      </w:r>
      <w:r w:rsidRPr="00AB413D">
        <w:t>)</w:t>
      </w:r>
    </w:p>
  </w:footnote>
  <w:footnote w:id="23">
    <w:p w14:paraId="67DA4AA1" w14:textId="015CA9C4" w:rsidR="002C6855" w:rsidRDefault="002C6855" w:rsidP="00D975D5">
      <w:pPr>
        <w:pStyle w:val="FootnoteText"/>
        <w:jc w:val="both"/>
      </w:pPr>
      <w:r>
        <w:rPr>
          <w:rStyle w:val="FootnoteReference"/>
        </w:rPr>
        <w:footnoteRef/>
      </w:r>
      <w:r>
        <w:t xml:space="preserve"> 2019 survey of NGOs providing services to GBV survivors.</w:t>
      </w:r>
    </w:p>
  </w:footnote>
  <w:footnote w:id="24">
    <w:p w14:paraId="47599A23" w14:textId="0BC5749F" w:rsidR="002C6855" w:rsidRDefault="002C6855" w:rsidP="00D975D5">
      <w:pPr>
        <w:pStyle w:val="FootnoteText"/>
        <w:jc w:val="both"/>
      </w:pPr>
      <w:r>
        <w:rPr>
          <w:rStyle w:val="FootnoteReference"/>
        </w:rPr>
        <w:footnoteRef/>
      </w:r>
      <w:r>
        <w:t xml:space="preserve"> </w:t>
      </w:r>
      <w:r w:rsidRPr="00CB42C3">
        <w:t>20% of ever-partnered women experienced IPV within the past 12 months in the 2015 national survey. CSCS 2017 says 53% of surveyed over 15 y</w:t>
      </w:r>
      <w:r>
        <w:t>ea</w:t>
      </w:r>
      <w:r w:rsidRPr="00CB42C3">
        <w:t xml:space="preserve">rs old live with a partner. </w:t>
      </w:r>
      <w:r>
        <w:t xml:space="preserve">RGC data shows an estimated </w:t>
      </w:r>
      <w:r w:rsidRPr="00CB42C3">
        <w:t>16 million population, with 60% in this age group and 50% female per CDHS 2014</w:t>
      </w:r>
      <w:r>
        <w:t>. Therefore, approximately</w:t>
      </w:r>
      <w:r w:rsidRPr="00CB42C3">
        <w:t xml:space="preserve"> 508,800 women experience IPV each year, and almost 200,000 women experience physical/sexual violence from a partner</w:t>
      </w:r>
      <w:r>
        <w:t xml:space="preserve"> based on the types of violence reported in the 2015 national survey</w:t>
      </w:r>
      <w:r w:rsidRPr="00CB42C3">
        <w:t>.</w:t>
      </w:r>
    </w:p>
  </w:footnote>
  <w:footnote w:id="25">
    <w:p w14:paraId="242025EC" w14:textId="538D804B" w:rsidR="002C6855" w:rsidRDefault="002C6855" w:rsidP="00D975D5">
      <w:pPr>
        <w:pStyle w:val="FootnoteText"/>
        <w:jc w:val="both"/>
      </w:pPr>
      <w:r>
        <w:rPr>
          <w:rStyle w:val="FootnoteReference"/>
        </w:rPr>
        <w:footnoteRef/>
      </w:r>
      <w:r>
        <w:t xml:space="preserve"> Rainbow Community Kampuchea, “‘</w:t>
      </w:r>
      <w:r w:rsidRPr="00C64FDD">
        <w:t>I married a man to satisfy my parents</w:t>
      </w:r>
      <w:r>
        <w:t xml:space="preserve">’: </w:t>
      </w:r>
      <w:r w:rsidRPr="00C64FDD">
        <w:t>Family Violence towards Lesbian, Bisexual and Transgender (LBT) People in Cambodia</w:t>
      </w:r>
      <w:r>
        <w:t>” June 2019.</w:t>
      </w:r>
    </w:p>
  </w:footnote>
  <w:footnote w:id="26">
    <w:p w14:paraId="7A6DC47A" w14:textId="2F0FCBCF" w:rsidR="002C6855" w:rsidRPr="009C7BFD" w:rsidRDefault="002C6855" w:rsidP="00D975D5">
      <w:pPr>
        <w:pStyle w:val="FootnoteText"/>
        <w:jc w:val="both"/>
      </w:pPr>
      <w:r w:rsidRPr="009C7BFD">
        <w:rPr>
          <w:rStyle w:val="FootnoteReference"/>
        </w:rPr>
        <w:footnoteRef/>
      </w:r>
      <w:r w:rsidRPr="009C7BFD">
        <w:t xml:space="preserve"> NGO-CEDAW held a focus group discussion in September 2019 in which sex workers confirmed that the practice of arresting and detaining persons for being a public nuisance is continuing despite much past criticism.</w:t>
      </w:r>
    </w:p>
  </w:footnote>
  <w:footnote w:id="27">
    <w:p w14:paraId="3022EAAB" w14:textId="1B4BA985" w:rsidR="002C6855" w:rsidRDefault="002C6855" w:rsidP="00D975D5">
      <w:pPr>
        <w:pStyle w:val="FootnoteText"/>
        <w:jc w:val="both"/>
      </w:pPr>
      <w:r w:rsidRPr="009C7BFD">
        <w:rPr>
          <w:rStyle w:val="FootnoteReference"/>
        </w:rPr>
        <w:footnoteRef/>
      </w:r>
      <w:r w:rsidRPr="009C7BFD">
        <w:t xml:space="preserve"> The 27 August 2019 Report</w:t>
      </w:r>
      <w:r w:rsidRPr="005B7BD1">
        <w:t xml:space="preserve"> of the Special Rapporteur on the situation of human rights in Cambodia</w:t>
      </w:r>
      <w:r>
        <w:t xml:space="preserve"> addresses Prey Speu and states in Paragraph 49: “</w:t>
      </w:r>
      <w:r w:rsidRPr="005B7BD1">
        <w:t>As currently set up, the centre continues to operate as a place of arbitrary detention and should be closed.</w:t>
      </w:r>
      <w:r>
        <w:t>”</w:t>
      </w:r>
    </w:p>
  </w:footnote>
  <w:footnote w:id="28">
    <w:p w14:paraId="2C18E65B" w14:textId="2893C1BE" w:rsidR="002C6855" w:rsidRDefault="002C6855" w:rsidP="00D975D5">
      <w:pPr>
        <w:pStyle w:val="FootnoteText"/>
        <w:jc w:val="both"/>
      </w:pPr>
      <w:r>
        <w:rPr>
          <w:rStyle w:val="FootnoteReference"/>
        </w:rPr>
        <w:footnoteRef/>
      </w:r>
      <w:r>
        <w:t xml:space="preserve"> </w:t>
      </w:r>
      <w:r>
        <w:rPr>
          <w:rStyle w:val="gmaildefault"/>
        </w:rPr>
        <w:t>​</w:t>
      </w:r>
      <w:r>
        <w:t>http://ngocedaw.org/wp-content/uploads/2019/01/2017-Commune-Election-Report-by-NGO-CEDAW.pdf</w:t>
      </w:r>
    </w:p>
  </w:footnote>
  <w:footnote w:id="29">
    <w:p w14:paraId="1A3C23EA" w14:textId="0D7365FF" w:rsidR="002C6855" w:rsidRDefault="002C6855" w:rsidP="00D975D5">
      <w:pPr>
        <w:pStyle w:val="FootnoteText"/>
        <w:jc w:val="both"/>
      </w:pPr>
      <w:r>
        <w:rPr>
          <w:rStyle w:val="FootnoteReference"/>
        </w:rPr>
        <w:footnoteRef/>
      </w:r>
      <w:r>
        <w:t xml:space="preserve"> Information about the draft gender assessment is from the few CSOs invited to participate in consultations; the draft is not public.</w:t>
      </w:r>
    </w:p>
  </w:footnote>
  <w:footnote w:id="30">
    <w:p w14:paraId="5E643DE5" w14:textId="0CF20958" w:rsidR="002C6855" w:rsidRPr="003C7C54" w:rsidRDefault="002C6855" w:rsidP="00D975D5">
      <w:pPr>
        <w:pStyle w:val="FootnoteText"/>
        <w:jc w:val="both"/>
      </w:pPr>
      <w:r w:rsidRPr="003C7C54">
        <w:rPr>
          <w:rStyle w:val="FootnoteReference"/>
        </w:rPr>
        <w:footnoteRef/>
      </w:r>
      <w:r w:rsidRPr="003C7C54">
        <w:t xml:space="preserve"> </w:t>
      </w:r>
      <w:r>
        <w:t>Ministry of Education and Youth, and Sport (</w:t>
      </w:r>
      <w:r w:rsidRPr="0041391E">
        <w:t>MoEYS</w:t>
      </w:r>
      <w:r>
        <w:t>)</w:t>
      </w:r>
      <w:r w:rsidRPr="003C7C54">
        <w:t>,</w:t>
      </w:r>
      <w:r>
        <w:t xml:space="preserve"> May</w:t>
      </w:r>
      <w:r w:rsidRPr="003C7C54">
        <w:t xml:space="preserve"> 2019 </w:t>
      </w:r>
      <w:r>
        <w:t>draft Education Strategic Plan (</w:t>
      </w:r>
      <w:r w:rsidRPr="003C7C54">
        <w:t>2019-2023</w:t>
      </w:r>
      <w:r>
        <w:t>) Table 4</w:t>
      </w:r>
      <w:r w:rsidRPr="003C7C54">
        <w:t>.</w:t>
      </w:r>
    </w:p>
  </w:footnote>
  <w:footnote w:id="31">
    <w:p w14:paraId="46A75CA6" w14:textId="77777777" w:rsidR="002C6855" w:rsidRPr="003C7C54" w:rsidRDefault="002C6855" w:rsidP="00D975D5">
      <w:pPr>
        <w:pStyle w:val="FootnoteText"/>
        <w:jc w:val="both"/>
        <w:rPr>
          <w:lang w:val="en-GB"/>
        </w:rPr>
      </w:pPr>
      <w:r w:rsidRPr="003C7C54">
        <w:rPr>
          <w:rStyle w:val="FootnoteReference"/>
        </w:rPr>
        <w:footnoteRef/>
      </w:r>
      <w:r w:rsidRPr="003C7C54">
        <w:t xml:space="preserve"> MoEYS, 2017, Public Education Statistics and Indicators 2017-2018.</w:t>
      </w:r>
    </w:p>
  </w:footnote>
  <w:footnote w:id="32">
    <w:p w14:paraId="54D0A417" w14:textId="73F1BB07" w:rsidR="002C6855" w:rsidRDefault="002C6855" w:rsidP="00D975D5">
      <w:pPr>
        <w:pStyle w:val="FootnoteText"/>
        <w:jc w:val="both"/>
      </w:pPr>
      <w:r>
        <w:rPr>
          <w:rStyle w:val="FootnoteReference"/>
        </w:rPr>
        <w:footnoteRef/>
      </w:r>
      <w:r>
        <w:t xml:space="preserve"> Disability Data Application project by Cambodian Disabled Peoples Organization, data from 833 individuals aged 5 to 25.</w:t>
      </w:r>
    </w:p>
  </w:footnote>
  <w:footnote w:id="33">
    <w:p w14:paraId="1308E9A7" w14:textId="650CE68D" w:rsidR="002C6855" w:rsidRDefault="002C6855" w:rsidP="00D975D5">
      <w:pPr>
        <w:pStyle w:val="FootnoteText"/>
        <w:jc w:val="both"/>
      </w:pPr>
      <w:r>
        <w:rPr>
          <w:rStyle w:val="FootnoteReference"/>
        </w:rPr>
        <w:footnoteRef/>
      </w:r>
      <w:r>
        <w:t xml:space="preserve"> WHO and UNICEF </w:t>
      </w:r>
      <w:r w:rsidRPr="00332A52">
        <w:t>Joint Monitoring Programme for Water Supply, Sanitation and Hygiene</w:t>
      </w:r>
      <w:r>
        <w:t xml:space="preserve">, </w:t>
      </w:r>
      <w:r w:rsidRPr="00332A52">
        <w:t>Estimates on water, sanitation and hygiene services in schools in</w:t>
      </w:r>
      <w:r>
        <w:t xml:space="preserve"> Cambodia, updated August </w:t>
      </w:r>
      <w:proofErr w:type="gramStart"/>
      <w:r>
        <w:t>2018.</w:t>
      </w:r>
      <w:proofErr w:type="gramEnd"/>
    </w:p>
  </w:footnote>
  <w:footnote w:id="34">
    <w:p w14:paraId="761366EF" w14:textId="01C8BC66" w:rsidR="002C6855" w:rsidRDefault="002C6855" w:rsidP="00D975D5">
      <w:pPr>
        <w:pStyle w:val="FootnoteText"/>
        <w:jc w:val="both"/>
      </w:pPr>
      <w:r>
        <w:rPr>
          <w:rStyle w:val="FootnoteReference"/>
        </w:rPr>
        <w:footnoteRef/>
      </w:r>
      <w:r>
        <w:t xml:space="preserve"> Butmao Sourn, “General Condition of Education for Stateless Ethnic Vietnamese Children in Cambodia” May 2019.</w:t>
      </w:r>
    </w:p>
  </w:footnote>
  <w:footnote w:id="35">
    <w:p w14:paraId="10832D60" w14:textId="5A0815EF" w:rsidR="002C6855" w:rsidRDefault="002C6855" w:rsidP="00D975D5">
      <w:pPr>
        <w:pStyle w:val="FootnoteText"/>
        <w:jc w:val="both"/>
      </w:pPr>
      <w:r>
        <w:rPr>
          <w:rStyle w:val="FootnoteReference"/>
        </w:rPr>
        <w:footnoteRef/>
      </w:r>
      <w:r>
        <w:t xml:space="preserve"> Labor Code Article 1 excludes “domestics or household servants” who are defined to include gardeners, cleaners, drivers, cooks and other household work for a private household rather than a business.</w:t>
      </w:r>
    </w:p>
  </w:footnote>
  <w:footnote w:id="36">
    <w:p w14:paraId="7823D1A7" w14:textId="42CDA2D4" w:rsidR="002C6855" w:rsidRDefault="002C6855" w:rsidP="00D975D5">
      <w:pPr>
        <w:pStyle w:val="FootnoteText"/>
        <w:jc w:val="both"/>
      </w:pPr>
      <w:r>
        <w:rPr>
          <w:rStyle w:val="FootnoteReference"/>
        </w:rPr>
        <w:footnoteRef/>
      </w:r>
      <w:r>
        <w:t xml:space="preserve"> MoLVT </w:t>
      </w:r>
      <w:r w:rsidRPr="00397A19">
        <w:t>Instruction (No 050) on Determination of Employment Contract Types</w:t>
      </w:r>
      <w:r>
        <w:t xml:space="preserve">, issued </w:t>
      </w:r>
      <w:r w:rsidRPr="00397A19">
        <w:t>17 May 2019</w:t>
      </w:r>
      <w:r>
        <w:t>. This rule also allows fixed term contracts to be used indefinitely so long as there is a one-month gap between contracts once the maximum is reached.</w:t>
      </w:r>
    </w:p>
  </w:footnote>
  <w:footnote w:id="37">
    <w:p w14:paraId="6FC7A0BB" w14:textId="1F89FABF" w:rsidR="002C6855" w:rsidRDefault="002C6855" w:rsidP="00D975D5">
      <w:pPr>
        <w:pStyle w:val="FootnoteText"/>
        <w:jc w:val="both"/>
      </w:pPr>
      <w:r w:rsidRPr="003D42E0">
        <w:rPr>
          <w:rStyle w:val="FootnoteReference"/>
        </w:rPr>
        <w:footnoteRef/>
      </w:r>
      <w:r w:rsidRPr="003D42E0">
        <w:t xml:space="preserve"> Appendix</w:t>
      </w:r>
      <w:r w:rsidR="00E91577">
        <w:t>,</w:t>
      </w:r>
      <w:r>
        <w:t xml:space="preserve"> provides more detail about this research and 10 case studies.</w:t>
      </w:r>
    </w:p>
  </w:footnote>
  <w:footnote w:id="38">
    <w:p w14:paraId="213022CB" w14:textId="5DF2115A" w:rsidR="002C6855" w:rsidRDefault="002C6855" w:rsidP="00D975D5">
      <w:pPr>
        <w:pStyle w:val="FootnoteText"/>
        <w:jc w:val="both"/>
      </w:pPr>
      <w:r>
        <w:rPr>
          <w:rStyle w:val="FootnoteReference"/>
        </w:rPr>
        <w:footnoteRef/>
      </w:r>
      <w:r>
        <w:t xml:space="preserve"> Women Union Network “In Our Own Words: Women Workers Address Gender-Based Violence in Garment Factories in Cambodia” May 2019. The interviews were conducted in 2018.</w:t>
      </w:r>
    </w:p>
  </w:footnote>
  <w:footnote w:id="39">
    <w:p w14:paraId="46013D32" w14:textId="7EBF6E06" w:rsidR="002C6855" w:rsidRDefault="002C6855" w:rsidP="00D975D5">
      <w:pPr>
        <w:pStyle w:val="FootnoteText"/>
        <w:jc w:val="both"/>
      </w:pPr>
      <w:r>
        <w:rPr>
          <w:rStyle w:val="FootnoteReference"/>
        </w:rPr>
        <w:footnoteRef/>
      </w:r>
      <w:r>
        <w:t xml:space="preserve"> NSSF Report on Annual Achievement 2016 and Action Plans of the Road Traffic Safety Team for Workers’ Prevention (RTSTWP), pp.3-4. </w:t>
      </w:r>
      <w:r w:rsidRPr="0086402D">
        <w:t>http://www.nssf.gov.kh/default/wp-content/uploads/2018/01/Binder3.pdf</w:t>
      </w:r>
    </w:p>
  </w:footnote>
  <w:footnote w:id="40">
    <w:p w14:paraId="02720F2E" w14:textId="5A8A8B0C" w:rsidR="002C6855" w:rsidRDefault="002C6855" w:rsidP="00D975D5">
      <w:pPr>
        <w:pStyle w:val="FootnoteText"/>
        <w:jc w:val="both"/>
      </w:pPr>
      <w:r>
        <w:rPr>
          <w:rStyle w:val="FootnoteReference"/>
        </w:rPr>
        <w:footnoteRef/>
      </w:r>
      <w:r>
        <w:t xml:space="preserve"> </w:t>
      </w:r>
      <w:r w:rsidRPr="00DC27C6">
        <w:t xml:space="preserve"> Better Factories Cambodia</w:t>
      </w:r>
      <w:r>
        <w:t>,</w:t>
      </w:r>
      <w:r w:rsidRPr="00DC27C6">
        <w:t xml:space="preserve"> </w:t>
      </w:r>
      <w:r>
        <w:t>“</w:t>
      </w:r>
      <w:r w:rsidRPr="00DC27C6">
        <w:t>Towards gender equality -Lessons from factory compliance assessments</w:t>
      </w:r>
      <w:r>
        <w:t xml:space="preserve">” </w:t>
      </w:r>
      <w:r w:rsidRPr="00DC27C6">
        <w:t xml:space="preserve">(2017) </w:t>
      </w:r>
    </w:p>
  </w:footnote>
  <w:footnote w:id="41">
    <w:p w14:paraId="35E0953E" w14:textId="77777777" w:rsidR="002C6855" w:rsidRDefault="002C6855" w:rsidP="00D975D5">
      <w:pPr>
        <w:pStyle w:val="FootnoteText"/>
        <w:jc w:val="both"/>
      </w:pPr>
      <w:r>
        <w:rPr>
          <w:rStyle w:val="FootnoteReference"/>
        </w:rPr>
        <w:footnoteRef/>
      </w:r>
      <w:r>
        <w:t xml:space="preserve"> Louise Goldman, “The Perils of the Daily Commute for Cambodia’s Female Factory Workers: Is Phnom Penh's public transport system providing a safer option?” </w:t>
      </w:r>
      <w:r w:rsidRPr="00DB36DA">
        <w:t>19 March 2019</w:t>
      </w:r>
      <w:r>
        <w:t>.</w:t>
      </w:r>
    </w:p>
  </w:footnote>
  <w:footnote w:id="42">
    <w:p w14:paraId="6A181C71" w14:textId="5ADEEA4D" w:rsidR="002C6855" w:rsidRDefault="002C6855" w:rsidP="00D975D5">
      <w:pPr>
        <w:pStyle w:val="FootnoteText"/>
        <w:jc w:val="both"/>
      </w:pPr>
      <w:r>
        <w:rPr>
          <w:rStyle w:val="FootnoteReference"/>
        </w:rPr>
        <w:footnoteRef/>
      </w:r>
      <w:r>
        <w:t xml:space="preserve"> “</w:t>
      </w:r>
      <w:proofErr w:type="spellStart"/>
      <w:r w:rsidRPr="007A3F0E">
        <w:t>Oddar</w:t>
      </w:r>
      <w:proofErr w:type="spellEnd"/>
      <w:r w:rsidRPr="007A3F0E">
        <w:t xml:space="preserve"> Meanchey police arrest ‘doctor’ after patient dies</w:t>
      </w:r>
      <w:r>
        <w:t xml:space="preserve">,” Khmer Times, 13 August 2019. </w:t>
      </w:r>
      <w:r w:rsidRPr="007A3F0E">
        <w:t>https://www.khmertimeskh.com/50632903/oddar-meanchey-police-arrest-doctor-after-patient-dies/</w:t>
      </w:r>
    </w:p>
  </w:footnote>
  <w:footnote w:id="43">
    <w:p w14:paraId="09296190" w14:textId="06C23EE8" w:rsidR="002C6855" w:rsidRDefault="002C6855" w:rsidP="00D975D5">
      <w:pPr>
        <w:pStyle w:val="FootnoteText"/>
        <w:jc w:val="both"/>
      </w:pPr>
      <w:r>
        <w:rPr>
          <w:rStyle w:val="FootnoteReference"/>
        </w:rPr>
        <w:footnoteRef/>
      </w:r>
      <w:r>
        <w:t xml:space="preserve"> Information reported by health services CSOs monitoring media coverage of the health sector.</w:t>
      </w:r>
    </w:p>
  </w:footnote>
  <w:footnote w:id="44">
    <w:p w14:paraId="3C5089E3" w14:textId="081475C2" w:rsidR="002C6855" w:rsidRDefault="002C6855" w:rsidP="00D975D5">
      <w:pPr>
        <w:pStyle w:val="FootnoteText"/>
        <w:jc w:val="both"/>
      </w:pPr>
      <w:r>
        <w:rPr>
          <w:rStyle w:val="FootnoteReference"/>
        </w:rPr>
        <w:footnoteRef/>
      </w:r>
      <w:r>
        <w:t xml:space="preserve"> RHAC’s “Baseline Survey on Y</w:t>
      </w:r>
      <w:r w:rsidRPr="00D20D94">
        <w:t xml:space="preserve">outh-led and </w:t>
      </w:r>
      <w:r>
        <w:t>W</w:t>
      </w:r>
      <w:r w:rsidRPr="00D20D94">
        <w:t xml:space="preserve">omen </w:t>
      </w:r>
      <w:r>
        <w:t>C</w:t>
      </w:r>
      <w:r w:rsidRPr="00D20D94">
        <w:t>hampions on SRHR</w:t>
      </w:r>
      <w:r>
        <w:t xml:space="preserve">” included interviews of 250 </w:t>
      </w:r>
      <w:r w:rsidRPr="00D20D94">
        <w:t xml:space="preserve">youth activists and </w:t>
      </w:r>
      <w:r>
        <w:t>Commune Council for Women and Children</w:t>
      </w:r>
      <w:r w:rsidRPr="00D20D94">
        <w:t xml:space="preserve"> members</w:t>
      </w:r>
      <w:r>
        <w:t xml:space="preserve"> will be finalized and published in late 2019 or early 2020.</w:t>
      </w:r>
    </w:p>
  </w:footnote>
  <w:footnote w:id="45">
    <w:p w14:paraId="41AA9898" w14:textId="0BCA0FDD" w:rsidR="002C6855" w:rsidRDefault="002C6855" w:rsidP="00D975D5">
      <w:pPr>
        <w:pStyle w:val="FootnoteText"/>
        <w:jc w:val="both"/>
      </w:pPr>
      <w:r>
        <w:rPr>
          <w:rStyle w:val="FootnoteReference"/>
        </w:rPr>
        <w:footnoteRef/>
      </w:r>
      <w:r>
        <w:t xml:space="preserve"> </w:t>
      </w:r>
      <w:r w:rsidRPr="004254FE">
        <w:t>Vicente</w:t>
      </w:r>
      <w:r>
        <w:t xml:space="preserve"> </w:t>
      </w:r>
      <w:r w:rsidRPr="004254FE">
        <w:t xml:space="preserve">S. Salas, MD, MPH </w:t>
      </w:r>
      <w:r>
        <w:t>and</w:t>
      </w:r>
      <w:r w:rsidRPr="004254FE">
        <w:t xml:space="preserve"> Srun Sorn</w:t>
      </w:r>
      <w:r>
        <w:t>,</w:t>
      </w:r>
      <w:r w:rsidRPr="004254FE">
        <w:t xml:space="preserve"> </w:t>
      </w:r>
      <w:r>
        <w:t>“</w:t>
      </w:r>
      <w:r w:rsidRPr="00521B17">
        <w:t>An Exploration of Social Exclusion of Lesbians, Gay and Transgender Persons in Families and Communities in Some Areas of Cambodia and Their Ways of Coping</w:t>
      </w:r>
      <w:r>
        <w:t>”</w:t>
      </w:r>
      <w:r w:rsidRPr="00521B17">
        <w:t xml:space="preserve"> </w:t>
      </w:r>
      <w:r w:rsidRPr="004254FE">
        <w:t>(2013)</w:t>
      </w:r>
      <w:r>
        <w:t xml:space="preserve"> </w:t>
      </w:r>
      <w:r w:rsidRPr="004254FE">
        <w:t>Phnom Penh: SPCU‐CARDPress</w:t>
      </w:r>
      <w:r>
        <w:t xml:space="preserve">. p. 2. </w:t>
      </w:r>
    </w:p>
  </w:footnote>
  <w:footnote w:id="46">
    <w:p w14:paraId="7E5FDC81" w14:textId="03E47DA6" w:rsidR="002C6855" w:rsidRDefault="002C6855" w:rsidP="00D975D5">
      <w:pPr>
        <w:pStyle w:val="FootnoteText"/>
        <w:jc w:val="both"/>
      </w:pPr>
      <w:r>
        <w:rPr>
          <w:rStyle w:val="FootnoteReference"/>
        </w:rPr>
        <w:footnoteRef/>
      </w:r>
      <w:r>
        <w:t xml:space="preserve"> Mech Dara, “</w:t>
      </w:r>
      <w:r w:rsidRPr="003335EE">
        <w:t>Police handle 8,000 drug offences</w:t>
      </w:r>
      <w:r>
        <w:t xml:space="preserve">” Phnom Penh Post, 31 December 2019. </w:t>
      </w:r>
      <w:r w:rsidRPr="003335EE">
        <w:t>https://www.phnompenhpost.com/national/police-handle-8000-drug-offences</w:t>
      </w:r>
      <w:r>
        <w:t xml:space="preserve">. </w:t>
      </w:r>
      <w:r w:rsidRPr="003335EE">
        <w:t>http://www.xinhuanet.com/english/2019-01/01/c_137712275.htm</w:t>
      </w:r>
    </w:p>
  </w:footnote>
  <w:footnote w:id="47">
    <w:p w14:paraId="305495DF" w14:textId="1E5FA6C2" w:rsidR="002C6855" w:rsidRDefault="002C6855" w:rsidP="00D975D5">
      <w:pPr>
        <w:pStyle w:val="FootnoteText"/>
        <w:jc w:val="both"/>
      </w:pPr>
      <w:r>
        <w:rPr>
          <w:rStyle w:val="FootnoteReference"/>
        </w:rPr>
        <w:footnoteRef/>
      </w:r>
      <w:r>
        <w:t xml:space="preserve"> </w:t>
      </w:r>
      <w:r w:rsidRPr="003335EE">
        <w:t>http://www.xinhuanet.com/english/2019-06/01/c_138108537.htm</w:t>
      </w:r>
    </w:p>
  </w:footnote>
  <w:footnote w:id="48">
    <w:p w14:paraId="2EA70CAE" w14:textId="77F2BC03" w:rsidR="002C6855" w:rsidRDefault="002C6855" w:rsidP="00D975D5">
      <w:pPr>
        <w:pStyle w:val="FootnoteText"/>
        <w:jc w:val="both"/>
      </w:pPr>
      <w:r>
        <w:rPr>
          <w:rStyle w:val="FootnoteReference"/>
        </w:rPr>
        <w:footnoteRef/>
      </w:r>
      <w:r>
        <w:t xml:space="preserve"> Mech Dara “</w:t>
      </w:r>
      <w:r w:rsidRPr="00FA5BA0">
        <w:t>Drug treatment ‘more than doubled’ in 2018</w:t>
      </w:r>
      <w:r>
        <w:t xml:space="preserve">” Phnom Penh Post, 27 November 2018. </w:t>
      </w:r>
      <w:r w:rsidRPr="00FA5BA0">
        <w:t>https://www.phnompenhpost.com/national/drug-treatment-more-doubled-2018</w:t>
      </w:r>
      <w:r>
        <w:t xml:space="preserve"> </w:t>
      </w:r>
    </w:p>
  </w:footnote>
  <w:footnote w:id="49">
    <w:p w14:paraId="520E705A" w14:textId="72182B17" w:rsidR="002C6855" w:rsidRDefault="002C6855" w:rsidP="00D975D5">
      <w:pPr>
        <w:pStyle w:val="FootnoteText"/>
        <w:jc w:val="both"/>
      </w:pPr>
      <w:r>
        <w:rPr>
          <w:rStyle w:val="FootnoteReference"/>
        </w:rPr>
        <w:footnoteRef/>
      </w:r>
      <w:r>
        <w:t xml:space="preserve"> The </w:t>
      </w:r>
      <w:r w:rsidRPr="00E741F0">
        <w:t>27 August 2019 Report of the Special Rapporteur on the situation of human rights in Cambodia</w:t>
      </w:r>
      <w:r>
        <w:t xml:space="preserve">, </w:t>
      </w:r>
      <w:r w:rsidRPr="00E741F0">
        <w:t>Paragraph 4</w:t>
      </w:r>
      <w:r>
        <w:t>7.</w:t>
      </w:r>
    </w:p>
  </w:footnote>
  <w:footnote w:id="50">
    <w:p w14:paraId="6A65EA85" w14:textId="77777777" w:rsidR="002C6855" w:rsidRDefault="002C6855" w:rsidP="00D975D5">
      <w:pPr>
        <w:pStyle w:val="FootnoteText"/>
        <w:jc w:val="both"/>
      </w:pPr>
      <w:r>
        <w:rPr>
          <w:rStyle w:val="FootnoteReference"/>
        </w:rPr>
        <w:footnoteRef/>
      </w:r>
      <w:r>
        <w:t xml:space="preserve"> </w:t>
      </w:r>
      <w:proofErr w:type="spellStart"/>
      <w:r>
        <w:t>Sreang</w:t>
      </w:r>
      <w:proofErr w:type="spellEnd"/>
      <w:r>
        <w:t xml:space="preserve"> </w:t>
      </w:r>
      <w:proofErr w:type="spellStart"/>
      <w:r>
        <w:t>Chheat</w:t>
      </w:r>
      <w:proofErr w:type="spellEnd"/>
      <w:r>
        <w:t>, “Promoting Harm Reduction and Community-based Treatment to ensure a Health-based Response to Drug Use in Cambodia” International Drug Policy Consortium Briefing Paper, April 2018.</w:t>
      </w:r>
    </w:p>
  </w:footnote>
  <w:footnote w:id="51">
    <w:p w14:paraId="7A8569E2" w14:textId="1B0526DB" w:rsidR="002C6855" w:rsidRDefault="002C6855" w:rsidP="00D975D5">
      <w:pPr>
        <w:pStyle w:val="FootnoteText"/>
        <w:jc w:val="both"/>
      </w:pPr>
      <w:r>
        <w:rPr>
          <w:rStyle w:val="FootnoteReference"/>
        </w:rPr>
        <w:footnoteRef/>
      </w:r>
      <w:r>
        <w:t xml:space="preserve"> </w:t>
      </w:r>
      <w:proofErr w:type="spellStart"/>
      <w:r w:rsidRPr="00CE0236">
        <w:t>Sahmakum</w:t>
      </w:r>
      <w:proofErr w:type="spellEnd"/>
      <w:r w:rsidRPr="00CE0236">
        <w:t xml:space="preserve"> </w:t>
      </w:r>
      <w:proofErr w:type="spellStart"/>
      <w:r w:rsidRPr="00CE0236">
        <w:t>Teang</w:t>
      </w:r>
      <w:proofErr w:type="spellEnd"/>
      <w:r w:rsidRPr="00CE0236">
        <w:t xml:space="preserve"> </w:t>
      </w:r>
      <w:proofErr w:type="spellStart"/>
      <w:r w:rsidRPr="00CE0236">
        <w:t>Tnaut</w:t>
      </w:r>
      <w:proofErr w:type="spellEnd"/>
      <w:r w:rsidRPr="00CE0236">
        <w:t xml:space="preserve"> (STT) </w:t>
      </w:r>
      <w:r>
        <w:t xml:space="preserve">and </w:t>
      </w:r>
      <w:r w:rsidRPr="00FA5BA0">
        <w:t>LICADHO</w:t>
      </w:r>
      <w:r>
        <w:t>,</w:t>
      </w:r>
      <w:r w:rsidRPr="00FA5BA0">
        <w:t xml:space="preserve"> “Collateral Damage: Land Loss and Abuses in Cambodia’s Microfinance Sector</w:t>
      </w:r>
      <w:r>
        <w:t>,</w:t>
      </w:r>
      <w:r w:rsidRPr="00FA5BA0">
        <w:t>”</w:t>
      </w:r>
      <w:r>
        <w:t xml:space="preserve"> </w:t>
      </w:r>
      <w:r w:rsidRPr="00FA5BA0">
        <w:t>August 2019</w:t>
      </w:r>
    </w:p>
  </w:footnote>
  <w:footnote w:id="52">
    <w:p w14:paraId="6ACA3F02" w14:textId="3033A667" w:rsidR="002C6855" w:rsidRDefault="002C6855" w:rsidP="00D975D5">
      <w:pPr>
        <w:pStyle w:val="FootnoteText"/>
        <w:jc w:val="both"/>
      </w:pPr>
      <w:r>
        <w:rPr>
          <w:rStyle w:val="FootnoteReference"/>
        </w:rPr>
        <w:footnoteRef/>
      </w:r>
      <w:r>
        <w:t xml:space="preserve"> 2017 CEDAW Monitoring Report by NGO-CEDAW.</w:t>
      </w:r>
    </w:p>
  </w:footnote>
  <w:footnote w:id="53">
    <w:p w14:paraId="05F6D2F4" w14:textId="34EE142C" w:rsidR="002C6855" w:rsidRDefault="002C6855" w:rsidP="00D975D5">
      <w:pPr>
        <w:pStyle w:val="FootnoteText"/>
        <w:jc w:val="both"/>
      </w:pPr>
      <w:r>
        <w:rPr>
          <w:rStyle w:val="FootnoteReference"/>
        </w:rPr>
        <w:footnoteRef/>
      </w:r>
      <w:r>
        <w:t xml:space="preserve"> Role and Contribution of Indigenous Women in Water Management: Case Study of Vietnam and Cambodia, Asia Indigenous Peoples Pact (AIPP) 2018.</w:t>
      </w:r>
      <w:r w:rsidR="00580C0B">
        <w:t xml:space="preserve"> </w:t>
      </w:r>
    </w:p>
  </w:footnote>
  <w:footnote w:id="54">
    <w:p w14:paraId="5D1059CF" w14:textId="645B9FD4" w:rsidR="002C6855" w:rsidRDefault="002C6855" w:rsidP="00D975D5">
      <w:pPr>
        <w:pStyle w:val="FootnoteText"/>
        <w:jc w:val="both"/>
      </w:pPr>
      <w:r>
        <w:rPr>
          <w:rStyle w:val="FootnoteReference"/>
        </w:rPr>
        <w:footnoteRef/>
      </w:r>
      <w:r>
        <w:t xml:space="preserve"> Many of these demonstrations were covered by media and observed in person by CSOs working near the Bureau of Land Management in Phnom Penh (including NGO-CEDAW).</w:t>
      </w:r>
    </w:p>
  </w:footnote>
  <w:footnote w:id="55">
    <w:p w14:paraId="2C4DF7B7" w14:textId="25D6B8AB" w:rsidR="002C6855" w:rsidRDefault="002C6855" w:rsidP="00D975D5">
      <w:pPr>
        <w:pStyle w:val="FootnoteText"/>
        <w:jc w:val="both"/>
      </w:pPr>
      <w:r>
        <w:rPr>
          <w:rStyle w:val="FootnoteReference"/>
        </w:rPr>
        <w:footnoteRef/>
      </w:r>
      <w:r>
        <w:t xml:space="preserve"> 2017 CEDAW Monitoring Report by NGO-CEDAW. </w:t>
      </w:r>
      <w:r w:rsidRPr="00CE0236">
        <w:t xml:space="preserve">Sahmakum Teang Tnaut (STT) </w:t>
      </w:r>
      <w:r>
        <w:t xml:space="preserve">and LICADHO, “Collateral Damage: Land Loss and Abuses in Cambodia’s Microfinance Sector,” August 2019 </w:t>
      </w:r>
    </w:p>
  </w:footnote>
  <w:footnote w:id="56">
    <w:p w14:paraId="14C402F0" w14:textId="070240C5" w:rsidR="002C6855" w:rsidRDefault="002C6855" w:rsidP="00D975D5">
      <w:pPr>
        <w:pStyle w:val="FootnoteText"/>
        <w:jc w:val="both"/>
      </w:pPr>
      <w:r>
        <w:rPr>
          <w:rStyle w:val="FootnoteReference"/>
        </w:rPr>
        <w:footnoteRef/>
      </w:r>
      <w:r>
        <w:t xml:space="preserve"> Civil Code Article 948.</w:t>
      </w:r>
    </w:p>
  </w:footnote>
  <w:footnote w:id="57">
    <w:p w14:paraId="648418A6" w14:textId="0E61C7C6" w:rsidR="002C6855" w:rsidRDefault="002C6855" w:rsidP="00D975D5">
      <w:pPr>
        <w:pStyle w:val="FootnoteText"/>
      </w:pPr>
      <w:r>
        <w:rPr>
          <w:rStyle w:val="FootnoteReference"/>
        </w:rPr>
        <w:footnoteRef/>
      </w:r>
      <w:r>
        <w:t xml:space="preserve"> </w:t>
      </w:r>
      <w:r w:rsidRPr="009066DD">
        <w:t>CCPR/C/KHM/3</w:t>
      </w:r>
      <w:r>
        <w:t xml:space="preserve">, available at </w:t>
      </w:r>
      <w:r w:rsidRPr="009066DD">
        <w:t>https://tbinternet.ohchr.org/_layouts/15/TreatyBodyExternal/Countries.aspx?CountryCode=KHM&amp;Lang=EN</w:t>
      </w:r>
    </w:p>
  </w:footnote>
  <w:footnote w:id="58">
    <w:p w14:paraId="060C82D7" w14:textId="50A9D138" w:rsidR="002C6855" w:rsidRDefault="002C6855" w:rsidP="00D975D5">
      <w:pPr>
        <w:pStyle w:val="FootnoteText"/>
        <w:jc w:val="both"/>
      </w:pPr>
      <w:r>
        <w:rPr>
          <w:rStyle w:val="FootnoteReference"/>
        </w:rPr>
        <w:footnoteRef/>
      </w:r>
      <w:r>
        <w:t xml:space="preserve"> See </w:t>
      </w:r>
      <w:r w:rsidRPr="00783409">
        <w:t>Report of the Special Rapporteur on the situation of human rights in Cambodia</w:t>
      </w:r>
      <w:r>
        <w:t xml:space="preserve"> Addendum #2: </w:t>
      </w:r>
      <w:r w:rsidRPr="00783409">
        <w:t>Assessing protection of those at risk of being left behind</w:t>
      </w:r>
      <w:r>
        <w:t>, 2 September 2019, Paragraph 57.</w:t>
      </w:r>
    </w:p>
  </w:footnote>
  <w:footnote w:id="59">
    <w:p w14:paraId="140E71FA" w14:textId="54F84722" w:rsidR="002C6855" w:rsidRDefault="002C6855" w:rsidP="00D975D5">
      <w:pPr>
        <w:pStyle w:val="FootnoteText"/>
        <w:jc w:val="both"/>
      </w:pPr>
      <w:r>
        <w:rPr>
          <w:rStyle w:val="FootnoteReference"/>
        </w:rPr>
        <w:footnoteRef/>
      </w:r>
      <w:r>
        <w:t xml:space="preserve"> Dany Vinh, Vuthisokunna Menh and Rebecca Norris of TNS Cambodia for Rainbow Community Kampuchea (RoCK), “Research Report on </w:t>
      </w:r>
      <w:r w:rsidRPr="003A1333">
        <w:t>Opinions, Attitudes and Behavior toward the LGBT Population in Cambodia</w:t>
      </w:r>
      <w:r>
        <w:t>” December 2015, p. 77.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E57B1"/>
    <w:multiLevelType w:val="hybridMultilevel"/>
    <w:tmpl w:val="EC5659AC"/>
    <w:lvl w:ilvl="0" w:tplc="AC0E2E80">
      <w:start w:val="1"/>
      <w:numFmt w:val="bullet"/>
      <w:lvlText w:val="-"/>
      <w:lvlJc w:val="left"/>
      <w:pPr>
        <w:tabs>
          <w:tab w:val="num" w:pos="642"/>
        </w:tabs>
        <w:ind w:left="642" w:hanging="360"/>
      </w:pPr>
      <w:rPr>
        <w:rFonts w:ascii="Times New Roman" w:hAnsi="Times New Roman" w:hint="default"/>
      </w:rPr>
    </w:lvl>
    <w:lvl w:ilvl="1" w:tplc="5C0A4170" w:tentative="1">
      <w:start w:val="1"/>
      <w:numFmt w:val="bullet"/>
      <w:lvlText w:val="-"/>
      <w:lvlJc w:val="left"/>
      <w:pPr>
        <w:tabs>
          <w:tab w:val="num" w:pos="1362"/>
        </w:tabs>
        <w:ind w:left="1362" w:hanging="360"/>
      </w:pPr>
      <w:rPr>
        <w:rFonts w:ascii="Times New Roman" w:hAnsi="Times New Roman" w:hint="default"/>
      </w:rPr>
    </w:lvl>
    <w:lvl w:ilvl="2" w:tplc="F8D4774C" w:tentative="1">
      <w:start w:val="1"/>
      <w:numFmt w:val="bullet"/>
      <w:lvlText w:val="-"/>
      <w:lvlJc w:val="left"/>
      <w:pPr>
        <w:tabs>
          <w:tab w:val="num" w:pos="2082"/>
        </w:tabs>
        <w:ind w:left="2082" w:hanging="360"/>
      </w:pPr>
      <w:rPr>
        <w:rFonts w:ascii="Times New Roman" w:hAnsi="Times New Roman" w:hint="default"/>
      </w:rPr>
    </w:lvl>
    <w:lvl w:ilvl="3" w:tplc="F99A5638" w:tentative="1">
      <w:start w:val="1"/>
      <w:numFmt w:val="bullet"/>
      <w:lvlText w:val="-"/>
      <w:lvlJc w:val="left"/>
      <w:pPr>
        <w:tabs>
          <w:tab w:val="num" w:pos="2802"/>
        </w:tabs>
        <w:ind w:left="2802" w:hanging="360"/>
      </w:pPr>
      <w:rPr>
        <w:rFonts w:ascii="Times New Roman" w:hAnsi="Times New Roman" w:hint="default"/>
      </w:rPr>
    </w:lvl>
    <w:lvl w:ilvl="4" w:tplc="0394B512" w:tentative="1">
      <w:start w:val="1"/>
      <w:numFmt w:val="bullet"/>
      <w:lvlText w:val="-"/>
      <w:lvlJc w:val="left"/>
      <w:pPr>
        <w:tabs>
          <w:tab w:val="num" w:pos="3522"/>
        </w:tabs>
        <w:ind w:left="3522" w:hanging="360"/>
      </w:pPr>
      <w:rPr>
        <w:rFonts w:ascii="Times New Roman" w:hAnsi="Times New Roman" w:hint="default"/>
      </w:rPr>
    </w:lvl>
    <w:lvl w:ilvl="5" w:tplc="FCBEBDCA" w:tentative="1">
      <w:start w:val="1"/>
      <w:numFmt w:val="bullet"/>
      <w:lvlText w:val="-"/>
      <w:lvlJc w:val="left"/>
      <w:pPr>
        <w:tabs>
          <w:tab w:val="num" w:pos="4242"/>
        </w:tabs>
        <w:ind w:left="4242" w:hanging="360"/>
      </w:pPr>
      <w:rPr>
        <w:rFonts w:ascii="Times New Roman" w:hAnsi="Times New Roman" w:hint="default"/>
      </w:rPr>
    </w:lvl>
    <w:lvl w:ilvl="6" w:tplc="78F4CD4E" w:tentative="1">
      <w:start w:val="1"/>
      <w:numFmt w:val="bullet"/>
      <w:lvlText w:val="-"/>
      <w:lvlJc w:val="left"/>
      <w:pPr>
        <w:tabs>
          <w:tab w:val="num" w:pos="4962"/>
        </w:tabs>
        <w:ind w:left="4962" w:hanging="360"/>
      </w:pPr>
      <w:rPr>
        <w:rFonts w:ascii="Times New Roman" w:hAnsi="Times New Roman" w:hint="default"/>
      </w:rPr>
    </w:lvl>
    <w:lvl w:ilvl="7" w:tplc="B8C0428C" w:tentative="1">
      <w:start w:val="1"/>
      <w:numFmt w:val="bullet"/>
      <w:lvlText w:val="-"/>
      <w:lvlJc w:val="left"/>
      <w:pPr>
        <w:tabs>
          <w:tab w:val="num" w:pos="5682"/>
        </w:tabs>
        <w:ind w:left="5682" w:hanging="360"/>
      </w:pPr>
      <w:rPr>
        <w:rFonts w:ascii="Times New Roman" w:hAnsi="Times New Roman" w:hint="default"/>
      </w:rPr>
    </w:lvl>
    <w:lvl w:ilvl="8" w:tplc="67E4F17A" w:tentative="1">
      <w:start w:val="1"/>
      <w:numFmt w:val="bullet"/>
      <w:lvlText w:val="-"/>
      <w:lvlJc w:val="left"/>
      <w:pPr>
        <w:tabs>
          <w:tab w:val="num" w:pos="6402"/>
        </w:tabs>
        <w:ind w:left="6402" w:hanging="360"/>
      </w:pPr>
      <w:rPr>
        <w:rFonts w:ascii="Times New Roman" w:hAnsi="Times New Roman" w:hint="default"/>
      </w:rPr>
    </w:lvl>
  </w:abstractNum>
  <w:abstractNum w:abstractNumId="1" w15:restartNumberingAfterBreak="0">
    <w:nsid w:val="1B467B2B"/>
    <w:multiLevelType w:val="hybridMultilevel"/>
    <w:tmpl w:val="27762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97984"/>
    <w:multiLevelType w:val="hybridMultilevel"/>
    <w:tmpl w:val="63B6B626"/>
    <w:lvl w:ilvl="0" w:tplc="70C826B6">
      <w:start w:val="2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E970DA"/>
    <w:multiLevelType w:val="multilevel"/>
    <w:tmpl w:val="66C289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0E7A0A"/>
    <w:multiLevelType w:val="hybridMultilevel"/>
    <w:tmpl w:val="6DDABFD2"/>
    <w:lvl w:ilvl="0" w:tplc="B7EAFB2C">
      <w:start w:val="2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19116A"/>
    <w:multiLevelType w:val="multilevel"/>
    <w:tmpl w:val="774047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73B1FE3"/>
    <w:multiLevelType w:val="multilevel"/>
    <w:tmpl w:val="F0C68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E9F0D50"/>
    <w:multiLevelType w:val="multilevel"/>
    <w:tmpl w:val="E3864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6265E0A"/>
    <w:multiLevelType w:val="hybridMultilevel"/>
    <w:tmpl w:val="DD0252F6"/>
    <w:lvl w:ilvl="0" w:tplc="05968E9C">
      <w:start w:val="1"/>
      <w:numFmt w:val="bullet"/>
      <w:lvlText w:val="-"/>
      <w:lvlJc w:val="left"/>
      <w:pPr>
        <w:tabs>
          <w:tab w:val="num" w:pos="720"/>
        </w:tabs>
        <w:ind w:left="720" w:hanging="360"/>
      </w:pPr>
      <w:rPr>
        <w:rFonts w:ascii="Times New Roman" w:hAnsi="Times New Roman" w:hint="default"/>
      </w:rPr>
    </w:lvl>
    <w:lvl w:ilvl="1" w:tplc="6CC2C132" w:tentative="1">
      <w:start w:val="1"/>
      <w:numFmt w:val="bullet"/>
      <w:lvlText w:val="-"/>
      <w:lvlJc w:val="left"/>
      <w:pPr>
        <w:tabs>
          <w:tab w:val="num" w:pos="1440"/>
        </w:tabs>
        <w:ind w:left="1440" w:hanging="360"/>
      </w:pPr>
      <w:rPr>
        <w:rFonts w:ascii="Times New Roman" w:hAnsi="Times New Roman" w:hint="default"/>
      </w:rPr>
    </w:lvl>
    <w:lvl w:ilvl="2" w:tplc="52B6A286" w:tentative="1">
      <w:start w:val="1"/>
      <w:numFmt w:val="bullet"/>
      <w:lvlText w:val="-"/>
      <w:lvlJc w:val="left"/>
      <w:pPr>
        <w:tabs>
          <w:tab w:val="num" w:pos="2160"/>
        </w:tabs>
        <w:ind w:left="2160" w:hanging="360"/>
      </w:pPr>
      <w:rPr>
        <w:rFonts w:ascii="Times New Roman" w:hAnsi="Times New Roman" w:hint="default"/>
      </w:rPr>
    </w:lvl>
    <w:lvl w:ilvl="3" w:tplc="5642ADA0" w:tentative="1">
      <w:start w:val="1"/>
      <w:numFmt w:val="bullet"/>
      <w:lvlText w:val="-"/>
      <w:lvlJc w:val="left"/>
      <w:pPr>
        <w:tabs>
          <w:tab w:val="num" w:pos="2880"/>
        </w:tabs>
        <w:ind w:left="2880" w:hanging="360"/>
      </w:pPr>
      <w:rPr>
        <w:rFonts w:ascii="Times New Roman" w:hAnsi="Times New Roman" w:hint="default"/>
      </w:rPr>
    </w:lvl>
    <w:lvl w:ilvl="4" w:tplc="494AFA1A" w:tentative="1">
      <w:start w:val="1"/>
      <w:numFmt w:val="bullet"/>
      <w:lvlText w:val="-"/>
      <w:lvlJc w:val="left"/>
      <w:pPr>
        <w:tabs>
          <w:tab w:val="num" w:pos="3600"/>
        </w:tabs>
        <w:ind w:left="3600" w:hanging="360"/>
      </w:pPr>
      <w:rPr>
        <w:rFonts w:ascii="Times New Roman" w:hAnsi="Times New Roman" w:hint="default"/>
      </w:rPr>
    </w:lvl>
    <w:lvl w:ilvl="5" w:tplc="4798E342" w:tentative="1">
      <w:start w:val="1"/>
      <w:numFmt w:val="bullet"/>
      <w:lvlText w:val="-"/>
      <w:lvlJc w:val="left"/>
      <w:pPr>
        <w:tabs>
          <w:tab w:val="num" w:pos="4320"/>
        </w:tabs>
        <w:ind w:left="4320" w:hanging="360"/>
      </w:pPr>
      <w:rPr>
        <w:rFonts w:ascii="Times New Roman" w:hAnsi="Times New Roman" w:hint="default"/>
      </w:rPr>
    </w:lvl>
    <w:lvl w:ilvl="6" w:tplc="08BEA5A0" w:tentative="1">
      <w:start w:val="1"/>
      <w:numFmt w:val="bullet"/>
      <w:lvlText w:val="-"/>
      <w:lvlJc w:val="left"/>
      <w:pPr>
        <w:tabs>
          <w:tab w:val="num" w:pos="5040"/>
        </w:tabs>
        <w:ind w:left="5040" w:hanging="360"/>
      </w:pPr>
      <w:rPr>
        <w:rFonts w:ascii="Times New Roman" w:hAnsi="Times New Roman" w:hint="default"/>
      </w:rPr>
    </w:lvl>
    <w:lvl w:ilvl="7" w:tplc="882C7744" w:tentative="1">
      <w:start w:val="1"/>
      <w:numFmt w:val="bullet"/>
      <w:lvlText w:val="-"/>
      <w:lvlJc w:val="left"/>
      <w:pPr>
        <w:tabs>
          <w:tab w:val="num" w:pos="5760"/>
        </w:tabs>
        <w:ind w:left="5760" w:hanging="360"/>
      </w:pPr>
      <w:rPr>
        <w:rFonts w:ascii="Times New Roman" w:hAnsi="Times New Roman" w:hint="default"/>
      </w:rPr>
    </w:lvl>
    <w:lvl w:ilvl="8" w:tplc="07F0BEEA"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98B2236"/>
    <w:multiLevelType w:val="hybridMultilevel"/>
    <w:tmpl w:val="62828B1E"/>
    <w:lvl w:ilvl="0" w:tplc="779045F2">
      <w:start w:val="1"/>
      <w:numFmt w:val="bullet"/>
      <w:lvlText w:val="-"/>
      <w:lvlJc w:val="left"/>
      <w:pPr>
        <w:tabs>
          <w:tab w:val="num" w:pos="720"/>
        </w:tabs>
        <w:ind w:left="720" w:hanging="360"/>
      </w:pPr>
      <w:rPr>
        <w:rFonts w:ascii="Times New Roman" w:hAnsi="Times New Roman" w:hint="default"/>
      </w:rPr>
    </w:lvl>
    <w:lvl w:ilvl="1" w:tplc="CE6A6B4C" w:tentative="1">
      <w:start w:val="1"/>
      <w:numFmt w:val="bullet"/>
      <w:lvlText w:val="-"/>
      <w:lvlJc w:val="left"/>
      <w:pPr>
        <w:tabs>
          <w:tab w:val="num" w:pos="1440"/>
        </w:tabs>
        <w:ind w:left="1440" w:hanging="360"/>
      </w:pPr>
      <w:rPr>
        <w:rFonts w:ascii="Times New Roman" w:hAnsi="Times New Roman" w:hint="default"/>
      </w:rPr>
    </w:lvl>
    <w:lvl w:ilvl="2" w:tplc="A0B48F00" w:tentative="1">
      <w:start w:val="1"/>
      <w:numFmt w:val="bullet"/>
      <w:lvlText w:val="-"/>
      <w:lvlJc w:val="left"/>
      <w:pPr>
        <w:tabs>
          <w:tab w:val="num" w:pos="2160"/>
        </w:tabs>
        <w:ind w:left="2160" w:hanging="360"/>
      </w:pPr>
      <w:rPr>
        <w:rFonts w:ascii="Times New Roman" w:hAnsi="Times New Roman" w:hint="default"/>
      </w:rPr>
    </w:lvl>
    <w:lvl w:ilvl="3" w:tplc="9780A086" w:tentative="1">
      <w:start w:val="1"/>
      <w:numFmt w:val="bullet"/>
      <w:lvlText w:val="-"/>
      <w:lvlJc w:val="left"/>
      <w:pPr>
        <w:tabs>
          <w:tab w:val="num" w:pos="2880"/>
        </w:tabs>
        <w:ind w:left="2880" w:hanging="360"/>
      </w:pPr>
      <w:rPr>
        <w:rFonts w:ascii="Times New Roman" w:hAnsi="Times New Roman" w:hint="default"/>
      </w:rPr>
    </w:lvl>
    <w:lvl w:ilvl="4" w:tplc="A5AC4138" w:tentative="1">
      <w:start w:val="1"/>
      <w:numFmt w:val="bullet"/>
      <w:lvlText w:val="-"/>
      <w:lvlJc w:val="left"/>
      <w:pPr>
        <w:tabs>
          <w:tab w:val="num" w:pos="3600"/>
        </w:tabs>
        <w:ind w:left="3600" w:hanging="360"/>
      </w:pPr>
      <w:rPr>
        <w:rFonts w:ascii="Times New Roman" w:hAnsi="Times New Roman" w:hint="default"/>
      </w:rPr>
    </w:lvl>
    <w:lvl w:ilvl="5" w:tplc="4EC07CB6" w:tentative="1">
      <w:start w:val="1"/>
      <w:numFmt w:val="bullet"/>
      <w:lvlText w:val="-"/>
      <w:lvlJc w:val="left"/>
      <w:pPr>
        <w:tabs>
          <w:tab w:val="num" w:pos="4320"/>
        </w:tabs>
        <w:ind w:left="4320" w:hanging="360"/>
      </w:pPr>
      <w:rPr>
        <w:rFonts w:ascii="Times New Roman" w:hAnsi="Times New Roman" w:hint="default"/>
      </w:rPr>
    </w:lvl>
    <w:lvl w:ilvl="6" w:tplc="CBB20450" w:tentative="1">
      <w:start w:val="1"/>
      <w:numFmt w:val="bullet"/>
      <w:lvlText w:val="-"/>
      <w:lvlJc w:val="left"/>
      <w:pPr>
        <w:tabs>
          <w:tab w:val="num" w:pos="5040"/>
        </w:tabs>
        <w:ind w:left="5040" w:hanging="360"/>
      </w:pPr>
      <w:rPr>
        <w:rFonts w:ascii="Times New Roman" w:hAnsi="Times New Roman" w:hint="default"/>
      </w:rPr>
    </w:lvl>
    <w:lvl w:ilvl="7" w:tplc="D52478BC" w:tentative="1">
      <w:start w:val="1"/>
      <w:numFmt w:val="bullet"/>
      <w:lvlText w:val="-"/>
      <w:lvlJc w:val="left"/>
      <w:pPr>
        <w:tabs>
          <w:tab w:val="num" w:pos="5760"/>
        </w:tabs>
        <w:ind w:left="5760" w:hanging="360"/>
      </w:pPr>
      <w:rPr>
        <w:rFonts w:ascii="Times New Roman" w:hAnsi="Times New Roman" w:hint="default"/>
      </w:rPr>
    </w:lvl>
    <w:lvl w:ilvl="8" w:tplc="305EDE68"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FC202BE"/>
    <w:multiLevelType w:val="hybridMultilevel"/>
    <w:tmpl w:val="F702C6EC"/>
    <w:lvl w:ilvl="0" w:tplc="DCC8A92E">
      <w:start w:val="2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C708BD"/>
    <w:multiLevelType w:val="hybridMultilevel"/>
    <w:tmpl w:val="8AF2FC7E"/>
    <w:lvl w:ilvl="0" w:tplc="48CC4D0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2" w15:restartNumberingAfterBreak="0">
    <w:nsid w:val="58073ABA"/>
    <w:multiLevelType w:val="hybridMultilevel"/>
    <w:tmpl w:val="3FB8ED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D35856"/>
    <w:multiLevelType w:val="hybridMultilevel"/>
    <w:tmpl w:val="0B145510"/>
    <w:lvl w:ilvl="0" w:tplc="4CF00B18">
      <w:start w:val="2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1243FF7"/>
    <w:multiLevelType w:val="hybridMultilevel"/>
    <w:tmpl w:val="4B58CDCC"/>
    <w:lvl w:ilvl="0" w:tplc="FE083D2C">
      <w:start w:val="1"/>
      <w:numFmt w:val="bullet"/>
      <w:lvlText w:val="-"/>
      <w:lvlJc w:val="left"/>
      <w:pPr>
        <w:ind w:left="394" w:hanging="360"/>
      </w:pPr>
      <w:rPr>
        <w:rFonts w:ascii="Arial" w:eastAsia="Calibri" w:hAnsi="Arial" w:cs="Arial"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5" w15:restartNumberingAfterBreak="0">
    <w:nsid w:val="7F941F59"/>
    <w:multiLevelType w:val="hybridMultilevel"/>
    <w:tmpl w:val="7C08AACE"/>
    <w:lvl w:ilvl="0" w:tplc="7870E6D8">
      <w:start w:val="1"/>
      <w:numFmt w:val="decimal"/>
      <w:lvlText w:val="%1."/>
      <w:lvlJc w:val="left"/>
      <w:pPr>
        <w:ind w:left="1130" w:hanging="7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
  </w:num>
  <w:num w:numId="3">
    <w:abstractNumId w:val="9"/>
  </w:num>
  <w:num w:numId="4">
    <w:abstractNumId w:val="0"/>
  </w:num>
  <w:num w:numId="5">
    <w:abstractNumId w:val="8"/>
  </w:num>
  <w:num w:numId="6">
    <w:abstractNumId w:val="14"/>
  </w:num>
  <w:num w:numId="7">
    <w:abstractNumId w:val="11"/>
  </w:num>
  <w:num w:numId="8">
    <w:abstractNumId w:val="5"/>
  </w:num>
  <w:num w:numId="9">
    <w:abstractNumId w:val="6"/>
  </w:num>
  <w:num w:numId="10">
    <w:abstractNumId w:val="7"/>
  </w:num>
  <w:num w:numId="11">
    <w:abstractNumId w:val="3"/>
  </w:num>
  <w:num w:numId="12">
    <w:abstractNumId w:val="12"/>
  </w:num>
  <w:num w:numId="13">
    <w:abstractNumId w:val="4"/>
  </w:num>
  <w:num w:numId="14">
    <w:abstractNumId w:val="2"/>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772"/>
    <w:rsid w:val="000123E9"/>
    <w:rsid w:val="00024081"/>
    <w:rsid w:val="0003436E"/>
    <w:rsid w:val="00057A5A"/>
    <w:rsid w:val="0006215B"/>
    <w:rsid w:val="000707F2"/>
    <w:rsid w:val="00076998"/>
    <w:rsid w:val="000917AF"/>
    <w:rsid w:val="00093059"/>
    <w:rsid w:val="000A284D"/>
    <w:rsid w:val="000A56B4"/>
    <w:rsid w:val="000B4069"/>
    <w:rsid w:val="000D3534"/>
    <w:rsid w:val="000F12AD"/>
    <w:rsid w:val="000F4255"/>
    <w:rsid w:val="001259F0"/>
    <w:rsid w:val="00134B90"/>
    <w:rsid w:val="001439E0"/>
    <w:rsid w:val="00144030"/>
    <w:rsid w:val="00147211"/>
    <w:rsid w:val="00152A2D"/>
    <w:rsid w:val="00163409"/>
    <w:rsid w:val="00165BC9"/>
    <w:rsid w:val="001A2485"/>
    <w:rsid w:val="001C6F04"/>
    <w:rsid w:val="001D3999"/>
    <w:rsid w:val="001E1725"/>
    <w:rsid w:val="001F4171"/>
    <w:rsid w:val="00204AAC"/>
    <w:rsid w:val="00222636"/>
    <w:rsid w:val="00241528"/>
    <w:rsid w:val="0024543B"/>
    <w:rsid w:val="00252C44"/>
    <w:rsid w:val="00262B3F"/>
    <w:rsid w:val="00270B11"/>
    <w:rsid w:val="00272BE9"/>
    <w:rsid w:val="00291FB3"/>
    <w:rsid w:val="00295ED7"/>
    <w:rsid w:val="002A18AC"/>
    <w:rsid w:val="002C6855"/>
    <w:rsid w:val="002D4E1A"/>
    <w:rsid w:val="002E11EB"/>
    <w:rsid w:val="002E26EF"/>
    <w:rsid w:val="002E2BDA"/>
    <w:rsid w:val="002F092E"/>
    <w:rsid w:val="00302CBB"/>
    <w:rsid w:val="00306CA7"/>
    <w:rsid w:val="003128C7"/>
    <w:rsid w:val="00323C03"/>
    <w:rsid w:val="00332A52"/>
    <w:rsid w:val="003335EE"/>
    <w:rsid w:val="003338FD"/>
    <w:rsid w:val="003425D1"/>
    <w:rsid w:val="00350A41"/>
    <w:rsid w:val="00366456"/>
    <w:rsid w:val="00373CF5"/>
    <w:rsid w:val="00375C1E"/>
    <w:rsid w:val="00386492"/>
    <w:rsid w:val="00387218"/>
    <w:rsid w:val="00396CE7"/>
    <w:rsid w:val="00397A19"/>
    <w:rsid w:val="003A0C38"/>
    <w:rsid w:val="003A1333"/>
    <w:rsid w:val="003A31ED"/>
    <w:rsid w:val="003A56ED"/>
    <w:rsid w:val="003A6EC4"/>
    <w:rsid w:val="003A7D76"/>
    <w:rsid w:val="003B6B63"/>
    <w:rsid w:val="003B7499"/>
    <w:rsid w:val="003D0ECB"/>
    <w:rsid w:val="003D42E0"/>
    <w:rsid w:val="003D5230"/>
    <w:rsid w:val="003D6170"/>
    <w:rsid w:val="003E4E09"/>
    <w:rsid w:val="003F1438"/>
    <w:rsid w:val="003F1C07"/>
    <w:rsid w:val="003F6E67"/>
    <w:rsid w:val="0040780E"/>
    <w:rsid w:val="0041391E"/>
    <w:rsid w:val="00423AEC"/>
    <w:rsid w:val="00444428"/>
    <w:rsid w:val="00465B27"/>
    <w:rsid w:val="00470A99"/>
    <w:rsid w:val="0047124A"/>
    <w:rsid w:val="00472173"/>
    <w:rsid w:val="004736CA"/>
    <w:rsid w:val="00477926"/>
    <w:rsid w:val="00481DD0"/>
    <w:rsid w:val="004842BE"/>
    <w:rsid w:val="004908AE"/>
    <w:rsid w:val="0049461C"/>
    <w:rsid w:val="00495C88"/>
    <w:rsid w:val="004A40AD"/>
    <w:rsid w:val="004B520B"/>
    <w:rsid w:val="004B6FF4"/>
    <w:rsid w:val="004C3C31"/>
    <w:rsid w:val="004C5895"/>
    <w:rsid w:val="004D624A"/>
    <w:rsid w:val="004E42DB"/>
    <w:rsid w:val="004F04CA"/>
    <w:rsid w:val="004F3DAE"/>
    <w:rsid w:val="005142FF"/>
    <w:rsid w:val="00521B17"/>
    <w:rsid w:val="005256AA"/>
    <w:rsid w:val="00536DE2"/>
    <w:rsid w:val="005607B2"/>
    <w:rsid w:val="0057401A"/>
    <w:rsid w:val="00577243"/>
    <w:rsid w:val="00580C0B"/>
    <w:rsid w:val="00591113"/>
    <w:rsid w:val="005B5441"/>
    <w:rsid w:val="005B7BD1"/>
    <w:rsid w:val="005C21D5"/>
    <w:rsid w:val="005C35F7"/>
    <w:rsid w:val="005E428D"/>
    <w:rsid w:val="005F6019"/>
    <w:rsid w:val="005F60D4"/>
    <w:rsid w:val="00614480"/>
    <w:rsid w:val="00616036"/>
    <w:rsid w:val="00616AFE"/>
    <w:rsid w:val="00626647"/>
    <w:rsid w:val="00627D8C"/>
    <w:rsid w:val="00633F24"/>
    <w:rsid w:val="006561F6"/>
    <w:rsid w:val="00662F02"/>
    <w:rsid w:val="0067750B"/>
    <w:rsid w:val="00677522"/>
    <w:rsid w:val="006841C1"/>
    <w:rsid w:val="0068589F"/>
    <w:rsid w:val="00692284"/>
    <w:rsid w:val="00692FFF"/>
    <w:rsid w:val="006A4BEB"/>
    <w:rsid w:val="006B0954"/>
    <w:rsid w:val="006D4702"/>
    <w:rsid w:val="006D74F4"/>
    <w:rsid w:val="006E051E"/>
    <w:rsid w:val="006E226B"/>
    <w:rsid w:val="006E71A8"/>
    <w:rsid w:val="006F09D2"/>
    <w:rsid w:val="006F48E2"/>
    <w:rsid w:val="00701387"/>
    <w:rsid w:val="00704DDF"/>
    <w:rsid w:val="00726B26"/>
    <w:rsid w:val="0073037C"/>
    <w:rsid w:val="00736866"/>
    <w:rsid w:val="00740627"/>
    <w:rsid w:val="00745CF1"/>
    <w:rsid w:val="00757240"/>
    <w:rsid w:val="00757670"/>
    <w:rsid w:val="00773432"/>
    <w:rsid w:val="00780E3E"/>
    <w:rsid w:val="00783409"/>
    <w:rsid w:val="0078506A"/>
    <w:rsid w:val="007922A8"/>
    <w:rsid w:val="007A1CAF"/>
    <w:rsid w:val="007A2EB7"/>
    <w:rsid w:val="007A3F0E"/>
    <w:rsid w:val="007C57AF"/>
    <w:rsid w:val="007C711F"/>
    <w:rsid w:val="007D22DD"/>
    <w:rsid w:val="007E1281"/>
    <w:rsid w:val="007E341D"/>
    <w:rsid w:val="007E5612"/>
    <w:rsid w:val="007E7A06"/>
    <w:rsid w:val="007F5273"/>
    <w:rsid w:val="00814DB2"/>
    <w:rsid w:val="00817FBA"/>
    <w:rsid w:val="00824022"/>
    <w:rsid w:val="00840B22"/>
    <w:rsid w:val="00842C83"/>
    <w:rsid w:val="008523F6"/>
    <w:rsid w:val="008526FE"/>
    <w:rsid w:val="00855AA9"/>
    <w:rsid w:val="008606E0"/>
    <w:rsid w:val="0086402D"/>
    <w:rsid w:val="0086420E"/>
    <w:rsid w:val="00864E64"/>
    <w:rsid w:val="00873B42"/>
    <w:rsid w:val="00885674"/>
    <w:rsid w:val="00890219"/>
    <w:rsid w:val="00891844"/>
    <w:rsid w:val="008E0530"/>
    <w:rsid w:val="008E52CA"/>
    <w:rsid w:val="008E601D"/>
    <w:rsid w:val="008F0B17"/>
    <w:rsid w:val="008F124D"/>
    <w:rsid w:val="00900C86"/>
    <w:rsid w:val="009066DD"/>
    <w:rsid w:val="009160E4"/>
    <w:rsid w:val="00921945"/>
    <w:rsid w:val="00924EC8"/>
    <w:rsid w:val="00935803"/>
    <w:rsid w:val="00940507"/>
    <w:rsid w:val="00942C21"/>
    <w:rsid w:val="00956399"/>
    <w:rsid w:val="00960D4F"/>
    <w:rsid w:val="00971C65"/>
    <w:rsid w:val="00995C04"/>
    <w:rsid w:val="009A77C7"/>
    <w:rsid w:val="009B3897"/>
    <w:rsid w:val="009C0161"/>
    <w:rsid w:val="009C1AED"/>
    <w:rsid w:val="009C432E"/>
    <w:rsid w:val="009C7BFD"/>
    <w:rsid w:val="009D06BA"/>
    <w:rsid w:val="009D75C8"/>
    <w:rsid w:val="009E1C85"/>
    <w:rsid w:val="009E26DC"/>
    <w:rsid w:val="009F5714"/>
    <w:rsid w:val="00A074FE"/>
    <w:rsid w:val="00A22A97"/>
    <w:rsid w:val="00A24E58"/>
    <w:rsid w:val="00A25234"/>
    <w:rsid w:val="00A349D3"/>
    <w:rsid w:val="00A51273"/>
    <w:rsid w:val="00A53772"/>
    <w:rsid w:val="00A57038"/>
    <w:rsid w:val="00A65A25"/>
    <w:rsid w:val="00A704E7"/>
    <w:rsid w:val="00A848C1"/>
    <w:rsid w:val="00AA1241"/>
    <w:rsid w:val="00AA1BFD"/>
    <w:rsid w:val="00AB413D"/>
    <w:rsid w:val="00AC3C49"/>
    <w:rsid w:val="00AC59D2"/>
    <w:rsid w:val="00AD08F9"/>
    <w:rsid w:val="00AE06D0"/>
    <w:rsid w:val="00AE5F7C"/>
    <w:rsid w:val="00AF04E8"/>
    <w:rsid w:val="00B018C1"/>
    <w:rsid w:val="00B036A7"/>
    <w:rsid w:val="00B06899"/>
    <w:rsid w:val="00B11A92"/>
    <w:rsid w:val="00B760DD"/>
    <w:rsid w:val="00B872FE"/>
    <w:rsid w:val="00B9069E"/>
    <w:rsid w:val="00BA4684"/>
    <w:rsid w:val="00BA5042"/>
    <w:rsid w:val="00BC1A7E"/>
    <w:rsid w:val="00BC6D78"/>
    <w:rsid w:val="00BD70F0"/>
    <w:rsid w:val="00BD76C0"/>
    <w:rsid w:val="00BE26F9"/>
    <w:rsid w:val="00BE3A50"/>
    <w:rsid w:val="00BE73AD"/>
    <w:rsid w:val="00C055DE"/>
    <w:rsid w:val="00C23A08"/>
    <w:rsid w:val="00C2794C"/>
    <w:rsid w:val="00C36BD4"/>
    <w:rsid w:val="00C40521"/>
    <w:rsid w:val="00C45674"/>
    <w:rsid w:val="00C52132"/>
    <w:rsid w:val="00C64FDD"/>
    <w:rsid w:val="00C84CA0"/>
    <w:rsid w:val="00C9206F"/>
    <w:rsid w:val="00C94603"/>
    <w:rsid w:val="00CA0D67"/>
    <w:rsid w:val="00CB42C3"/>
    <w:rsid w:val="00CB7BC3"/>
    <w:rsid w:val="00CC386D"/>
    <w:rsid w:val="00CC73B2"/>
    <w:rsid w:val="00CD53C6"/>
    <w:rsid w:val="00CE0236"/>
    <w:rsid w:val="00CF4794"/>
    <w:rsid w:val="00D0043B"/>
    <w:rsid w:val="00D0630B"/>
    <w:rsid w:val="00D20D94"/>
    <w:rsid w:val="00D232B8"/>
    <w:rsid w:val="00D31103"/>
    <w:rsid w:val="00D31767"/>
    <w:rsid w:val="00D449B4"/>
    <w:rsid w:val="00D454A2"/>
    <w:rsid w:val="00D46C8E"/>
    <w:rsid w:val="00D5340B"/>
    <w:rsid w:val="00D60599"/>
    <w:rsid w:val="00D7699F"/>
    <w:rsid w:val="00D76A68"/>
    <w:rsid w:val="00D876BF"/>
    <w:rsid w:val="00D93FC6"/>
    <w:rsid w:val="00D9480E"/>
    <w:rsid w:val="00D975D5"/>
    <w:rsid w:val="00DB36DA"/>
    <w:rsid w:val="00DB6E04"/>
    <w:rsid w:val="00DB7632"/>
    <w:rsid w:val="00DC27C6"/>
    <w:rsid w:val="00DC45B3"/>
    <w:rsid w:val="00DC52A1"/>
    <w:rsid w:val="00DC736D"/>
    <w:rsid w:val="00DD0EAC"/>
    <w:rsid w:val="00DE02E7"/>
    <w:rsid w:val="00DF02A5"/>
    <w:rsid w:val="00DF44F7"/>
    <w:rsid w:val="00DF6155"/>
    <w:rsid w:val="00E00E9B"/>
    <w:rsid w:val="00E10370"/>
    <w:rsid w:val="00E20D05"/>
    <w:rsid w:val="00E227C3"/>
    <w:rsid w:val="00E27D35"/>
    <w:rsid w:val="00E465B3"/>
    <w:rsid w:val="00E548E7"/>
    <w:rsid w:val="00E659C8"/>
    <w:rsid w:val="00E732A4"/>
    <w:rsid w:val="00E741F0"/>
    <w:rsid w:val="00E75F6F"/>
    <w:rsid w:val="00E91577"/>
    <w:rsid w:val="00E95D6B"/>
    <w:rsid w:val="00E9604E"/>
    <w:rsid w:val="00EA7C74"/>
    <w:rsid w:val="00EB784F"/>
    <w:rsid w:val="00ED4D23"/>
    <w:rsid w:val="00ED5AAB"/>
    <w:rsid w:val="00EE2B84"/>
    <w:rsid w:val="00F12628"/>
    <w:rsid w:val="00F145A4"/>
    <w:rsid w:val="00F151D2"/>
    <w:rsid w:val="00F17DEB"/>
    <w:rsid w:val="00F20CB7"/>
    <w:rsid w:val="00F335B3"/>
    <w:rsid w:val="00F40693"/>
    <w:rsid w:val="00F414E5"/>
    <w:rsid w:val="00F45665"/>
    <w:rsid w:val="00F5027A"/>
    <w:rsid w:val="00F51FB6"/>
    <w:rsid w:val="00F559D2"/>
    <w:rsid w:val="00F56213"/>
    <w:rsid w:val="00F75EC9"/>
    <w:rsid w:val="00F841C0"/>
    <w:rsid w:val="00FA5BA0"/>
    <w:rsid w:val="00FB3FB8"/>
    <w:rsid w:val="00FB4F43"/>
    <w:rsid w:val="00FD284A"/>
    <w:rsid w:val="00FE43D8"/>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14FE53"/>
  <w15:chartTrackingRefBased/>
  <w15:docId w15:val="{F79BF774-E12F-4EAA-B8E5-5E45336AE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cs="Arial Unicode MS"/>
    </w:rPr>
  </w:style>
  <w:style w:type="paragraph" w:styleId="Heading1">
    <w:name w:val="heading 1"/>
    <w:basedOn w:val="Normal"/>
    <w:next w:val="Normal"/>
    <w:link w:val="Heading1Char"/>
    <w:uiPriority w:val="9"/>
    <w:qFormat/>
    <w:rsid w:val="00AE06D0"/>
    <w:pPr>
      <w:keepNext/>
      <w:keepLines/>
      <w:spacing w:before="240" w:after="0"/>
      <w:outlineLvl w:val="0"/>
    </w:pPr>
    <w:rPr>
      <w:rFonts w:asciiTheme="majorHAnsi" w:eastAsiaTheme="majorEastAsia" w:hAnsiTheme="majorHAnsi" w:cstheme="majorBidi"/>
      <w:color w:val="2F5496" w:themeColor="accent1" w:themeShade="BF"/>
      <w:sz w:val="32"/>
      <w:szCs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772"/>
    <w:pPr>
      <w:ind w:left="720"/>
      <w:contextualSpacing/>
    </w:pPr>
  </w:style>
  <w:style w:type="paragraph" w:styleId="FootnoteText">
    <w:name w:val="footnote text"/>
    <w:basedOn w:val="Normal"/>
    <w:link w:val="FootnoteTextChar"/>
    <w:uiPriority w:val="99"/>
    <w:semiHidden/>
    <w:unhideWhenUsed/>
    <w:rsid w:val="005142FF"/>
    <w:pPr>
      <w:spacing w:after="0" w:line="240" w:lineRule="auto"/>
    </w:pPr>
    <w:rPr>
      <w:sz w:val="20"/>
      <w:szCs w:val="32"/>
    </w:rPr>
  </w:style>
  <w:style w:type="character" w:customStyle="1" w:styleId="FootnoteTextChar">
    <w:name w:val="Footnote Text Char"/>
    <w:basedOn w:val="DefaultParagraphFont"/>
    <w:link w:val="FootnoteText"/>
    <w:uiPriority w:val="99"/>
    <w:semiHidden/>
    <w:rsid w:val="005142FF"/>
    <w:rPr>
      <w:rFonts w:cs="Arial Unicode MS"/>
      <w:sz w:val="20"/>
      <w:szCs w:val="32"/>
    </w:rPr>
  </w:style>
  <w:style w:type="character" w:styleId="FootnoteReference">
    <w:name w:val="footnote reference"/>
    <w:basedOn w:val="DefaultParagraphFont"/>
    <w:uiPriority w:val="99"/>
    <w:semiHidden/>
    <w:unhideWhenUsed/>
    <w:rsid w:val="005142FF"/>
    <w:rPr>
      <w:vertAlign w:val="superscript"/>
    </w:rPr>
  </w:style>
  <w:style w:type="table" w:styleId="TableGrid">
    <w:name w:val="Table Grid"/>
    <w:basedOn w:val="TableNormal"/>
    <w:uiPriority w:val="59"/>
    <w:rsid w:val="00134B90"/>
    <w:pPr>
      <w:spacing w:after="0" w:line="240" w:lineRule="auto"/>
    </w:pPr>
    <w:rPr>
      <w:rFonts w:ascii="Calibri" w:eastAsia="Calibri" w:hAnsi="Calibri" w:cs="Mang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34B90"/>
    <w:pPr>
      <w:spacing w:after="0" w:line="240" w:lineRule="auto"/>
    </w:pPr>
    <w:rPr>
      <w:rFonts w:ascii="Times New Roman" w:eastAsia="Calibri" w:hAnsi="Times New Roman" w:cs="Times New Roman"/>
      <w:sz w:val="24"/>
      <w:szCs w:val="39"/>
    </w:rPr>
  </w:style>
  <w:style w:type="character" w:styleId="CommentReference">
    <w:name w:val="annotation reference"/>
    <w:uiPriority w:val="99"/>
    <w:semiHidden/>
    <w:unhideWhenUsed/>
    <w:rsid w:val="00134B90"/>
    <w:rPr>
      <w:sz w:val="16"/>
      <w:szCs w:val="16"/>
    </w:rPr>
  </w:style>
  <w:style w:type="paragraph" w:styleId="CommentText">
    <w:name w:val="annotation text"/>
    <w:basedOn w:val="Normal"/>
    <w:link w:val="CommentTextChar"/>
    <w:uiPriority w:val="99"/>
    <w:semiHidden/>
    <w:unhideWhenUsed/>
    <w:rsid w:val="00134B90"/>
    <w:pPr>
      <w:spacing w:after="0" w:line="240" w:lineRule="auto"/>
    </w:pPr>
    <w:rPr>
      <w:rFonts w:ascii="Calibri" w:eastAsia="Calibri" w:hAnsi="Calibri" w:cs="Mangal"/>
      <w:sz w:val="20"/>
      <w:szCs w:val="32"/>
    </w:rPr>
  </w:style>
  <w:style w:type="character" w:customStyle="1" w:styleId="CommentTextChar">
    <w:name w:val="Comment Text Char"/>
    <w:basedOn w:val="DefaultParagraphFont"/>
    <w:link w:val="CommentText"/>
    <w:uiPriority w:val="99"/>
    <w:semiHidden/>
    <w:rsid w:val="00134B90"/>
    <w:rPr>
      <w:rFonts w:ascii="Calibri" w:eastAsia="Calibri" w:hAnsi="Calibri" w:cs="Mangal"/>
      <w:sz w:val="20"/>
      <w:szCs w:val="32"/>
    </w:rPr>
  </w:style>
  <w:style w:type="paragraph" w:styleId="CommentSubject">
    <w:name w:val="annotation subject"/>
    <w:basedOn w:val="CommentText"/>
    <w:next w:val="CommentText"/>
    <w:link w:val="CommentSubjectChar"/>
    <w:uiPriority w:val="99"/>
    <w:semiHidden/>
    <w:unhideWhenUsed/>
    <w:rsid w:val="00134B90"/>
    <w:rPr>
      <w:b/>
      <w:bCs/>
    </w:rPr>
  </w:style>
  <w:style w:type="character" w:customStyle="1" w:styleId="CommentSubjectChar">
    <w:name w:val="Comment Subject Char"/>
    <w:basedOn w:val="CommentTextChar"/>
    <w:link w:val="CommentSubject"/>
    <w:uiPriority w:val="99"/>
    <w:semiHidden/>
    <w:rsid w:val="00134B90"/>
    <w:rPr>
      <w:rFonts w:ascii="Calibri" w:eastAsia="Calibri" w:hAnsi="Calibri" w:cs="Mangal"/>
      <w:b/>
      <w:bCs/>
      <w:sz w:val="20"/>
      <w:szCs w:val="32"/>
    </w:rPr>
  </w:style>
  <w:style w:type="paragraph" w:styleId="BalloonText">
    <w:name w:val="Balloon Text"/>
    <w:basedOn w:val="Normal"/>
    <w:link w:val="BalloonTextChar"/>
    <w:uiPriority w:val="99"/>
    <w:semiHidden/>
    <w:unhideWhenUsed/>
    <w:rsid w:val="00134B90"/>
    <w:pPr>
      <w:spacing w:after="0" w:line="240" w:lineRule="auto"/>
    </w:pPr>
    <w:rPr>
      <w:rFonts w:ascii="Tahoma" w:eastAsia="Calibri" w:hAnsi="Tahoma" w:cs="Tahoma"/>
      <w:sz w:val="16"/>
      <w:szCs w:val="26"/>
    </w:rPr>
  </w:style>
  <w:style w:type="character" w:customStyle="1" w:styleId="BalloonTextChar">
    <w:name w:val="Balloon Text Char"/>
    <w:basedOn w:val="DefaultParagraphFont"/>
    <w:link w:val="BalloonText"/>
    <w:uiPriority w:val="99"/>
    <w:semiHidden/>
    <w:rsid w:val="00134B90"/>
    <w:rPr>
      <w:rFonts w:ascii="Tahoma" w:eastAsia="Calibri" w:hAnsi="Tahoma" w:cs="Tahoma"/>
      <w:sz w:val="16"/>
      <w:szCs w:val="26"/>
    </w:rPr>
  </w:style>
  <w:style w:type="paragraph" w:styleId="Title">
    <w:name w:val="Title"/>
    <w:basedOn w:val="Normal"/>
    <w:next w:val="Normal"/>
    <w:link w:val="TitleChar"/>
    <w:uiPriority w:val="10"/>
    <w:qFormat/>
    <w:rsid w:val="00134B90"/>
    <w:pPr>
      <w:spacing w:before="240" w:after="60" w:line="240" w:lineRule="auto"/>
      <w:jc w:val="center"/>
      <w:outlineLvl w:val="0"/>
    </w:pPr>
    <w:rPr>
      <w:rFonts w:ascii="Calibri Light" w:eastAsia="Times New Roman" w:hAnsi="Calibri Light" w:cs="MoolBoran"/>
      <w:b/>
      <w:bCs/>
      <w:kern w:val="28"/>
      <w:sz w:val="32"/>
      <w:szCs w:val="52"/>
    </w:rPr>
  </w:style>
  <w:style w:type="character" w:customStyle="1" w:styleId="TitleChar">
    <w:name w:val="Title Char"/>
    <w:basedOn w:val="DefaultParagraphFont"/>
    <w:link w:val="Title"/>
    <w:uiPriority w:val="10"/>
    <w:rsid w:val="00134B90"/>
    <w:rPr>
      <w:rFonts w:ascii="Calibri Light" w:eastAsia="Times New Roman" w:hAnsi="Calibri Light" w:cs="MoolBoran"/>
      <w:b/>
      <w:bCs/>
      <w:kern w:val="28"/>
      <w:sz w:val="32"/>
      <w:szCs w:val="52"/>
    </w:rPr>
  </w:style>
  <w:style w:type="paragraph" w:styleId="Revision">
    <w:name w:val="Revision"/>
    <w:hidden/>
    <w:uiPriority w:val="99"/>
    <w:semiHidden/>
    <w:rsid w:val="00134B90"/>
    <w:pPr>
      <w:spacing w:after="0" w:line="240" w:lineRule="auto"/>
    </w:pPr>
    <w:rPr>
      <w:rFonts w:ascii="Calibri" w:eastAsia="Calibri" w:hAnsi="Calibri" w:cs="Mangal"/>
    </w:rPr>
  </w:style>
  <w:style w:type="paragraph" w:styleId="Header">
    <w:name w:val="header"/>
    <w:basedOn w:val="Normal"/>
    <w:link w:val="HeaderChar"/>
    <w:uiPriority w:val="99"/>
    <w:unhideWhenUsed/>
    <w:rsid w:val="00134B90"/>
    <w:pPr>
      <w:tabs>
        <w:tab w:val="center" w:pos="4680"/>
        <w:tab w:val="right" w:pos="9360"/>
      </w:tabs>
      <w:spacing w:after="0" w:line="240" w:lineRule="auto"/>
    </w:pPr>
    <w:rPr>
      <w:rFonts w:ascii="Calibri" w:eastAsia="Calibri" w:hAnsi="Calibri" w:cs="Mangal"/>
    </w:rPr>
  </w:style>
  <w:style w:type="character" w:customStyle="1" w:styleId="HeaderChar">
    <w:name w:val="Header Char"/>
    <w:basedOn w:val="DefaultParagraphFont"/>
    <w:link w:val="Header"/>
    <w:uiPriority w:val="99"/>
    <w:rsid w:val="00134B90"/>
    <w:rPr>
      <w:rFonts w:ascii="Calibri" w:eastAsia="Calibri" w:hAnsi="Calibri" w:cs="Mangal"/>
    </w:rPr>
  </w:style>
  <w:style w:type="paragraph" w:styleId="Footer">
    <w:name w:val="footer"/>
    <w:basedOn w:val="Normal"/>
    <w:link w:val="FooterChar"/>
    <w:uiPriority w:val="99"/>
    <w:unhideWhenUsed/>
    <w:rsid w:val="00134B90"/>
    <w:pPr>
      <w:tabs>
        <w:tab w:val="center" w:pos="4680"/>
        <w:tab w:val="right" w:pos="9360"/>
      </w:tabs>
      <w:spacing w:after="0" w:line="240" w:lineRule="auto"/>
    </w:pPr>
    <w:rPr>
      <w:rFonts w:ascii="Calibri" w:eastAsia="Calibri" w:hAnsi="Calibri" w:cs="Mangal"/>
    </w:rPr>
  </w:style>
  <w:style w:type="character" w:customStyle="1" w:styleId="FooterChar">
    <w:name w:val="Footer Char"/>
    <w:basedOn w:val="DefaultParagraphFont"/>
    <w:link w:val="Footer"/>
    <w:uiPriority w:val="99"/>
    <w:rsid w:val="00134B90"/>
    <w:rPr>
      <w:rFonts w:ascii="Calibri" w:eastAsia="Calibri" w:hAnsi="Calibri" w:cs="Mangal"/>
    </w:rPr>
  </w:style>
  <w:style w:type="character" w:styleId="Hyperlink">
    <w:name w:val="Hyperlink"/>
    <w:uiPriority w:val="99"/>
    <w:unhideWhenUsed/>
    <w:rsid w:val="00134B90"/>
    <w:rPr>
      <w:color w:val="0563C1"/>
      <w:u w:val="single"/>
    </w:rPr>
  </w:style>
  <w:style w:type="character" w:styleId="UnresolvedMention">
    <w:name w:val="Unresolved Mention"/>
    <w:uiPriority w:val="99"/>
    <w:semiHidden/>
    <w:unhideWhenUsed/>
    <w:rsid w:val="00134B90"/>
    <w:rPr>
      <w:color w:val="605E5C"/>
      <w:shd w:val="clear" w:color="auto" w:fill="E1DFDD"/>
    </w:rPr>
  </w:style>
  <w:style w:type="character" w:customStyle="1" w:styleId="gmaildefault">
    <w:name w:val="gmail_default"/>
    <w:basedOn w:val="DefaultParagraphFont"/>
    <w:rsid w:val="0067750B"/>
  </w:style>
  <w:style w:type="character" w:customStyle="1" w:styleId="Heading1Char">
    <w:name w:val="Heading 1 Char"/>
    <w:basedOn w:val="DefaultParagraphFont"/>
    <w:link w:val="Heading1"/>
    <w:uiPriority w:val="9"/>
    <w:rsid w:val="00AE06D0"/>
    <w:rPr>
      <w:rFonts w:asciiTheme="majorHAnsi" w:eastAsiaTheme="majorEastAsia" w:hAnsiTheme="majorHAnsi" w:cstheme="majorBidi"/>
      <w:color w:val="2F5496" w:themeColor="accent1" w:themeShade="BF"/>
      <w:sz w:val="32"/>
      <w:szCs w:val="52"/>
    </w:rPr>
  </w:style>
  <w:style w:type="paragraph" w:styleId="TOCHeading">
    <w:name w:val="TOC Heading"/>
    <w:basedOn w:val="Heading1"/>
    <w:next w:val="Normal"/>
    <w:uiPriority w:val="39"/>
    <w:unhideWhenUsed/>
    <w:qFormat/>
    <w:rsid w:val="00F841C0"/>
    <w:pPr>
      <w:outlineLvl w:val="9"/>
    </w:pPr>
    <w:rPr>
      <w:szCs w:val="32"/>
      <w:lang w:bidi="ar-SA"/>
    </w:rPr>
  </w:style>
  <w:style w:type="paragraph" w:styleId="TOC1">
    <w:name w:val="toc 1"/>
    <w:basedOn w:val="Normal"/>
    <w:next w:val="Normal"/>
    <w:autoRedefine/>
    <w:uiPriority w:val="39"/>
    <w:unhideWhenUsed/>
    <w:rsid w:val="00F841C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953803">
      <w:bodyDiv w:val="1"/>
      <w:marLeft w:val="0"/>
      <w:marRight w:val="0"/>
      <w:marTop w:val="0"/>
      <w:marBottom w:val="0"/>
      <w:divBdr>
        <w:top w:val="none" w:sz="0" w:space="0" w:color="auto"/>
        <w:left w:val="none" w:sz="0" w:space="0" w:color="auto"/>
        <w:bottom w:val="none" w:sz="0" w:space="0" w:color="auto"/>
        <w:right w:val="none" w:sz="0" w:space="0" w:color="auto"/>
      </w:divBdr>
      <w:divsChild>
        <w:div w:id="636105919">
          <w:marLeft w:val="0"/>
          <w:marRight w:val="0"/>
          <w:marTop w:val="0"/>
          <w:marBottom w:val="300"/>
          <w:divBdr>
            <w:top w:val="single" w:sz="6" w:space="19" w:color="E8E8E8"/>
            <w:left w:val="none" w:sz="0" w:space="0" w:color="auto"/>
            <w:bottom w:val="single" w:sz="6" w:space="19" w:color="E8E8E8"/>
            <w:right w:val="none" w:sz="0" w:space="0" w:color="auto"/>
          </w:divBdr>
        </w:div>
      </w:divsChild>
    </w:div>
    <w:div w:id="1270351038">
      <w:bodyDiv w:val="1"/>
      <w:marLeft w:val="0"/>
      <w:marRight w:val="0"/>
      <w:marTop w:val="0"/>
      <w:marBottom w:val="0"/>
      <w:divBdr>
        <w:top w:val="none" w:sz="0" w:space="0" w:color="auto"/>
        <w:left w:val="none" w:sz="0" w:space="0" w:color="auto"/>
        <w:bottom w:val="none" w:sz="0" w:space="0" w:color="auto"/>
        <w:right w:val="none" w:sz="0" w:space="0" w:color="auto"/>
      </w:divBdr>
      <w:divsChild>
        <w:div w:id="1910112475">
          <w:marLeft w:val="0"/>
          <w:marRight w:val="0"/>
          <w:marTop w:val="0"/>
          <w:marBottom w:val="300"/>
          <w:divBdr>
            <w:top w:val="single" w:sz="6" w:space="19" w:color="E8E8E8"/>
            <w:left w:val="none" w:sz="0" w:space="0" w:color="auto"/>
            <w:bottom w:val="single" w:sz="6" w:space="19" w:color="E8E8E8"/>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ngocedaw.org/wp-content/uploads/2019/08/Cambodia-DV-law-analysis-chart-EN-24July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90B406-99BB-4AA2-A6B2-C68E60E28F98}">
  <ds:schemaRefs>
    <ds:schemaRef ds:uri="http://schemas.openxmlformats.org/officeDocument/2006/bibliography"/>
  </ds:schemaRefs>
</ds:datastoreItem>
</file>

<file path=customXml/itemProps2.xml><?xml version="1.0" encoding="utf-8"?>
<ds:datastoreItem xmlns:ds="http://schemas.openxmlformats.org/officeDocument/2006/customXml" ds:itemID="{CDC2B827-C537-4D16-8CB0-20F434CAAB24}"/>
</file>

<file path=customXml/itemProps3.xml><?xml version="1.0" encoding="utf-8"?>
<ds:datastoreItem xmlns:ds="http://schemas.openxmlformats.org/officeDocument/2006/customXml" ds:itemID="{9E531195-36F2-4E3B-B6C0-D15DA3714A15}"/>
</file>

<file path=customXml/itemProps4.xml><?xml version="1.0" encoding="utf-8"?>
<ds:datastoreItem xmlns:ds="http://schemas.openxmlformats.org/officeDocument/2006/customXml" ds:itemID="{210851A9-C6C8-4299-920A-808486D054B5}"/>
</file>

<file path=docProps/app.xml><?xml version="1.0" encoding="utf-8"?>
<Properties xmlns="http://schemas.openxmlformats.org/officeDocument/2006/extended-properties" xmlns:vt="http://schemas.openxmlformats.org/officeDocument/2006/docPropsVTypes">
  <Template>Normal</Template>
  <TotalTime>109</TotalTime>
  <Pages>10</Pages>
  <Words>4877</Words>
  <Characters>27803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dc:creator>
  <cp:keywords/>
  <dc:description/>
  <cp:lastModifiedBy>NGO-CEDAW</cp:lastModifiedBy>
  <cp:revision>30</cp:revision>
  <cp:lastPrinted>2019-09-27T09:15:00Z</cp:lastPrinted>
  <dcterms:created xsi:type="dcterms:W3CDTF">2019-10-01T08:16:00Z</dcterms:created>
  <dcterms:modified xsi:type="dcterms:W3CDTF">2019-10-01T12:15:00Z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