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C189D" w14:textId="77777777" w:rsidR="001B7E1E" w:rsidRDefault="001B7E1E">
      <w:pPr>
        <w:spacing w:after="0" w:line="240" w:lineRule="auto"/>
        <w:jc w:val="center"/>
        <w:rPr>
          <w:rFonts w:ascii="Montserrat" w:eastAsia="Montserrat" w:hAnsi="Montserrat" w:cs="Montserrat"/>
          <w:sz w:val="22"/>
          <w:szCs w:val="22"/>
        </w:rPr>
      </w:pPr>
    </w:p>
    <w:p w14:paraId="11790E63" w14:textId="77777777" w:rsidR="001B7E1E" w:rsidRDefault="00000000">
      <w:pPr>
        <w:spacing w:after="0" w:line="240" w:lineRule="auto"/>
        <w:jc w:val="center"/>
        <w:rPr>
          <w:rFonts w:ascii="Montserrat" w:eastAsia="Montserrat" w:hAnsi="Montserrat" w:cs="Montserrat"/>
          <w:b/>
          <w:sz w:val="22"/>
          <w:szCs w:val="22"/>
        </w:rPr>
      </w:pPr>
      <w:r>
        <w:rPr>
          <w:rFonts w:ascii="Montserrat" w:eastAsia="Montserrat" w:hAnsi="Montserrat" w:cs="Montserrat"/>
          <w:b/>
          <w:sz w:val="22"/>
          <w:szCs w:val="22"/>
        </w:rPr>
        <w:t xml:space="preserve">Intervención inicial: </w:t>
      </w:r>
    </w:p>
    <w:p w14:paraId="6C29AD26" w14:textId="77777777" w:rsidR="001B7E1E" w:rsidRDefault="00000000">
      <w:pPr>
        <w:spacing w:after="0" w:line="240" w:lineRule="auto"/>
        <w:jc w:val="center"/>
        <w:rPr>
          <w:rFonts w:ascii="Montserrat" w:eastAsia="Montserrat" w:hAnsi="Montserrat" w:cs="Montserrat"/>
          <w:b/>
          <w:sz w:val="22"/>
          <w:szCs w:val="22"/>
        </w:rPr>
      </w:pPr>
      <w:r>
        <w:rPr>
          <w:rFonts w:ascii="Montserrat" w:eastAsia="Montserrat" w:hAnsi="Montserrat" w:cs="Montserrat"/>
          <w:b/>
          <w:sz w:val="22"/>
          <w:szCs w:val="22"/>
        </w:rPr>
        <w:t xml:space="preserve">Sustentación del 6º y 7º informe de México </w:t>
      </w:r>
    </w:p>
    <w:p w14:paraId="15E48C0F" w14:textId="77777777" w:rsidR="001B7E1E" w:rsidRDefault="00000000">
      <w:pPr>
        <w:spacing w:after="0" w:line="240" w:lineRule="auto"/>
        <w:jc w:val="center"/>
        <w:rPr>
          <w:rFonts w:ascii="Montserrat" w:eastAsia="Montserrat" w:hAnsi="Montserrat" w:cs="Montserrat"/>
          <w:b/>
          <w:sz w:val="22"/>
          <w:szCs w:val="22"/>
        </w:rPr>
      </w:pPr>
      <w:r>
        <w:rPr>
          <w:rFonts w:ascii="Montserrat" w:eastAsia="Montserrat" w:hAnsi="Montserrat" w:cs="Montserrat"/>
          <w:b/>
          <w:sz w:val="22"/>
          <w:szCs w:val="22"/>
        </w:rPr>
        <w:t>ante el Comité sobre los derechos de los niños</w:t>
      </w:r>
    </w:p>
    <w:p w14:paraId="7BDDDBA9" w14:textId="77777777" w:rsidR="001B7E1E" w:rsidRDefault="001B7E1E">
      <w:pPr>
        <w:spacing w:after="0" w:line="240" w:lineRule="auto"/>
        <w:jc w:val="center"/>
        <w:rPr>
          <w:rFonts w:ascii="Montserrat" w:eastAsia="Montserrat" w:hAnsi="Montserrat" w:cs="Montserrat"/>
          <w:b/>
          <w:sz w:val="22"/>
          <w:szCs w:val="22"/>
        </w:rPr>
      </w:pPr>
    </w:p>
    <w:p w14:paraId="0940D5CA" w14:textId="77777777" w:rsidR="001B7E1E" w:rsidRDefault="00000000">
      <w:pPr>
        <w:spacing w:after="0" w:line="240" w:lineRule="auto"/>
        <w:jc w:val="right"/>
        <w:rPr>
          <w:rFonts w:ascii="Montserrat" w:eastAsia="Montserrat" w:hAnsi="Montserrat" w:cs="Montserrat"/>
          <w:sz w:val="22"/>
          <w:szCs w:val="22"/>
        </w:rPr>
      </w:pPr>
      <w:r>
        <w:rPr>
          <w:rFonts w:ascii="Montserrat" w:eastAsia="Montserrat" w:hAnsi="Montserrat" w:cs="Montserrat"/>
          <w:b/>
          <w:sz w:val="22"/>
          <w:szCs w:val="22"/>
        </w:rPr>
        <w:t xml:space="preserve">13min en total </w:t>
      </w:r>
    </w:p>
    <w:p w14:paraId="17564F5F" w14:textId="77777777" w:rsidR="001B7E1E" w:rsidRDefault="001B7E1E">
      <w:pPr>
        <w:spacing w:after="0" w:line="240" w:lineRule="auto"/>
        <w:rPr>
          <w:rFonts w:ascii="Times New Roman" w:eastAsia="Times New Roman" w:hAnsi="Times New Roman" w:cs="Times New Roman"/>
        </w:rPr>
      </w:pPr>
    </w:p>
    <w:p w14:paraId="652FB0B3" w14:textId="77777777" w:rsidR="001B7E1E" w:rsidRDefault="00000000">
      <w:pPr>
        <w:spacing w:after="0" w:line="240" w:lineRule="auto"/>
        <w:jc w:val="both"/>
        <w:rPr>
          <w:rFonts w:ascii="Montserrat" w:eastAsia="Montserrat" w:hAnsi="Montserrat" w:cs="Montserrat"/>
          <w:b/>
          <w:i/>
          <w:color w:val="000000"/>
          <w:sz w:val="22"/>
          <w:szCs w:val="22"/>
        </w:rPr>
      </w:pPr>
      <w:r>
        <w:rPr>
          <w:rFonts w:ascii="Montserrat" w:eastAsia="Montserrat" w:hAnsi="Montserrat" w:cs="Montserrat"/>
          <w:b/>
          <w:i/>
          <w:color w:val="000000"/>
          <w:sz w:val="22"/>
          <w:szCs w:val="22"/>
        </w:rPr>
        <w:t>Mensaje de bienvenida por parte de la Emb.  Francisca Elizabeth Méndez Escobar, Representante Permanente de México (</w:t>
      </w:r>
      <w:r>
        <w:rPr>
          <w:rFonts w:ascii="Montserrat" w:eastAsia="Montserrat" w:hAnsi="Montserrat" w:cs="Montserrat"/>
          <w:b/>
          <w:i/>
          <w:color w:val="C00000"/>
          <w:sz w:val="22"/>
          <w:szCs w:val="22"/>
        </w:rPr>
        <w:t>3.5 min / 470 palabras</w:t>
      </w:r>
      <w:r>
        <w:rPr>
          <w:rFonts w:ascii="Montserrat" w:eastAsia="Montserrat" w:hAnsi="Montserrat" w:cs="Montserrat"/>
          <w:b/>
          <w:i/>
          <w:color w:val="000000"/>
          <w:sz w:val="22"/>
          <w:szCs w:val="22"/>
        </w:rPr>
        <w:t xml:space="preserve">): </w:t>
      </w:r>
    </w:p>
    <w:p w14:paraId="719A9DEA" w14:textId="77777777" w:rsidR="001B7E1E" w:rsidRDefault="001B7E1E">
      <w:pPr>
        <w:spacing w:after="0" w:line="240" w:lineRule="auto"/>
        <w:jc w:val="both"/>
        <w:rPr>
          <w:rFonts w:ascii="Times New Roman" w:eastAsia="Times New Roman" w:hAnsi="Times New Roman" w:cs="Times New Roman"/>
        </w:rPr>
      </w:pPr>
    </w:p>
    <w:p w14:paraId="53A90082"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Señora Presidenta,</w:t>
      </w:r>
    </w:p>
    <w:p w14:paraId="158567A7"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Señoras y señores expertos del Comité,</w:t>
      </w:r>
    </w:p>
    <w:p w14:paraId="39E61EC7"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En nombre del Estado mexicano, agradezco la oportunidad que este espacio representa para sostener un diálogo franco y constructivo, que favorezca un mejor entendimiento mutuo sobre un tema tan relevante como los derechos de los niños, niñas y adolescentes en México y en el mundo. </w:t>
      </w:r>
    </w:p>
    <w:p w14:paraId="4C37791B"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Como es de su conocimiento, desde 1990, cuando México ratificó  la Convención sobre los Derechos del Niño, el diálogo y la retroalimentación del Comité han permitido identificar brechas y fortalecer los marcos normativos, las políticas públicas y la estructura institucional de nuestro país, atendiendo todo el articulado de la Convención, con resultados visibles y relevantes para las niñas, niños y adolescentes, y con el firme compromiso de avanzar con nuestros compromisos internacionales conforme a la Convención.</w:t>
      </w:r>
    </w:p>
    <w:p w14:paraId="072DDF39"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En el año 2024, de una población total de 132 millones de habitantes, existen más de 38 millones niñas, niños y adolescentes en México, de los cuales se desprenden los siguientes datos por grupos de edad: 0-5 años: son 12.3 millones; 6-11 años: son 12.9 millones y 12-17 años: son 13.5 millones. </w:t>
      </w:r>
    </w:p>
    <w:p w14:paraId="05D93C17"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México ha trabajado para estructurar una política social a favor del bienestar de toda la población, misma que tiene implicaciones importantes para los niños, niñas y adolescentes. A lo largo de los últimos años, durante la administración del Presidente Andrés Manuel López Obrador, transitamos de un paradigma asistencialista con respecto a la niñez hacia un enfoque basado en el goce, ejercicio y realización de los derechos humanos de los niños, niñas y adolescentes y la reparación en caso de violaciones de derechos humanos.</w:t>
      </w:r>
    </w:p>
    <w:p w14:paraId="79E30289"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Es importante subrayar que la sustentación se realiza durante un proceso de transición política al interior de nuestro país, lo cual permitirá a la siguiente administración contar con las recomendaciones del Comité para continuar la construcción y el fortalecimiento de políticas públicas.</w:t>
      </w:r>
    </w:p>
    <w:p w14:paraId="14E54D37"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Es un momento histórico, porque por primera vez en los 200 años de la historia de vida independiente de México, nuestro país tendrá a una presidenta, la Dra. Claudia Sheinbaum.</w:t>
      </w:r>
    </w:p>
    <w:p w14:paraId="3BCFEBCE"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lastRenderedPageBreak/>
        <w:t>Desde 2015, la última ocasión en la cual el Gobierno de México tuvo la oportunidad de dialogar de manera formal con los expertos del Comité, hemos logrado importantes avances a favor de una tercera parte de la población total de nuestro país.</w:t>
      </w:r>
    </w:p>
    <w:p w14:paraId="329619D9"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Es así que, durante los últimos 10 años, se ha dado un verdadero cambio de paradigma centrado en la Convención y anclado en la aprobación de la Ley General de los Derechos de Niñas, Niños y Adolescentes, adoptada en 2014, mediante la cual se establece el Sistema Nacional de Protección Integral de Niñas, Niños y Adolescentes (SIPINNA) y la Procuraduría Federal de Protección a Niñas, Niños y Adolescentes. Se abordará este cambio de paradigma a detalle en nuestras intervenciones subsecuentes al responder a sus preguntas, Señora Presidenta.</w:t>
      </w:r>
    </w:p>
    <w:p w14:paraId="436A75C5"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La delegación mexicana que participa hoy de manera presencial está integrada por las siguientes personas:</w:t>
      </w:r>
    </w:p>
    <w:p w14:paraId="6634DB88" w14:textId="77777777" w:rsidR="001B7E1E" w:rsidRDefault="00000000">
      <w:pPr>
        <w:numPr>
          <w:ilvl w:val="0"/>
          <w:numId w:val="1"/>
        </w:numPr>
        <w:pBdr>
          <w:top w:val="nil"/>
          <w:left w:val="nil"/>
          <w:bottom w:val="nil"/>
          <w:right w:val="nil"/>
          <w:between w:val="nil"/>
        </w:pBdr>
        <w:spacing w:after="0"/>
        <w:jc w:val="both"/>
        <w:rPr>
          <w:rFonts w:ascii="Montserrat" w:eastAsia="Montserrat" w:hAnsi="Montserrat" w:cs="Montserrat"/>
          <w:color w:val="000000"/>
          <w:sz w:val="22"/>
          <w:szCs w:val="22"/>
        </w:rPr>
      </w:pPr>
      <w:r>
        <w:rPr>
          <w:rFonts w:ascii="Montserrat" w:eastAsia="Montserrat" w:hAnsi="Montserrat" w:cs="Montserrat"/>
          <w:color w:val="000000"/>
          <w:sz w:val="22"/>
          <w:szCs w:val="22"/>
        </w:rPr>
        <w:t xml:space="preserve">Roberto de León Huerta, Director General de Derechos Humanos y Democracia de la Secretaría de Relaciones Exteriores;  </w:t>
      </w:r>
    </w:p>
    <w:p w14:paraId="14D6EFDD" w14:textId="77777777" w:rsidR="001B7E1E" w:rsidRDefault="00000000">
      <w:pPr>
        <w:numPr>
          <w:ilvl w:val="0"/>
          <w:numId w:val="1"/>
        </w:numPr>
        <w:pBdr>
          <w:top w:val="nil"/>
          <w:left w:val="nil"/>
          <w:bottom w:val="nil"/>
          <w:right w:val="nil"/>
          <w:between w:val="nil"/>
        </w:pBdr>
        <w:spacing w:after="0"/>
        <w:jc w:val="both"/>
        <w:rPr>
          <w:rFonts w:ascii="Montserrat" w:eastAsia="Montserrat" w:hAnsi="Montserrat" w:cs="Montserrat"/>
          <w:color w:val="000000"/>
          <w:sz w:val="22"/>
          <w:szCs w:val="22"/>
        </w:rPr>
      </w:pPr>
      <w:r>
        <w:rPr>
          <w:rFonts w:ascii="Montserrat" w:eastAsia="Montserrat" w:hAnsi="Montserrat" w:cs="Montserrat"/>
          <w:color w:val="000000"/>
          <w:sz w:val="22"/>
          <w:szCs w:val="22"/>
        </w:rPr>
        <w:t xml:space="preserve">Lizbeth Eugenia Rosas Montero, Directora General de Normatividad, Promoción y Difusión de los Derechos de niñas, niños y adolescentes del Sistema Nacional para el Desarrollo Integral de la Familia; </w:t>
      </w:r>
    </w:p>
    <w:p w14:paraId="14BCA3A4" w14:textId="77777777" w:rsidR="001B7E1E" w:rsidRDefault="00000000">
      <w:pPr>
        <w:numPr>
          <w:ilvl w:val="0"/>
          <w:numId w:val="1"/>
        </w:numPr>
        <w:pBdr>
          <w:top w:val="nil"/>
          <w:left w:val="nil"/>
          <w:bottom w:val="nil"/>
          <w:right w:val="nil"/>
          <w:between w:val="nil"/>
        </w:pBdr>
        <w:jc w:val="both"/>
        <w:rPr>
          <w:rFonts w:ascii="Montserrat" w:eastAsia="Montserrat" w:hAnsi="Montserrat" w:cs="Montserrat"/>
          <w:color w:val="000000"/>
          <w:sz w:val="22"/>
          <w:szCs w:val="22"/>
        </w:rPr>
      </w:pPr>
      <w:r>
        <w:rPr>
          <w:rFonts w:ascii="Montserrat" w:eastAsia="Montserrat" w:hAnsi="Montserrat" w:cs="Montserrat"/>
          <w:color w:val="000000"/>
          <w:sz w:val="22"/>
          <w:szCs w:val="22"/>
        </w:rPr>
        <w:t>Arturo Guerrero Zazueta, Director General de Derechos Humanos, Igualdad de Género y Asuntos Internacionales del Consejo de la Judicatura Federal.</w:t>
      </w:r>
    </w:p>
    <w:p w14:paraId="23DE8074"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Asimismo, durante el segmento vespertino, se incorporarán a la delegación representantes de la Secretaría Ejecutiva del Sistema Nacional de Protección Integral de Niñas, Niños y Adolescentes, la Procuraduría Federal de Protección de Niñas, Niños y Adolescentes del Sistema Nacional, la Secretaría de Salud, la Secretaría de Bienestar y el Instituto Nacional de las Mujeres. </w:t>
      </w:r>
    </w:p>
    <w:p w14:paraId="29F2AC9F"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Esto demuestra no solo el compromiso de nuestro gobierno con el diálogo, sino también el carácter transversal de la Convención, y la voluntad de México para contribuir a que la aplicación de la Convención se fortalezca a través de las mejores prácticas legislativas, institucionales y de implementación </w:t>
      </w:r>
    </w:p>
    <w:p w14:paraId="5DD5185E"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Sin más, le cedo la palabra al Director General de Derechos Humanos y Democracia, Roberto de León, para continuar con la intervención inicial de nuestro país. </w:t>
      </w:r>
    </w:p>
    <w:p w14:paraId="5314A85C" w14:textId="77777777" w:rsidR="001B7E1E" w:rsidRDefault="00000000">
      <w:pPr>
        <w:jc w:val="both"/>
        <w:rPr>
          <w:rFonts w:ascii="Montserrat" w:eastAsia="Montserrat" w:hAnsi="Montserrat" w:cs="Montserrat"/>
          <w:b/>
          <w:i/>
          <w:sz w:val="22"/>
          <w:szCs w:val="22"/>
        </w:rPr>
      </w:pPr>
      <w:r>
        <w:rPr>
          <w:rFonts w:ascii="Montserrat" w:eastAsia="Montserrat" w:hAnsi="Montserrat" w:cs="Montserrat"/>
          <w:b/>
          <w:i/>
          <w:sz w:val="22"/>
          <w:szCs w:val="22"/>
        </w:rPr>
        <w:t>Intervención inicial de México por parte del DGDH Roberto de León (</w:t>
      </w:r>
      <w:r>
        <w:rPr>
          <w:rFonts w:ascii="Montserrat" w:eastAsia="Montserrat" w:hAnsi="Montserrat" w:cs="Montserrat"/>
          <w:b/>
          <w:i/>
          <w:color w:val="C00000"/>
          <w:sz w:val="22"/>
          <w:szCs w:val="22"/>
        </w:rPr>
        <w:t xml:space="preserve"> 1133  palabras /    9 min</w:t>
      </w:r>
      <w:r>
        <w:rPr>
          <w:rFonts w:ascii="Montserrat" w:eastAsia="Montserrat" w:hAnsi="Montserrat" w:cs="Montserrat"/>
          <w:b/>
          <w:i/>
          <w:sz w:val="22"/>
          <w:szCs w:val="22"/>
        </w:rPr>
        <w:t xml:space="preserve">): </w:t>
      </w:r>
    </w:p>
    <w:p w14:paraId="5A8BC5EF"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Señoras y señores expertos del Comité,</w:t>
      </w:r>
    </w:p>
    <w:p w14:paraId="3F354CF9"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La delegación mexicana participa en este ejercicio reafirmando su compromiso con sus obligaciones internacionales en materia de derechos humanos, así como su apertura al diálogo y al escrutinio internacional. </w:t>
      </w:r>
    </w:p>
    <w:p w14:paraId="7AD6BC8D"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lastRenderedPageBreak/>
        <w:t>México, al igual que el resto de los Estados Miembros de Naciones Unidas, participa en este órgano bajo el principio de igualdad jurídica, el cual significa que todos los Estados, independientemente de sus diferencias económicas, sociales, políticas u otras, cuenta con los mismos derechos y deberes. En virtud de ello y con el fin de permitir un verdadero diálogo interactivo con los expertos, el Estado mexicano solicitó poder realizar esta sustentación de manera híbrida a fin de garantizar la participación de las instituciones competentes.</w:t>
      </w:r>
    </w:p>
    <w:p w14:paraId="1B0C7419"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Señoras y señores expertos del Comité,</w:t>
      </w:r>
    </w:p>
    <w:p w14:paraId="47CE94C2"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La promoción y protección de los derechos humanos de los niños, niñas y adolescentes ha sido tanto un eje central de la política exterior de México,como un aspecto fundamental y transversal de nuestras políticas públicas a nivel nacional. </w:t>
      </w:r>
    </w:p>
    <w:p w14:paraId="5B2DC0B9"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El origen de las acciones del Gobierno de México a favor de la promoción, protección y disfrute de los derechos humanos de los niños, niñas y adolescentes proviene del artículo 1º y 5º de nuestra Carta Magna, los cuales establecen que</w:t>
      </w:r>
      <w:r>
        <w:rPr>
          <w:rFonts w:ascii="Arial" w:eastAsia="Arial" w:hAnsi="Arial" w:cs="Arial"/>
          <w:color w:val="001D35"/>
          <w:sz w:val="27"/>
          <w:szCs w:val="27"/>
          <w:highlight w:val="white"/>
        </w:rPr>
        <w:t xml:space="preserve"> </w:t>
      </w:r>
      <w:r>
        <w:rPr>
          <w:rFonts w:ascii="Montserrat" w:eastAsia="Montserrat" w:hAnsi="Montserrat" w:cs="Montserrat"/>
          <w:sz w:val="22"/>
          <w:szCs w:val="22"/>
        </w:rPr>
        <w:t>todas las personas gozan de los derechos humanos, y otorgan rango constitucional a tratados internacionales de los que el Estado Mexicano sea parte y, en el caso del artículo 5º, indican que “</w:t>
      </w:r>
      <w:r>
        <w:rPr>
          <w:rFonts w:ascii="Montserrat" w:eastAsia="Montserrat" w:hAnsi="Montserrat" w:cs="Montserrat"/>
          <w:i/>
          <w:sz w:val="22"/>
          <w:szCs w:val="22"/>
        </w:rPr>
        <w:t>todas las decisiones y actuaciones del Estado se velará y cumplirá con el principio del interés superior de la niñez, garantizando de manera plena sus derechos</w:t>
      </w:r>
      <w:r>
        <w:rPr>
          <w:rFonts w:ascii="Montserrat" w:eastAsia="Montserrat" w:hAnsi="Montserrat" w:cs="Montserrat"/>
          <w:sz w:val="22"/>
          <w:szCs w:val="22"/>
        </w:rPr>
        <w:t xml:space="preserve">”. </w:t>
      </w:r>
    </w:p>
    <w:p w14:paraId="054768C7"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En virtud de lo anterior, se desarrolló el Programa Nacional de Derechos Humanos 2020-2024, el cual cuenta con cinco objetivos prioritarios, el tercero de los cuales requiere al Gobierno de México “</w:t>
      </w:r>
      <w:r>
        <w:rPr>
          <w:rFonts w:ascii="Montserrat" w:eastAsia="Montserrat" w:hAnsi="Montserrat" w:cs="Montserrat"/>
          <w:i/>
          <w:sz w:val="22"/>
          <w:szCs w:val="22"/>
        </w:rPr>
        <w:t>impulsar acciones focalizadas para garantizar los derechos humanos de los grupos históricamente discriminados</w:t>
      </w:r>
      <w:r>
        <w:rPr>
          <w:rFonts w:ascii="Montserrat" w:eastAsia="Montserrat" w:hAnsi="Montserrat" w:cs="Montserrat"/>
          <w:sz w:val="22"/>
          <w:szCs w:val="22"/>
        </w:rPr>
        <w:t xml:space="preserve">”, como es el caso de niñas, niños y adolescentes, bajo el principio del interés superior. </w:t>
      </w:r>
    </w:p>
    <w:p w14:paraId="1F8B5F87"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Durante el sexenio actual, la política de derechos humanos de México se ha enfocado en el combate a la pobreza y las causas estructurales de la desigualdad y la violencia. Como ha señalado el Presidente de la República, “Por el bien de todos, primero los pobres”, lo cual ya es una realidad que se practica día a día. </w:t>
      </w:r>
    </w:p>
    <w:p w14:paraId="40DC9197"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En gran medida, gracias a los Programas de Bienestar, así como el desarrollo del sureste de México , de 2018 a 2022, 9.5 millones de personas superaron la pobreza en nuestro país. Asimismo, según los datos proporcionados por el Consejo Nacional de Evaluación de la Política de Desarrollo Social (CONEVAL), el porcentaje de menores de 18 años en situación de pobreza multidimensional pasó de 50.3% en 2018 a 45.8% en 2022. </w:t>
      </w:r>
    </w:p>
    <w:p w14:paraId="68CA15A2"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En materia de educación, la Estrategia Nacional de Educación Inclusiva ha iniciado una transformación progresiva del Sistema Educativo Nacional, a un sistema inclusivo, flexible y pertinente para niñas, niños, adolescentes en todo el país, en su amplia diversidad, en igualdad de condiciones y oportunidades. </w:t>
      </w:r>
    </w:p>
    <w:p w14:paraId="2BACE881"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lastRenderedPageBreak/>
        <w:t xml:space="preserve">Con respecto al derecho a la protección de la salud, el sistema nacional de salud se ha fortalecido para garantizar los servicios de salud para toda la población. En 2024 el gasto federal en salud alcanzó una  cifra histórica, aumentando 27% respecto del sexenio anterior. </w:t>
      </w:r>
    </w:p>
    <w:p w14:paraId="236071FC"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Asimismo, en solo dos años el IMSS-Bienestar aumentó cuatro veces su cobertura gratuita y, para el cierre de 2024, se prevé que dicho Instituto cuente con capacidad para atender a 54.5 millones de mexicanas y mexicanos. De julio de 2022 a junio de 2023, el IMSS logró cifras récord en los servicios otorgados, registrando 196 millones de atenciones totales, de los cuales 88 millones fueron consultas de Medicina Familiar. </w:t>
      </w:r>
    </w:p>
    <w:p w14:paraId="46019136"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En seguimiento al Artículo 12 de la Convención, lo anterior se ha logrado en gran medida y de manera progresiva de la mano con niños, niñas y adolescentes, mediante el incremento de espacios para que esta población, al igual que los representantes de la sociedad civil, puedan expresar su opinión libremente y contribuir a la elaboración, definición e implementación de las políticas públicas en la materia y, de esta manera, se convierten en agentes de cambio y participantes activos en nuestra democracia. Saludo la presencia de los niños, niñas y adolescentes mexicanos que acompañan este ejercicio. </w:t>
      </w:r>
    </w:p>
    <w:p w14:paraId="452C9517" w14:textId="77777777" w:rsidR="001B7E1E" w:rsidRDefault="00000000">
      <w:pPr>
        <w:spacing w:after="0" w:line="240" w:lineRule="auto"/>
        <w:jc w:val="both"/>
        <w:rPr>
          <w:rFonts w:ascii="Montserrat" w:eastAsia="Montserrat" w:hAnsi="Montserrat" w:cs="Montserrat"/>
          <w:sz w:val="22"/>
          <w:szCs w:val="22"/>
        </w:rPr>
      </w:pPr>
      <w:r>
        <w:rPr>
          <w:rFonts w:ascii="Montserrat" w:eastAsia="Montserrat" w:hAnsi="Montserrat" w:cs="Montserrat"/>
          <w:sz w:val="22"/>
          <w:szCs w:val="22"/>
        </w:rPr>
        <w:t>Asimismo, contamos con otros avances importantes en la creación de espacios de participación de los niños, niñas y adolescentes en la toma de decisiones, como es el caso del Consejo Consultivo Nacional de Niñas, Niños y Adolescentes. Como ejemplo de ello, hemos compartido con ustedes un video, mediante el cual los propios niños, niñas y adolescentes que forman parte del Consejo Consultivo expresan sus preocupaciones, así como propuestas para atender dichas problemáticas. Tan es así que, por primera vez, el Estado mexicano elaboró el informe que rinde ante este Comité, no solo con información a nivel federal, la participación de 28 gobiernos locales, de organismos de la Sociedad Civil y la academia, sino también con la participación de NNA.</w:t>
      </w:r>
    </w:p>
    <w:p w14:paraId="5A607057" w14:textId="77777777" w:rsidR="001B7E1E" w:rsidRDefault="001B7E1E">
      <w:pPr>
        <w:spacing w:after="0" w:line="240" w:lineRule="auto"/>
        <w:jc w:val="both"/>
        <w:rPr>
          <w:rFonts w:ascii="Montserrat" w:eastAsia="Montserrat" w:hAnsi="Montserrat" w:cs="Montserrat"/>
          <w:sz w:val="22"/>
          <w:szCs w:val="22"/>
        </w:rPr>
      </w:pPr>
    </w:p>
    <w:p w14:paraId="40C2A368" w14:textId="77777777" w:rsidR="001B7E1E" w:rsidRDefault="001B7E1E">
      <w:pPr>
        <w:spacing w:after="0" w:line="240" w:lineRule="auto"/>
        <w:jc w:val="both"/>
        <w:rPr>
          <w:rFonts w:ascii="Montserrat" w:eastAsia="Montserrat" w:hAnsi="Montserrat" w:cs="Montserrat"/>
          <w:sz w:val="22"/>
          <w:szCs w:val="22"/>
        </w:rPr>
      </w:pPr>
    </w:p>
    <w:p w14:paraId="0603928B" w14:textId="77777777" w:rsidR="001B7E1E" w:rsidRDefault="00000000">
      <w:pPr>
        <w:spacing w:after="0" w:line="240" w:lineRule="auto"/>
        <w:jc w:val="both"/>
        <w:rPr>
          <w:rFonts w:ascii="Montserrat" w:eastAsia="Montserrat" w:hAnsi="Montserrat" w:cs="Montserrat"/>
          <w:sz w:val="22"/>
          <w:szCs w:val="22"/>
        </w:rPr>
      </w:pPr>
      <w:r>
        <w:rPr>
          <w:rFonts w:ascii="Montserrat" w:eastAsia="Montserrat" w:hAnsi="Montserrat" w:cs="Montserrat"/>
          <w:sz w:val="22"/>
          <w:szCs w:val="22"/>
        </w:rPr>
        <w:t>Quisiéramos destacar en particular las acciones específicas adoptadas por el gobierno mexicano para combatir la pobreza y las desigualdades socioeconómicas. Los Programas de Bienestar del Gobierno de México referidos anteriormente, cuentan con un enfoque en las poblaciones históricamente excluidas. En este sentido, el Estado mexicano ha enfrentado el desafío en el combate a la pobreza de las niñas, niños y adolescentes de manera frontal y coordinada.</w:t>
      </w:r>
    </w:p>
    <w:p w14:paraId="52199618" w14:textId="77777777" w:rsidR="001B7E1E" w:rsidRDefault="001B7E1E">
      <w:pPr>
        <w:spacing w:after="0" w:line="240" w:lineRule="auto"/>
        <w:jc w:val="both"/>
        <w:rPr>
          <w:rFonts w:ascii="Montserrat" w:eastAsia="Montserrat" w:hAnsi="Montserrat" w:cs="Montserrat"/>
          <w:sz w:val="22"/>
          <w:szCs w:val="22"/>
        </w:rPr>
      </w:pPr>
    </w:p>
    <w:p w14:paraId="3A9FE804" w14:textId="77777777" w:rsidR="001B7E1E" w:rsidRDefault="00000000">
      <w:pPr>
        <w:spacing w:after="0" w:line="240" w:lineRule="auto"/>
        <w:jc w:val="both"/>
        <w:rPr>
          <w:rFonts w:ascii="Montserrat" w:eastAsia="Montserrat" w:hAnsi="Montserrat" w:cs="Montserrat"/>
          <w:sz w:val="22"/>
          <w:szCs w:val="22"/>
        </w:rPr>
      </w:pPr>
      <w:r>
        <w:rPr>
          <w:rFonts w:ascii="Montserrat" w:eastAsia="Montserrat" w:hAnsi="Montserrat" w:cs="Montserrat"/>
          <w:sz w:val="22"/>
          <w:szCs w:val="22"/>
        </w:rPr>
        <w:t xml:space="preserve">Las pensiones y programas de Bienestar del Gobierno de México se centran en la garantía de los derechos sociales mediante el apoyo económico directo a dichos grupos. En el sexto año de gestión del Presidente Andrés Manuel López Obrador se otorgaron cada dos meses pensiones y apoyos a 14 millones 317 mil 499 personas y la inversión de los programas sociales aumentó más de 287.6% en los últimos seis años. </w:t>
      </w:r>
    </w:p>
    <w:p w14:paraId="2394BE5E" w14:textId="77777777" w:rsidR="001B7E1E" w:rsidRDefault="001B7E1E">
      <w:pPr>
        <w:spacing w:line="240" w:lineRule="auto"/>
        <w:jc w:val="both"/>
        <w:rPr>
          <w:rFonts w:ascii="Montserrat" w:eastAsia="Montserrat" w:hAnsi="Montserrat" w:cs="Montserrat"/>
          <w:sz w:val="22"/>
          <w:szCs w:val="22"/>
        </w:rPr>
      </w:pPr>
    </w:p>
    <w:p w14:paraId="1C57D89E" w14:textId="77777777" w:rsidR="001B7E1E" w:rsidRDefault="00000000">
      <w:pPr>
        <w:spacing w:line="240" w:lineRule="auto"/>
        <w:jc w:val="both"/>
        <w:rPr>
          <w:rFonts w:ascii="Montserrat" w:eastAsia="Montserrat" w:hAnsi="Montserrat" w:cs="Montserrat"/>
          <w:sz w:val="22"/>
          <w:szCs w:val="22"/>
        </w:rPr>
      </w:pPr>
      <w:r>
        <w:rPr>
          <w:rFonts w:ascii="Montserrat" w:eastAsia="Montserrat" w:hAnsi="Montserrat" w:cs="Montserrat"/>
          <w:sz w:val="22"/>
          <w:szCs w:val="22"/>
        </w:rPr>
        <w:t>Cada uno de estos programas, de manera directa o indirecta, contribuyen a reducir los índices de pobreza y desigualdad de los niños, niñas y adolescentes de nuestro país, atendiendo de manera transversal las causas estructurales de la pobreza multidimensional, lo cual, cabe reiterar, ha provocado una disminución importante durante los últimos años.</w:t>
      </w:r>
    </w:p>
    <w:p w14:paraId="711DEF46" w14:textId="77777777" w:rsidR="001B7E1E" w:rsidRDefault="00000000">
      <w:pPr>
        <w:spacing w:line="240" w:lineRule="auto"/>
        <w:jc w:val="both"/>
        <w:rPr>
          <w:rFonts w:ascii="Montserrat" w:eastAsia="Montserrat" w:hAnsi="Montserrat" w:cs="Montserrat"/>
          <w:sz w:val="22"/>
          <w:szCs w:val="22"/>
        </w:rPr>
      </w:pPr>
      <w:r>
        <w:rPr>
          <w:rFonts w:ascii="Montserrat" w:eastAsia="Montserrat" w:hAnsi="Montserrat" w:cs="Montserrat"/>
          <w:sz w:val="22"/>
          <w:szCs w:val="22"/>
        </w:rPr>
        <w:lastRenderedPageBreak/>
        <w:t xml:space="preserve">De manera específica, cabe señalar dos programas:  </w:t>
      </w:r>
    </w:p>
    <w:p w14:paraId="24715461" w14:textId="77777777" w:rsidR="001B7E1E" w:rsidRDefault="00000000">
      <w:pPr>
        <w:numPr>
          <w:ilvl w:val="0"/>
          <w:numId w:val="5"/>
        </w:numPr>
        <w:spacing w:after="0" w:line="240" w:lineRule="auto"/>
        <w:jc w:val="both"/>
        <w:rPr>
          <w:rFonts w:ascii="Montserrat" w:eastAsia="Montserrat" w:hAnsi="Montserrat" w:cs="Montserrat"/>
          <w:sz w:val="22"/>
          <w:szCs w:val="22"/>
        </w:rPr>
      </w:pPr>
      <w:r>
        <w:rPr>
          <w:rFonts w:ascii="Montserrat" w:eastAsia="Montserrat" w:hAnsi="Montserrat" w:cs="Montserrat"/>
          <w:sz w:val="22"/>
          <w:szCs w:val="22"/>
        </w:rPr>
        <w:t xml:space="preserve">El Programa de Apoyo para el Bienestar de las Niñas y Niños, Hijos de Madres Trabajadoras. Este programa cuenta con un padrón de 276.4 mil personas beneficiarias. </w:t>
      </w:r>
    </w:p>
    <w:p w14:paraId="2ABEE222" w14:textId="77777777" w:rsidR="001B7E1E" w:rsidRDefault="00000000">
      <w:pPr>
        <w:numPr>
          <w:ilvl w:val="0"/>
          <w:numId w:val="5"/>
        </w:numPr>
        <w:spacing w:line="240" w:lineRule="auto"/>
        <w:jc w:val="both"/>
        <w:rPr>
          <w:rFonts w:ascii="Montserrat" w:eastAsia="Montserrat" w:hAnsi="Montserrat" w:cs="Montserrat"/>
          <w:sz w:val="22"/>
          <w:szCs w:val="22"/>
        </w:rPr>
      </w:pPr>
      <w:r>
        <w:rPr>
          <w:rFonts w:ascii="Montserrat" w:eastAsia="Montserrat" w:hAnsi="Montserrat" w:cs="Montserrat"/>
          <w:sz w:val="22"/>
          <w:szCs w:val="22"/>
        </w:rPr>
        <w:t>El Programa Pensión para el Bienestar de las Personas con Discapacidad. Gracias a este programa, 1.4 millones de personas con discapacidad recibieron una pensión no contributiva. De 2021 a 2024 se brindaron más de 2 millones de sesiones de rehabilitación e inclusión que beneficiaron a casi 27 mil niñas y niños con discapacidad.</w:t>
      </w:r>
    </w:p>
    <w:p w14:paraId="77F60478" w14:textId="77777777" w:rsidR="001B7E1E" w:rsidRDefault="00000000">
      <w:pPr>
        <w:numPr>
          <w:ilvl w:val="0"/>
          <w:numId w:val="5"/>
        </w:numPr>
        <w:spacing w:after="0" w:line="240" w:lineRule="auto"/>
        <w:jc w:val="both"/>
        <w:rPr>
          <w:rFonts w:ascii="Montserrat" w:eastAsia="Montserrat" w:hAnsi="Montserrat" w:cs="Montserrat"/>
          <w:sz w:val="22"/>
          <w:szCs w:val="22"/>
        </w:rPr>
      </w:pPr>
      <w:r>
        <w:rPr>
          <w:rFonts w:ascii="Montserrat" w:eastAsia="Montserrat" w:hAnsi="Montserrat" w:cs="Montserrat"/>
          <w:sz w:val="22"/>
          <w:szCs w:val="22"/>
        </w:rPr>
        <w:t xml:space="preserve">El Programa de Becas para el Bienestar Benito Juárez, en el marco del cual se otorgan los siguientes apoyos con más de 22 millones de beneficiarios: </w:t>
      </w:r>
    </w:p>
    <w:p w14:paraId="341672CB" w14:textId="77777777" w:rsidR="001B7E1E" w:rsidRDefault="00000000">
      <w:pPr>
        <w:numPr>
          <w:ilvl w:val="1"/>
          <w:numId w:val="5"/>
        </w:numPr>
        <w:spacing w:after="0" w:line="240" w:lineRule="auto"/>
        <w:jc w:val="both"/>
        <w:rPr>
          <w:rFonts w:ascii="Montserrat" w:eastAsia="Montserrat" w:hAnsi="Montserrat" w:cs="Montserrat"/>
          <w:sz w:val="22"/>
          <w:szCs w:val="22"/>
        </w:rPr>
      </w:pPr>
      <w:r>
        <w:rPr>
          <w:rFonts w:ascii="Montserrat" w:eastAsia="Montserrat" w:hAnsi="Montserrat" w:cs="Montserrat"/>
          <w:sz w:val="22"/>
          <w:szCs w:val="22"/>
        </w:rPr>
        <w:t>Becas de Educación Básica para el Bienestar Benito Juárez, que benefician a más de 9.2 millones de niñas, niños y adolescentes que estudian en escuelas públicas de educación básica ubicadas en comunidades prioritarias de alta y muy alta marginación, y que forman parte de 5.7 millones familias, cuyo ingreso mensual per cápita es menor a la línea de pobreza.</w:t>
      </w:r>
    </w:p>
    <w:p w14:paraId="5C3EB1AF" w14:textId="77777777" w:rsidR="001B7E1E" w:rsidRDefault="00000000">
      <w:pPr>
        <w:numPr>
          <w:ilvl w:val="1"/>
          <w:numId w:val="5"/>
        </w:numPr>
        <w:spacing w:after="0" w:line="240" w:lineRule="auto"/>
        <w:jc w:val="both"/>
        <w:rPr>
          <w:rFonts w:ascii="Montserrat" w:eastAsia="Montserrat" w:hAnsi="Montserrat" w:cs="Montserrat"/>
          <w:sz w:val="22"/>
          <w:szCs w:val="22"/>
        </w:rPr>
      </w:pPr>
      <w:r>
        <w:rPr>
          <w:rFonts w:ascii="Montserrat" w:eastAsia="Montserrat" w:hAnsi="Montserrat" w:cs="Montserrat"/>
          <w:sz w:val="22"/>
          <w:szCs w:val="22"/>
        </w:rPr>
        <w:t xml:space="preserve">Beca Universal para Estudiantes de Educación Media Superior Benito Juárez. A través de estas becas se benefició adicionalmente a 11.4 millones de estudiantes adicionales de bachilleratos y preparatorias del sector público oficial.   </w:t>
      </w:r>
    </w:p>
    <w:p w14:paraId="6C335B8A" w14:textId="77777777" w:rsidR="001B7E1E" w:rsidRDefault="001B7E1E">
      <w:pPr>
        <w:spacing w:after="0" w:line="240" w:lineRule="auto"/>
        <w:jc w:val="both"/>
        <w:rPr>
          <w:rFonts w:ascii="Montserrat" w:eastAsia="Montserrat" w:hAnsi="Montserrat" w:cs="Montserrat"/>
          <w:sz w:val="22"/>
          <w:szCs w:val="22"/>
        </w:rPr>
      </w:pPr>
    </w:p>
    <w:p w14:paraId="094BBC97" w14:textId="77777777" w:rsidR="001B7E1E" w:rsidRDefault="00000000">
      <w:pPr>
        <w:spacing w:line="240" w:lineRule="auto"/>
        <w:jc w:val="both"/>
        <w:rPr>
          <w:rFonts w:ascii="Montserrat" w:eastAsia="Montserrat" w:hAnsi="Montserrat" w:cs="Montserrat"/>
          <w:sz w:val="22"/>
          <w:szCs w:val="22"/>
        </w:rPr>
      </w:pPr>
      <w:r>
        <w:rPr>
          <w:rFonts w:ascii="Montserrat" w:eastAsia="Montserrat" w:hAnsi="Montserrat" w:cs="Montserrat"/>
          <w:sz w:val="22"/>
          <w:szCs w:val="22"/>
        </w:rPr>
        <w:t xml:space="preserve">Otros programas que tienen un impacto para recomponer el tejido social y que apuntalan al sistema nacional de cuidados son: Los programas sociales impulsados que están contribuyendo a combatir de manera transversal esta condición, en particular a través de: </w:t>
      </w:r>
    </w:p>
    <w:p w14:paraId="398E9F48" w14:textId="77777777" w:rsidR="001B7E1E" w:rsidRDefault="00000000">
      <w:pPr>
        <w:numPr>
          <w:ilvl w:val="0"/>
          <w:numId w:val="4"/>
        </w:numPr>
        <w:spacing w:line="240" w:lineRule="auto"/>
        <w:jc w:val="both"/>
        <w:rPr>
          <w:rFonts w:ascii="Montserrat" w:eastAsia="Montserrat" w:hAnsi="Montserrat" w:cs="Montserrat"/>
          <w:sz w:val="22"/>
          <w:szCs w:val="22"/>
        </w:rPr>
      </w:pPr>
      <w:r>
        <w:rPr>
          <w:rFonts w:ascii="Montserrat" w:eastAsia="Montserrat" w:hAnsi="Montserrat" w:cs="Montserrat"/>
          <w:sz w:val="22"/>
          <w:szCs w:val="22"/>
        </w:rPr>
        <w:t>Programa para el Bienestar de las Personas Adultas Mayores. Por medio del cual más de 12 millones de personas adultas mayores reciben una pensión no contributiva cada bimestre, 55.25% de ellas son mujeres, generando una corresponsabilidad intergeneracional.</w:t>
      </w:r>
    </w:p>
    <w:p w14:paraId="2F81705D" w14:textId="77777777" w:rsidR="001B7E1E" w:rsidRDefault="00000000">
      <w:pPr>
        <w:spacing w:line="240" w:lineRule="auto"/>
        <w:jc w:val="both"/>
        <w:rPr>
          <w:rFonts w:ascii="Montserrat" w:eastAsia="Montserrat" w:hAnsi="Montserrat" w:cs="Montserrat"/>
          <w:sz w:val="22"/>
          <w:szCs w:val="22"/>
        </w:rPr>
      </w:pPr>
      <w:r>
        <w:rPr>
          <w:rFonts w:ascii="Montserrat" w:eastAsia="Montserrat" w:hAnsi="Montserrat" w:cs="Montserrat"/>
          <w:sz w:val="22"/>
          <w:szCs w:val="22"/>
        </w:rPr>
        <w:t xml:space="preserve">No obstante estos esfuerzos, somos claros al decir que aún nos faltan muchos esfuerzos por hacer a nivel político, institucional y presupuestal para que las niñas, niños y adolescentes que hoy viven en condición de pobreza logren alcanzar el mayor de su desarrollo y su potencial. </w:t>
      </w:r>
    </w:p>
    <w:p w14:paraId="13C06625" w14:textId="77777777" w:rsidR="001B7E1E" w:rsidRDefault="00000000">
      <w:pPr>
        <w:pBdr>
          <w:top w:val="nil"/>
          <w:left w:val="nil"/>
          <w:bottom w:val="nil"/>
          <w:right w:val="nil"/>
          <w:between w:val="nil"/>
        </w:pBdr>
        <w:spacing w:after="0"/>
        <w:jc w:val="both"/>
        <w:rPr>
          <w:rFonts w:ascii="Montserrat" w:eastAsia="Montserrat" w:hAnsi="Montserrat" w:cs="Montserrat"/>
          <w:sz w:val="22"/>
          <w:szCs w:val="22"/>
        </w:rPr>
      </w:pPr>
      <w:r>
        <w:rPr>
          <w:rFonts w:ascii="Montserrat" w:eastAsia="Montserrat" w:hAnsi="Montserrat" w:cs="Montserrat"/>
          <w:sz w:val="22"/>
          <w:szCs w:val="22"/>
        </w:rPr>
        <w:t xml:space="preserve">Por otra parte, México está consciente que existen importantes retos que atender en la materia y estamos prestando particular atención a: </w:t>
      </w:r>
    </w:p>
    <w:p w14:paraId="571B626C" w14:textId="77777777" w:rsidR="001B7E1E" w:rsidRDefault="00000000">
      <w:pPr>
        <w:numPr>
          <w:ilvl w:val="0"/>
          <w:numId w:val="2"/>
        </w:numPr>
        <w:pBdr>
          <w:top w:val="nil"/>
          <w:left w:val="nil"/>
          <w:bottom w:val="nil"/>
          <w:right w:val="nil"/>
          <w:between w:val="nil"/>
        </w:pBdr>
        <w:spacing w:after="0"/>
        <w:jc w:val="both"/>
      </w:pPr>
      <w:r>
        <w:rPr>
          <w:rFonts w:ascii="Montserrat" w:eastAsia="Montserrat" w:hAnsi="Montserrat" w:cs="Montserrat"/>
          <w:color w:val="000000"/>
          <w:sz w:val="22"/>
          <w:szCs w:val="22"/>
        </w:rPr>
        <w:t xml:space="preserve">Niños, niñas y adolescentes en situación de movilidad humana, </w:t>
      </w:r>
    </w:p>
    <w:p w14:paraId="509B9FED" w14:textId="77777777" w:rsidR="001B7E1E" w:rsidRDefault="00000000">
      <w:pPr>
        <w:numPr>
          <w:ilvl w:val="0"/>
          <w:numId w:val="3"/>
        </w:numPr>
        <w:pBdr>
          <w:top w:val="nil"/>
          <w:left w:val="nil"/>
          <w:bottom w:val="nil"/>
          <w:right w:val="nil"/>
          <w:between w:val="nil"/>
        </w:pBdr>
        <w:spacing w:after="0"/>
        <w:jc w:val="both"/>
        <w:rPr>
          <w:rFonts w:ascii="Montserrat" w:eastAsia="Montserrat" w:hAnsi="Montserrat" w:cs="Montserrat"/>
          <w:color w:val="000000"/>
          <w:sz w:val="22"/>
          <w:szCs w:val="22"/>
        </w:rPr>
      </w:pPr>
      <w:r>
        <w:rPr>
          <w:rFonts w:ascii="Montserrat" w:eastAsia="Montserrat" w:hAnsi="Montserrat" w:cs="Montserrat"/>
          <w:color w:val="000000"/>
          <w:sz w:val="22"/>
          <w:szCs w:val="22"/>
        </w:rPr>
        <w:t xml:space="preserve">Violencia en contra de niños, niñas y adolescentes y, </w:t>
      </w:r>
    </w:p>
    <w:p w14:paraId="7D532701" w14:textId="77777777" w:rsidR="001B7E1E" w:rsidRDefault="00000000">
      <w:pPr>
        <w:numPr>
          <w:ilvl w:val="0"/>
          <w:numId w:val="3"/>
        </w:numPr>
        <w:pBdr>
          <w:top w:val="nil"/>
          <w:left w:val="nil"/>
          <w:bottom w:val="nil"/>
          <w:right w:val="nil"/>
          <w:between w:val="nil"/>
        </w:pBdr>
        <w:jc w:val="both"/>
        <w:rPr>
          <w:rFonts w:ascii="Montserrat" w:eastAsia="Montserrat" w:hAnsi="Montserrat" w:cs="Montserrat"/>
          <w:color w:val="000000"/>
          <w:sz w:val="22"/>
          <w:szCs w:val="22"/>
        </w:rPr>
      </w:pPr>
      <w:r>
        <w:rPr>
          <w:rFonts w:ascii="Montserrat" w:eastAsia="Montserrat" w:hAnsi="Montserrat" w:cs="Montserrat"/>
          <w:sz w:val="22"/>
          <w:szCs w:val="22"/>
        </w:rPr>
        <w:t>L</w:t>
      </w:r>
      <w:r>
        <w:rPr>
          <w:rFonts w:ascii="Montserrat" w:eastAsia="Montserrat" w:hAnsi="Montserrat" w:cs="Montserrat"/>
          <w:color w:val="000000"/>
          <w:sz w:val="22"/>
          <w:szCs w:val="22"/>
        </w:rPr>
        <w:t>a situación de niños privados de su entorno familiar y/o que se encuentran en situación de algún tipo de vulnerabilidad</w:t>
      </w:r>
    </w:p>
    <w:p w14:paraId="7A0C3E61"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No obstante, lo anterior, en cada uno de estos casos, hay importantes acciones institucionales que nos gustaría compartir con el Comité. </w:t>
      </w:r>
    </w:p>
    <w:p w14:paraId="42C21A88"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En este sentido, agradezco de antemano a los miembros del Comité por este diálogo constructivo, así como las recomendaciones que harán llegar al Gobierno de México, mismas </w:t>
      </w:r>
      <w:r>
        <w:rPr>
          <w:rFonts w:ascii="Montserrat" w:eastAsia="Montserrat" w:hAnsi="Montserrat" w:cs="Montserrat"/>
          <w:sz w:val="22"/>
          <w:szCs w:val="22"/>
        </w:rPr>
        <w:lastRenderedPageBreak/>
        <w:t>que estamos seguros contribuirán al fortalecimiento de la política pública de nuestro país a favor de los niños, niñas y adolescentes.</w:t>
      </w:r>
    </w:p>
    <w:p w14:paraId="2B80A0A9" w14:textId="77777777" w:rsidR="001B7E1E" w:rsidRDefault="00000000">
      <w:pPr>
        <w:jc w:val="both"/>
        <w:rPr>
          <w:rFonts w:ascii="Montserrat" w:eastAsia="Montserrat" w:hAnsi="Montserrat" w:cs="Montserrat"/>
          <w:sz w:val="22"/>
          <w:szCs w:val="22"/>
        </w:rPr>
      </w:pPr>
      <w:r>
        <w:rPr>
          <w:rFonts w:ascii="Montserrat" w:eastAsia="Montserrat" w:hAnsi="Montserrat" w:cs="Montserrat"/>
          <w:sz w:val="22"/>
          <w:szCs w:val="22"/>
        </w:rPr>
        <w:t xml:space="preserve">Muchas gracias. </w:t>
      </w:r>
    </w:p>
    <w:sectPr w:rsidR="001B7E1E">
      <w:headerReference w:type="default" r:id="rId8"/>
      <w:footerReference w:type="default" r:id="rId9"/>
      <w:pgSz w:w="12240" w:h="15840"/>
      <w:pgMar w:top="1440" w:right="1080" w:bottom="144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327D0" w14:textId="77777777" w:rsidR="003965EB" w:rsidRDefault="003965EB">
      <w:pPr>
        <w:spacing w:after="0" w:line="240" w:lineRule="auto"/>
      </w:pPr>
      <w:r>
        <w:separator/>
      </w:r>
    </w:p>
  </w:endnote>
  <w:endnote w:type="continuationSeparator" w:id="0">
    <w:p w14:paraId="74FC0933" w14:textId="77777777" w:rsidR="003965EB" w:rsidRDefault="00396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88CAB" w14:textId="77777777" w:rsidR="001B7E1E" w:rsidRDefault="00000000">
    <w:pPr>
      <w:pBdr>
        <w:top w:val="nil"/>
        <w:left w:val="nil"/>
        <w:bottom w:val="nil"/>
        <w:right w:val="nil"/>
        <w:between w:val="nil"/>
      </w:pBdr>
      <w:tabs>
        <w:tab w:val="center" w:pos="4419"/>
        <w:tab w:val="right" w:pos="8838"/>
      </w:tabs>
      <w:spacing w:after="0" w:line="240" w:lineRule="auto"/>
      <w:jc w:val="right"/>
      <w:rPr>
        <w:rFonts w:ascii="Montserrat" w:eastAsia="Montserrat" w:hAnsi="Montserrat" w:cs="Montserrat"/>
        <w:color w:val="000000"/>
        <w:sz w:val="16"/>
        <w:szCs w:val="16"/>
      </w:rPr>
    </w:pPr>
    <w:r>
      <w:rPr>
        <w:rFonts w:ascii="Montserrat" w:eastAsia="Montserrat" w:hAnsi="Montserrat" w:cs="Montserrat"/>
        <w:color w:val="000000"/>
        <w:sz w:val="16"/>
        <w:szCs w:val="16"/>
      </w:rPr>
      <w:fldChar w:fldCharType="begin"/>
    </w:r>
    <w:r>
      <w:rPr>
        <w:rFonts w:ascii="Montserrat" w:eastAsia="Montserrat" w:hAnsi="Montserrat" w:cs="Montserrat"/>
        <w:color w:val="000000"/>
        <w:sz w:val="16"/>
        <w:szCs w:val="16"/>
      </w:rPr>
      <w:instrText>PAGE</w:instrText>
    </w:r>
    <w:r>
      <w:rPr>
        <w:rFonts w:ascii="Montserrat" w:eastAsia="Montserrat" w:hAnsi="Montserrat" w:cs="Montserrat"/>
        <w:color w:val="000000"/>
        <w:sz w:val="16"/>
        <w:szCs w:val="16"/>
      </w:rPr>
      <w:fldChar w:fldCharType="separate"/>
    </w:r>
    <w:r w:rsidR="009D0B2C">
      <w:rPr>
        <w:rFonts w:ascii="Montserrat" w:eastAsia="Montserrat" w:hAnsi="Montserrat" w:cs="Montserrat"/>
        <w:noProof/>
        <w:color w:val="000000"/>
        <w:sz w:val="16"/>
        <w:szCs w:val="16"/>
      </w:rPr>
      <w:t>1</w:t>
    </w:r>
    <w:r>
      <w:rPr>
        <w:rFonts w:ascii="Montserrat" w:eastAsia="Montserrat" w:hAnsi="Montserrat" w:cs="Montserrat"/>
        <w:color w:val="000000"/>
        <w:sz w:val="16"/>
        <w:szCs w:val="16"/>
      </w:rPr>
      <w:fldChar w:fldCharType="end"/>
    </w:r>
  </w:p>
  <w:p w14:paraId="22396A0B" w14:textId="77777777" w:rsidR="001B7E1E" w:rsidRDefault="001B7E1E">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D5390" w14:textId="77777777" w:rsidR="003965EB" w:rsidRDefault="003965EB">
      <w:pPr>
        <w:spacing w:after="0" w:line="240" w:lineRule="auto"/>
      </w:pPr>
      <w:r>
        <w:separator/>
      </w:r>
    </w:p>
  </w:footnote>
  <w:footnote w:type="continuationSeparator" w:id="0">
    <w:p w14:paraId="626BD732" w14:textId="77777777" w:rsidR="003965EB" w:rsidRDefault="003965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8AE65" w14:textId="77777777" w:rsidR="001B7E1E"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58240" behindDoc="0" locked="0" layoutInCell="1" hidden="0" allowOverlap="1" wp14:anchorId="221A0FC0" wp14:editId="5CDAED6C">
          <wp:simplePos x="0" y="0"/>
          <wp:positionH relativeFrom="column">
            <wp:posOffset>2057400</wp:posOffset>
          </wp:positionH>
          <wp:positionV relativeFrom="paragraph">
            <wp:posOffset>-29206</wp:posOffset>
          </wp:positionV>
          <wp:extent cx="3968403" cy="427921"/>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968403" cy="42792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12D75"/>
    <w:multiLevelType w:val="multilevel"/>
    <w:tmpl w:val="3E2C79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9556CCB"/>
    <w:multiLevelType w:val="multilevel"/>
    <w:tmpl w:val="DC82EC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3EB6E9B"/>
    <w:multiLevelType w:val="multilevel"/>
    <w:tmpl w:val="FFA62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89A4F30"/>
    <w:multiLevelType w:val="multilevel"/>
    <w:tmpl w:val="5C0CB1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EB44C57"/>
    <w:multiLevelType w:val="multilevel"/>
    <w:tmpl w:val="B31CC1E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5808621">
    <w:abstractNumId w:val="1"/>
  </w:num>
  <w:num w:numId="2" w16cid:durableId="1133064815">
    <w:abstractNumId w:val="2"/>
  </w:num>
  <w:num w:numId="3" w16cid:durableId="591276025">
    <w:abstractNumId w:val="0"/>
  </w:num>
  <w:num w:numId="4" w16cid:durableId="1508715064">
    <w:abstractNumId w:val="4"/>
  </w:num>
  <w:num w:numId="5" w16cid:durableId="112016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E1E"/>
    <w:rsid w:val="001B7E1E"/>
    <w:rsid w:val="003965EB"/>
    <w:rsid w:val="009D0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B76AA"/>
  <w15:docId w15:val="{9B1A560E-68D0-4E0B-BD66-F68E4AD49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s-MX"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8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58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58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58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58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58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58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58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58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B58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B58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58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58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58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58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58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58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58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58BB"/>
    <w:rPr>
      <w:rFonts w:eastAsiaTheme="majorEastAsia" w:cstheme="majorBidi"/>
      <w:color w:val="272727" w:themeColor="text1" w:themeTint="D8"/>
    </w:rPr>
  </w:style>
  <w:style w:type="character" w:customStyle="1" w:styleId="TitleChar">
    <w:name w:val="Title Char"/>
    <w:basedOn w:val="DefaultParagraphFont"/>
    <w:link w:val="Title"/>
    <w:uiPriority w:val="10"/>
    <w:rsid w:val="00CB58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CB58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58BB"/>
    <w:pPr>
      <w:spacing w:before="160"/>
      <w:jc w:val="center"/>
    </w:pPr>
    <w:rPr>
      <w:i/>
      <w:iCs/>
      <w:color w:val="404040" w:themeColor="text1" w:themeTint="BF"/>
    </w:rPr>
  </w:style>
  <w:style w:type="character" w:customStyle="1" w:styleId="QuoteChar">
    <w:name w:val="Quote Char"/>
    <w:basedOn w:val="DefaultParagraphFont"/>
    <w:link w:val="Quote"/>
    <w:uiPriority w:val="29"/>
    <w:rsid w:val="00CB58BB"/>
    <w:rPr>
      <w:i/>
      <w:iCs/>
      <w:color w:val="404040" w:themeColor="text1" w:themeTint="BF"/>
    </w:rPr>
  </w:style>
  <w:style w:type="paragraph" w:styleId="ListParagraph">
    <w:name w:val="List Paragraph"/>
    <w:aliases w:val="lp1,List Paragraph1,Dot pt,Colorful List - Accent 11,No Spacing1,List Paragraph Char Char Char,Indicator Text,Numbered Para 1,Bullet 1,F5 List Paragraph,Bullet Points,Lista de nivel 1,4 Párrafo de lista,Figuras,DH1,Listas"/>
    <w:basedOn w:val="Normal"/>
    <w:link w:val="ListParagraphChar"/>
    <w:uiPriority w:val="34"/>
    <w:qFormat/>
    <w:rsid w:val="00CB58BB"/>
    <w:pPr>
      <w:ind w:left="720"/>
      <w:contextualSpacing/>
    </w:pPr>
  </w:style>
  <w:style w:type="character" w:styleId="IntenseEmphasis">
    <w:name w:val="Intense Emphasis"/>
    <w:basedOn w:val="DefaultParagraphFont"/>
    <w:uiPriority w:val="21"/>
    <w:qFormat/>
    <w:rsid w:val="00CB58BB"/>
    <w:rPr>
      <w:i/>
      <w:iCs/>
      <w:color w:val="0F4761" w:themeColor="accent1" w:themeShade="BF"/>
    </w:rPr>
  </w:style>
  <w:style w:type="paragraph" w:styleId="IntenseQuote">
    <w:name w:val="Intense Quote"/>
    <w:basedOn w:val="Normal"/>
    <w:next w:val="Normal"/>
    <w:link w:val="IntenseQuoteChar"/>
    <w:uiPriority w:val="30"/>
    <w:qFormat/>
    <w:rsid w:val="00CB58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58BB"/>
    <w:rPr>
      <w:i/>
      <w:iCs/>
      <w:color w:val="0F4761" w:themeColor="accent1" w:themeShade="BF"/>
    </w:rPr>
  </w:style>
  <w:style w:type="character" w:styleId="IntenseReference">
    <w:name w:val="Intense Reference"/>
    <w:basedOn w:val="DefaultParagraphFont"/>
    <w:uiPriority w:val="32"/>
    <w:qFormat/>
    <w:rsid w:val="00CB58BB"/>
    <w:rPr>
      <w:b/>
      <w:bCs/>
      <w:smallCaps/>
      <w:color w:val="0F4761" w:themeColor="accent1" w:themeShade="BF"/>
      <w:spacing w:val="5"/>
    </w:rPr>
  </w:style>
  <w:style w:type="paragraph" w:styleId="Header">
    <w:name w:val="header"/>
    <w:basedOn w:val="Normal"/>
    <w:link w:val="HeaderChar"/>
    <w:uiPriority w:val="99"/>
    <w:unhideWhenUsed/>
    <w:rsid w:val="00CB58BB"/>
    <w:pPr>
      <w:tabs>
        <w:tab w:val="center" w:pos="4419"/>
        <w:tab w:val="right" w:pos="8838"/>
      </w:tabs>
      <w:spacing w:after="0" w:line="240" w:lineRule="auto"/>
    </w:pPr>
  </w:style>
  <w:style w:type="character" w:customStyle="1" w:styleId="HeaderChar">
    <w:name w:val="Header Char"/>
    <w:basedOn w:val="DefaultParagraphFont"/>
    <w:link w:val="Header"/>
    <w:uiPriority w:val="99"/>
    <w:rsid w:val="00CB58BB"/>
  </w:style>
  <w:style w:type="paragraph" w:styleId="Footer">
    <w:name w:val="footer"/>
    <w:basedOn w:val="Normal"/>
    <w:link w:val="FooterChar"/>
    <w:uiPriority w:val="99"/>
    <w:unhideWhenUsed/>
    <w:rsid w:val="00CB58BB"/>
    <w:pPr>
      <w:tabs>
        <w:tab w:val="center" w:pos="4419"/>
        <w:tab w:val="right" w:pos="8838"/>
      </w:tabs>
      <w:spacing w:after="0" w:line="240" w:lineRule="auto"/>
    </w:pPr>
  </w:style>
  <w:style w:type="character" w:customStyle="1" w:styleId="FooterChar">
    <w:name w:val="Footer Char"/>
    <w:basedOn w:val="DefaultParagraphFont"/>
    <w:link w:val="Footer"/>
    <w:uiPriority w:val="99"/>
    <w:rsid w:val="00CB58BB"/>
  </w:style>
  <w:style w:type="paragraph" w:styleId="NormalWeb">
    <w:name w:val="Normal (Web)"/>
    <w:basedOn w:val="Normal"/>
    <w:uiPriority w:val="99"/>
    <w:semiHidden/>
    <w:unhideWhenUsed/>
    <w:rsid w:val="000F580F"/>
    <w:pPr>
      <w:spacing w:before="100" w:beforeAutospacing="1" w:after="100" w:afterAutospacing="1" w:line="240" w:lineRule="auto"/>
    </w:pPr>
    <w:rPr>
      <w:rFonts w:ascii="Times New Roman" w:eastAsia="Times New Roman" w:hAnsi="Times New Roman" w:cs="Times New Roman"/>
    </w:rPr>
  </w:style>
  <w:style w:type="character" w:customStyle="1" w:styleId="ListParagraphChar">
    <w:name w:val="List Paragraph Char"/>
    <w:aliases w:val="lp1 Char,List Paragraph1 Char,Dot pt Char,Colorful List - Accent 11 Char,No Spacing1 Char,List Paragraph Char Char Char Char,Indicator Text Char,Numbered Para 1 Char,Bullet 1 Char,F5 List Paragraph Char,Bullet Points Char,DH1 Char"/>
    <w:link w:val="ListParagraph"/>
    <w:uiPriority w:val="34"/>
    <w:qFormat/>
    <w:locked/>
    <w:rsid w:val="00300F69"/>
  </w:style>
  <w:style w:type="paragraph" w:styleId="Revision">
    <w:name w:val="Revision"/>
    <w:hidden/>
    <w:uiPriority w:val="99"/>
    <w:semiHidden/>
    <w:rsid w:val="00B07A65"/>
    <w:pPr>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OiZKmSv9hl4zYEo4t/icWeYAew==">CgMxLjA4AHIhMXBuNUhhT2xHMVp1Y19PSWVhUEI3N0tOWmdvYm93dzI0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2094</Words>
  <Characters>11940</Characters>
  <Application>Microsoft Office Word</Application>
  <DocSecurity>0</DocSecurity>
  <Lines>99</Lines>
  <Paragraphs>28</Paragraphs>
  <ScaleCrop>false</ScaleCrop>
  <Company>OHCHR</Company>
  <LinksUpToDate>false</LinksUpToDate>
  <CharactersWithSpaces>14006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Sada Vázquez, Manuel</dc:creator>
  <cp:lastModifiedBy>James Boit</cp:lastModifiedBy>
  <cp:revision>2</cp:revision>
  <dcterms:created xsi:type="dcterms:W3CDTF">2024-09-02T07:07:00Z</dcterms:created>
  <dcterms:modified xsi:type="dcterms:W3CDTF">2024-09-02T07:07:00Z</dcterms:modified>
</cp:coreProperties>
</file>