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F4" w:rsidRDefault="00A66FF4">
      <w:pPr>
        <w:jc w:val="center"/>
        <w:rPr>
          <w:b/>
        </w:rPr>
      </w:pPr>
      <w:bookmarkStart w:id="0" w:name="_GoBack"/>
      <w:bookmarkEnd w:id="0"/>
    </w:p>
    <w:p w:rsidR="00A66FF4" w:rsidRDefault="00535C75">
      <w:pPr>
        <w:jc w:val="center"/>
        <w:rPr>
          <w:b/>
        </w:rPr>
      </w:pPr>
      <w:r>
        <w:rPr>
          <w:b/>
        </w:rPr>
        <w:t xml:space="preserve">Aportes de la Asociación de Estudiantes Universitarios AEU  “Oliverio Castañeda de León” al Informe de Revisión Periódica de Guatemala ante el Comité de Derechos Económicos, Sociales y Culturales de las Naciones Unidas, del Período 2015 al 2019. </w:t>
      </w:r>
    </w:p>
    <w:p w:rsidR="00A66FF4" w:rsidRDefault="00535C75">
      <w:pPr>
        <w:rPr>
          <w:b/>
        </w:rPr>
      </w:pPr>
      <w:r>
        <w:rPr>
          <w:b/>
        </w:rPr>
        <w:t>Asociación de Estudiantes Universitarios “Oliverio Castañeda de León”</w:t>
      </w:r>
    </w:p>
    <w:p w:rsidR="00A66FF4" w:rsidRDefault="00535C75">
      <w:pPr>
        <w:jc w:val="both"/>
      </w:pPr>
      <w:r>
        <w:t>1. La Asociación de Estudiantes Universitarios “Oliverio Castañeda de León” fue fundada el 22 de mayo de 1920 y es la organización que representa a las y los estudiantes de la Universida</w:t>
      </w:r>
      <w:r>
        <w:t xml:space="preserve">d de San Carlos de Guatemala, única institución de educación superior pública en Guatemala. </w:t>
      </w:r>
    </w:p>
    <w:p w:rsidR="00A66FF4" w:rsidRDefault="00535C75">
      <w:pPr>
        <w:jc w:val="both"/>
        <w:rPr>
          <w:b/>
        </w:rPr>
      </w:pPr>
      <w:r>
        <w:t>2. La AEU se identifica actualmente como una organización que ha posicionado puntos de agenda en la Universidad más grande del país, como políticas de género que p</w:t>
      </w:r>
      <w:r>
        <w:t>rotejan a las estudiantes universitarias, así como propuestas culturales que abran el espacio a políticas inclusivas para las personas LGBTIQ+ y un enfrentamiento directo con los remanentes de los autoritarismos militares, así como el compromiso con los pu</w:t>
      </w:r>
      <w:r>
        <w:t xml:space="preserve">eblos indígenas, y las personas con discapacidad y sus necesidades, el medio ambiente y/o los recursos que presenta. </w:t>
      </w:r>
    </w:p>
    <w:p w:rsidR="00A66FF4" w:rsidRDefault="00535C75">
      <w:pPr>
        <w:rPr>
          <w:i/>
        </w:rPr>
      </w:pPr>
      <w:r>
        <w:rPr>
          <w:b/>
        </w:rPr>
        <w:t>Estado de ratificación de instrumentos internacionales en materia del Derecho a la Educación Pública Superior</w:t>
      </w:r>
    </w:p>
    <w:p w:rsidR="00A66FF4" w:rsidRDefault="00535C75">
      <w:pPr>
        <w:spacing w:before="240" w:after="0"/>
        <w:jc w:val="both"/>
      </w:pPr>
      <w:r>
        <w:t>3. El derecho humano a la ed</w:t>
      </w:r>
      <w:r>
        <w:t>ucación superior pública se encuentra reconocido en el artículo 13.2 del Pacto Internacional de Derechos Económicos, Sociales y Culturales -PIDESC-, el cual ha sido ratificado por el Estado de Guatemala en el Decreto del Congreso número 69-87, del 30 de se</w:t>
      </w:r>
      <w:r>
        <w:t>ptiembre de 1987.</w:t>
      </w:r>
    </w:p>
    <w:p w:rsidR="00A66FF4" w:rsidRDefault="00A66FF4">
      <w:pPr>
        <w:spacing w:after="160" w:line="240" w:lineRule="auto"/>
        <w:jc w:val="both"/>
        <w:rPr>
          <w:highlight w:val="white"/>
        </w:rPr>
      </w:pPr>
    </w:p>
    <w:p w:rsidR="00A66FF4" w:rsidRDefault="00535C75">
      <w:pPr>
        <w:spacing w:after="160" w:line="240" w:lineRule="auto"/>
        <w:jc w:val="both"/>
      </w:pPr>
      <w:r>
        <w:t>4. A pesar de su reconocimiento internacional, el Estado de Guatemala en sus distintos Informes de País remitidos al Comité de Derechos Económicos, Sociales y Culturales y otros organismos interamericanos de la materia, no hace referenci</w:t>
      </w:r>
      <w:r>
        <w:t>a a la educación superior ni da a conocer sus metas específicas e indicadores de resultados para el mejoramiento de la condición de este derecho humano, el cual en los últimos años ha reflejado problemas estructurales urgentes de atender que no se reflejan</w:t>
      </w:r>
      <w:r>
        <w:t xml:space="preserve"> los Informes de País.</w:t>
      </w:r>
      <w:r>
        <w:rPr>
          <w:vertAlign w:val="superscript"/>
        </w:rPr>
        <w:footnoteReference w:id="1"/>
      </w:r>
    </w:p>
    <w:p w:rsidR="00A66FF4" w:rsidRDefault="00535C75">
      <w:pPr>
        <w:spacing w:after="160" w:line="240" w:lineRule="auto"/>
        <w:jc w:val="both"/>
        <w:rPr>
          <w:b/>
        </w:rPr>
      </w:pPr>
      <w:r>
        <w:rPr>
          <w:b/>
        </w:rPr>
        <w:t>Institución encargada de impartir la educación superior pública estatal</w:t>
      </w:r>
    </w:p>
    <w:p w:rsidR="00A66FF4" w:rsidRDefault="00535C75">
      <w:pPr>
        <w:jc w:val="both"/>
        <w:rPr>
          <w:b/>
        </w:rPr>
      </w:pPr>
      <w:r>
        <w:t>5. La Universidad de San Carlos de Guatemala es una institución autónoma, se encuentra reconocida en la Constitución, en la sección quinta -</w:t>
      </w:r>
      <w:r>
        <w:rPr>
          <w:i/>
        </w:rPr>
        <w:t>Universidades</w:t>
      </w:r>
      <w:r>
        <w:t>-, y po</w:t>
      </w:r>
      <w:r>
        <w:t xml:space="preserve">r mandato constitucional se le </w:t>
      </w:r>
      <w:r>
        <w:lastRenderedPageBreak/>
        <w:t>encomienda con exclusividad dirigir, organizar y desarrollar la educación superior del Estado y la educación profesional universitaria.</w:t>
      </w:r>
    </w:p>
    <w:p w:rsidR="00A66FF4" w:rsidRDefault="00535C75">
      <w:pPr>
        <w:spacing w:before="240" w:after="0"/>
        <w:jc w:val="both"/>
      </w:pPr>
      <w:r>
        <w:t xml:space="preserve">6. A nivel constitucional, el Estado de Guatemala adquiere un compromiso presupuestario, </w:t>
      </w:r>
      <w:r>
        <w:t>en el artículo 84, de destinar un porcentaje anual no menor del 5% del Presupuesto de Ingresos Ordinarios del Estado (el cual está compuesto por la totalidad de los ingresos tributarios)</w:t>
      </w:r>
      <w:r>
        <w:rPr>
          <w:vertAlign w:val="superscript"/>
        </w:rPr>
        <w:footnoteReference w:id="2"/>
      </w:r>
      <w:r>
        <w:t xml:space="preserve"> y procurar aumentarlo según el crecimiento de la población estudiant</w:t>
      </w:r>
      <w:r>
        <w:t>il o mejora de la calidad académica.</w:t>
      </w:r>
    </w:p>
    <w:p w:rsidR="00A66FF4" w:rsidRDefault="00535C75">
      <w:pPr>
        <w:spacing w:before="240" w:after="0"/>
        <w:jc w:val="both"/>
      </w:pPr>
      <w:r>
        <w:t>7. Durante la crisis por el conflicto armado interno y la suscripción de los Acuerdos de Paz la Universidad de San Carlos y la educación superior pública presenta pocos avances en sus compromisos con una sociedad en tra</w:t>
      </w:r>
      <w:r>
        <w:t>nsición hacia la paz.</w:t>
      </w:r>
      <w:r>
        <w:rPr>
          <w:vertAlign w:val="superscript"/>
        </w:rPr>
        <w:footnoteReference w:id="3"/>
      </w:r>
      <w:r>
        <w:t xml:space="preserve"> Desde la Constitución de 1985 y la transición democrática, se involucró a la Universidad de San Carlos permitiéndole la unicidad en cuanto a la educación pública, la rectoría de la educación superior y un papel importante en la resol</w:t>
      </w:r>
      <w:r>
        <w:t>ución de los problemas y el manejo de controversias sociales</w:t>
      </w:r>
      <w:r>
        <w:rPr>
          <w:vertAlign w:val="superscript"/>
        </w:rPr>
        <w:footnoteReference w:id="4"/>
      </w:r>
      <w:r>
        <w:t>.</w:t>
      </w:r>
    </w:p>
    <w:p w:rsidR="00A66FF4" w:rsidRDefault="00A66FF4">
      <w:pPr>
        <w:spacing w:after="160" w:line="240" w:lineRule="auto"/>
        <w:jc w:val="both"/>
      </w:pPr>
    </w:p>
    <w:p w:rsidR="00A66FF4" w:rsidRDefault="00535C75">
      <w:pPr>
        <w:numPr>
          <w:ilvl w:val="0"/>
          <w:numId w:val="1"/>
        </w:numPr>
        <w:spacing w:after="160" w:line="240" w:lineRule="auto"/>
        <w:jc w:val="both"/>
        <w:rPr>
          <w:b/>
        </w:rPr>
      </w:pPr>
      <w:r>
        <w:rPr>
          <w:b/>
        </w:rPr>
        <w:t>Igualdad y no discriminación (Artículos 2, 3 y 10 del PIDESC)</w:t>
      </w:r>
    </w:p>
    <w:p w:rsidR="00A66FF4" w:rsidRDefault="00535C75">
      <w:pPr>
        <w:spacing w:after="160" w:line="240" w:lineRule="auto"/>
        <w:jc w:val="both"/>
        <w:rPr>
          <w:b/>
        </w:rPr>
      </w:pPr>
      <w:r>
        <w:rPr>
          <w:b/>
        </w:rPr>
        <w:t>Pueblos Indígenas</w:t>
      </w:r>
    </w:p>
    <w:p w:rsidR="00A66FF4" w:rsidRDefault="00535C75">
      <w:pPr>
        <w:spacing w:after="160" w:line="240" w:lineRule="auto"/>
        <w:jc w:val="both"/>
      </w:pPr>
      <w:r>
        <w:t>8. La Universidad de San Carlos de Guatemala, la única de carácter público en el país, reportó para el año 2019</w:t>
      </w:r>
      <w:r>
        <w:rPr>
          <w:vertAlign w:val="superscript"/>
        </w:rPr>
        <w:footnoteReference w:id="5"/>
      </w:r>
      <w:r>
        <w:t>, la inscripción de 219,223 estudiantes (53% mujeres 47% hombres), de los cuales, según el grupo étnico, un 83% es población ladino/mestiza, un 15.8% maya, 0.27% garífuna, 0.31% xinca y 0.64% respondió en otro/a. Esto refleja que la educación superior públ</w:t>
      </w:r>
      <w:r>
        <w:t xml:space="preserve">ica aún presenta brechas de acceso hacia los pueblos indígenas, xincas y garífunas. </w:t>
      </w:r>
    </w:p>
    <w:p w:rsidR="00A66FF4" w:rsidRDefault="00535C75">
      <w:pPr>
        <w:jc w:val="both"/>
      </w:pPr>
      <w:r>
        <w:t xml:space="preserve">9. Agregado a esto, la negativa oficializada de la Universidad de San Carlos a la creación de la Universidad Maya, punto acordado en el Acuerdo sobre Identidad y Derechos </w:t>
      </w:r>
      <w:r>
        <w:t>de los Pueblos Indígenas (1995). Asimismo en las mallas curriculares  se observa resistencia institucional a recibir formas de conocimientos indígenas y promover sus idiomas</w:t>
      </w:r>
      <w:r>
        <w:rPr>
          <w:vertAlign w:val="superscript"/>
        </w:rPr>
        <w:footnoteReference w:id="6"/>
      </w:r>
      <w:r>
        <w:t>.  El Consejo de la Enseñanza Superior Privada, no ha reconocido la Universidad Ix</w:t>
      </w:r>
      <w:r>
        <w:t>il, ni la Universidad Maya Kaqchikel, faltando así al artículo 15 del PIDESC.</w:t>
      </w:r>
      <w:r>
        <w:rPr>
          <w:vertAlign w:val="superscript"/>
        </w:rPr>
        <w:footnoteReference w:id="7"/>
      </w:r>
      <w:r>
        <w:t xml:space="preserve"> </w:t>
      </w:r>
    </w:p>
    <w:p w:rsidR="00A66FF4" w:rsidRDefault="00535C75">
      <w:pPr>
        <w:spacing w:after="160" w:line="240" w:lineRule="auto"/>
        <w:jc w:val="both"/>
      </w:pPr>
      <w:r>
        <w:rPr>
          <w:b/>
        </w:rPr>
        <w:t>Mujeres y Violencia de género (Artículos 2.2 y 3 del PIDESC)</w:t>
      </w:r>
    </w:p>
    <w:p w:rsidR="00A66FF4" w:rsidRDefault="00535C75">
      <w:pPr>
        <w:spacing w:after="160" w:line="240" w:lineRule="auto"/>
        <w:jc w:val="both"/>
      </w:pPr>
      <w:r>
        <w:t>10. Aunque la Universidad de San Carlos reporte un 53% de mujeres en la matrícula estudiantil (2019), los esfuerzos</w:t>
      </w:r>
      <w:r>
        <w:t xml:space="preserve"> por la defensa de la equidad de género han quedado relegados. Aunque la USAC </w:t>
      </w:r>
      <w:r>
        <w:lastRenderedPageBreak/>
        <w:t xml:space="preserve">cuenta con un Plan y una Política de Género en la Educación Superior, estipulada para el período 2006-2014, esta no ha sido evaluada ni actualizada. </w:t>
      </w:r>
    </w:p>
    <w:p w:rsidR="00A66FF4" w:rsidRDefault="00535C75">
      <w:pPr>
        <w:spacing w:after="160" w:line="240" w:lineRule="auto"/>
        <w:jc w:val="both"/>
      </w:pPr>
      <w:r>
        <w:t>11. En septiembre de 2019, l</w:t>
      </w:r>
      <w:r>
        <w:t>a AEU, junto a ONU Mujeres presentó el Estudio Exploratorio sobre el Acoso sexual en la Universidad de San Carlos de Guatemala”</w:t>
      </w:r>
      <w:r>
        <w:rPr>
          <w:vertAlign w:val="superscript"/>
        </w:rPr>
        <w:footnoteReference w:id="8"/>
      </w:r>
      <w:r>
        <w:t>, en el cual más de 700 estudiantes compartieron sus testimonios de acoso. Más de la mitad reportó haber sufrido acoso sexual de</w:t>
      </w:r>
      <w:r>
        <w:t>ntro de su unidad académica y una tercera parte, dentro del aula. El estudio revela que un 93.6% de los agresores son identificados como hombres. </w:t>
      </w:r>
    </w:p>
    <w:p w:rsidR="00A66FF4" w:rsidRDefault="00535C75">
      <w:pPr>
        <w:spacing w:after="160" w:line="240" w:lineRule="auto"/>
        <w:jc w:val="both"/>
      </w:pPr>
      <w:r>
        <w:t xml:space="preserve">12. Además de la presentación del Estudio, la AEU presentó una propuesta de </w:t>
      </w:r>
      <w:r>
        <w:rPr>
          <w:i/>
        </w:rPr>
        <w:t>Reglamento para la Prevención, Sa</w:t>
      </w:r>
      <w:r>
        <w:rPr>
          <w:i/>
        </w:rPr>
        <w:t>nción y Erradicación del acoso sexual</w:t>
      </w:r>
      <w:r>
        <w:t xml:space="preserve"> en la Universidad, elaborado por estudiantes de la Facultad de Ciencias Jurídicas y Sociales. La propuesta fue entregada a las autoridades universitarias en septiembre del 2019 y para el año 2020 aún no ha sido aprobad</w:t>
      </w:r>
      <w:r>
        <w:t xml:space="preserve">a ni ninguna otra política de género que proteja a las mujeres ante la discriminación y violencia en la educación superior, pese a que las denuncias aumentan. </w:t>
      </w:r>
    </w:p>
    <w:p w:rsidR="00A66FF4" w:rsidRDefault="00535C75">
      <w:pPr>
        <w:jc w:val="both"/>
        <w:rPr>
          <w:b/>
        </w:rPr>
      </w:pPr>
      <w:r>
        <w:rPr>
          <w:b/>
        </w:rPr>
        <w:t>Comunidad LGTBIQ+ (Artículos 2.2 y 3 del PIDESC)</w:t>
      </w:r>
    </w:p>
    <w:p w:rsidR="00A66FF4" w:rsidRDefault="00535C75">
      <w:pPr>
        <w:jc w:val="both"/>
      </w:pPr>
      <w:r>
        <w:t>13. En esta línea, también es notoria la inexis</w:t>
      </w:r>
      <w:r>
        <w:t>tencia de políticas públicas destinadas a la no discriminación por razones de identidad de género y orientación sexual. Existe un claro incidente de hostigamiento, acoso y violencia por parte de la seguridad de la universidad en contra de estudiantes disid</w:t>
      </w:r>
      <w:r>
        <w:t>entes sexuales, y pese a las denuncias, no se ha generado ninguna acción para su resolución.</w:t>
      </w:r>
    </w:p>
    <w:p w:rsidR="00A66FF4" w:rsidRDefault="00535C75">
      <w:pPr>
        <w:jc w:val="both"/>
      </w:pPr>
      <w:r>
        <w:t xml:space="preserve">14. La Procuraduría de Derechos Humanos -PDH- </w:t>
      </w:r>
      <w:r>
        <w:rPr>
          <w:sz w:val="21"/>
          <w:szCs w:val="21"/>
        </w:rPr>
        <w:t>instó a Estado de Guatemala a realizar acciones de prevención y concientización de la población guatemalteca, en cuanto al respeto y no discriminación y resaltar el valor de la vida de toda persona sin distinción alguna en todos los espacios, incluida la e</w:t>
      </w:r>
      <w:r>
        <w:rPr>
          <w:sz w:val="21"/>
          <w:szCs w:val="21"/>
        </w:rPr>
        <w:t>ducación superior pública.</w:t>
      </w:r>
      <w:r>
        <w:rPr>
          <w:sz w:val="21"/>
          <w:szCs w:val="21"/>
          <w:vertAlign w:val="superscript"/>
        </w:rPr>
        <w:footnoteReference w:id="9"/>
      </w:r>
    </w:p>
    <w:p w:rsidR="00A66FF4" w:rsidRDefault="00535C75">
      <w:pPr>
        <w:rPr>
          <w:b/>
        </w:rPr>
      </w:pPr>
      <w:r>
        <w:rPr>
          <w:b/>
        </w:rPr>
        <w:t>Ejercicio de derechos políticos y representación (Artículo 13.1 del PIDESC)</w:t>
      </w:r>
    </w:p>
    <w:p w:rsidR="00A66FF4" w:rsidRDefault="00535C75">
      <w:pPr>
        <w:jc w:val="both"/>
      </w:pPr>
      <w:r>
        <w:t>15. La Universidad de San Carlos está compuesta por 10 facultades, 9 Escuelas No Facultativas, 1 Instituto técnico y 19 Centros Universitarios distribui</w:t>
      </w:r>
      <w:r>
        <w:t>dos en los 22 departamentos del país. Sin embargo, debido a que su legislación electoral data de 1947, la ley no les reconoce el derecho de elegir y ser electos</w:t>
      </w:r>
      <w:r>
        <w:rPr>
          <w:vertAlign w:val="superscript"/>
        </w:rPr>
        <w:footnoteReference w:id="10"/>
      </w:r>
      <w:r>
        <w:t xml:space="preserve"> a otras Unidades Académicas distintas a las Facultades existentes en aquella época para  el ca</w:t>
      </w:r>
      <w:r>
        <w:t xml:space="preserve">rgo de la Rectoría e integrantes del Consejo Superior Universitario. </w:t>
      </w:r>
    </w:p>
    <w:p w:rsidR="00A66FF4" w:rsidRDefault="00535C75">
      <w:pPr>
        <w:jc w:val="both"/>
      </w:pPr>
      <w:r>
        <w:t>16. Esto genera una serie de vulneraciones a los Derechos Humanos, es por ello que en el año 2018 la Institución del Procurador de los Derechos Humanos interpuso una acción constituciona</w:t>
      </w:r>
      <w:r>
        <w:t>l de amparo</w:t>
      </w:r>
      <w:r>
        <w:rPr>
          <w:vertAlign w:val="superscript"/>
        </w:rPr>
        <w:footnoteReference w:id="11"/>
      </w:r>
      <w:r>
        <w:t xml:space="preserve"> a favor de las unidades académicas que resultan ser excluidas de la elección de Rector, a esta acción se adhirió la AEU en representación de más de la mitad de la población estudiantil que resulta excluida del máximo proceso de elección.</w:t>
      </w:r>
    </w:p>
    <w:p w:rsidR="00A66FF4" w:rsidRDefault="00535C75">
      <w:pPr>
        <w:jc w:val="both"/>
      </w:pPr>
      <w:r>
        <w:t>17. A</w:t>
      </w:r>
      <w:r>
        <w:t>nte esto, las respuestas institucionales son nulas, permitiendo la vulneración sistemática de garantías esenciales para el desarrollo correcto y aplicación del derecho a la educación superior</w:t>
      </w:r>
      <w:r>
        <w:rPr>
          <w:vertAlign w:val="superscript"/>
        </w:rPr>
        <w:footnoteReference w:id="12"/>
      </w:r>
      <w:r>
        <w:t>. Debido a la restricción en la toma de decisiones se privilegia</w:t>
      </w:r>
      <w:r>
        <w:t xml:space="preserve"> una educación excluyente, con una perspectiva que tiene como consecuencia provocar grandes desigualdades de carácter económico, académico y político. </w:t>
      </w:r>
    </w:p>
    <w:p w:rsidR="00A66FF4" w:rsidRDefault="00535C7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Progresividad y no regresividad (Artículo 2.1 del PIDESC)</w:t>
      </w:r>
    </w:p>
    <w:p w:rsidR="00A66FF4" w:rsidRDefault="00535C75">
      <w:pPr>
        <w:spacing w:before="240" w:after="160"/>
        <w:jc w:val="both"/>
        <w:rPr>
          <w:b/>
        </w:rPr>
      </w:pPr>
      <w:r>
        <w:rPr>
          <w:b/>
        </w:rPr>
        <w:t>Asignaciones presupuestarias a la educación superior regresivas (Artículos 2 y 13 del PIDESC)</w:t>
      </w:r>
    </w:p>
    <w:p w:rsidR="00A66FF4" w:rsidRDefault="00535C75">
      <w:pPr>
        <w:spacing w:before="240" w:after="0"/>
        <w:jc w:val="both"/>
      </w:pPr>
      <w:r>
        <w:t xml:space="preserve">18. Respecto al derecho a la educación superior, el Estado debe garantizar la disponibilidad y accesibilidad de la misma a través de la existencia de suficientes </w:t>
      </w:r>
      <w:r>
        <w:t xml:space="preserve">programas de estudio e instalaciones para el desarrollo de actividades relacionadas a la educación superior, observando que su acceso sea igual sin importar la condición económica del usuario. </w:t>
      </w:r>
      <w:r>
        <w:rPr>
          <w:vertAlign w:val="superscript"/>
        </w:rPr>
        <w:footnoteReference w:id="13"/>
      </w:r>
    </w:p>
    <w:p w:rsidR="00A66FF4" w:rsidRDefault="00535C75">
      <w:pPr>
        <w:spacing w:before="240" w:after="0"/>
        <w:jc w:val="both"/>
        <w:rPr>
          <w:highlight w:val="white"/>
        </w:rPr>
      </w:pPr>
      <w:r>
        <w:rPr>
          <w:highlight w:val="white"/>
        </w:rPr>
        <w:t>19. A pesar de la cantidad mínima establecida en el texto con</w:t>
      </w:r>
      <w:r>
        <w:rPr>
          <w:highlight w:val="white"/>
        </w:rPr>
        <w:t>stitucional de Guatemala del 5% de los Ingresos Ordinarios y el mandato de aumentar el mismo en el artículo citado con base en el crecimiento de la población estudiantil o mejora de la calidad académica, las asignaciones presupuestarias del Estado, desde e</w:t>
      </w:r>
      <w:r>
        <w:rPr>
          <w:highlight w:val="white"/>
        </w:rPr>
        <w:t xml:space="preserve">l 2014 (año del último informe de país) al 2018, han sido regresivas y han empeorado la situación de la educación superior pública en Guatemala, ya no cubriendo las necesidades mínimas presupuestarias para la misma: </w:t>
      </w:r>
    </w:p>
    <w:p w:rsidR="00A66FF4" w:rsidRDefault="00A66FF4">
      <w:pPr>
        <w:spacing w:before="240" w:after="0"/>
        <w:jc w:val="both"/>
        <w:rPr>
          <w:highlight w:val="white"/>
        </w:rPr>
      </w:pPr>
    </w:p>
    <w:tbl>
      <w:tblPr>
        <w:tblStyle w:val="a"/>
        <w:tblW w:w="10170" w:type="dxa"/>
        <w:tblInd w:w="-2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2070"/>
        <w:gridCol w:w="2070"/>
        <w:gridCol w:w="2115"/>
        <w:gridCol w:w="2910"/>
      </w:tblGrid>
      <w:tr w:rsidR="00A66FF4">
        <w:trPr>
          <w:trHeight w:val="1035"/>
        </w:trPr>
        <w:tc>
          <w:tcPr>
            <w:tcW w:w="10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F4" w:rsidRDefault="00535C75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Año</w:t>
            </w:r>
          </w:p>
        </w:tc>
        <w:tc>
          <w:tcPr>
            <w:tcW w:w="207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F4" w:rsidRDefault="00535C75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Financiamiento del Estado</w:t>
            </w:r>
          </w:p>
        </w:tc>
        <w:tc>
          <w:tcPr>
            <w:tcW w:w="207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F4" w:rsidRDefault="00535C75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Presupue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sto de funcionamiento e inversión de la Universidad pública</w:t>
            </w:r>
          </w:p>
        </w:tc>
        <w:tc>
          <w:tcPr>
            <w:tcW w:w="211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F4" w:rsidRDefault="00535C75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Desfinanciamiento</w:t>
            </w:r>
          </w:p>
        </w:tc>
        <w:tc>
          <w:tcPr>
            <w:tcW w:w="2910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F4" w:rsidRDefault="00535C75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% Financiamiento del Estado a la edu. superior en comparación con su gasto de funcionamiento e inversión</w:t>
            </w:r>
          </w:p>
        </w:tc>
      </w:tr>
      <w:tr w:rsidR="00A66FF4">
        <w:trPr>
          <w:trHeight w:val="465"/>
        </w:trPr>
        <w:tc>
          <w:tcPr>
            <w:tcW w:w="1005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F4" w:rsidRDefault="00535C75">
            <w:pPr>
              <w:keepLines/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2014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F4" w:rsidRDefault="00535C75">
            <w:pPr>
              <w:keepLines/>
              <w:spacing w:before="2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Q1,349,986,187.00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F4" w:rsidRDefault="00535C75">
            <w:pPr>
              <w:keepLines/>
              <w:spacing w:before="2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Q, 1,565,738,619.00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F4" w:rsidRDefault="00535C75">
            <w:pPr>
              <w:keepLines/>
              <w:spacing w:before="2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Q. 215,752,432.00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F4" w:rsidRDefault="00535C75">
            <w:pPr>
              <w:keepLines/>
              <w:spacing w:before="2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86%</w:t>
            </w:r>
          </w:p>
        </w:tc>
      </w:tr>
      <w:tr w:rsidR="00A66FF4">
        <w:trPr>
          <w:trHeight w:val="495"/>
        </w:trPr>
        <w:tc>
          <w:tcPr>
            <w:tcW w:w="1005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F4" w:rsidRDefault="00535C75">
            <w:pPr>
              <w:keepLines/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2015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7BA0CD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F4" w:rsidRDefault="00535C75">
            <w:pPr>
              <w:keepLines/>
              <w:spacing w:before="2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Q1,474,512,810.00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7BA0CD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F4" w:rsidRDefault="00535C75">
            <w:pPr>
              <w:keepLines/>
              <w:spacing w:before="2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Q. 1,919,789,035.00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7BA0CD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F4" w:rsidRDefault="00535C75">
            <w:pPr>
              <w:keepLines/>
              <w:spacing w:before="2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Q. 648,532,631.00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F4" w:rsidRDefault="00535C75">
            <w:pPr>
              <w:keepLines/>
              <w:spacing w:before="2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66%</w:t>
            </w:r>
          </w:p>
        </w:tc>
      </w:tr>
      <w:tr w:rsidR="00A66FF4">
        <w:trPr>
          <w:trHeight w:val="495"/>
        </w:trPr>
        <w:tc>
          <w:tcPr>
            <w:tcW w:w="1005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F4" w:rsidRDefault="00535C75">
            <w:pPr>
              <w:keepLines/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2016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F4" w:rsidRDefault="00535C75">
            <w:pPr>
              <w:keepLines/>
              <w:spacing w:before="2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Q1,489,834,139.00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F4" w:rsidRDefault="00535C75">
            <w:pPr>
              <w:keepLines/>
              <w:spacing w:before="2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Q. 1,943,425,632.00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F4" w:rsidRDefault="00535C75">
            <w:pPr>
              <w:keepLines/>
              <w:spacing w:before="2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Q. 453,591,493.00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F4" w:rsidRDefault="00535C75">
            <w:pPr>
              <w:keepLines/>
              <w:spacing w:before="2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77%</w:t>
            </w:r>
          </w:p>
        </w:tc>
      </w:tr>
      <w:tr w:rsidR="00A66FF4">
        <w:trPr>
          <w:trHeight w:val="465"/>
        </w:trPr>
        <w:tc>
          <w:tcPr>
            <w:tcW w:w="1005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F4" w:rsidRDefault="00535C75">
            <w:pPr>
              <w:keepLines/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2017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7BA0CD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F4" w:rsidRDefault="00535C75">
            <w:pPr>
              <w:keepLines/>
              <w:spacing w:before="2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Q1,525,872,000.00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7BA0CD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F4" w:rsidRDefault="00535C75">
            <w:pPr>
              <w:keepLines/>
              <w:spacing w:before="2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1,975,876,280.00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7BA0CD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F4" w:rsidRDefault="00535C75">
            <w:pPr>
              <w:keepLines/>
              <w:spacing w:before="2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Q. 450,004,280.00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F4" w:rsidRDefault="00535C75">
            <w:pPr>
              <w:keepLines/>
              <w:spacing w:before="2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77%</w:t>
            </w:r>
          </w:p>
        </w:tc>
      </w:tr>
      <w:tr w:rsidR="00A66FF4">
        <w:trPr>
          <w:trHeight w:val="555"/>
        </w:trPr>
        <w:tc>
          <w:tcPr>
            <w:tcW w:w="1005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F4" w:rsidRDefault="00535C75">
            <w:pPr>
              <w:keepLines/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2018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F4" w:rsidRDefault="00535C75">
            <w:pPr>
              <w:keepLines/>
              <w:spacing w:before="2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Q1,525,872,000.00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F4" w:rsidRDefault="00535C75">
            <w:pPr>
              <w:keepLines/>
              <w:spacing w:before="2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2,200,308,623.00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F4" w:rsidRDefault="00535C75">
            <w:pPr>
              <w:keepLines/>
              <w:spacing w:before="2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Q. 674,436,623.00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FF4" w:rsidRDefault="00535C75">
            <w:pPr>
              <w:keepLines/>
              <w:spacing w:before="2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69%</w:t>
            </w:r>
          </w:p>
        </w:tc>
      </w:tr>
    </w:tbl>
    <w:p w:rsidR="00A66FF4" w:rsidRDefault="00535C75">
      <w:pPr>
        <w:spacing w:before="240" w:after="240"/>
        <w:jc w:val="both"/>
      </w:pPr>
      <w:r>
        <w:t xml:space="preserve"> </w:t>
      </w:r>
    </w:p>
    <w:p w:rsidR="00A66FF4" w:rsidRDefault="00535C75">
      <w:pPr>
        <w:spacing w:before="240" w:after="0"/>
        <w:jc w:val="both"/>
      </w:pPr>
      <w:r>
        <w:t>20. Los aportes presupuestarios a la educación superior pública, en lugar de mejorar progresivamente la vigencia del derecho la empeoran, al trasladar año con año los costos de funcionamiento e inversión al usuario. Lo anterior responde a una falta de polí</w:t>
      </w:r>
      <w:r>
        <w:t>tica pública estatal referente a la inversión en educación superior pública y la baja recaudación de impuestos,</w:t>
      </w:r>
      <w:r>
        <w:rPr>
          <w:vertAlign w:val="superscript"/>
        </w:rPr>
        <w:footnoteReference w:id="14"/>
      </w:r>
      <w:r>
        <w:t xml:space="preserve"> que limita la capacidad del gasto público social a 0.3% del Producto Interno Bruto, por debajo del promedio de América Latina.</w:t>
      </w:r>
      <w:r>
        <w:rPr>
          <w:vertAlign w:val="superscript"/>
        </w:rPr>
        <w:footnoteReference w:id="15"/>
      </w:r>
    </w:p>
    <w:p w:rsidR="00A66FF4" w:rsidRDefault="00A66FF4">
      <w:pPr>
        <w:jc w:val="both"/>
      </w:pPr>
    </w:p>
    <w:p w:rsidR="00A66FF4" w:rsidRDefault="00535C75">
      <w:pPr>
        <w:jc w:val="both"/>
        <w:rPr>
          <w:b/>
        </w:rPr>
      </w:pPr>
      <w:r>
        <w:rPr>
          <w:b/>
        </w:rPr>
        <w:t>Regresión resp</w:t>
      </w:r>
      <w:r>
        <w:rPr>
          <w:b/>
        </w:rPr>
        <w:t>ecto al costo de acceso a la educación superior (Artículo 2 del PIDESC)</w:t>
      </w:r>
    </w:p>
    <w:p w:rsidR="00A66FF4" w:rsidRDefault="00535C75">
      <w:pPr>
        <w:jc w:val="both"/>
      </w:pPr>
      <w:r>
        <w:t>21. Debido a la precariedad y bajo nivel académico de la educación secundaria, la Universidad de San Carlos creó el Programa Académico Preparatorio -PAP- para reforzar conocimientos en</w:t>
      </w:r>
      <w:r>
        <w:t xml:space="preserve"> lenguaje, matemática, física, química y biología y poder sustentar en igualdad de condiciones las pruebas de ingreso a la educación superior pública. Este programa tenía un costo inicial de Q.350 anual con acceso a los 5 cursos (US$ 45.35 anual por 5 curs</w:t>
      </w:r>
      <w:r>
        <w:t>os).</w:t>
      </w:r>
    </w:p>
    <w:p w:rsidR="00A66FF4" w:rsidRDefault="00535C75">
      <w:pPr>
        <w:jc w:val="both"/>
        <w:rPr>
          <w:i/>
        </w:rPr>
      </w:pPr>
      <w:r>
        <w:t>22.  El 12 de septiembre del año 2018, en Sesión Ordinaria el Consejo Superior Universitario –CSU- de la Universidad de San Carlos, a través del Acta No. 26-2018 como una medida de nivelación presupuestaria ante la falta de recursos estatales necesari</w:t>
      </w:r>
      <w:r>
        <w:t>os, acordó aumentar el costo de este programa para el estudiante de Q. 350 anuales a Q. 100 mensuales por cátedra, con un costo mensual de Q. 500 (US$ 64.78) y un costo anual de Q. 5,000 (US$647.80).</w:t>
      </w:r>
      <w:r>
        <w:rPr>
          <w:b/>
          <w:i/>
          <w:vertAlign w:val="superscript"/>
        </w:rPr>
        <w:footnoteReference w:id="16"/>
      </w:r>
      <w:r>
        <w:rPr>
          <w:i/>
        </w:rPr>
        <w:t xml:space="preserve">  </w:t>
      </w:r>
    </w:p>
    <w:p w:rsidR="00A66FF4" w:rsidRDefault="00535C75">
      <w:pPr>
        <w:jc w:val="both"/>
        <w:rPr>
          <w:b/>
        </w:rPr>
      </w:pPr>
      <w:r>
        <w:t>23. Luego de una serie de medidas de protesta estudia</w:t>
      </w:r>
      <w:r>
        <w:t>ntiles y sindicales, se acordó la rebaja al precio fijado inicialmente, sin embargo los cursos del PAP siguen teniendo un costo aproximado de Q350 ($50) si se cursan 2 de manera simultánea y pudiendo llegar a los Q500 (US$ 64.78) si se cursan 5 cursos de m</w:t>
      </w:r>
      <w:r>
        <w:t xml:space="preserve">anera simultánea por semestre, lo cual es aún una medida regresiva respecto a su estado original. </w:t>
      </w:r>
      <w:r>
        <w:rPr>
          <w:vertAlign w:val="superscript"/>
        </w:rPr>
        <w:footnoteReference w:id="17"/>
      </w:r>
    </w:p>
    <w:p w:rsidR="00A66FF4" w:rsidRDefault="00535C75">
      <w:pPr>
        <w:numPr>
          <w:ilvl w:val="0"/>
          <w:numId w:val="1"/>
        </w:numPr>
        <w:spacing w:before="240" w:after="160"/>
        <w:jc w:val="both"/>
        <w:rPr>
          <w:b/>
        </w:rPr>
      </w:pPr>
      <w:r>
        <w:rPr>
          <w:b/>
        </w:rPr>
        <w:t>Derecho a la educación superior pública (Artículo 13 del PIDESC)</w:t>
      </w:r>
    </w:p>
    <w:p w:rsidR="00A66FF4" w:rsidRDefault="00535C75">
      <w:pPr>
        <w:spacing w:after="160" w:line="240" w:lineRule="auto"/>
        <w:jc w:val="both"/>
      </w:pPr>
      <w:r>
        <w:rPr>
          <w:b/>
        </w:rPr>
        <w:t>Acceso a la Educación, del nivel inicial a diversificado (Artículo 13. 1 del PIDESC)</w:t>
      </w:r>
    </w:p>
    <w:p w:rsidR="00A66FF4" w:rsidRDefault="00535C75">
      <w:pPr>
        <w:spacing w:after="160" w:line="240" w:lineRule="auto"/>
        <w:jc w:val="both"/>
      </w:pPr>
      <w:r>
        <w:t>24. Como antecedente y, en relación al cumplimiento del Estado de Guatemala con el derecho a la educación, según datos del Ministerio de Educación de Guatemala, la cobertura en el Nivel primario, básico y diversificado ha demostrado un decrecimiento, lo cu</w:t>
      </w:r>
      <w:r>
        <w:t>al contraviene la progresividad de los derechos humanos. Es notorio el descenso en el acceso a la educación, siendo el nivel diversificado el más afectado, con apenas una tasa neta del 24,02% para el año 2019:  </w:t>
      </w:r>
    </w:p>
    <w:p w:rsidR="00A66FF4" w:rsidRDefault="00535C75">
      <w:pPr>
        <w:shd w:val="clear" w:color="auto" w:fill="FFFFFF"/>
        <w:spacing w:after="0" w:line="240" w:lineRule="auto"/>
        <w:jc w:val="both"/>
      </w:pPr>
      <w:r>
        <w:t> </w:t>
      </w:r>
    </w:p>
    <w:tbl>
      <w:tblPr>
        <w:tblStyle w:val="a0"/>
        <w:tblW w:w="9435" w:type="dxa"/>
        <w:tblLayout w:type="fixed"/>
        <w:tblLook w:val="0400" w:firstRow="0" w:lastRow="0" w:firstColumn="0" w:lastColumn="0" w:noHBand="0" w:noVBand="1"/>
      </w:tblPr>
      <w:tblGrid>
        <w:gridCol w:w="4035"/>
        <w:gridCol w:w="1125"/>
        <w:gridCol w:w="1275"/>
        <w:gridCol w:w="1575"/>
        <w:gridCol w:w="1425"/>
      </w:tblGrid>
      <w:tr w:rsidR="00A66FF4">
        <w:trPr>
          <w:trHeight w:val="674"/>
        </w:trPr>
        <w:tc>
          <w:tcPr>
            <w:tcW w:w="9435" w:type="dxa"/>
            <w:gridSpan w:val="5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F4" w:rsidRDefault="00535C75">
            <w:pPr>
              <w:spacing w:after="0" w:line="240" w:lineRule="auto"/>
              <w:jc w:val="center"/>
            </w:pPr>
            <w:r>
              <w:rPr>
                <w:color w:val="222222"/>
              </w:rPr>
              <w:t>Análisis comparativo de la Tasa de Neta de</w:t>
            </w:r>
            <w:r>
              <w:rPr>
                <w:color w:val="222222"/>
              </w:rPr>
              <w:t xml:space="preserve"> Escolaridad del 2016 al 2019</w:t>
            </w:r>
          </w:p>
          <w:p w:rsidR="00A66FF4" w:rsidRDefault="00535C75">
            <w:pPr>
              <w:spacing w:after="0" w:line="240" w:lineRule="auto"/>
              <w:jc w:val="center"/>
            </w:pPr>
            <w:r>
              <w:rPr>
                <w:color w:val="222222"/>
              </w:rPr>
              <w:t>Hombres y mujeres, todos los sectores educativos</w:t>
            </w:r>
          </w:p>
        </w:tc>
      </w:tr>
      <w:tr w:rsidR="00A66FF4">
        <w:trPr>
          <w:trHeight w:val="130"/>
        </w:trPr>
        <w:tc>
          <w:tcPr>
            <w:tcW w:w="4035" w:type="dxa"/>
            <w:tcBorders>
              <w:top w:val="single" w:sz="4" w:space="0" w:color="5B9BD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F4" w:rsidRDefault="00535C75">
            <w:pPr>
              <w:spacing w:after="0"/>
              <w:jc w:val="center"/>
            </w:pPr>
            <w:r>
              <w:rPr>
                <w:color w:val="222222"/>
              </w:rPr>
              <w:t>Indicador</w:t>
            </w:r>
          </w:p>
        </w:tc>
        <w:tc>
          <w:tcPr>
            <w:tcW w:w="1125" w:type="dxa"/>
            <w:tcBorders>
              <w:top w:val="single" w:sz="4" w:space="0" w:color="5B9BD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F4" w:rsidRDefault="00535C75">
            <w:pPr>
              <w:spacing w:after="0"/>
              <w:jc w:val="center"/>
            </w:pPr>
            <w:r>
              <w:rPr>
                <w:b/>
                <w:color w:val="222222"/>
              </w:rPr>
              <w:t>Año 2016</w:t>
            </w:r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F4" w:rsidRDefault="00535C75">
            <w:pPr>
              <w:spacing w:after="0"/>
              <w:jc w:val="center"/>
            </w:pPr>
            <w:r>
              <w:rPr>
                <w:b/>
                <w:color w:val="222222"/>
              </w:rPr>
              <w:t>Año 2017</w:t>
            </w:r>
          </w:p>
        </w:tc>
        <w:tc>
          <w:tcPr>
            <w:tcW w:w="1575" w:type="dxa"/>
            <w:tcBorders>
              <w:top w:val="single" w:sz="4" w:space="0" w:color="5B9BD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F4" w:rsidRDefault="00535C75">
            <w:pPr>
              <w:spacing w:after="0"/>
              <w:jc w:val="center"/>
            </w:pPr>
            <w:r>
              <w:rPr>
                <w:b/>
                <w:color w:val="222222"/>
              </w:rPr>
              <w:t>Año 2018</w:t>
            </w:r>
          </w:p>
        </w:tc>
        <w:tc>
          <w:tcPr>
            <w:tcW w:w="1425" w:type="dxa"/>
            <w:tcBorders>
              <w:top w:val="single" w:sz="4" w:space="0" w:color="5B9BD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F4" w:rsidRDefault="00535C75">
            <w:pPr>
              <w:spacing w:after="0"/>
              <w:jc w:val="center"/>
            </w:pPr>
            <w:r>
              <w:rPr>
                <w:b/>
                <w:color w:val="222222"/>
              </w:rPr>
              <w:t>Año 2019</w:t>
            </w:r>
          </w:p>
        </w:tc>
      </w:tr>
      <w:tr w:rsidR="00A66FF4">
        <w:trPr>
          <w:trHeight w:val="130"/>
        </w:trPr>
        <w:tc>
          <w:tcPr>
            <w:tcW w:w="4035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F4" w:rsidRDefault="00535C75">
            <w:pPr>
              <w:spacing w:after="0" w:line="240" w:lineRule="auto"/>
            </w:pPr>
            <w:r>
              <w:rPr>
                <w:color w:val="222222"/>
              </w:rPr>
              <w:t>Tasa Neta Escolaridad Pre-Primaria </w:t>
            </w:r>
          </w:p>
        </w:tc>
        <w:tc>
          <w:tcPr>
            <w:tcW w:w="1125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F4" w:rsidRDefault="00535C75">
            <w:pPr>
              <w:spacing w:after="0"/>
              <w:jc w:val="center"/>
            </w:pPr>
            <w:r>
              <w:rPr>
                <w:color w:val="222222"/>
              </w:rPr>
              <w:t>46.78%</w:t>
            </w:r>
          </w:p>
        </w:tc>
        <w:tc>
          <w:tcPr>
            <w:tcW w:w="1275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F4" w:rsidRDefault="00535C75">
            <w:pPr>
              <w:spacing w:after="0"/>
              <w:jc w:val="center"/>
            </w:pPr>
            <w:r>
              <w:rPr>
                <w:color w:val="222222"/>
              </w:rPr>
              <w:t>50.39%</w:t>
            </w:r>
          </w:p>
        </w:tc>
        <w:tc>
          <w:tcPr>
            <w:tcW w:w="1575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F4" w:rsidRDefault="00535C75">
            <w:pPr>
              <w:spacing w:after="0"/>
              <w:jc w:val="center"/>
            </w:pPr>
            <w:r>
              <w:rPr>
                <w:color w:val="222222"/>
              </w:rPr>
              <w:t>52.57%</w:t>
            </w:r>
          </w:p>
        </w:tc>
        <w:tc>
          <w:tcPr>
            <w:tcW w:w="1425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F4" w:rsidRDefault="00535C75">
            <w:pPr>
              <w:spacing w:after="0"/>
              <w:jc w:val="center"/>
            </w:pPr>
            <w:r>
              <w:rPr>
                <w:color w:val="222222"/>
              </w:rPr>
              <w:t>51.14%</w:t>
            </w:r>
          </w:p>
        </w:tc>
      </w:tr>
      <w:tr w:rsidR="00A66FF4">
        <w:trPr>
          <w:trHeight w:val="300"/>
        </w:trPr>
        <w:tc>
          <w:tcPr>
            <w:tcW w:w="4035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F4" w:rsidRDefault="00535C75">
            <w:pPr>
              <w:spacing w:after="0" w:line="240" w:lineRule="auto"/>
            </w:pPr>
            <w:r>
              <w:rPr>
                <w:color w:val="222222"/>
              </w:rPr>
              <w:t>Tasa Neta Escolaridad Primaria</w:t>
            </w:r>
          </w:p>
        </w:tc>
        <w:tc>
          <w:tcPr>
            <w:tcW w:w="1125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F4" w:rsidRDefault="00535C75">
            <w:pPr>
              <w:spacing w:after="0" w:line="240" w:lineRule="auto"/>
              <w:jc w:val="center"/>
            </w:pPr>
            <w:r>
              <w:rPr>
                <w:color w:val="222222"/>
              </w:rPr>
              <w:t>78.21%</w:t>
            </w:r>
          </w:p>
        </w:tc>
        <w:tc>
          <w:tcPr>
            <w:tcW w:w="1275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F4" w:rsidRDefault="00535C75">
            <w:pPr>
              <w:spacing w:after="0" w:line="240" w:lineRule="auto"/>
              <w:jc w:val="center"/>
            </w:pPr>
            <w:r>
              <w:rPr>
                <w:color w:val="222222"/>
              </w:rPr>
              <w:t>77.77%</w:t>
            </w:r>
          </w:p>
        </w:tc>
        <w:tc>
          <w:tcPr>
            <w:tcW w:w="1575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F4" w:rsidRDefault="00535C75">
            <w:pPr>
              <w:spacing w:after="0" w:line="240" w:lineRule="auto"/>
              <w:jc w:val="center"/>
            </w:pPr>
            <w:r>
              <w:rPr>
                <w:color w:val="222222"/>
              </w:rPr>
              <w:t>77.94%</w:t>
            </w:r>
          </w:p>
        </w:tc>
        <w:tc>
          <w:tcPr>
            <w:tcW w:w="1425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F4" w:rsidRDefault="00535C75">
            <w:pPr>
              <w:spacing w:after="0" w:line="240" w:lineRule="auto"/>
              <w:jc w:val="center"/>
            </w:pPr>
            <w:r>
              <w:rPr>
                <w:color w:val="222222"/>
              </w:rPr>
              <w:t>77,52%</w:t>
            </w:r>
          </w:p>
        </w:tc>
      </w:tr>
      <w:tr w:rsidR="00A66FF4">
        <w:trPr>
          <w:trHeight w:val="315"/>
        </w:trPr>
        <w:tc>
          <w:tcPr>
            <w:tcW w:w="4035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F4" w:rsidRDefault="00535C75">
            <w:pPr>
              <w:spacing w:after="0" w:line="240" w:lineRule="auto"/>
            </w:pPr>
            <w:r>
              <w:rPr>
                <w:color w:val="222222"/>
              </w:rPr>
              <w:t>Tasa Neta Escolaridad Básicos</w:t>
            </w:r>
          </w:p>
        </w:tc>
        <w:tc>
          <w:tcPr>
            <w:tcW w:w="1125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F4" w:rsidRDefault="00535C75">
            <w:pPr>
              <w:spacing w:after="0" w:line="240" w:lineRule="auto"/>
              <w:jc w:val="center"/>
            </w:pPr>
            <w:r>
              <w:rPr>
                <w:color w:val="222222"/>
              </w:rPr>
              <w:t>44.67%</w:t>
            </w:r>
          </w:p>
        </w:tc>
        <w:tc>
          <w:tcPr>
            <w:tcW w:w="1275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F4" w:rsidRDefault="00535C75">
            <w:pPr>
              <w:spacing w:after="0" w:line="240" w:lineRule="auto"/>
              <w:jc w:val="center"/>
            </w:pPr>
            <w:r>
              <w:rPr>
                <w:color w:val="222222"/>
              </w:rPr>
              <w:t>43.47%</w:t>
            </w:r>
          </w:p>
        </w:tc>
        <w:tc>
          <w:tcPr>
            <w:tcW w:w="1575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F4" w:rsidRDefault="00535C75">
            <w:pPr>
              <w:spacing w:after="0" w:line="240" w:lineRule="auto"/>
              <w:jc w:val="center"/>
            </w:pPr>
            <w:r>
              <w:rPr>
                <w:color w:val="222222"/>
              </w:rPr>
              <w:t>43.24%</w:t>
            </w:r>
          </w:p>
        </w:tc>
        <w:tc>
          <w:tcPr>
            <w:tcW w:w="1425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F4" w:rsidRDefault="00535C75">
            <w:pPr>
              <w:spacing w:after="0" w:line="240" w:lineRule="auto"/>
              <w:jc w:val="center"/>
            </w:pPr>
            <w:r>
              <w:rPr>
                <w:color w:val="222222"/>
              </w:rPr>
              <w:t>42.44%</w:t>
            </w:r>
          </w:p>
        </w:tc>
      </w:tr>
      <w:tr w:rsidR="00A66FF4">
        <w:trPr>
          <w:trHeight w:val="315"/>
        </w:trPr>
        <w:tc>
          <w:tcPr>
            <w:tcW w:w="4035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F4" w:rsidRDefault="00535C75">
            <w:pPr>
              <w:spacing w:after="0" w:line="240" w:lineRule="auto"/>
            </w:pPr>
            <w:r>
              <w:rPr>
                <w:color w:val="222222"/>
              </w:rPr>
              <w:t>Tasa Neta Escolaridad Diversificado </w:t>
            </w:r>
          </w:p>
        </w:tc>
        <w:tc>
          <w:tcPr>
            <w:tcW w:w="1125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F4" w:rsidRDefault="00535C75">
            <w:pPr>
              <w:spacing w:after="0" w:line="240" w:lineRule="auto"/>
              <w:jc w:val="center"/>
            </w:pPr>
            <w:r>
              <w:rPr>
                <w:color w:val="222222"/>
              </w:rPr>
              <w:t>24.51%</w:t>
            </w:r>
          </w:p>
        </w:tc>
        <w:tc>
          <w:tcPr>
            <w:tcW w:w="1275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F4" w:rsidRDefault="00535C75">
            <w:pPr>
              <w:spacing w:after="0" w:line="240" w:lineRule="auto"/>
              <w:jc w:val="center"/>
            </w:pPr>
            <w:r>
              <w:rPr>
                <w:color w:val="222222"/>
              </w:rPr>
              <w:t>24.85%</w:t>
            </w:r>
          </w:p>
        </w:tc>
        <w:tc>
          <w:tcPr>
            <w:tcW w:w="1575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F4" w:rsidRDefault="00535C75">
            <w:pPr>
              <w:spacing w:after="0" w:line="240" w:lineRule="auto"/>
              <w:jc w:val="center"/>
            </w:pPr>
            <w:r>
              <w:rPr>
                <w:color w:val="222222"/>
              </w:rPr>
              <w:t>24.91%</w:t>
            </w:r>
          </w:p>
        </w:tc>
        <w:tc>
          <w:tcPr>
            <w:tcW w:w="1425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F4" w:rsidRDefault="00535C75">
            <w:pPr>
              <w:spacing w:after="0" w:line="240" w:lineRule="auto"/>
              <w:jc w:val="center"/>
            </w:pPr>
            <w:r>
              <w:rPr>
                <w:color w:val="222222"/>
              </w:rPr>
              <w:t>24,02%</w:t>
            </w:r>
          </w:p>
        </w:tc>
      </w:tr>
    </w:tbl>
    <w:p w:rsidR="00A66FF4" w:rsidRDefault="00535C75">
      <w:pPr>
        <w:shd w:val="clear" w:color="auto" w:fill="FFFFFF"/>
        <w:spacing w:after="0" w:line="240" w:lineRule="auto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Fuente:</w:t>
      </w:r>
      <w:r>
        <w:rPr>
          <w:color w:val="222222"/>
          <w:sz w:val="18"/>
          <w:szCs w:val="18"/>
        </w:rPr>
        <w:t xml:space="preserve"> Elaboración propia, con datos del Ministerio de Educación, Anuario Estadístico de la Educación.</w:t>
      </w:r>
    </w:p>
    <w:p w:rsidR="00A66FF4" w:rsidRDefault="00A66FF4">
      <w:pPr>
        <w:shd w:val="clear" w:color="auto" w:fill="FFFFFF"/>
        <w:spacing w:after="0" w:line="240" w:lineRule="auto"/>
      </w:pPr>
    </w:p>
    <w:p w:rsidR="00A66FF4" w:rsidRDefault="00535C75">
      <w:pPr>
        <w:shd w:val="clear" w:color="auto" w:fill="FFFFFF"/>
        <w:spacing w:after="0" w:line="240" w:lineRule="auto"/>
        <w:jc w:val="both"/>
      </w:pPr>
      <w:r>
        <w:t>25. Los departamentos con  una tasa neta de escolaridad más baja en el nivel diversificado para el año 2019</w:t>
      </w:r>
      <w:r>
        <w:rPr>
          <w:vertAlign w:val="superscript"/>
        </w:rPr>
        <w:footnoteReference w:id="18"/>
      </w:r>
      <w:r>
        <w:t xml:space="preserve"> fueron: Totonicapán: 7.73%, Quiché: 10.13%, Huehuetenango: 10.57%, Alta Verapaz: 11.94%. </w:t>
      </w:r>
    </w:p>
    <w:p w:rsidR="00A66FF4" w:rsidRDefault="00A66FF4">
      <w:pPr>
        <w:spacing w:after="160" w:line="240" w:lineRule="auto"/>
        <w:jc w:val="both"/>
      </w:pPr>
    </w:p>
    <w:p w:rsidR="00A66FF4" w:rsidRDefault="00535C75">
      <w:pPr>
        <w:spacing w:after="160" w:line="240" w:lineRule="auto"/>
        <w:jc w:val="both"/>
      </w:pPr>
      <w:r>
        <w:t>26. En el caso de la Educación Inicial, que comprende de</w:t>
      </w:r>
      <w:r>
        <w:t xml:space="preserve"> los 0 a los 3 años y que constituye una etapa crucial para el desarrollo del niño/a al establecer las bases de su desarrollo y comportamiento humano, la inversión presupuestaria es totalmente nula, ya que no figura en el presupuesto general del Ministerio</w:t>
      </w:r>
      <w:r>
        <w:t xml:space="preserve"> de Educación. </w:t>
      </w:r>
    </w:p>
    <w:p w:rsidR="00A66FF4" w:rsidRDefault="00535C75">
      <w:pPr>
        <w:spacing w:after="160" w:line="240" w:lineRule="auto"/>
        <w:jc w:val="both"/>
      </w:pPr>
      <w:r>
        <w:rPr>
          <w:b/>
        </w:rPr>
        <w:t>Acceso a la Educación Superior en Guatemala</w:t>
      </w:r>
    </w:p>
    <w:p w:rsidR="00A66FF4" w:rsidRDefault="00535C75">
      <w:pPr>
        <w:spacing w:after="160" w:line="240" w:lineRule="auto"/>
        <w:jc w:val="both"/>
      </w:pPr>
      <w:r>
        <w:t>27. En cuanto al acceso a la educación superior, es notoria la falta de esfuerzos para la gratuidad progresiva y las limitaciones de acceso a la universidad pública, según el Informe de Línea Base</w:t>
      </w:r>
      <w:r>
        <w:t xml:space="preserve"> del Estado Situacional de los Derechos de la juventud en Guatemala de la Procuraduría de Derechos Humanos:</w:t>
      </w:r>
    </w:p>
    <w:p w:rsidR="00A66FF4" w:rsidRDefault="00535C75">
      <w:pPr>
        <w:spacing w:after="160" w:line="240" w:lineRule="auto"/>
        <w:jc w:val="both"/>
        <w:rPr>
          <w:b/>
        </w:rPr>
      </w:pPr>
      <w:r>
        <w:rPr>
          <w:i/>
        </w:rPr>
        <w:t>“Durante el 2017 se matricularon 392,630 estudiantes de todas las edades, en las distintas universidades del país; el 54% en la Universidad de San C</w:t>
      </w:r>
      <w:r>
        <w:rPr>
          <w:i/>
        </w:rPr>
        <w:t>arlos de Guatemala (USAC) y 46% en universidades privadas [...]Del total de personas matriculadas ese año, el 71% equivalente a 278,940, eran jóvenes de 15 a 29 años, esta cifra representa únicamente el 5.7% de las y los jóvenes de 15 a 29 años, según la e</w:t>
      </w:r>
      <w:r>
        <w:rPr>
          <w:i/>
        </w:rPr>
        <w:t>stimación de población realizada por el INE, para 2017 [...]”.</w:t>
      </w:r>
      <w:r>
        <w:rPr>
          <w:vertAlign w:val="superscript"/>
        </w:rPr>
        <w:footnoteReference w:id="19"/>
      </w:r>
    </w:p>
    <w:p w:rsidR="00A66FF4" w:rsidRDefault="00535C75">
      <w:pPr>
        <w:jc w:val="both"/>
      </w:pPr>
      <w:r>
        <w:rPr>
          <w:b/>
        </w:rPr>
        <w:t>Extensión universitaria y proyección social de la educación superior (artículo 15 del PIDESC)</w:t>
      </w:r>
    </w:p>
    <w:p w:rsidR="00A66FF4" w:rsidRDefault="00535C75">
      <w:pPr>
        <w:jc w:val="both"/>
      </w:pPr>
      <w:r>
        <w:t>28. Una de las formas de promover la realización del bien común y de cooperar a la solución de los</w:t>
      </w:r>
      <w:r>
        <w:t xml:space="preserve"> problemas del país por parte de la Universidad, es mediante el Ejercicio Profesional Supervisado, la aplicación de los conocimientos adquiridos a través de prácticas profesionales supervisadas. Es de conocimiento general que el aproximado de los Q3.00 que</w:t>
      </w:r>
      <w:r>
        <w:t xml:space="preserve"> la USAC retribuye a la sociedad guatemalteca por cada Q1.00 que ella invierte para sostener a la Universidad presupuestariamente es en su mayoría mediante el EPS. Una reducción en la inversión en educación superior dificulta este proceso.</w:t>
      </w:r>
    </w:p>
    <w:p w:rsidR="00A66FF4" w:rsidRDefault="00535C75">
      <w:pPr>
        <w:jc w:val="both"/>
        <w:rPr>
          <w:b/>
        </w:rPr>
      </w:pPr>
      <w:r>
        <w:rPr>
          <w:b/>
        </w:rPr>
        <w:t xml:space="preserve">Violencia en la </w:t>
      </w:r>
      <w:r>
        <w:rPr>
          <w:b/>
        </w:rPr>
        <w:t>Universidad Pública (Artículo 13.1 del PIDESC)</w:t>
      </w:r>
    </w:p>
    <w:p w:rsidR="00A66FF4" w:rsidRDefault="00535C75">
      <w:pPr>
        <w:jc w:val="both"/>
      </w:pPr>
      <w:r>
        <w:t>29. En los recintos de la Universidad de San Carlos,  se han cometido actos de violencia tales como humillaciones públicas denominadas “bautizos”,</w:t>
      </w:r>
      <w:r>
        <w:rPr>
          <w:vertAlign w:val="superscript"/>
        </w:rPr>
        <w:footnoteReference w:id="20"/>
      </w:r>
      <w:r>
        <w:t xml:space="preserve"> golpizas, y homicidios, principalmente contra estudiantes, es</w:t>
      </w:r>
      <w:r>
        <w:t>tos perpetrados por grupos autodenominados “Comités de Huelga”.</w:t>
      </w:r>
      <w:r>
        <w:rPr>
          <w:vertAlign w:val="superscript"/>
        </w:rPr>
        <w:footnoteReference w:id="21"/>
      </w:r>
      <w:r>
        <w:t xml:space="preserve"> Se han reportado casos de violencia sexual contra estudiantes de diversas unidades académicas y jornadas, dentro de las instalaciones universitarias, tanto en el Campus Central como en los ce</w:t>
      </w:r>
      <w:r>
        <w:t>ntros universitarios.</w:t>
      </w:r>
      <w:r>
        <w:rPr>
          <w:vertAlign w:val="superscript"/>
        </w:rPr>
        <w:footnoteReference w:id="22"/>
      </w:r>
      <w:r>
        <w:t xml:space="preserve"> La respuesta institucional ha sido casi nula, en la búsqueda de mecanismos para la sanción y erradicación de estos actos, que en su mayoría quedan en total impunidad. </w:t>
      </w:r>
    </w:p>
    <w:p w:rsidR="00A66FF4" w:rsidRDefault="00535C75">
      <w:pPr>
        <w:jc w:val="center"/>
        <w:rPr>
          <w:b/>
          <w:color w:val="000000"/>
        </w:rPr>
      </w:pPr>
      <w:r>
        <w:rPr>
          <w:b/>
          <w:color w:val="000000"/>
        </w:rPr>
        <w:t>Recomendaciones</w:t>
      </w:r>
    </w:p>
    <w:p w:rsidR="00A66FF4" w:rsidRDefault="00535C75">
      <w:pPr>
        <w:jc w:val="both"/>
        <w:rPr>
          <w:b/>
        </w:rPr>
      </w:pPr>
      <w:r>
        <w:rPr>
          <w:b/>
        </w:rPr>
        <w:t>Recomendación general</w:t>
      </w:r>
    </w:p>
    <w:p w:rsidR="00A66FF4" w:rsidRDefault="00535C75">
      <w:pPr>
        <w:spacing w:after="160" w:line="240" w:lineRule="auto"/>
        <w:jc w:val="both"/>
        <w:rPr>
          <w:b/>
        </w:rPr>
      </w:pPr>
      <w:r>
        <w:t xml:space="preserve">1. Recomendar al Estado de </w:t>
      </w:r>
      <w:r>
        <w:t>Guatemala, incorporar metas e indicadores estructurales, de procesos y resultados respecto al derecho a la educación a nivel superior en sus Informes de País, con el propósito de permitir la evaluación de las condiciones de la educación a todo nivel.</w:t>
      </w:r>
    </w:p>
    <w:p w:rsidR="00A66FF4" w:rsidRDefault="00535C75">
      <w:pPr>
        <w:spacing w:after="160" w:line="240" w:lineRule="auto"/>
        <w:jc w:val="both"/>
        <w:rPr>
          <w:b/>
        </w:rPr>
      </w:pPr>
      <w:r>
        <w:rPr>
          <w:b/>
        </w:rPr>
        <w:t>Respe</w:t>
      </w:r>
      <w:r>
        <w:rPr>
          <w:b/>
        </w:rPr>
        <w:t>cto a Igualdad y no discriminación (Artículos 2, 3 y 10 del PIDESC)</w:t>
      </w:r>
    </w:p>
    <w:p w:rsidR="00A66FF4" w:rsidRDefault="00535C75">
      <w:pPr>
        <w:jc w:val="both"/>
      </w:pPr>
      <w:r>
        <w:t>2. Recomendar al Estado de Guatemala, promover una educación superior pública que sea pertinente culturalmente a los pueblos indígenas que habitan en su territorio y contemple en sus plane</w:t>
      </w:r>
      <w:r>
        <w:t>s de estudio el respeto a los derechos humanos y cultura de paz.</w:t>
      </w:r>
    </w:p>
    <w:p w:rsidR="00A66FF4" w:rsidRDefault="00535C75">
      <w:pPr>
        <w:jc w:val="both"/>
      </w:pPr>
      <w:r>
        <w:t>3. Recomendar al Estado de Guatemala, la adopción de medidas legislativas y administrativas enfocadas en la prevención, sanción y erradicación de cualquier clase de discriminación por género, orientación sexual, condición económica, etnia o discapacidad, y</w:t>
      </w:r>
      <w:r>
        <w:t xml:space="preserve"> en el ejercicio de derechos políticos por parte de estudiantes. </w:t>
      </w:r>
    </w:p>
    <w:p w:rsidR="00A66FF4" w:rsidRDefault="00535C75">
      <w:pPr>
        <w:jc w:val="both"/>
        <w:rPr>
          <w:b/>
        </w:rPr>
      </w:pPr>
      <w:r>
        <w:rPr>
          <w:b/>
        </w:rPr>
        <w:t>Respecto a Progresividad y no regresividad (Artículo 2.1 del PIDESC)</w:t>
      </w:r>
    </w:p>
    <w:p w:rsidR="00A66FF4" w:rsidRDefault="00535C75">
      <w:pPr>
        <w:jc w:val="both"/>
      </w:pPr>
      <w:r>
        <w:t>4. Recomendar al Estado de Guatemala, aumentar el gasto público en educación superior pública, de conformidad con su norm</w:t>
      </w:r>
      <w:r>
        <w:t>a constitucional y tratados internacionales en la materia, de modo que su asignación presupuestaria sea suficiente y mejore progresivamente para sus gastos de funcionamiento e inversión en docencia, investigación científica y extensión universitaria.</w:t>
      </w:r>
    </w:p>
    <w:p w:rsidR="00A66FF4" w:rsidRDefault="00535C75">
      <w:pPr>
        <w:jc w:val="both"/>
        <w:rPr>
          <w:b/>
        </w:rPr>
      </w:pPr>
      <w:r>
        <w:rPr>
          <w:b/>
        </w:rPr>
        <w:t>Respe</w:t>
      </w:r>
      <w:r>
        <w:rPr>
          <w:b/>
        </w:rPr>
        <w:t>cto al Derecho a la educación superior pública (Artículo 13 del PIDESC)</w:t>
      </w:r>
    </w:p>
    <w:p w:rsidR="00A66FF4" w:rsidRDefault="00535C75">
      <w:pPr>
        <w:jc w:val="both"/>
      </w:pPr>
      <w:r>
        <w:t>5.</w:t>
      </w:r>
      <w:r>
        <w:rPr>
          <w:b/>
        </w:rPr>
        <w:t xml:space="preserve"> </w:t>
      </w:r>
      <w:r>
        <w:t xml:space="preserve">Recomendar al Estado de Guatemala, la adopción de medidas políticas, legales, administrativas, presupuestarias y de cualquier índole para promover el acceso a la educación superior </w:t>
      </w:r>
      <w:r>
        <w:t>pública, en especial a personas que se encuentran en condición de pobreza, y personas pertenecientes a los pueblos indígenas y originarios.</w:t>
      </w:r>
    </w:p>
    <w:p w:rsidR="00A66FF4" w:rsidRDefault="00A66FF4">
      <w:pPr>
        <w:ind w:left="283" w:hanging="283"/>
        <w:jc w:val="both"/>
      </w:pPr>
    </w:p>
    <w:p w:rsidR="00A66FF4" w:rsidRDefault="00A66FF4">
      <w:pPr>
        <w:ind w:left="283" w:hanging="283"/>
        <w:jc w:val="both"/>
        <w:rPr>
          <w:color w:val="000000"/>
        </w:rPr>
      </w:pPr>
    </w:p>
    <w:p w:rsidR="00A66FF4" w:rsidRDefault="00A66FF4">
      <w:pPr>
        <w:ind w:left="283" w:hanging="283"/>
        <w:jc w:val="both"/>
        <w:rPr>
          <w:color w:val="000000"/>
        </w:rPr>
      </w:pPr>
    </w:p>
    <w:sectPr w:rsidR="00A66FF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35C75">
      <w:pPr>
        <w:spacing w:after="0" w:line="240" w:lineRule="auto"/>
      </w:pPr>
      <w:r>
        <w:separator/>
      </w:r>
    </w:p>
  </w:endnote>
  <w:endnote w:type="continuationSeparator" w:id="0">
    <w:p w:rsidR="00000000" w:rsidRDefault="0053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FF4" w:rsidRDefault="00535C75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FF4" w:rsidRDefault="00535C75">
    <w:pPr>
      <w:jc w:val="right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35C75">
      <w:pPr>
        <w:spacing w:after="0" w:line="240" w:lineRule="auto"/>
      </w:pPr>
      <w:r>
        <w:separator/>
      </w:r>
    </w:p>
  </w:footnote>
  <w:footnote w:type="continuationSeparator" w:id="0">
    <w:p w:rsidR="00000000" w:rsidRDefault="00535C75">
      <w:pPr>
        <w:spacing w:after="0" w:line="240" w:lineRule="auto"/>
      </w:pPr>
      <w:r>
        <w:continuationSeparator/>
      </w:r>
    </w:p>
  </w:footnote>
  <w:footnote w:id="1">
    <w:p w:rsidR="00A66FF4" w:rsidRDefault="00535C75">
      <w:pPr>
        <w:spacing w:after="0" w:line="240" w:lineRule="auto"/>
        <w:rPr>
          <w:rFonts w:ascii="Arial Narrow" w:eastAsia="Arial Narrow" w:hAnsi="Arial Narrow" w:cs="Arial Narrow"/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sdt>
        <w:sdtPr>
          <w:tag w:val="goog_rdk_0"/>
          <w:id w:val="1547555956"/>
        </w:sdtPr>
        <w:sdtEndPr/>
        <w:sdtContent>
          <w:r>
            <w:rPr>
              <w:rFonts w:ascii="Arial" w:eastAsia="Arial" w:hAnsi="Arial" w:cs="Arial"/>
              <w:sz w:val="18"/>
              <w:szCs w:val="18"/>
            </w:rPr>
            <w:t>Grupo de Trabajo para el A</w:t>
          </w:r>
          <w:r>
            <w:rPr>
              <w:rFonts w:ascii="Arial" w:eastAsia="Arial" w:hAnsi="Arial" w:cs="Arial"/>
              <w:sz w:val="18"/>
              <w:szCs w:val="18"/>
            </w:rPr>
            <w:t>nálisis de los Informes Nacionales previstos en el Protocolo de San Salvador (2018). Observaciones finales a la República de Guatemala. Párr. 40</w:t>
          </w:r>
        </w:sdtContent>
      </w:sdt>
    </w:p>
    <w:p w:rsidR="00A66FF4" w:rsidRDefault="00535C75">
      <w:pPr>
        <w:spacing w:after="0" w:line="240" w:lineRule="auto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</w:p>
    <w:p w:rsidR="00A66FF4" w:rsidRDefault="00535C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66FF4" w:rsidRDefault="00535C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66FF4" w:rsidRDefault="00A66FF4">
      <w:pPr>
        <w:spacing w:after="0" w:line="240" w:lineRule="auto"/>
        <w:rPr>
          <w:sz w:val="20"/>
          <w:szCs w:val="20"/>
        </w:rPr>
      </w:pPr>
    </w:p>
  </w:footnote>
  <w:footnote w:id="2">
    <w:p w:rsidR="00A66FF4" w:rsidRDefault="00535C75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Corte de Constitucionalidad de Guatemala. Amparo con lugar por incumplimiento de Presupuesto </w:t>
      </w:r>
      <w:r>
        <w:rPr>
          <w:rFonts w:ascii="Arial Narrow" w:eastAsia="Arial Narrow" w:hAnsi="Arial Narrow" w:cs="Arial Narrow"/>
          <w:sz w:val="18"/>
          <w:szCs w:val="18"/>
        </w:rPr>
        <w:t>constitucional, Expediente 5510-2018.</w:t>
      </w:r>
    </w:p>
  </w:footnote>
  <w:footnote w:id="3">
    <w:p w:rsidR="00A66FF4" w:rsidRDefault="00535C75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sz w:val="18"/>
          <w:szCs w:val="18"/>
        </w:rPr>
        <w:t xml:space="preserve"> Acuerdos de Paz. Acuerdos </w:t>
      </w:r>
      <w:r>
        <w:rPr>
          <w:rFonts w:ascii="Arial Narrow" w:eastAsia="Arial Narrow" w:hAnsi="Arial Narrow" w:cs="Arial Narrow"/>
          <w:sz w:val="18"/>
          <w:szCs w:val="18"/>
        </w:rPr>
        <w:t>sobre aspectos socioeconómicos y situación agraria, 1996</w:t>
      </w:r>
    </w:p>
  </w:footnote>
  <w:footnote w:id="4">
    <w:p w:rsidR="00A66FF4" w:rsidRDefault="00535C75">
      <w:pPr>
        <w:spacing w:after="0" w:line="240" w:lineRule="auto"/>
        <w:rPr>
          <w:rFonts w:ascii="Arial Narrow" w:eastAsia="Arial Narrow" w:hAnsi="Arial Narrow" w:cs="Arial Narrow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sz w:val="18"/>
          <w:szCs w:val="18"/>
        </w:rPr>
        <w:t xml:space="preserve"> Constitución Política de la República de Guatemala, 29 de mayo de 1985. Asamblea Nacional Constituyente. </w:t>
      </w:r>
    </w:p>
  </w:footnote>
  <w:footnote w:id="5">
    <w:p w:rsidR="00A66FF4" w:rsidRDefault="00535C75">
      <w:pPr>
        <w:spacing w:after="0" w:line="240" w:lineRule="auto"/>
        <w:rPr>
          <w:rFonts w:ascii="Arial Narrow" w:eastAsia="Arial Narrow" w:hAnsi="Arial Narrow" w:cs="Arial Narrow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sz w:val="18"/>
          <w:szCs w:val="18"/>
        </w:rPr>
        <w:t xml:space="preserve"> Informe Estadístico Estudiantil USAC 2019, Registro y Estadística. </w:t>
      </w:r>
    </w:p>
  </w:footnote>
  <w:footnote w:id="6">
    <w:p w:rsidR="00A66FF4" w:rsidRDefault="00535C75">
      <w:pPr>
        <w:spacing w:after="0" w:line="240" w:lineRule="auto"/>
        <w:rPr>
          <w:rFonts w:ascii="Arial Narrow" w:eastAsia="Arial Narrow" w:hAnsi="Arial Narrow" w:cs="Arial Narrow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sz w:val="18"/>
          <w:szCs w:val="18"/>
        </w:rPr>
        <w:t xml:space="preserve"> «El Gobierno se compromete a promover su estudio y difusión, y a facilitar la puesta en práctica de </w:t>
      </w:r>
      <w:r>
        <w:rPr>
          <w:rFonts w:ascii="Arial Narrow" w:eastAsia="Arial Narrow" w:hAnsi="Arial Narrow" w:cs="Arial Narrow"/>
          <w:sz w:val="18"/>
          <w:szCs w:val="18"/>
        </w:rPr>
        <w:t>estos conocimientos. También se insta a las universidades, centros académicos, medios de comunicación, organismos no gubernamentales y de la cooperación internacional a reconocer y divulgar los aportes científicos y técnicos de los pueblos indígenas.» (AID</w:t>
      </w:r>
      <w:r>
        <w:rPr>
          <w:rFonts w:ascii="Arial Narrow" w:eastAsia="Arial Narrow" w:hAnsi="Arial Narrow" w:cs="Arial Narrow"/>
          <w:sz w:val="18"/>
          <w:szCs w:val="18"/>
        </w:rPr>
        <w:t>PI, 1995)</w:t>
      </w:r>
    </w:p>
  </w:footnote>
  <w:footnote w:id="7">
    <w:p w:rsidR="00A66FF4" w:rsidRDefault="00535C75">
      <w:pPr>
        <w:spacing w:after="0" w:line="240" w:lineRule="auto"/>
        <w:rPr>
          <w:rFonts w:ascii="Arial Narrow" w:eastAsia="Arial Narrow" w:hAnsi="Arial Narrow" w:cs="Arial Narrow"/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">
        <w:r>
          <w:rPr>
            <w:rFonts w:ascii="Arial Narrow" w:eastAsia="Arial Narrow" w:hAnsi="Arial Narrow" w:cs="Arial Narrow"/>
            <w:sz w:val="18"/>
            <w:szCs w:val="18"/>
          </w:rPr>
          <w:t>https://www.telesurtv.net/opinion/Guatemala-S</w:t>
        </w:r>
        <w:r>
          <w:rPr>
            <w:rFonts w:ascii="Arial Narrow" w:eastAsia="Arial Narrow" w:hAnsi="Arial Narrow" w:cs="Arial Narrow"/>
            <w:sz w:val="18"/>
            <w:szCs w:val="18"/>
          </w:rPr>
          <w:t>e-levanta-Universidad-Ixil-sobre-cenizas-de-la-represion-militar-20150309-0050.html</w:t>
        </w:r>
      </w:hyperlink>
    </w:p>
  </w:footnote>
  <w:footnote w:id="8">
    <w:p w:rsidR="00A66FF4" w:rsidRDefault="00535C75">
      <w:pPr>
        <w:spacing w:after="0" w:line="240" w:lineRule="auto"/>
        <w:rPr>
          <w:rFonts w:ascii="Arial Narrow" w:eastAsia="Arial Narrow" w:hAnsi="Arial Narrow" w:cs="Arial Narrow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sz w:val="18"/>
          <w:szCs w:val="18"/>
        </w:rPr>
        <w:t xml:space="preserve"> Estudio Exploratorio sobre el acoso sexual en la Universidad de San Carlos de Guatemala. Sáenz de Tejada, Ana. AEU, ONU MUJERES, Guatemala 2019. </w:t>
      </w:r>
      <w:hyperlink r:id="rId2">
        <w:r>
          <w:rPr>
            <w:rFonts w:ascii="Arial Narrow" w:eastAsia="Arial Narrow" w:hAnsi="Arial Narrow" w:cs="Arial Narrow"/>
            <w:sz w:val="18"/>
            <w:szCs w:val="18"/>
          </w:rPr>
          <w:t>https://lac.unwomen.org/es/digiteca/publicaciones/2019/09/estudio-expliratorio-sobre-acoso-sexual-univer</w:t>
        </w:r>
        <w:r>
          <w:rPr>
            <w:rFonts w:ascii="Arial Narrow" w:eastAsia="Arial Narrow" w:hAnsi="Arial Narrow" w:cs="Arial Narrow"/>
            <w:sz w:val="18"/>
            <w:szCs w:val="18"/>
          </w:rPr>
          <w:t>sidad-de-san-carlos-guatemala</w:t>
        </w:r>
      </w:hyperlink>
    </w:p>
  </w:footnote>
  <w:footnote w:id="9">
    <w:p w:rsidR="00A66FF4" w:rsidRDefault="00535C75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Procuraduría de Derechos Humanos. Violencia hacia las personas de la diversidad sexual. </w:t>
      </w:r>
      <w:hyperlink r:id="rId3">
        <w:r>
          <w:rPr>
            <w:rFonts w:ascii="Arial Narrow" w:eastAsia="Arial Narrow" w:hAnsi="Arial Narrow" w:cs="Arial Narrow"/>
            <w:sz w:val="18"/>
            <w:szCs w:val="18"/>
          </w:rPr>
          <w:t>https://www.pdh.org.gt/violencia-hacia-las-personas-de-la-diversidad-sexual/</w:t>
        </w:r>
      </w:hyperlink>
    </w:p>
  </w:footnote>
  <w:footnote w:id="10">
    <w:p w:rsidR="00A66FF4" w:rsidRDefault="00535C75">
      <w:pPr>
        <w:spacing w:after="0" w:line="240" w:lineRule="auto"/>
        <w:rPr>
          <w:rFonts w:ascii="Arial Narrow" w:eastAsia="Arial Narrow" w:hAnsi="Arial Narrow" w:cs="Arial Narrow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sz w:val="18"/>
          <w:szCs w:val="18"/>
        </w:rPr>
        <w:t xml:space="preserve"> Como se aduce nec</w:t>
      </w:r>
      <w:r>
        <w:rPr>
          <w:rFonts w:ascii="Arial Narrow" w:eastAsia="Arial Narrow" w:hAnsi="Arial Narrow" w:cs="Arial Narrow"/>
          <w:sz w:val="18"/>
          <w:szCs w:val="18"/>
        </w:rPr>
        <w:t>esario en la Observación General No.25, Comentarios generales adoptados por el Comité de Derechos Humanos, Artículo 25- La participación en los asuntos públicos y el derecho de voto, 57 período de sesiones, U.N. Doc. HRI/GEN/1/Rev.7 at194 (1996).</w:t>
      </w:r>
    </w:p>
  </w:footnote>
  <w:footnote w:id="11">
    <w:p w:rsidR="00A66FF4" w:rsidRDefault="00535C75">
      <w:pPr>
        <w:spacing w:after="0" w:line="240" w:lineRule="auto"/>
        <w:rPr>
          <w:rFonts w:ascii="Arial Narrow" w:eastAsia="Arial Narrow" w:hAnsi="Arial Narrow" w:cs="Arial Narrow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sz w:val="18"/>
          <w:szCs w:val="18"/>
        </w:rPr>
        <w:t xml:space="preserve"> Amparo </w:t>
      </w:r>
      <w:r>
        <w:rPr>
          <w:rFonts w:ascii="Arial Narrow" w:eastAsia="Arial Narrow" w:hAnsi="Arial Narrow" w:cs="Arial Narrow"/>
          <w:sz w:val="18"/>
          <w:szCs w:val="18"/>
        </w:rPr>
        <w:t>01011-2018-00026, Sala de los Contencioso-Administrativo.</w:t>
      </w:r>
    </w:p>
  </w:footnote>
  <w:footnote w:id="12">
    <w:p w:rsidR="00A66FF4" w:rsidRDefault="00535C75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sz w:val="18"/>
          <w:szCs w:val="18"/>
        </w:rPr>
        <w:t xml:space="preserve"> En el Capítulo I del Titulo I del Estatuto de la Universidad de San Carlos de Guatemala, regula la Autonomía sus Unidades Académicas, tal como se determina el Artículo 4 del mismo cuerpo normativo</w:t>
      </w:r>
      <w:r>
        <w:rPr>
          <w:rFonts w:ascii="Arial Narrow" w:eastAsia="Arial Narrow" w:hAnsi="Arial Narrow" w:cs="Arial Narrow"/>
          <w:sz w:val="18"/>
          <w:szCs w:val="18"/>
        </w:rPr>
        <w:t xml:space="preserve">: “Integran la Universidad las Facultades, Escuelas, Centro Universitario de Occidente, Centros, Regionales Universitarios, Institutos, Departamentos y Dependencias ya existentes y las que se reconozca o creare en el futuro.”. </w:t>
      </w:r>
    </w:p>
  </w:footnote>
  <w:footnote w:id="13">
    <w:p w:rsidR="00A66FF4" w:rsidRDefault="00535C75">
      <w:pPr>
        <w:spacing w:after="0" w:line="240" w:lineRule="auto"/>
        <w:rPr>
          <w:rFonts w:ascii="Arial Narrow" w:eastAsia="Arial Narrow" w:hAnsi="Arial Narrow" w:cs="Arial Narrow"/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Comité de Derechos Económicos, Sociales y Culturales. Observación General No. 13.</w:t>
      </w:r>
    </w:p>
  </w:footnote>
  <w:footnote w:id="14">
    <w:p w:rsidR="00A66FF4" w:rsidRDefault="00535C75">
      <w:pPr>
        <w:spacing w:after="0" w:line="240" w:lineRule="auto"/>
        <w:rPr>
          <w:rFonts w:ascii="Arial Narrow" w:eastAsia="Arial Narrow" w:hAnsi="Arial Narrow" w:cs="Arial Narrow"/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4">
        <w:r>
          <w:rPr>
            <w:rFonts w:ascii="Arial Narrow" w:eastAsia="Arial Narrow" w:hAnsi="Arial Narrow" w:cs="Arial Narrow"/>
            <w:sz w:val="18"/>
            <w:szCs w:val="18"/>
          </w:rPr>
          <w:t>https://repositorio.cepal.org/bitstream/handle/11362/44516/1/S1900075_es.pdf</w:t>
        </w:r>
      </w:hyperlink>
    </w:p>
  </w:footnote>
  <w:footnote w:id="15">
    <w:p w:rsidR="00A66FF4" w:rsidRDefault="00535C75">
      <w:pPr>
        <w:spacing w:after="0" w:line="240" w:lineRule="auto"/>
        <w:rPr>
          <w:rFonts w:ascii="Arial Narrow" w:eastAsia="Arial Narrow" w:hAnsi="Arial Narrow" w:cs="Arial Narrow"/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5">
        <w:r>
          <w:rPr>
            <w:rFonts w:ascii="Arial Narrow" w:eastAsia="Arial Narrow" w:hAnsi="Arial Narrow" w:cs="Arial Narrow"/>
            <w:sz w:val="18"/>
            <w:szCs w:val="18"/>
          </w:rPr>
          <w:t>https://elperiodico.com.gt/inversion/2017/08/3</w:t>
        </w:r>
        <w:r>
          <w:rPr>
            <w:rFonts w:ascii="Arial Narrow" w:eastAsia="Arial Narrow" w:hAnsi="Arial Narrow" w:cs="Arial Narrow"/>
            <w:sz w:val="18"/>
            <w:szCs w:val="18"/>
          </w:rPr>
          <w:t>1/guatemala-concentra-gasto-social-en-la-educacion-primaria/</w:t>
        </w:r>
      </w:hyperlink>
    </w:p>
  </w:footnote>
  <w:footnote w:id="16">
    <w:p w:rsidR="00A66FF4" w:rsidRDefault="00535C75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sz w:val="18"/>
          <w:szCs w:val="18"/>
        </w:rPr>
        <w:t xml:space="preserve"> Conse</w:t>
      </w:r>
      <w:r>
        <w:rPr>
          <w:rFonts w:ascii="Arial Narrow" w:eastAsia="Arial Narrow" w:hAnsi="Arial Narrow" w:cs="Arial Narrow"/>
          <w:sz w:val="18"/>
          <w:szCs w:val="18"/>
        </w:rPr>
        <w:t xml:space="preserve">jo Superior Universitario. (12/09/2018). Acta No. 26-2018. Guatemala. Recuperado de: </w:t>
      </w:r>
      <w:hyperlink r:id="rId6">
        <w:r>
          <w:rPr>
            <w:rFonts w:ascii="Arial Narrow" w:eastAsia="Arial Narrow" w:hAnsi="Arial Narrow" w:cs="Arial Narrow"/>
            <w:sz w:val="18"/>
            <w:szCs w:val="18"/>
          </w:rPr>
          <w:t>https://www.usac.edu.gt/adminwww/actas_csu/ACTA_No._26-2018_.pdf</w:t>
        </w:r>
      </w:hyperlink>
    </w:p>
  </w:footnote>
  <w:footnote w:id="17">
    <w:p w:rsidR="00A66FF4" w:rsidRDefault="00535C75">
      <w:pPr>
        <w:spacing w:after="0" w:line="240" w:lineRule="auto"/>
        <w:rPr>
          <w:rFonts w:ascii="Arial Narrow" w:eastAsia="Arial Narrow" w:hAnsi="Arial Narrow" w:cs="Arial Narrow"/>
          <w:sz w:val="18"/>
          <w:szCs w:val="18"/>
        </w:rPr>
      </w:pPr>
      <w:bookmarkStart w:id="1" w:name="_heading=h.gjdgxs" w:colFirst="0" w:colLast="0"/>
      <w:bookmarkEnd w:id="1"/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sz w:val="18"/>
          <w:szCs w:val="18"/>
        </w:rPr>
        <w:t xml:space="preserve"> Punto único del Acta</w:t>
      </w:r>
      <w:r>
        <w:rPr>
          <w:rFonts w:ascii="Arial Narrow" w:eastAsia="Arial Narrow" w:hAnsi="Arial Narrow" w:cs="Arial Narrow"/>
          <w:sz w:val="18"/>
          <w:szCs w:val="18"/>
        </w:rPr>
        <w:t xml:space="preserve"> No.28-2019, (16/08/2019), págs. 3-6, aprobada por el Consejo Superior Universitario -CSU.</w:t>
      </w:r>
    </w:p>
  </w:footnote>
  <w:footnote w:id="18">
    <w:p w:rsidR="00A66FF4" w:rsidRDefault="00535C75">
      <w:pPr>
        <w:spacing w:after="0" w:line="240" w:lineRule="auto"/>
        <w:rPr>
          <w:rFonts w:ascii="Arial Narrow" w:eastAsia="Arial Narrow" w:hAnsi="Arial Narrow" w:cs="Arial Narrow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sz w:val="18"/>
          <w:szCs w:val="18"/>
        </w:rPr>
        <w:t xml:space="preserve"> Anuario Estadístico de la Educación, MINEDUC Guatemala.</w:t>
      </w:r>
    </w:p>
  </w:footnote>
  <w:footnote w:id="19">
    <w:p w:rsidR="00A66FF4" w:rsidRDefault="00535C75">
      <w:pPr>
        <w:spacing w:after="0" w:line="240" w:lineRule="auto"/>
        <w:rPr>
          <w:rFonts w:ascii="Arial Narrow" w:eastAsia="Arial Narrow" w:hAnsi="Arial Narrow" w:cs="Arial Narrow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sz w:val="18"/>
          <w:szCs w:val="18"/>
        </w:rPr>
        <w:t xml:space="preserve">Procuraduría de los Derechos Humanos. Informe de Línea Base del Estado Situacional de los Derechos de la Juventud en Guatemala 2014-2017. </w:t>
      </w:r>
    </w:p>
  </w:footnote>
  <w:footnote w:id="20">
    <w:p w:rsidR="00A66FF4" w:rsidRDefault="00535C75">
      <w:pPr>
        <w:spacing w:before="240" w:after="240" w:line="240" w:lineRule="auto"/>
        <w:jc w:val="both"/>
        <w:rPr>
          <w:rFonts w:ascii="Arial Narrow" w:eastAsia="Arial Narrow" w:hAnsi="Arial Narrow" w:cs="Arial Narrow"/>
          <w:color w:val="222222"/>
          <w:sz w:val="18"/>
          <w:szCs w:val="18"/>
          <w:highlight w:val="white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sz w:val="18"/>
          <w:szCs w:val="18"/>
        </w:rPr>
        <w:t xml:space="preserve"> Al respecto, el CSU, en el punto quinto del Acta No. 5 de la sesión extraordinaria celebrada el 6 de febrero de 2019, acordó la prohibición de actividades que “</w:t>
      </w:r>
      <w:r>
        <w:rPr>
          <w:rFonts w:ascii="Arial Narrow" w:eastAsia="Arial Narrow" w:hAnsi="Arial Narrow" w:cs="Arial Narrow"/>
          <w:i/>
          <w:sz w:val="18"/>
          <w:szCs w:val="18"/>
        </w:rPr>
        <w:t>[...] P</w:t>
      </w:r>
      <w:r>
        <w:rPr>
          <w:rFonts w:ascii="Arial Narrow" w:eastAsia="Arial Narrow" w:hAnsi="Arial Narrow" w:cs="Arial Narrow"/>
          <w:i/>
          <w:color w:val="222222"/>
          <w:sz w:val="18"/>
          <w:szCs w:val="18"/>
          <w:highlight w:val="white"/>
        </w:rPr>
        <w:t>rincipalmente aquellas que atenten contra los derechos humanos y la dignidad de los estudiantes; más aún, si se realizan con violencia y atentan contra la integridad física, psicológica y moral en contra de la comunidad estudiantil, alteren el orden o gene</w:t>
      </w:r>
      <w:r>
        <w:rPr>
          <w:rFonts w:ascii="Arial Narrow" w:eastAsia="Arial Narrow" w:hAnsi="Arial Narrow" w:cs="Arial Narrow"/>
          <w:i/>
          <w:color w:val="222222"/>
          <w:sz w:val="18"/>
          <w:szCs w:val="18"/>
          <w:highlight w:val="white"/>
        </w:rPr>
        <w:t>ren vandalismo [...]</w:t>
      </w:r>
      <w:r>
        <w:rPr>
          <w:rFonts w:ascii="Arial Narrow" w:eastAsia="Arial Narrow" w:hAnsi="Arial Narrow" w:cs="Arial Narrow"/>
          <w:color w:val="222222"/>
          <w:sz w:val="18"/>
          <w:szCs w:val="18"/>
          <w:highlight w:val="white"/>
        </w:rPr>
        <w:t>”.</w:t>
      </w:r>
    </w:p>
  </w:footnote>
  <w:footnote w:id="21">
    <w:p w:rsidR="00A66FF4" w:rsidRDefault="00535C75">
      <w:pPr>
        <w:spacing w:after="0" w:line="240" w:lineRule="auto"/>
        <w:rPr>
          <w:rFonts w:ascii="Arial Narrow" w:eastAsia="Arial Narrow" w:hAnsi="Arial Narrow" w:cs="Arial Narrow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sz w:val="18"/>
          <w:szCs w:val="18"/>
        </w:rPr>
        <w:t xml:space="preserve">Son parte fundamental de la “Huelga de Dolores”, centenaria tradición de la Universidad de San Carlos, que luego del fin del Conflicto Armado Interno, empezó a convertirse en un espacio de organización criminal. </w:t>
      </w:r>
    </w:p>
  </w:footnote>
  <w:footnote w:id="22">
    <w:p w:rsidR="00A66FF4" w:rsidRDefault="00535C75">
      <w:pPr>
        <w:spacing w:after="0" w:line="240" w:lineRule="auto"/>
        <w:rPr>
          <w:rFonts w:ascii="Arial Narrow" w:eastAsia="Arial Narrow" w:hAnsi="Arial Narrow" w:cs="Arial Narrow"/>
          <w:sz w:val="18"/>
          <w:szCs w:val="18"/>
        </w:rPr>
      </w:pPr>
      <w:r>
        <w:rPr>
          <w:vertAlign w:val="superscript"/>
        </w:rPr>
        <w:footnoteRef/>
      </w:r>
      <w:hyperlink r:id="rId7">
        <w:r>
          <w:rPr>
            <w:rFonts w:ascii="Arial Narrow" w:eastAsia="Arial Narrow" w:hAnsi="Arial Narrow" w:cs="Arial Narrow"/>
            <w:sz w:val="18"/>
            <w:szCs w:val="18"/>
          </w:rPr>
          <w:t>https://www.prensalibre.com/guatemala/comunitario/que-se-sabe-del-caso-de-estudiantes-intoxicados-en-la-usac-por-una-iniciacion-para-la-huelga-de-dolores/</w:t>
        </w:r>
      </w:hyperlink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</w:p>
    <w:p w:rsidR="00A66FF4" w:rsidRDefault="00535C75">
      <w:pPr>
        <w:spacing w:after="0" w:line="240" w:lineRule="auto"/>
        <w:rPr>
          <w:sz w:val="20"/>
          <w:szCs w:val="20"/>
        </w:rPr>
      </w:pPr>
      <w:hyperlink r:id="rId8">
        <w:r>
          <w:rPr>
            <w:rFonts w:ascii="Arial Narrow" w:eastAsia="Arial Narrow" w:hAnsi="Arial Narrow" w:cs="Arial Narrow"/>
            <w:sz w:val="18"/>
            <w:szCs w:val="18"/>
          </w:rPr>
          <w:t>https://www.prensalibre.com/ciudades/usac-ataques-armados-abusos-sexuales-y-agresiones-atemorizan-a-estudiantes/</w:t>
        </w:r>
      </w:hyperlink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FF4" w:rsidRDefault="00535C7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366091"/>
        <w:sz w:val="18"/>
        <w:szCs w:val="18"/>
      </w:rPr>
    </w:pPr>
    <w:r>
      <w:rPr>
        <w:noProof/>
        <w:color w:val="366091"/>
        <w:sz w:val="18"/>
        <w:szCs w:val="18"/>
        <w:lang w:val="en-GB"/>
      </w:rPr>
      <w:drawing>
        <wp:inline distT="114300" distB="114300" distL="114300" distR="114300">
          <wp:extent cx="1771650" cy="6858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27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16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366091"/>
        <w:sz w:val="18"/>
        <w:szCs w:val="18"/>
      </w:rPr>
      <w:t xml:space="preserve">                                                 </w:t>
    </w:r>
    <w:r>
      <w:rPr>
        <w:color w:val="366091"/>
        <w:sz w:val="18"/>
        <w:szCs w:val="18"/>
      </w:rPr>
      <w:t>PIDESC-AEU Educación superior en Guatemala</w:t>
    </w:r>
  </w:p>
  <w:p w:rsidR="00A66FF4" w:rsidRDefault="00535C7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366091"/>
        <w:sz w:val="18"/>
        <w:szCs w:val="18"/>
      </w:rPr>
    </w:pPr>
    <w:r>
      <w:rPr>
        <w:color w:val="366091"/>
        <w:sz w:val="18"/>
        <w:szCs w:val="18"/>
      </w:rPr>
      <w:t>Secretariado 2019-2021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FF4" w:rsidRDefault="00535C75">
    <w:pPr>
      <w:spacing w:after="0"/>
      <w:jc w:val="right"/>
    </w:pPr>
    <w:r>
      <w:rPr>
        <w:noProof/>
        <w:lang w:val="en-GB"/>
      </w:rPr>
      <w:drawing>
        <wp:inline distT="114300" distB="114300" distL="114300" distR="114300">
          <wp:extent cx="1483200" cy="56938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alphaModFix amt="34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3200" cy="569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66FF4" w:rsidRDefault="00535C75">
    <w:pPr>
      <w:spacing w:after="0"/>
      <w:jc w:val="right"/>
      <w:rPr>
        <w:sz w:val="20"/>
        <w:szCs w:val="20"/>
      </w:rPr>
    </w:pPr>
    <w:r>
      <w:rPr>
        <w:sz w:val="20"/>
        <w:szCs w:val="20"/>
      </w:rPr>
      <w:t>Secretariado 2019-2021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66870"/>
    <w:multiLevelType w:val="multilevel"/>
    <w:tmpl w:val="9B546C0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F4"/>
    <w:rsid w:val="00535C75"/>
    <w:rsid w:val="00A6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C83286-7201-4BF4-BF68-E0611C8F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="Constantia" w:hAnsi="Constantia" w:cs="Constantia"/>
        <w:sz w:val="22"/>
        <w:szCs w:val="22"/>
        <w:lang w:val="es-GT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09D"/>
  </w:style>
  <w:style w:type="paragraph" w:styleId="Heading1">
    <w:name w:val="heading 1"/>
    <w:basedOn w:val="Normal"/>
    <w:next w:val="Normal"/>
    <w:link w:val="Heading1Char"/>
    <w:uiPriority w:val="9"/>
    <w:qFormat/>
    <w:rsid w:val="006070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GT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607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GT"/>
    </w:rPr>
  </w:style>
  <w:style w:type="paragraph" w:styleId="ListParagraph">
    <w:name w:val="List Paragraph"/>
    <w:basedOn w:val="Normal"/>
    <w:uiPriority w:val="34"/>
    <w:qFormat/>
    <w:rsid w:val="006070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4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4DF"/>
  </w:style>
  <w:style w:type="paragraph" w:styleId="Footer">
    <w:name w:val="footer"/>
    <w:basedOn w:val="Normal"/>
    <w:link w:val="FooterChar"/>
    <w:uiPriority w:val="99"/>
    <w:unhideWhenUsed/>
    <w:rsid w:val="004054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4DF"/>
  </w:style>
  <w:style w:type="paragraph" w:styleId="FootnoteText">
    <w:name w:val="footnote text"/>
    <w:basedOn w:val="Normal"/>
    <w:link w:val="FootnoteTextChar"/>
    <w:uiPriority w:val="99"/>
    <w:semiHidden/>
    <w:unhideWhenUsed/>
    <w:rsid w:val="004054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54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54D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0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Hyperlink">
    <w:name w:val="Hyperlink"/>
    <w:basedOn w:val="DefaultParagraphFont"/>
    <w:uiPriority w:val="99"/>
    <w:unhideWhenUsed/>
    <w:rsid w:val="004054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4D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nsalibre.com/ciudades/usac-ataques-armados-abusos-sexuales-y-agresiones-atemorizan-a-estudiantes/" TargetMode="External"/><Relationship Id="rId3" Type="http://schemas.openxmlformats.org/officeDocument/2006/relationships/hyperlink" Target="https://www.pdh.org.gt/violencia-hacia-las-personas-de-la-diversidad-sexual/" TargetMode="External"/><Relationship Id="rId7" Type="http://schemas.openxmlformats.org/officeDocument/2006/relationships/hyperlink" Target="https://www.prensalibre.com/guatemala/comunitario/que-se-sabe-del-caso-de-estudiantes-intoxicados-en-la-usac-por-una-iniciacion-para-la-huelga-de-dolores/" TargetMode="External"/><Relationship Id="rId2" Type="http://schemas.openxmlformats.org/officeDocument/2006/relationships/hyperlink" Target="https://lac.unwomen.org/es/digiteca/publicaciones/2019/09/estudio-expliratorio-sobre-acoso-sexual-universidad-de-san-carlos-guatemala" TargetMode="External"/><Relationship Id="rId1" Type="http://schemas.openxmlformats.org/officeDocument/2006/relationships/hyperlink" Target="https://www.telesurtv.net/opinion/Guatemala-Se-levanta-Universidad-Ixil-sobre-cenizas-de-la-represion-militar-20150309-0050.html" TargetMode="External"/><Relationship Id="rId6" Type="http://schemas.openxmlformats.org/officeDocument/2006/relationships/hyperlink" Target="https://www.usac.edu.gt/adminwww/actas_csu/ACTA_No._26-2018_.pdf" TargetMode="External"/><Relationship Id="rId5" Type="http://schemas.openxmlformats.org/officeDocument/2006/relationships/hyperlink" Target="https://elperiodico.com.gt/inversion/2017/08/31/guatemala-concentra-gasto-social-en-la-educacion-primaria/" TargetMode="External"/><Relationship Id="rId4" Type="http://schemas.openxmlformats.org/officeDocument/2006/relationships/hyperlink" Target="https://repositorio.cepal.org/bitstream/handle/11362/44516/1/S1900075_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Cambria"/>
        <a:ea typeface=""/>
        <a:cs typeface=""/>
      </a:majorFont>
      <a:minorFont>
        <a:latin typeface="Constant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7E2+Nlpb95cs9Si0vVRYXxtBXQ==">AMUW2mXpYbAtCGAflcroLWFocsw+WOvSHrJzFQrq47q7dOxXx6hoOOtd2LVxOC5L28wFHUYyQXN4KGZ5jD9rAhJLRe4XSHu0/EGa158kZkATh8FvYgeNfeFyP72faHmE7+6Y1mmeZIr2Fo7bv9LDCF6xlwUz9THz/XZsy1AhKz00E9L3HULPKiU=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5DBF0ADA998469064B64F53A76F3C" ma:contentTypeVersion="0" ma:contentTypeDescription="Create a new document." ma:contentTypeScope="" ma:versionID="5c421e79169b6bba174fb07424eb68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293731B0-D269-4142-9F8F-FD28CE8FA0C9}"/>
</file>

<file path=customXml/itemProps3.xml><?xml version="1.0" encoding="utf-8"?>
<ds:datastoreItem xmlns:ds="http://schemas.openxmlformats.org/officeDocument/2006/customXml" ds:itemID="{2955406A-0C1B-459D-8DD9-19E723E18B29}"/>
</file>

<file path=customXml/itemProps4.xml><?xml version="1.0" encoding="utf-8"?>
<ds:datastoreItem xmlns:ds="http://schemas.openxmlformats.org/officeDocument/2006/customXml" ds:itemID="{265D678C-ED72-4471-909E-5A52CE5B31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2559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del1</dc:creator>
  <cp:lastModifiedBy>Tolaïni Sabine</cp:lastModifiedBy>
  <cp:revision>2</cp:revision>
  <dcterms:created xsi:type="dcterms:W3CDTF">2020-08-18T14:21:00Z</dcterms:created>
  <dcterms:modified xsi:type="dcterms:W3CDTF">2020-08-18T14:21:00Z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0x010100FAE5DBF0ADA998469064B64F53A76F3C</vt:lpwstr>
  </property>
</Properties>
</file>